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DFC6" w14:textId="77777777" w:rsidR="00E37CDF" w:rsidRDefault="000D784A" w:rsidP="006C2BFC">
      <w:pPr>
        <w:pStyle w:val="Title1"/>
        <w:rPr>
          <w:caps w:val="0"/>
        </w:rPr>
      </w:pPr>
      <w:bookmarkStart w:id="0" w:name="_Toc341702043"/>
      <w:bookmarkStart w:id="1" w:name="_Toc380742621"/>
      <w:bookmarkStart w:id="2" w:name="_Toc380746188"/>
      <w:bookmarkStart w:id="3" w:name="_Toc380746314"/>
      <w:bookmarkStart w:id="4" w:name="_Toc380746595"/>
      <w:r>
        <w:t>6.05</w:t>
      </w:r>
      <w:r w:rsidR="004E0DA6" w:rsidRPr="00197FE9">
        <w:tab/>
        <w:t xml:space="preserve">PEMBROLIZUMAB, </w:t>
      </w:r>
      <w:r w:rsidR="005509E0">
        <w:br/>
      </w:r>
      <w:r w:rsidR="00AD74DD" w:rsidRPr="005509E0">
        <w:rPr>
          <w:caps w:val="0"/>
        </w:rPr>
        <w:t>Solution concentrate for I.V. infusion 100 mg in 4 mL</w:t>
      </w:r>
      <w:r w:rsidR="004E0DA6" w:rsidRPr="005509E0">
        <w:rPr>
          <w:caps w:val="0"/>
        </w:rPr>
        <w:t xml:space="preserve">, </w:t>
      </w:r>
      <w:r w:rsidR="005509E0" w:rsidRPr="005509E0">
        <w:rPr>
          <w:caps w:val="0"/>
        </w:rPr>
        <w:br/>
      </w:r>
      <w:r w:rsidR="004E0DA6" w:rsidRPr="005509E0">
        <w:rPr>
          <w:caps w:val="0"/>
        </w:rPr>
        <w:t>Keytruda</w:t>
      </w:r>
      <w:r w:rsidR="004E0DA6" w:rsidRPr="005509E0">
        <w:rPr>
          <w:caps w:val="0"/>
          <w:vertAlign w:val="superscript"/>
        </w:rPr>
        <w:t>®</w:t>
      </w:r>
      <w:r w:rsidR="004E0DA6" w:rsidRPr="005509E0">
        <w:rPr>
          <w:caps w:val="0"/>
        </w:rPr>
        <w:t>,</w:t>
      </w:r>
    </w:p>
    <w:p w14:paraId="7F8A3EB8" w14:textId="3F1B1344" w:rsidR="004E0DA6" w:rsidRDefault="00E37CDF" w:rsidP="00C41D0D">
      <w:pPr>
        <w:pStyle w:val="BodyText"/>
        <w:tabs>
          <w:tab w:val="left" w:pos="1134"/>
        </w:tabs>
        <w:spacing w:after="240"/>
      </w:pPr>
      <w:r>
        <w:tab/>
      </w:r>
      <w:r w:rsidRPr="00E37CDF">
        <w:rPr>
          <w:rFonts w:asciiTheme="minorHAnsi" w:hAnsiTheme="minorHAnsi" w:cstheme="minorHAnsi"/>
          <w:b/>
          <w:sz w:val="36"/>
          <w:szCs w:val="36"/>
        </w:rPr>
        <w:t>Merck Sharp &amp; Dohme (Australia) Pty Ltd</w:t>
      </w:r>
    </w:p>
    <w:p w14:paraId="71651055" w14:textId="030046FC" w:rsidR="004E0DA6" w:rsidRPr="00CB71F0" w:rsidRDefault="004E0DA6" w:rsidP="00CB71F0">
      <w:pPr>
        <w:pStyle w:val="PBACHeading1"/>
        <w:spacing w:after="120"/>
      </w:pPr>
      <w:bookmarkStart w:id="5" w:name="_Toc79761891"/>
      <w:r w:rsidRPr="00407F2D">
        <w:t xml:space="preserve">Purpose of </w:t>
      </w:r>
      <w:r w:rsidR="00A54A82">
        <w:t>a</w:t>
      </w:r>
      <w:r w:rsidRPr="00407F2D">
        <w:t>pplication</w:t>
      </w:r>
      <w:bookmarkEnd w:id="5"/>
    </w:p>
    <w:p w14:paraId="4D3077F3" w14:textId="77777777" w:rsidR="004E0DA6" w:rsidRPr="00BD5A47" w:rsidRDefault="000C3805" w:rsidP="00863C38">
      <w:pPr>
        <w:pStyle w:val="ListParagraph"/>
        <w:widowControl/>
        <w:numPr>
          <w:ilvl w:val="1"/>
          <w:numId w:val="1"/>
        </w:numPr>
        <w:rPr>
          <w:rFonts w:asciiTheme="minorHAnsi" w:hAnsiTheme="minorHAnsi" w:cstheme="minorHAnsi"/>
        </w:rPr>
      </w:pPr>
      <w:r>
        <w:rPr>
          <w:rFonts w:asciiTheme="minorHAnsi" w:hAnsiTheme="minorHAnsi" w:cstheme="minorHAnsi"/>
        </w:rPr>
        <w:t xml:space="preserve">The Category </w:t>
      </w:r>
      <w:r w:rsidR="006C558F">
        <w:rPr>
          <w:rFonts w:asciiTheme="minorHAnsi" w:hAnsiTheme="minorHAnsi" w:cstheme="minorHAnsi"/>
        </w:rPr>
        <w:t>2</w:t>
      </w:r>
      <w:r>
        <w:rPr>
          <w:rFonts w:asciiTheme="minorHAnsi" w:hAnsiTheme="minorHAnsi" w:cstheme="minorHAnsi"/>
        </w:rPr>
        <w:t xml:space="preserve"> </w:t>
      </w:r>
      <w:r w:rsidRPr="00586BAA">
        <w:rPr>
          <w:rFonts w:asciiTheme="minorHAnsi" w:hAnsiTheme="minorHAnsi" w:cstheme="minorHAnsi"/>
        </w:rPr>
        <w:t>submission requested</w:t>
      </w:r>
      <w:r w:rsidR="00C20D64">
        <w:rPr>
          <w:rFonts w:asciiTheme="minorHAnsi" w:hAnsiTheme="minorHAnsi" w:cstheme="minorHAnsi"/>
        </w:rPr>
        <w:t xml:space="preserve"> an </w:t>
      </w:r>
      <w:r w:rsidR="00C20D64" w:rsidRPr="00A862C6">
        <w:t>Authority Required (Streamlined)</w:t>
      </w:r>
      <w:r w:rsidR="004E0DA6" w:rsidRPr="00586BAA">
        <w:rPr>
          <w:rFonts w:asciiTheme="minorHAnsi" w:hAnsiTheme="minorHAnsi" w:cstheme="minorHAnsi"/>
        </w:rPr>
        <w:t xml:space="preserve"> listing for </w:t>
      </w:r>
      <w:r w:rsidR="00BD5A47" w:rsidRPr="00586BAA">
        <w:rPr>
          <w:rFonts w:asciiTheme="minorHAnsi" w:hAnsiTheme="minorHAnsi" w:cstheme="minorHAnsi"/>
        </w:rPr>
        <w:t>p</w:t>
      </w:r>
      <w:r w:rsidR="004E0DA6" w:rsidRPr="00586BAA">
        <w:rPr>
          <w:rFonts w:asciiTheme="minorHAnsi" w:hAnsiTheme="minorHAnsi" w:cstheme="minorHAnsi"/>
        </w:rPr>
        <w:t>embrolizumab in combination with platinum</w:t>
      </w:r>
      <w:r w:rsidR="00A77165" w:rsidRPr="00586BAA">
        <w:rPr>
          <w:rFonts w:asciiTheme="minorHAnsi" w:hAnsiTheme="minorHAnsi" w:cstheme="minorHAnsi"/>
        </w:rPr>
        <w:t>-</w:t>
      </w:r>
      <w:r w:rsidR="004E0DA6" w:rsidRPr="00586BAA">
        <w:rPr>
          <w:rFonts w:asciiTheme="minorHAnsi" w:hAnsiTheme="minorHAnsi" w:cstheme="minorHAnsi"/>
        </w:rPr>
        <w:t>based chemotherapy for</w:t>
      </w:r>
      <w:r w:rsidR="00B43D8E">
        <w:rPr>
          <w:rFonts w:asciiTheme="minorHAnsi" w:hAnsiTheme="minorHAnsi" w:cstheme="minorHAnsi"/>
        </w:rPr>
        <w:t xml:space="preserve"> the</w:t>
      </w:r>
      <w:r w:rsidR="004E0DA6" w:rsidRPr="00586BAA">
        <w:rPr>
          <w:rFonts w:asciiTheme="minorHAnsi" w:hAnsiTheme="minorHAnsi" w:cstheme="minorHAnsi"/>
        </w:rPr>
        <w:t xml:space="preserve"> treatment of </w:t>
      </w:r>
      <w:r w:rsidRPr="00586BAA">
        <w:rPr>
          <w:rFonts w:asciiTheme="minorHAnsi" w:hAnsiTheme="minorHAnsi" w:cstheme="minorHAnsi"/>
        </w:rPr>
        <w:t xml:space="preserve">locally </w:t>
      </w:r>
      <w:r w:rsidR="004E0DA6" w:rsidRPr="00586BAA">
        <w:rPr>
          <w:rFonts w:asciiTheme="minorHAnsi" w:hAnsiTheme="minorHAnsi" w:cstheme="minorHAnsi"/>
        </w:rPr>
        <w:t xml:space="preserve">advanced </w:t>
      </w:r>
      <w:r w:rsidR="00BD5A47" w:rsidRPr="00586BAA">
        <w:rPr>
          <w:rFonts w:asciiTheme="minorHAnsi" w:hAnsiTheme="minorHAnsi" w:cstheme="minorHAnsi"/>
        </w:rPr>
        <w:t xml:space="preserve">(Stage III) </w:t>
      </w:r>
      <w:r w:rsidR="004E0DA6" w:rsidRPr="00586BAA">
        <w:rPr>
          <w:rFonts w:asciiTheme="minorHAnsi" w:hAnsiTheme="minorHAnsi" w:cstheme="minorHAnsi"/>
        </w:rPr>
        <w:t xml:space="preserve">or metastatic </w:t>
      </w:r>
      <w:r w:rsidR="00BD5A47" w:rsidRPr="00586BAA">
        <w:rPr>
          <w:rFonts w:asciiTheme="minorHAnsi" w:hAnsiTheme="minorHAnsi" w:cstheme="minorHAnsi"/>
        </w:rPr>
        <w:t xml:space="preserve">(Stage IV) </w:t>
      </w:r>
      <w:r w:rsidR="004E0DA6" w:rsidRPr="00586BAA">
        <w:rPr>
          <w:rFonts w:asciiTheme="minorHAnsi" w:hAnsiTheme="minorHAnsi" w:cstheme="minorHAnsi"/>
        </w:rPr>
        <w:t xml:space="preserve">oesophageal adenocarcinoma </w:t>
      </w:r>
      <w:r w:rsidR="00BD5A47" w:rsidRPr="00586BAA">
        <w:rPr>
          <w:rFonts w:asciiTheme="minorHAnsi" w:hAnsiTheme="minorHAnsi" w:cstheme="minorHAnsi"/>
        </w:rPr>
        <w:t xml:space="preserve">(OAC) </w:t>
      </w:r>
      <w:r w:rsidR="00510B13" w:rsidRPr="00586BAA">
        <w:rPr>
          <w:rFonts w:asciiTheme="minorHAnsi" w:hAnsiTheme="minorHAnsi" w:cstheme="minorHAnsi"/>
        </w:rPr>
        <w:t xml:space="preserve">or </w:t>
      </w:r>
      <w:r w:rsidR="00C824D3" w:rsidRPr="00586BAA">
        <w:rPr>
          <w:rFonts w:asciiTheme="minorHAnsi" w:hAnsiTheme="minorHAnsi" w:cstheme="minorHAnsi"/>
        </w:rPr>
        <w:t xml:space="preserve">oesophageal </w:t>
      </w:r>
      <w:r w:rsidR="004E0DA6" w:rsidRPr="00586BAA">
        <w:rPr>
          <w:rFonts w:asciiTheme="minorHAnsi" w:hAnsiTheme="minorHAnsi" w:cstheme="minorHAnsi"/>
        </w:rPr>
        <w:t xml:space="preserve">squamous cell carcinoma </w:t>
      </w:r>
      <w:r w:rsidR="00BD5A47" w:rsidRPr="00586BAA">
        <w:rPr>
          <w:rFonts w:asciiTheme="minorHAnsi" w:hAnsiTheme="minorHAnsi" w:cstheme="minorHAnsi"/>
        </w:rPr>
        <w:t>(OSCC)</w:t>
      </w:r>
      <w:r w:rsidR="00E06EDB" w:rsidRPr="00586BAA">
        <w:rPr>
          <w:rFonts w:asciiTheme="minorHAnsi" w:hAnsiTheme="minorHAnsi" w:cstheme="minorHAnsi"/>
        </w:rPr>
        <w:t>,</w:t>
      </w:r>
      <w:r w:rsidR="00BD5A47" w:rsidRPr="00586BAA">
        <w:rPr>
          <w:rFonts w:asciiTheme="minorHAnsi" w:hAnsiTheme="minorHAnsi" w:cstheme="minorHAnsi"/>
        </w:rPr>
        <w:t xml:space="preserve"> </w:t>
      </w:r>
      <w:r w:rsidR="00510B13" w:rsidRPr="00586BAA">
        <w:rPr>
          <w:rFonts w:asciiTheme="minorHAnsi" w:hAnsiTheme="minorHAnsi" w:cstheme="minorHAnsi"/>
        </w:rPr>
        <w:t>or</w:t>
      </w:r>
      <w:r w:rsidR="00E06EDB" w:rsidRPr="00586BAA">
        <w:rPr>
          <w:rFonts w:asciiTheme="minorHAnsi" w:hAnsiTheme="minorHAnsi" w:cstheme="minorHAnsi"/>
        </w:rPr>
        <w:t xml:space="preserve"> human epidermal growth factor receptor 2</w:t>
      </w:r>
      <w:r w:rsidR="00510B13" w:rsidRPr="00586BAA">
        <w:rPr>
          <w:rFonts w:asciiTheme="minorHAnsi" w:hAnsiTheme="minorHAnsi" w:cstheme="minorHAnsi"/>
        </w:rPr>
        <w:t xml:space="preserve"> </w:t>
      </w:r>
      <w:r w:rsidR="00E06EDB" w:rsidRPr="00586BAA">
        <w:rPr>
          <w:rFonts w:asciiTheme="minorHAnsi" w:hAnsiTheme="minorHAnsi" w:cstheme="minorHAnsi"/>
        </w:rPr>
        <w:t>(</w:t>
      </w:r>
      <w:r w:rsidR="00510B13" w:rsidRPr="00586BAA">
        <w:rPr>
          <w:rFonts w:asciiTheme="minorHAnsi" w:hAnsiTheme="minorHAnsi" w:cstheme="minorHAnsi"/>
        </w:rPr>
        <w:t>HER2</w:t>
      </w:r>
      <w:r w:rsidR="00E06EDB" w:rsidRPr="00586BAA">
        <w:rPr>
          <w:rFonts w:asciiTheme="minorHAnsi" w:hAnsiTheme="minorHAnsi" w:cstheme="minorHAnsi"/>
        </w:rPr>
        <w:t>)</w:t>
      </w:r>
      <w:r w:rsidR="00510B13" w:rsidRPr="00586BAA">
        <w:rPr>
          <w:rFonts w:asciiTheme="minorHAnsi" w:hAnsiTheme="minorHAnsi" w:cstheme="minorHAnsi"/>
        </w:rPr>
        <w:t>-negative adenocarcinoma</w:t>
      </w:r>
      <w:r w:rsidR="00504E96">
        <w:rPr>
          <w:rFonts w:asciiTheme="minorHAnsi" w:hAnsiTheme="minorHAnsi" w:cstheme="minorHAnsi"/>
        </w:rPr>
        <w:t xml:space="preserve"> (AC)</w:t>
      </w:r>
      <w:r w:rsidR="004E0DA6" w:rsidRPr="00586BAA">
        <w:rPr>
          <w:rFonts w:asciiTheme="minorHAnsi" w:hAnsiTheme="minorHAnsi" w:cstheme="minorHAnsi"/>
        </w:rPr>
        <w:t xml:space="preserve"> of the gastro-oesophageal junction</w:t>
      </w:r>
      <w:r w:rsidR="00BD5A47" w:rsidRPr="00586BAA">
        <w:rPr>
          <w:rFonts w:asciiTheme="minorHAnsi" w:hAnsiTheme="minorHAnsi" w:cstheme="minorHAnsi"/>
        </w:rPr>
        <w:t xml:space="preserve"> (GOJ)</w:t>
      </w:r>
      <w:r w:rsidR="004E0DA6" w:rsidRPr="00586BAA">
        <w:rPr>
          <w:rFonts w:asciiTheme="minorHAnsi" w:hAnsiTheme="minorHAnsi" w:cstheme="minorHAnsi"/>
        </w:rPr>
        <w:t>.</w:t>
      </w:r>
      <w:r w:rsidR="004E0DA6" w:rsidRPr="00BD5A47">
        <w:rPr>
          <w:rFonts w:asciiTheme="minorHAnsi" w:hAnsiTheme="minorHAnsi" w:cstheme="minorHAnsi"/>
        </w:rPr>
        <w:t xml:space="preserve"> </w:t>
      </w:r>
    </w:p>
    <w:p w14:paraId="577694D8" w14:textId="77777777" w:rsidR="004E0DA6" w:rsidRPr="00197FE9" w:rsidRDefault="004E0DA6" w:rsidP="00863C38">
      <w:pPr>
        <w:pStyle w:val="ListParagraph"/>
        <w:widowControl/>
        <w:numPr>
          <w:ilvl w:val="1"/>
          <w:numId w:val="1"/>
        </w:numPr>
        <w:spacing w:after="120"/>
        <w:rPr>
          <w:rFonts w:asciiTheme="minorHAnsi" w:hAnsiTheme="minorHAnsi" w:cstheme="minorHAnsi"/>
        </w:rPr>
      </w:pPr>
      <w:r w:rsidRPr="00197FE9">
        <w:rPr>
          <w:rFonts w:asciiTheme="minorHAnsi" w:hAnsiTheme="minorHAnsi" w:cstheme="minorHAnsi"/>
        </w:rPr>
        <w:t xml:space="preserve">The basis for the requested listing </w:t>
      </w:r>
      <w:r w:rsidR="000C3805">
        <w:rPr>
          <w:rFonts w:asciiTheme="minorHAnsi" w:hAnsiTheme="minorHAnsi" w:cstheme="minorHAnsi"/>
        </w:rPr>
        <w:t>wa</w:t>
      </w:r>
      <w:r w:rsidRPr="00197FE9">
        <w:rPr>
          <w:rFonts w:asciiTheme="minorHAnsi" w:hAnsiTheme="minorHAnsi" w:cstheme="minorHAnsi"/>
        </w:rPr>
        <w:t>s a cost-utility analysis against the comparator, chemotherapy alone.</w:t>
      </w:r>
    </w:p>
    <w:p w14:paraId="7B390E10" w14:textId="77777777" w:rsidR="004E0DA6" w:rsidRPr="00152CE4" w:rsidRDefault="005051CB" w:rsidP="00152CE4">
      <w:pPr>
        <w:pStyle w:val="ListParagraph"/>
        <w:widowControl/>
        <w:numPr>
          <w:ilvl w:val="1"/>
          <w:numId w:val="1"/>
        </w:numPr>
        <w:spacing w:after="120"/>
        <w:rPr>
          <w:rFonts w:asciiTheme="minorHAnsi" w:hAnsiTheme="minorHAnsi" w:cstheme="minorHAnsi"/>
        </w:rPr>
      </w:pPr>
      <w:r w:rsidRPr="005051CB">
        <w:rPr>
          <w:snapToGrid/>
        </w:rPr>
        <w:t>Table 1</w:t>
      </w:r>
      <w:r w:rsidR="004E0DA6" w:rsidRPr="00197FE9">
        <w:rPr>
          <w:rFonts w:asciiTheme="minorHAnsi" w:hAnsiTheme="minorHAnsi" w:cstheme="minorHAnsi"/>
        </w:rPr>
        <w:t xml:space="preserve"> presents the key components of the clinical issue addressed by the submission.</w:t>
      </w:r>
    </w:p>
    <w:p w14:paraId="56DD75B8" w14:textId="05F45C06" w:rsidR="00DF548E" w:rsidRPr="008E5320" w:rsidRDefault="004E0DA6" w:rsidP="00712293">
      <w:pPr>
        <w:keepNext/>
      </w:pPr>
      <w:bookmarkStart w:id="6" w:name="_Ref79502454"/>
      <w:r w:rsidRPr="008E5320">
        <w:rPr>
          <w:rStyle w:val="CommentReference"/>
        </w:rPr>
        <w:t xml:space="preserve">Table </w:t>
      </w:r>
      <w:r w:rsidR="005051CB">
        <w:rPr>
          <w:rStyle w:val="CommentReference"/>
          <w:noProof/>
        </w:rPr>
        <w:t>1</w:t>
      </w:r>
      <w:bookmarkEnd w:id="6"/>
      <w:r w:rsidRPr="008E5320">
        <w:rPr>
          <w:rStyle w:val="CommentReference"/>
        </w:rPr>
        <w:t xml:space="preserve">: </w:t>
      </w:r>
      <w:r w:rsidR="00DF548E" w:rsidRPr="008E5320">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9"/>
        <w:gridCol w:w="7358"/>
      </w:tblGrid>
      <w:tr w:rsidR="00DF548E" w:rsidRPr="008E5320" w14:paraId="51EBE089" w14:textId="77777777" w:rsidTr="001D5826">
        <w:tc>
          <w:tcPr>
            <w:tcW w:w="920" w:type="pct"/>
            <w:vAlign w:val="center"/>
          </w:tcPr>
          <w:p w14:paraId="08FA0211" w14:textId="77777777" w:rsidR="00DF548E" w:rsidRPr="008E5320" w:rsidRDefault="00DF548E" w:rsidP="00712293">
            <w:pPr>
              <w:pStyle w:val="Tabletext"/>
              <w:keepNext/>
              <w:rPr>
                <w:b/>
              </w:rPr>
            </w:pPr>
            <w:r w:rsidRPr="008E5320">
              <w:rPr>
                <w:b/>
              </w:rPr>
              <w:t>Component</w:t>
            </w:r>
          </w:p>
        </w:tc>
        <w:tc>
          <w:tcPr>
            <w:tcW w:w="4080" w:type="pct"/>
            <w:vAlign w:val="center"/>
          </w:tcPr>
          <w:p w14:paraId="7A2E0111" w14:textId="77777777" w:rsidR="00DF548E" w:rsidRPr="008E5320" w:rsidRDefault="00DF548E" w:rsidP="00712293">
            <w:pPr>
              <w:pStyle w:val="Tabletext"/>
              <w:keepNext/>
              <w:jc w:val="center"/>
              <w:rPr>
                <w:b/>
              </w:rPr>
            </w:pPr>
            <w:r w:rsidRPr="008E5320">
              <w:rPr>
                <w:b/>
              </w:rPr>
              <w:t>Description</w:t>
            </w:r>
          </w:p>
        </w:tc>
      </w:tr>
      <w:tr w:rsidR="00DF548E" w:rsidRPr="008E5320" w14:paraId="0E290476" w14:textId="77777777" w:rsidTr="001D5826">
        <w:tc>
          <w:tcPr>
            <w:tcW w:w="920" w:type="pct"/>
            <w:vAlign w:val="center"/>
          </w:tcPr>
          <w:p w14:paraId="6111CF3E" w14:textId="77777777" w:rsidR="00DF548E" w:rsidRPr="008E5320" w:rsidRDefault="00DF548E" w:rsidP="00712293">
            <w:pPr>
              <w:pStyle w:val="Tabletext"/>
              <w:keepNext/>
            </w:pPr>
            <w:r w:rsidRPr="008E5320">
              <w:t>Population</w:t>
            </w:r>
          </w:p>
        </w:tc>
        <w:tc>
          <w:tcPr>
            <w:tcW w:w="4080" w:type="pct"/>
            <w:vAlign w:val="center"/>
          </w:tcPr>
          <w:p w14:paraId="034877CF" w14:textId="5EA9F8AB" w:rsidR="00DF548E" w:rsidRPr="008E5320" w:rsidRDefault="00DF548E" w:rsidP="00C02982">
            <w:pPr>
              <w:pStyle w:val="Tabletext"/>
              <w:keepNext/>
            </w:pPr>
            <w:r w:rsidRPr="008E5320">
              <w:t>Patients with</w:t>
            </w:r>
            <w:r w:rsidR="00510B13" w:rsidRPr="008E5320">
              <w:t xml:space="preserve"> </w:t>
            </w:r>
            <w:r w:rsidR="00510B13" w:rsidRPr="008E5320">
              <w:rPr>
                <w:iCs/>
              </w:rPr>
              <w:t xml:space="preserve">Stage III </w:t>
            </w:r>
            <w:r w:rsidR="0020203B" w:rsidRPr="008E5320">
              <w:rPr>
                <w:iCs/>
              </w:rPr>
              <w:t xml:space="preserve">unresectable </w:t>
            </w:r>
            <w:r w:rsidR="00510B13" w:rsidRPr="008E5320">
              <w:rPr>
                <w:iCs/>
              </w:rPr>
              <w:t>(advanced)</w:t>
            </w:r>
            <w:proofErr w:type="gramStart"/>
            <w:r w:rsidR="00510B13" w:rsidRPr="008E5320">
              <w:rPr>
                <w:iCs/>
                <w:vertAlign w:val="superscript"/>
              </w:rPr>
              <w:t>a</w:t>
            </w:r>
            <w:r w:rsidR="008C0319">
              <w:rPr>
                <w:iCs/>
                <w:vertAlign w:val="superscript"/>
              </w:rPr>
              <w:t xml:space="preserve"> </w:t>
            </w:r>
            <w:r w:rsidR="00510B13" w:rsidRPr="008E5320">
              <w:rPr>
                <w:iCs/>
              </w:rPr>
              <w:t>or</w:t>
            </w:r>
            <w:proofErr w:type="gramEnd"/>
            <w:r w:rsidRPr="008E5320">
              <w:t xml:space="preserve"> Stage IV (metastatic)</w:t>
            </w:r>
            <w:r w:rsidR="0020203B" w:rsidRPr="008E5320">
              <w:t xml:space="preserve"> </w:t>
            </w:r>
            <w:r w:rsidR="00C02982">
              <w:t>OAC</w:t>
            </w:r>
            <w:r w:rsidRPr="008E5320">
              <w:t xml:space="preserve"> </w:t>
            </w:r>
            <w:r w:rsidR="00F06FBA" w:rsidRPr="008E5320">
              <w:t>or</w:t>
            </w:r>
            <w:r w:rsidR="00C02982">
              <w:t xml:space="preserve"> OSCC</w:t>
            </w:r>
            <w:r w:rsidR="00F06FBA" w:rsidRPr="008E5320">
              <w:t>,</w:t>
            </w:r>
            <w:r w:rsidRPr="008E5320">
              <w:t xml:space="preserve"> </w:t>
            </w:r>
            <w:r w:rsidR="00A77165" w:rsidRPr="008E5320">
              <w:t xml:space="preserve">or </w:t>
            </w:r>
            <w:r w:rsidR="0020203B" w:rsidRPr="008E5320">
              <w:rPr>
                <w:iCs/>
              </w:rPr>
              <w:t>HER2-negative</w:t>
            </w:r>
            <w:r w:rsidR="0090191C" w:rsidRPr="008E5320">
              <w:rPr>
                <w:iCs/>
                <w:vertAlign w:val="superscript"/>
              </w:rPr>
              <w:t>a</w:t>
            </w:r>
            <w:r w:rsidR="0020203B" w:rsidRPr="008E5320">
              <w:rPr>
                <w:iCs/>
              </w:rPr>
              <w:t xml:space="preserve"> </w:t>
            </w:r>
            <w:r w:rsidR="00C02982">
              <w:t>AC</w:t>
            </w:r>
            <w:r w:rsidRPr="008E5320">
              <w:t xml:space="preserve"> of the</w:t>
            </w:r>
            <w:r w:rsidR="00C02982">
              <w:t xml:space="preserve"> GOJ</w:t>
            </w:r>
            <w:r w:rsidRPr="008E5320">
              <w:t>.</w:t>
            </w:r>
          </w:p>
        </w:tc>
      </w:tr>
      <w:tr w:rsidR="00DF548E" w:rsidRPr="008E5320" w14:paraId="7528CBB1" w14:textId="77777777" w:rsidTr="001D5826">
        <w:tc>
          <w:tcPr>
            <w:tcW w:w="920" w:type="pct"/>
            <w:vAlign w:val="center"/>
          </w:tcPr>
          <w:p w14:paraId="569CE88D" w14:textId="77777777" w:rsidR="00DF548E" w:rsidRPr="008E5320" w:rsidRDefault="00DF548E" w:rsidP="00712293">
            <w:pPr>
              <w:pStyle w:val="Tabletext"/>
              <w:keepNext/>
            </w:pPr>
            <w:r w:rsidRPr="008E5320">
              <w:t>Intervention</w:t>
            </w:r>
          </w:p>
        </w:tc>
        <w:tc>
          <w:tcPr>
            <w:tcW w:w="4080" w:type="pct"/>
            <w:vAlign w:val="center"/>
          </w:tcPr>
          <w:p w14:paraId="5C925737" w14:textId="77777777" w:rsidR="00DF548E" w:rsidRPr="008E5320" w:rsidRDefault="00DF548E" w:rsidP="00712293">
            <w:pPr>
              <w:pStyle w:val="Tabletext"/>
              <w:keepNext/>
            </w:pPr>
            <w:r w:rsidRPr="008E5320">
              <w:t>Pembrolizumab 200</w:t>
            </w:r>
            <w:r w:rsidR="00E06EDB">
              <w:t xml:space="preserve"> </w:t>
            </w:r>
            <w:r w:rsidRPr="008E5320">
              <w:t>mg IV Q3W for up to 35 cycles + 5-FU 800 mg/m</w:t>
            </w:r>
            <w:r w:rsidRPr="008E5320">
              <w:rPr>
                <w:vertAlign w:val="superscript"/>
              </w:rPr>
              <w:t>2</w:t>
            </w:r>
            <w:r w:rsidRPr="008E5320">
              <w:t xml:space="preserve"> for days 1-5 for up to 35 cycles + cisplatin 80 mg/m</w:t>
            </w:r>
            <w:r w:rsidRPr="008E5320">
              <w:rPr>
                <w:vertAlign w:val="superscript"/>
              </w:rPr>
              <w:t xml:space="preserve">2 </w:t>
            </w:r>
            <w:r w:rsidRPr="008E5320">
              <w:t>Q3W for up to 6 cycles</w:t>
            </w:r>
          </w:p>
        </w:tc>
      </w:tr>
      <w:tr w:rsidR="00DF548E" w:rsidRPr="008E5320" w14:paraId="0EE4EC6F" w14:textId="77777777" w:rsidTr="001D5826">
        <w:tc>
          <w:tcPr>
            <w:tcW w:w="920" w:type="pct"/>
            <w:vAlign w:val="center"/>
          </w:tcPr>
          <w:p w14:paraId="391B4907" w14:textId="77777777" w:rsidR="00DF548E" w:rsidRPr="008E5320" w:rsidRDefault="00DF548E" w:rsidP="00712293">
            <w:pPr>
              <w:pStyle w:val="Tabletext"/>
              <w:keepNext/>
            </w:pPr>
            <w:r w:rsidRPr="008E5320">
              <w:t>Comparator</w:t>
            </w:r>
          </w:p>
        </w:tc>
        <w:tc>
          <w:tcPr>
            <w:tcW w:w="4080" w:type="pct"/>
            <w:vAlign w:val="center"/>
          </w:tcPr>
          <w:p w14:paraId="66CD519B" w14:textId="77777777" w:rsidR="00DF548E" w:rsidRPr="008E5320" w:rsidRDefault="00DF548E" w:rsidP="00712293">
            <w:pPr>
              <w:pStyle w:val="Tabletext"/>
              <w:keepNext/>
            </w:pPr>
            <w:r w:rsidRPr="008E5320">
              <w:t>Standard of Care. Due to the complexities of the various regimens, the following have been identified and included as representative of all comparators:</w:t>
            </w:r>
          </w:p>
          <w:p w14:paraId="6DC08CC2" w14:textId="77777777" w:rsidR="00DF548E" w:rsidRPr="008E5320" w:rsidRDefault="00DF548E" w:rsidP="00712293">
            <w:pPr>
              <w:pStyle w:val="Tabletext"/>
              <w:keepNext/>
            </w:pPr>
            <w:r w:rsidRPr="008E5320">
              <w:t>Cisplatin + 5-FU (</w:t>
            </w:r>
            <w:r w:rsidR="00A77165" w:rsidRPr="008E5320">
              <w:t>r</w:t>
            </w:r>
            <w:r w:rsidRPr="008E5320">
              <w:t xml:space="preserve">epresents other chemotherapy regimens including </w:t>
            </w:r>
            <w:r w:rsidR="00BD5A47" w:rsidRPr="008E5320">
              <w:t>XELOX/</w:t>
            </w:r>
            <w:r w:rsidRPr="008E5320">
              <w:t>CAPOX and FOLFOX)</w:t>
            </w:r>
          </w:p>
        </w:tc>
      </w:tr>
      <w:tr w:rsidR="00DF548E" w:rsidRPr="008E5320" w14:paraId="67DCD8CE" w14:textId="77777777" w:rsidTr="001D5826">
        <w:tc>
          <w:tcPr>
            <w:tcW w:w="920" w:type="pct"/>
            <w:vAlign w:val="center"/>
          </w:tcPr>
          <w:p w14:paraId="7F4F1ED5" w14:textId="77777777" w:rsidR="00DF548E" w:rsidRPr="008E5320" w:rsidRDefault="00DF548E" w:rsidP="00712293">
            <w:pPr>
              <w:pStyle w:val="Tabletext"/>
              <w:keepNext/>
            </w:pPr>
            <w:r w:rsidRPr="008E5320">
              <w:t>Outcomes</w:t>
            </w:r>
          </w:p>
        </w:tc>
        <w:tc>
          <w:tcPr>
            <w:tcW w:w="4080" w:type="pct"/>
            <w:vAlign w:val="center"/>
          </w:tcPr>
          <w:p w14:paraId="195EE0A5" w14:textId="77777777" w:rsidR="00DF548E" w:rsidRPr="008E5320" w:rsidRDefault="00DF548E" w:rsidP="00712293">
            <w:pPr>
              <w:pStyle w:val="Tabletext"/>
              <w:keepNext/>
            </w:pPr>
            <w:r w:rsidRPr="008E5320">
              <w:t xml:space="preserve">Objective </w:t>
            </w:r>
            <w:r w:rsidR="00A77165" w:rsidRPr="008E5320">
              <w:t>r</w:t>
            </w:r>
            <w:r w:rsidRPr="008E5320">
              <w:t xml:space="preserve">esponse </w:t>
            </w:r>
            <w:r w:rsidR="00A77165" w:rsidRPr="008E5320">
              <w:t>r</w:t>
            </w:r>
            <w:r w:rsidRPr="008E5320">
              <w:t xml:space="preserve">ate, </w:t>
            </w:r>
            <w:r w:rsidR="00A77165" w:rsidRPr="008E5320">
              <w:t>p</w:t>
            </w:r>
            <w:r w:rsidRPr="008E5320">
              <w:t xml:space="preserve">rogression </w:t>
            </w:r>
            <w:r w:rsidR="00A77165" w:rsidRPr="008E5320">
              <w:t>f</w:t>
            </w:r>
            <w:r w:rsidRPr="008E5320">
              <w:t xml:space="preserve">ree </w:t>
            </w:r>
            <w:r w:rsidR="00A77165" w:rsidRPr="008E5320">
              <w:t>s</w:t>
            </w:r>
            <w:r w:rsidRPr="008E5320">
              <w:t xml:space="preserve">urvival, </w:t>
            </w:r>
            <w:r w:rsidR="00A77165" w:rsidRPr="008E5320">
              <w:t>o</w:t>
            </w:r>
            <w:r w:rsidRPr="008E5320">
              <w:t xml:space="preserve">verall </w:t>
            </w:r>
            <w:r w:rsidR="00A77165" w:rsidRPr="008E5320">
              <w:t>s</w:t>
            </w:r>
            <w:r w:rsidRPr="008E5320">
              <w:t xml:space="preserve">urvival </w:t>
            </w:r>
          </w:p>
        </w:tc>
      </w:tr>
      <w:tr w:rsidR="00DF548E" w:rsidRPr="008E5320" w14:paraId="26797583" w14:textId="77777777" w:rsidTr="001D5826">
        <w:tc>
          <w:tcPr>
            <w:tcW w:w="920" w:type="pct"/>
            <w:vAlign w:val="center"/>
          </w:tcPr>
          <w:p w14:paraId="1E763FE3" w14:textId="77777777" w:rsidR="00DF548E" w:rsidRPr="008E5320" w:rsidRDefault="00DF548E" w:rsidP="00712293">
            <w:pPr>
              <w:pStyle w:val="Tabletext"/>
              <w:keepNext/>
            </w:pPr>
            <w:r w:rsidRPr="008E5320">
              <w:t>Clinical claim</w:t>
            </w:r>
          </w:p>
        </w:tc>
        <w:tc>
          <w:tcPr>
            <w:tcW w:w="4080" w:type="pct"/>
            <w:vAlign w:val="center"/>
          </w:tcPr>
          <w:p w14:paraId="397DB444" w14:textId="77777777" w:rsidR="00DF548E" w:rsidRPr="008E5320" w:rsidRDefault="00DF548E" w:rsidP="005E543C">
            <w:pPr>
              <w:pStyle w:val="Tabletext"/>
              <w:keepNext/>
            </w:pPr>
            <w:r w:rsidRPr="008E5320">
              <w:t xml:space="preserve">In patients with </w:t>
            </w:r>
            <w:r w:rsidR="0020203B" w:rsidRPr="008E5320">
              <w:rPr>
                <w:iCs/>
              </w:rPr>
              <w:t xml:space="preserve">Stage III unresectable (advanced) or </w:t>
            </w:r>
            <w:r w:rsidRPr="008E5320">
              <w:t>Stage IV (metastatic) oesophageal cancer</w:t>
            </w:r>
            <w:r w:rsidR="00473B9F" w:rsidRPr="008E5320">
              <w:t xml:space="preserve"> </w:t>
            </w:r>
            <w:r w:rsidR="0020203B" w:rsidRPr="008E5320">
              <w:rPr>
                <w:iCs/>
              </w:rPr>
              <w:t>or HER2 negative</w:t>
            </w:r>
            <w:r w:rsidR="00473B9F" w:rsidRPr="008E5320">
              <w:rPr>
                <w:iCs/>
              </w:rPr>
              <w:t xml:space="preserve"> gastro-oesophageal </w:t>
            </w:r>
            <w:r w:rsidR="00473B9F" w:rsidRPr="00586BAA">
              <w:rPr>
                <w:iCs/>
              </w:rPr>
              <w:t>junction cancer</w:t>
            </w:r>
            <w:r w:rsidR="00473B9F" w:rsidRPr="00586BAA">
              <w:t xml:space="preserve">, </w:t>
            </w:r>
            <w:r w:rsidRPr="00586BAA">
              <w:t>pembrolizumab in combination with chemotherapy is more effective than standard chemotherapy at improving survival, progression free survival, and quality of life.</w:t>
            </w:r>
            <w:r w:rsidR="005E543C" w:rsidRPr="00586BAA">
              <w:t xml:space="preserve"> The submission described pembrolizumab plus chemotherapy as inferior in terms of safety compared to chemotherapy alone.</w:t>
            </w:r>
          </w:p>
        </w:tc>
      </w:tr>
    </w:tbl>
    <w:p w14:paraId="1C9DF025" w14:textId="0A7AF3E7" w:rsidR="00DF548E" w:rsidRPr="008E5320" w:rsidRDefault="00DF548E" w:rsidP="00712293">
      <w:pPr>
        <w:pStyle w:val="TableFooter"/>
        <w:keepNext/>
      </w:pPr>
      <w:r w:rsidRPr="008E5320">
        <w:t xml:space="preserve">Source: Table 1.1.1, pp3-4 of the submission. </w:t>
      </w:r>
    </w:p>
    <w:p w14:paraId="72126ED7" w14:textId="77777777" w:rsidR="00510B13" w:rsidRPr="008E5320" w:rsidRDefault="00C02982" w:rsidP="00712293">
      <w:pPr>
        <w:pStyle w:val="TableFooter"/>
        <w:keepNext/>
      </w:pPr>
      <w:r>
        <w:t xml:space="preserve">AC = </w:t>
      </w:r>
      <w:r w:rsidRPr="008E5320">
        <w:t>adenocarcinoma</w:t>
      </w:r>
      <w:r>
        <w:t xml:space="preserve">; </w:t>
      </w:r>
      <w:r w:rsidR="00DF548E" w:rsidRPr="008E5320">
        <w:t xml:space="preserve">5-FU </w:t>
      </w:r>
      <w:r w:rsidR="00E06EDB">
        <w:t>=</w:t>
      </w:r>
      <w:r w:rsidR="00DF548E" w:rsidRPr="008E5320">
        <w:t xml:space="preserve"> 5 fluorouracil; FOLFOX = oxaliplatin plus leucovorin plus 5-FU; </w:t>
      </w:r>
      <w:r>
        <w:t xml:space="preserve">GOJ = </w:t>
      </w:r>
      <w:r w:rsidRPr="008E5320">
        <w:t>gastro-oesophageal junction</w:t>
      </w:r>
      <w:r>
        <w:t>;</w:t>
      </w:r>
      <w:r w:rsidRPr="00110A26">
        <w:t xml:space="preserve"> </w:t>
      </w:r>
      <w:r w:rsidR="00E06EDB" w:rsidRPr="00110A26">
        <w:t>HER2 = human epidermal growth factor receptor 2; IV = intravenous;</w:t>
      </w:r>
      <w:r w:rsidR="00E06EDB">
        <w:t xml:space="preserve"> </w:t>
      </w:r>
      <w:r w:rsidR="00DF548E" w:rsidRPr="008E5320">
        <w:t xml:space="preserve">mg = milligram; </w:t>
      </w:r>
      <w:r>
        <w:t xml:space="preserve">OAC = </w:t>
      </w:r>
      <w:r w:rsidRPr="00C02982">
        <w:t>oesophageal adenocarcinoma</w:t>
      </w:r>
      <w:r>
        <w:t xml:space="preserve">; OSCC = </w:t>
      </w:r>
      <w:r w:rsidRPr="008E5320">
        <w:t>oesophageal squamous cell carcinoma</w:t>
      </w:r>
      <w:r>
        <w:t>;</w:t>
      </w:r>
      <w:r w:rsidRPr="008E5320">
        <w:t xml:space="preserve"> </w:t>
      </w:r>
      <w:r w:rsidR="00DF548E" w:rsidRPr="008E5320">
        <w:t>Q3W = every three weeks</w:t>
      </w:r>
      <w:r w:rsidR="00BD5A47" w:rsidRPr="008E5320">
        <w:t>; XELOX/CAPOX = capecitabine plus oxaliplatin</w:t>
      </w:r>
    </w:p>
    <w:p w14:paraId="6C3FB891" w14:textId="3CAFE480" w:rsidR="00870786" w:rsidRPr="00CB71F0" w:rsidRDefault="00510B13" w:rsidP="00CB71F0">
      <w:pPr>
        <w:pStyle w:val="TableFooter"/>
        <w:keepNext/>
        <w:spacing w:after="240"/>
        <w:rPr>
          <w:rFonts w:cstheme="minorHAnsi"/>
          <w:iCs/>
          <w:color w:val="000000" w:themeColor="text1"/>
        </w:rPr>
      </w:pPr>
      <w:proofErr w:type="spellStart"/>
      <w:r w:rsidRPr="008E5320">
        <w:rPr>
          <w:rFonts w:cstheme="minorHAnsi"/>
          <w:iCs/>
          <w:color w:val="000000" w:themeColor="text1"/>
          <w:vertAlign w:val="superscript"/>
        </w:rPr>
        <w:t>a</w:t>
      </w:r>
      <w:proofErr w:type="spellEnd"/>
      <w:r w:rsidR="003C492F" w:rsidRPr="008E5320">
        <w:rPr>
          <w:rFonts w:cstheme="minorHAnsi"/>
          <w:iCs/>
          <w:color w:val="000000" w:themeColor="text1"/>
          <w:vertAlign w:val="superscript"/>
        </w:rPr>
        <w:t xml:space="preserve"> </w:t>
      </w:r>
      <w:proofErr w:type="gramStart"/>
      <w:r w:rsidRPr="008E5320">
        <w:rPr>
          <w:rFonts w:cstheme="minorHAnsi"/>
          <w:iCs/>
          <w:color w:val="000000" w:themeColor="text1"/>
        </w:rPr>
        <w:t>The</w:t>
      </w:r>
      <w:proofErr w:type="gramEnd"/>
      <w:r w:rsidRPr="008E5320">
        <w:rPr>
          <w:rFonts w:cstheme="minorHAnsi"/>
          <w:iCs/>
          <w:color w:val="000000" w:themeColor="text1"/>
        </w:rPr>
        <w:t xml:space="preserve"> submission was inconsistent in describing the stage of disease in the target population</w:t>
      </w:r>
      <w:r w:rsidR="0090191C" w:rsidRPr="008E5320">
        <w:rPr>
          <w:rFonts w:cstheme="minorHAnsi"/>
          <w:iCs/>
          <w:color w:val="000000" w:themeColor="text1"/>
        </w:rPr>
        <w:t xml:space="preserve"> and specifying HER2-negative status for GOJ</w:t>
      </w:r>
      <w:r w:rsidR="00C824D3" w:rsidRPr="008E5320">
        <w:rPr>
          <w:rFonts w:cstheme="minorHAnsi"/>
          <w:iCs/>
          <w:color w:val="000000" w:themeColor="text1"/>
        </w:rPr>
        <w:t>.</w:t>
      </w:r>
      <w:r w:rsidRPr="008E5320">
        <w:rPr>
          <w:rFonts w:cstheme="minorHAnsi"/>
          <w:iCs/>
          <w:color w:val="000000" w:themeColor="text1"/>
        </w:rPr>
        <w:t xml:space="preserve"> </w:t>
      </w:r>
      <w:r w:rsidR="00C824D3" w:rsidRPr="008E5320">
        <w:rPr>
          <w:rFonts w:cstheme="minorHAnsi"/>
          <w:iCs/>
          <w:color w:val="000000" w:themeColor="text1"/>
        </w:rPr>
        <w:t>T</w:t>
      </w:r>
      <w:r w:rsidRPr="008E5320">
        <w:rPr>
          <w:rFonts w:cstheme="minorHAnsi"/>
          <w:iCs/>
          <w:color w:val="000000" w:themeColor="text1"/>
        </w:rPr>
        <w:t>he restriction include</w:t>
      </w:r>
      <w:r w:rsidR="00C824D3" w:rsidRPr="008E5320">
        <w:rPr>
          <w:rFonts w:cstheme="minorHAnsi"/>
          <w:iCs/>
          <w:color w:val="000000" w:themeColor="text1"/>
        </w:rPr>
        <w:t>d</w:t>
      </w:r>
      <w:r w:rsidRPr="008E5320">
        <w:rPr>
          <w:rFonts w:cstheme="minorHAnsi"/>
          <w:iCs/>
          <w:color w:val="000000" w:themeColor="text1"/>
        </w:rPr>
        <w:t xml:space="preserve"> advanced and metastatic, whereas the PICO table only include</w:t>
      </w:r>
      <w:r w:rsidR="00C824D3" w:rsidRPr="008E5320">
        <w:rPr>
          <w:rFonts w:cstheme="minorHAnsi"/>
          <w:iCs/>
          <w:color w:val="000000" w:themeColor="text1"/>
        </w:rPr>
        <w:t>d</w:t>
      </w:r>
      <w:r w:rsidRPr="008E5320">
        <w:rPr>
          <w:rFonts w:cstheme="minorHAnsi"/>
          <w:iCs/>
          <w:color w:val="000000" w:themeColor="text1"/>
        </w:rPr>
        <w:t xml:space="preserve"> metastatic</w:t>
      </w:r>
      <w:r w:rsidRPr="00110A26">
        <w:rPr>
          <w:rFonts w:cstheme="minorHAnsi"/>
          <w:iCs/>
          <w:color w:val="000000" w:themeColor="text1"/>
        </w:rPr>
        <w:t>.</w:t>
      </w:r>
      <w:r w:rsidR="00C45938" w:rsidRPr="00110A26">
        <w:rPr>
          <w:rFonts w:cstheme="minorHAnsi"/>
          <w:iCs/>
          <w:color w:val="000000" w:themeColor="text1"/>
        </w:rPr>
        <w:t xml:space="preserve"> </w:t>
      </w:r>
      <w:r w:rsidR="00E06EDB" w:rsidRPr="00110A26">
        <w:rPr>
          <w:rFonts w:cstheme="minorHAnsi"/>
          <w:iCs/>
          <w:color w:val="000000" w:themeColor="text1"/>
        </w:rPr>
        <w:t>This has been amended in the table.</w:t>
      </w:r>
    </w:p>
    <w:p w14:paraId="63988DDB" w14:textId="77777777" w:rsidR="00003B1B" w:rsidRPr="00407F2D" w:rsidRDefault="00003B1B" w:rsidP="00CB71F0">
      <w:pPr>
        <w:pStyle w:val="PBACHeading1"/>
        <w:spacing w:after="120"/>
      </w:pPr>
      <w:bookmarkStart w:id="7" w:name="_Toc79761892"/>
      <w:r w:rsidRPr="00407F2D">
        <w:t>Background</w:t>
      </w:r>
    </w:p>
    <w:p w14:paraId="4B8145DC" w14:textId="42DDC9C2" w:rsidR="00003B1B" w:rsidRPr="00CB71F0" w:rsidRDefault="00003B1B" w:rsidP="00CB71F0">
      <w:pPr>
        <w:spacing w:after="120"/>
        <w:rPr>
          <w:rFonts w:asciiTheme="minorHAnsi" w:hAnsiTheme="minorHAnsi" w:cstheme="minorHAnsi"/>
          <w:b/>
          <w:i/>
          <w:sz w:val="28"/>
          <w:szCs w:val="28"/>
        </w:rPr>
      </w:pPr>
      <w:r w:rsidRPr="00197FE9">
        <w:rPr>
          <w:rFonts w:asciiTheme="minorHAnsi" w:hAnsiTheme="minorHAnsi" w:cstheme="minorHAnsi"/>
          <w:b/>
          <w:i/>
          <w:sz w:val="28"/>
          <w:szCs w:val="28"/>
        </w:rPr>
        <w:t>Registration status</w:t>
      </w:r>
    </w:p>
    <w:p w14:paraId="3961E48F" w14:textId="77777777" w:rsidR="00003B1B" w:rsidRPr="00586BAA" w:rsidRDefault="00003B1B" w:rsidP="00003B1B">
      <w:pPr>
        <w:pStyle w:val="ListParagraph"/>
        <w:widowControl/>
        <w:numPr>
          <w:ilvl w:val="1"/>
          <w:numId w:val="1"/>
        </w:numPr>
        <w:rPr>
          <w:rFonts w:asciiTheme="minorHAnsi" w:hAnsiTheme="minorHAnsi" w:cstheme="minorHAnsi"/>
        </w:rPr>
      </w:pPr>
      <w:r w:rsidRPr="00520F4A">
        <w:rPr>
          <w:rFonts w:asciiTheme="minorHAnsi" w:hAnsiTheme="minorHAnsi" w:cstheme="minorHAnsi"/>
          <w:color w:val="000000" w:themeColor="text1"/>
        </w:rPr>
        <w:lastRenderedPageBreak/>
        <w:t>Pembrolizumab</w:t>
      </w:r>
      <w:r w:rsidRPr="00586BAA">
        <w:rPr>
          <w:rFonts w:asciiTheme="minorHAnsi" w:hAnsiTheme="minorHAnsi" w:cstheme="minorHAnsi"/>
          <w:color w:val="000000" w:themeColor="text1"/>
        </w:rPr>
        <w:t xml:space="preserve"> was registered for OAC, OSCC or GOJ on the 28 September 2021. The TGA application for pembrolizumab for this indication </w:t>
      </w:r>
      <w:r w:rsidRPr="00586BAA">
        <w:t xml:space="preserve">was granted priority review under Project ORBIS and received a designation of Orphan Drug status. </w:t>
      </w:r>
      <w:r w:rsidRPr="00586BAA">
        <w:rPr>
          <w:rFonts w:asciiTheme="minorHAnsi" w:hAnsiTheme="minorHAnsi" w:cstheme="minorHAnsi"/>
        </w:rPr>
        <w:t>The approved TGA indication is:</w:t>
      </w:r>
    </w:p>
    <w:p w14:paraId="7B8A2168" w14:textId="77777777" w:rsidR="00003B1B" w:rsidRPr="00520F4A" w:rsidRDefault="00003B1B" w:rsidP="00CB71F0">
      <w:pPr>
        <w:pStyle w:val="ListParagraph"/>
        <w:widowControl/>
        <w:spacing w:after="240"/>
        <w:ind w:left="1440"/>
        <w:rPr>
          <w:rFonts w:asciiTheme="minorHAnsi" w:hAnsiTheme="minorHAnsi" w:cstheme="minorHAnsi"/>
        </w:rPr>
      </w:pPr>
      <w:r w:rsidRPr="00586BAA">
        <w:rPr>
          <w:rFonts w:asciiTheme="minorHAnsi" w:hAnsiTheme="minorHAnsi" w:cstheme="minorHAnsi"/>
        </w:rPr>
        <w:t xml:space="preserve">In combination with platinum- and </w:t>
      </w:r>
      <w:r>
        <w:rPr>
          <w:rFonts w:asciiTheme="minorHAnsi" w:hAnsiTheme="minorHAnsi" w:cstheme="minorHAnsi"/>
        </w:rPr>
        <w:t>5-FU</w:t>
      </w:r>
      <w:r w:rsidRPr="00586BAA">
        <w:rPr>
          <w:rFonts w:asciiTheme="minorHAnsi" w:hAnsiTheme="minorHAnsi" w:cstheme="minorHAnsi"/>
        </w:rPr>
        <w:t>-based chemotherapy for the first-line treatment of patients with locally advanced or metastatic carcinoma of the oesophagus or HER2-negative gastroesophageal junction adenocarcinoma (tumour centre 1 to 5 centimetres above the gastroesophageal junction) that is not amenable to surgical resection or definitive chemoradiation.</w:t>
      </w:r>
    </w:p>
    <w:p w14:paraId="481F865A" w14:textId="5A3F52B6" w:rsidR="00950305" w:rsidRPr="00CB71F0" w:rsidRDefault="004E0DA6" w:rsidP="00CB71F0">
      <w:pPr>
        <w:pStyle w:val="PBACHeading1"/>
        <w:spacing w:after="120"/>
      </w:pPr>
      <w:r w:rsidRPr="00407F2D">
        <w:t>Requested listing</w:t>
      </w:r>
      <w:bookmarkEnd w:id="7"/>
    </w:p>
    <w:p w14:paraId="7C71F5B2" w14:textId="77777777" w:rsidR="00950305" w:rsidRPr="0049069B" w:rsidRDefault="00950305" w:rsidP="00950305">
      <w:pPr>
        <w:pStyle w:val="ListParagraph"/>
        <w:widowControl/>
        <w:numPr>
          <w:ilvl w:val="1"/>
          <w:numId w:val="1"/>
        </w:numPr>
        <w:spacing w:after="120"/>
        <w:rPr>
          <w:rFonts w:asciiTheme="minorHAnsi" w:hAnsiTheme="minorHAnsi" w:cstheme="minorHAnsi"/>
        </w:rPr>
      </w:pPr>
      <w:r w:rsidRPr="00841223">
        <w:t xml:space="preserve">The requested listing for </w:t>
      </w:r>
      <w:r>
        <w:t>pembrolizumab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8"/>
        <w:gridCol w:w="1276"/>
        <w:gridCol w:w="1004"/>
        <w:gridCol w:w="2977"/>
        <w:gridCol w:w="1692"/>
      </w:tblGrid>
      <w:tr w:rsidR="0049069B" w:rsidRPr="001009D9" w14:paraId="2854DEB2" w14:textId="77777777" w:rsidTr="001D5826">
        <w:tc>
          <w:tcPr>
            <w:tcW w:w="1151" w:type="pct"/>
          </w:tcPr>
          <w:p w14:paraId="3AEBA70C" w14:textId="77777777" w:rsidR="0049069B" w:rsidRPr="001009D9" w:rsidRDefault="0049069B" w:rsidP="00AC46FA">
            <w:pPr>
              <w:jc w:val="left"/>
              <w:rPr>
                <w:rFonts w:ascii="Arial Narrow" w:hAnsi="Arial Narrow"/>
                <w:b/>
                <w:sz w:val="20"/>
                <w:szCs w:val="20"/>
              </w:rPr>
            </w:pPr>
            <w:r w:rsidRPr="001009D9">
              <w:rPr>
                <w:rFonts w:ascii="Arial Narrow" w:hAnsi="Arial Narrow"/>
                <w:b/>
                <w:sz w:val="20"/>
                <w:szCs w:val="20"/>
              </w:rPr>
              <w:t>Name, restriction, manner of administration, form</w:t>
            </w:r>
          </w:p>
        </w:tc>
        <w:tc>
          <w:tcPr>
            <w:tcW w:w="707" w:type="pct"/>
            <w:vAlign w:val="center"/>
          </w:tcPr>
          <w:p w14:paraId="7D745B16"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Maximum amount (units)</w:t>
            </w:r>
          </w:p>
        </w:tc>
        <w:tc>
          <w:tcPr>
            <w:tcW w:w="556" w:type="pct"/>
            <w:vAlign w:val="center"/>
          </w:tcPr>
          <w:p w14:paraId="73D75220"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No. of repeats</w:t>
            </w:r>
          </w:p>
        </w:tc>
        <w:tc>
          <w:tcPr>
            <w:tcW w:w="1649" w:type="pct"/>
            <w:vAlign w:val="center"/>
          </w:tcPr>
          <w:p w14:paraId="26768EA3"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Dispensed price for maximum amount</w:t>
            </w:r>
          </w:p>
        </w:tc>
        <w:tc>
          <w:tcPr>
            <w:tcW w:w="937" w:type="pct"/>
            <w:vAlign w:val="center"/>
          </w:tcPr>
          <w:p w14:paraId="2D4AC42E"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Proprietary name and manufacturer</w:t>
            </w:r>
          </w:p>
        </w:tc>
      </w:tr>
      <w:tr w:rsidR="0049069B" w:rsidRPr="001009D9" w14:paraId="44477B0B" w14:textId="77777777" w:rsidTr="001D5826">
        <w:tc>
          <w:tcPr>
            <w:tcW w:w="1151" w:type="pct"/>
          </w:tcPr>
          <w:p w14:paraId="5AF01F2A" w14:textId="77777777" w:rsidR="0049069B" w:rsidRPr="001009D9" w:rsidRDefault="0049069B" w:rsidP="00AC46FA">
            <w:pPr>
              <w:pStyle w:val="Tabletext"/>
            </w:pPr>
            <w:r w:rsidRPr="001009D9">
              <w:t>Pembrolizumab</w:t>
            </w:r>
          </w:p>
          <w:p w14:paraId="48E8798E" w14:textId="77777777" w:rsidR="0049069B" w:rsidRPr="001009D9" w:rsidRDefault="0049069B" w:rsidP="00AC46FA">
            <w:pPr>
              <w:pStyle w:val="Tabletext"/>
            </w:pPr>
            <w:r w:rsidRPr="001009D9">
              <w:t>100mg injection, 1 vial</w:t>
            </w:r>
          </w:p>
        </w:tc>
        <w:tc>
          <w:tcPr>
            <w:tcW w:w="707" w:type="pct"/>
          </w:tcPr>
          <w:p w14:paraId="198C1AA0" w14:textId="77777777" w:rsidR="0049069B" w:rsidRPr="001009D9" w:rsidRDefault="0049069B" w:rsidP="00AC46FA">
            <w:pPr>
              <w:pStyle w:val="Tabletext"/>
              <w:jc w:val="center"/>
            </w:pPr>
            <w:r w:rsidRPr="001009D9">
              <w:t>200mg</w:t>
            </w:r>
          </w:p>
          <w:p w14:paraId="2EE61E07" w14:textId="77777777" w:rsidR="0049069B" w:rsidRPr="001009D9" w:rsidRDefault="0049069B" w:rsidP="00AC46FA">
            <w:pPr>
              <w:pStyle w:val="Tabletext"/>
              <w:jc w:val="center"/>
            </w:pPr>
          </w:p>
        </w:tc>
        <w:tc>
          <w:tcPr>
            <w:tcW w:w="556" w:type="pct"/>
          </w:tcPr>
          <w:p w14:paraId="4D1ACB55" w14:textId="77777777" w:rsidR="0049069B" w:rsidRPr="001009D9" w:rsidRDefault="0049069B" w:rsidP="00AC46FA">
            <w:pPr>
              <w:pStyle w:val="Tabletext"/>
              <w:jc w:val="center"/>
            </w:pPr>
            <w:r w:rsidRPr="001009D9">
              <w:t>6</w:t>
            </w:r>
          </w:p>
          <w:p w14:paraId="17F75F16" w14:textId="77777777" w:rsidR="0049069B" w:rsidRPr="001009D9" w:rsidRDefault="0049069B" w:rsidP="00AC46FA">
            <w:pPr>
              <w:pStyle w:val="Tabletext"/>
              <w:jc w:val="center"/>
            </w:pPr>
          </w:p>
        </w:tc>
        <w:tc>
          <w:tcPr>
            <w:tcW w:w="1649" w:type="pct"/>
          </w:tcPr>
          <w:p w14:paraId="0807955B" w14:textId="77777777" w:rsidR="0049069B" w:rsidRPr="001009D9" w:rsidRDefault="0049069B" w:rsidP="00AC46FA">
            <w:pPr>
              <w:pStyle w:val="Tabletext"/>
            </w:pPr>
            <w:r w:rsidRPr="001009D9">
              <w:t>$7,881.87 published price</w:t>
            </w:r>
            <w:r>
              <w:t xml:space="preserve"> (private)</w:t>
            </w:r>
          </w:p>
          <w:p w14:paraId="25F966AD" w14:textId="77777777" w:rsidR="0049069B" w:rsidRPr="001009D9" w:rsidRDefault="0049069B" w:rsidP="00AC46FA">
            <w:pPr>
              <w:pStyle w:val="Tabletext"/>
            </w:pPr>
            <w:r>
              <w:t>$7,733.78 published price (public)</w:t>
            </w:r>
          </w:p>
        </w:tc>
        <w:tc>
          <w:tcPr>
            <w:tcW w:w="937" w:type="pct"/>
            <w:vAlign w:val="center"/>
          </w:tcPr>
          <w:p w14:paraId="6BE4D18A" w14:textId="77777777" w:rsidR="0049069B" w:rsidRPr="001009D9" w:rsidRDefault="0049069B" w:rsidP="00AC46FA">
            <w:pPr>
              <w:pStyle w:val="Tabletext"/>
              <w:jc w:val="center"/>
            </w:pPr>
            <w:r w:rsidRPr="001009D9">
              <w:t>Keytruda, Merck</w:t>
            </w:r>
            <w:r>
              <w:t xml:space="preserve"> Sharpe &amp; Dohme (Australia) Pty Ltd</w:t>
            </w:r>
          </w:p>
        </w:tc>
      </w:tr>
      <w:tr w:rsidR="001D5826" w:rsidRPr="006C4FE0" w14:paraId="3A59BA8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05481BA8" w14:textId="4943B120" w:rsidR="001D5826" w:rsidRPr="00D22C6B" w:rsidRDefault="001D5826" w:rsidP="00F53C83">
            <w:pPr>
              <w:rPr>
                <w:rFonts w:ascii="Arial Narrow" w:eastAsia="Calibri" w:hAnsi="Arial Narrow"/>
                <w:sz w:val="20"/>
                <w:szCs w:val="20"/>
              </w:rPr>
            </w:pPr>
            <w:r w:rsidRPr="00D22C6B">
              <w:rPr>
                <w:rFonts w:ascii="Arial Narrow" w:eastAsia="Calibri" w:hAnsi="Arial Narrow"/>
                <w:b/>
                <w:sz w:val="20"/>
                <w:szCs w:val="20"/>
              </w:rPr>
              <w:t xml:space="preserve">Category / Program:  </w:t>
            </w:r>
            <w:r w:rsidRPr="00D22C6B">
              <w:rPr>
                <w:rFonts w:ascii="Arial Narrow" w:eastAsia="Calibri" w:hAnsi="Arial Narrow"/>
                <w:sz w:val="20"/>
                <w:szCs w:val="20"/>
              </w:rPr>
              <w:t xml:space="preserve">Section 100 – Efficient Funding of Chemotherapy Public/Private hospitals </w:t>
            </w:r>
          </w:p>
        </w:tc>
      </w:tr>
      <w:tr w:rsidR="001D5826" w:rsidRPr="006C4FE0" w14:paraId="2B3F2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40"/>
        </w:trPr>
        <w:tc>
          <w:tcPr>
            <w:tcW w:w="5000" w:type="pct"/>
            <w:gridSpan w:val="5"/>
            <w:tcBorders>
              <w:top w:val="single" w:sz="4" w:space="0" w:color="auto"/>
              <w:left w:val="single" w:sz="4" w:space="0" w:color="auto"/>
              <w:bottom w:val="single" w:sz="4" w:space="0" w:color="auto"/>
              <w:right w:val="single" w:sz="4" w:space="0" w:color="auto"/>
            </w:tcBorders>
          </w:tcPr>
          <w:p w14:paraId="1F556CE4" w14:textId="44EF04D2" w:rsidR="001D5826" w:rsidRPr="00D22C6B" w:rsidRDefault="001D5826" w:rsidP="00F53C83">
            <w:pPr>
              <w:rPr>
                <w:rFonts w:ascii="Arial Narrow" w:eastAsia="Calibri" w:hAnsi="Arial Narrow"/>
                <w:b/>
                <w:sz w:val="20"/>
                <w:szCs w:val="20"/>
              </w:rPr>
            </w:pPr>
            <w:r w:rsidRPr="00D22C6B">
              <w:rPr>
                <w:rFonts w:ascii="Arial Narrow" w:eastAsia="Calibri" w:hAnsi="Arial Narrow"/>
                <w:b/>
                <w:sz w:val="20"/>
                <w:szCs w:val="20"/>
              </w:rPr>
              <w:t xml:space="preserve">Prescriber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 xml:space="preserve">Medical Practitioners </w:t>
            </w:r>
          </w:p>
        </w:tc>
      </w:tr>
      <w:tr w:rsidR="001D5826" w:rsidRPr="006C4FE0" w14:paraId="08C591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300346F2" w14:textId="77777777" w:rsidR="001D5826" w:rsidRPr="00D22C6B" w:rsidRDefault="001D5826" w:rsidP="00030D59">
            <w:pPr>
              <w:rPr>
                <w:rFonts w:ascii="Arial Narrow" w:eastAsia="Calibri" w:hAnsi="Arial Narrow"/>
                <w:b/>
                <w:sz w:val="20"/>
                <w:szCs w:val="20"/>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Authority Required (STREAMLINED) [new code]</w:t>
            </w:r>
            <w:r w:rsidRPr="00D22C6B">
              <w:rPr>
                <w:rFonts w:ascii="Arial Narrow" w:eastAsia="Calibri" w:hAnsi="Arial Narrow"/>
                <w:strike/>
                <w:sz w:val="20"/>
                <w:szCs w:val="20"/>
              </w:rPr>
              <w:t xml:space="preserve"> </w:t>
            </w:r>
          </w:p>
        </w:tc>
      </w:tr>
      <w:tr w:rsidR="001D5826" w:rsidRPr="006C4FE0" w14:paraId="30A322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1E5B539B" w14:textId="77777777" w:rsidR="001D5826" w:rsidRPr="00D22C6B" w:rsidRDefault="001D5826" w:rsidP="00F53C83">
            <w:pPr>
              <w:rPr>
                <w:rFonts w:ascii="Arial Narrow" w:eastAsia="Calibri" w:hAnsi="Arial Narrow"/>
                <w:b/>
                <w:bCs/>
                <w:i/>
                <w:iCs/>
                <w:sz w:val="20"/>
                <w:szCs w:val="20"/>
                <w:lang w:eastAsia="en-AU"/>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5826" w:rsidRPr="006C4FE0" w14:paraId="0C11C97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7D74FCC3" w14:textId="77777777" w:rsidR="001D5826" w:rsidRPr="00D22C6B" w:rsidRDefault="001D5826" w:rsidP="00F53C83">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No increase in the maximum number of repeats may be authorised.</w:t>
            </w:r>
          </w:p>
        </w:tc>
      </w:tr>
      <w:tr w:rsidR="001D5826" w:rsidRPr="006C4FE0" w14:paraId="12B688C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216AA131" w14:textId="77777777" w:rsidR="001D5826" w:rsidRPr="00D22C6B" w:rsidRDefault="001D5826" w:rsidP="00F53C83">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r w:rsidRPr="00D22C6B">
              <w:rPr>
                <w:rFonts w:ascii="Arial Narrow" w:eastAsia="Calibri" w:hAnsi="Arial Narrow"/>
                <w:bCs/>
                <w:i/>
                <w:iCs/>
                <w:sz w:val="20"/>
                <w:szCs w:val="20"/>
              </w:rPr>
              <w:t>Special Pricing Arrangements apply.</w:t>
            </w:r>
          </w:p>
        </w:tc>
      </w:tr>
      <w:tr w:rsidR="001D5826" w:rsidRPr="006C4FE0" w14:paraId="5DA7DCD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7FAAFC8E" w14:textId="77777777" w:rsidR="001D5826" w:rsidRPr="00D22C6B" w:rsidRDefault="001D5826" w:rsidP="00F53C83">
            <w:pPr>
              <w:rPr>
                <w:rFonts w:ascii="Arial Narrow" w:hAnsi="Arial Narrow"/>
                <w:b/>
                <w:bCs/>
                <w:i/>
                <w:iCs/>
                <w:sz w:val="20"/>
                <w:szCs w:val="20"/>
                <w:lang w:eastAsia="en-AU"/>
              </w:rPr>
            </w:pPr>
            <w:proofErr w:type="spellStart"/>
            <w:r w:rsidRPr="00D22C6B">
              <w:rPr>
                <w:rFonts w:ascii="Arial Narrow" w:eastAsia="Calibri" w:hAnsi="Arial Narrow"/>
                <w:b/>
                <w:bCs/>
                <w:i/>
                <w:iCs/>
                <w:sz w:val="20"/>
                <w:szCs w:val="20"/>
                <w:lang w:eastAsia="en-AU"/>
              </w:rPr>
              <w:t>Episodicity</w:t>
            </w:r>
            <w:proofErr w:type="spellEnd"/>
            <w:r w:rsidRPr="00D22C6B">
              <w:rPr>
                <w:rFonts w:ascii="Arial Narrow" w:eastAsia="Calibri" w:hAnsi="Arial Narrow"/>
                <w:b/>
                <w:bCs/>
                <w:i/>
                <w:iCs/>
                <w:sz w:val="20"/>
                <w:szCs w:val="20"/>
                <w:lang w:eastAsia="en-AU"/>
              </w:rPr>
              <w:t xml:space="preserve">: </w:t>
            </w:r>
            <w:r w:rsidRPr="00D22C6B">
              <w:rPr>
                <w:rFonts w:ascii="Arial Narrow" w:eastAsia="Calibri" w:hAnsi="Arial Narrow"/>
                <w:bCs/>
                <w:i/>
                <w:iCs/>
                <w:sz w:val="20"/>
                <w:szCs w:val="20"/>
                <w:lang w:eastAsia="en-AU"/>
              </w:rPr>
              <w:t>[blank]</w:t>
            </w:r>
          </w:p>
        </w:tc>
      </w:tr>
      <w:tr w:rsidR="001D5826" w:rsidRPr="006C4FE0" w14:paraId="5AF405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0BD08E69" w14:textId="77777777" w:rsidR="001D5826" w:rsidRPr="00D22C6B" w:rsidRDefault="001D5826" w:rsidP="00F53C83">
            <w:pPr>
              <w:rPr>
                <w:rFonts w:ascii="Arial Narrow" w:hAnsi="Arial Narrow"/>
                <w:i/>
                <w:iCs/>
                <w:sz w:val="20"/>
                <w:szCs w:val="20"/>
                <w:lang w:eastAsia="en-AU"/>
              </w:rPr>
            </w:pPr>
            <w:r w:rsidRPr="00D22C6B">
              <w:rPr>
                <w:rFonts w:ascii="Arial Narrow" w:eastAsia="Calibri" w:hAnsi="Arial Narrow"/>
                <w:b/>
                <w:bCs/>
                <w:i/>
                <w:iCs/>
                <w:sz w:val="20"/>
                <w:szCs w:val="20"/>
                <w:lang w:eastAsia="en-AU"/>
              </w:rPr>
              <w:t xml:space="preserve">Severity: </w:t>
            </w:r>
            <w:r w:rsidRPr="00D22C6B">
              <w:rPr>
                <w:rFonts w:ascii="Arial Narrow" w:eastAsia="Calibri" w:hAnsi="Arial Narrow"/>
                <w:bCs/>
                <w:i/>
                <w:iCs/>
                <w:sz w:val="20"/>
                <w:szCs w:val="20"/>
                <w:lang w:eastAsia="en-AU"/>
              </w:rPr>
              <w:t>Advanced (Stage III) or metastatic</w:t>
            </w:r>
            <w:r w:rsidRPr="00D22C6B">
              <w:rPr>
                <w:rFonts w:ascii="Arial Narrow" w:eastAsia="Calibri" w:hAnsi="Arial Narrow"/>
                <w:b/>
                <w:bCs/>
                <w:i/>
                <w:iCs/>
                <w:sz w:val="20"/>
                <w:szCs w:val="20"/>
                <w:lang w:eastAsia="en-AU"/>
              </w:rPr>
              <w:t xml:space="preserve"> </w:t>
            </w:r>
            <w:r w:rsidRPr="00D22C6B">
              <w:rPr>
                <w:rFonts w:ascii="Arial Narrow" w:eastAsia="Calibri" w:hAnsi="Arial Narrow"/>
                <w:i/>
                <w:iCs/>
                <w:sz w:val="20"/>
                <w:szCs w:val="20"/>
                <w:lang w:eastAsia="en-AU"/>
              </w:rPr>
              <w:t>(Stage IV)</w:t>
            </w:r>
          </w:p>
        </w:tc>
      </w:tr>
      <w:tr w:rsidR="001D5826" w:rsidRPr="006C4FE0" w14:paraId="0CD4484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E7A1714" w14:textId="77777777" w:rsidR="001D5826" w:rsidRPr="00D22C6B" w:rsidRDefault="001D5826" w:rsidP="00F53C83">
            <w:pPr>
              <w:rPr>
                <w:rFonts w:ascii="Arial Narrow" w:hAnsi="Arial Narrow"/>
                <w:b/>
                <w:bCs/>
                <w:sz w:val="20"/>
                <w:szCs w:val="20"/>
                <w:lang w:eastAsia="en-AU"/>
              </w:rPr>
            </w:pPr>
            <w:r w:rsidRPr="00D22C6B">
              <w:rPr>
                <w:rFonts w:ascii="Arial Narrow" w:hAnsi="Arial Narrow"/>
                <w:b/>
                <w:bCs/>
                <w:sz w:val="20"/>
                <w:szCs w:val="20"/>
                <w:lang w:eastAsia="en-AU"/>
              </w:rPr>
              <w:t xml:space="preserve">Condition: </w:t>
            </w:r>
            <w:r w:rsidRPr="00D22C6B">
              <w:rPr>
                <w:rFonts w:ascii="Arial Narrow" w:hAnsi="Arial Narrow"/>
                <w:bCs/>
                <w:strike/>
                <w:sz w:val="20"/>
                <w:szCs w:val="20"/>
                <w:lang w:eastAsia="en-AU"/>
              </w:rPr>
              <w:t>Oesophageal/GOJ cancer</w:t>
            </w:r>
            <w:r w:rsidRPr="00D22C6B">
              <w:rPr>
                <w:rFonts w:ascii="Arial Narrow" w:hAnsi="Arial Narrow"/>
                <w:bCs/>
                <w:sz w:val="20"/>
                <w:szCs w:val="20"/>
                <w:lang w:eastAsia="en-AU"/>
              </w:rPr>
              <w:t xml:space="preserve"> </w:t>
            </w:r>
            <w:r w:rsidRPr="00D22C6B">
              <w:rPr>
                <w:rFonts w:ascii="Arial Narrow" w:hAnsi="Arial Narrow"/>
                <w:bCs/>
                <w:i/>
                <w:iCs/>
                <w:sz w:val="20"/>
                <w:szCs w:val="20"/>
                <w:lang w:eastAsia="en-AU"/>
              </w:rPr>
              <w:t>Carcinoma of the following types: (</w:t>
            </w:r>
            <w:proofErr w:type="spellStart"/>
            <w:r w:rsidRPr="00D22C6B">
              <w:rPr>
                <w:rFonts w:ascii="Arial Narrow" w:hAnsi="Arial Narrow"/>
                <w:bCs/>
                <w:i/>
                <w:iCs/>
                <w:sz w:val="20"/>
                <w:szCs w:val="20"/>
                <w:lang w:eastAsia="en-AU"/>
              </w:rPr>
              <w:t>i</w:t>
            </w:r>
            <w:proofErr w:type="spellEnd"/>
            <w:r w:rsidRPr="00D22C6B">
              <w:rPr>
                <w:rFonts w:ascii="Arial Narrow" w:hAnsi="Arial Narrow"/>
                <w:bCs/>
                <w:i/>
                <w:iCs/>
                <w:sz w:val="20"/>
                <w:szCs w:val="20"/>
                <w:lang w:eastAsia="en-AU"/>
              </w:rPr>
              <w:t xml:space="preserve">) Siewert type I adenocarcinoma of </w:t>
            </w:r>
            <w:proofErr w:type="spellStart"/>
            <w:r w:rsidRPr="00D22C6B">
              <w:rPr>
                <w:rFonts w:ascii="Arial Narrow" w:hAnsi="Arial Narrow"/>
                <w:bCs/>
                <w:i/>
                <w:iCs/>
                <w:sz w:val="20"/>
                <w:szCs w:val="20"/>
                <w:lang w:eastAsia="en-AU"/>
              </w:rPr>
              <w:t>oesophagogastric</w:t>
            </w:r>
            <w:proofErr w:type="spellEnd"/>
            <w:r w:rsidRPr="00D22C6B">
              <w:rPr>
                <w:rFonts w:ascii="Arial Narrow" w:hAnsi="Arial Narrow"/>
                <w:bCs/>
                <w:i/>
                <w:iCs/>
                <w:sz w:val="20"/>
                <w:szCs w:val="20"/>
                <w:lang w:eastAsia="en-AU"/>
              </w:rPr>
              <w:t xml:space="preserve"> junction, (ii) adenocarcinoma of oesophagus, (iii) squamous cell carcinoma of oesophagus</w:t>
            </w:r>
          </w:p>
        </w:tc>
      </w:tr>
      <w:tr w:rsidR="001D5826" w:rsidRPr="006C4FE0" w14:paraId="5A0BA9A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6E4FEB1" w14:textId="29EB8E5B" w:rsidR="001D5826" w:rsidRPr="00D22C6B" w:rsidRDefault="001D5826" w:rsidP="00F53C83">
            <w:pPr>
              <w:rPr>
                <w:rFonts w:ascii="Arial Narrow" w:hAnsi="Arial Narrow"/>
                <w:i/>
                <w:iCs/>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r w:rsidRPr="00D22C6B">
              <w:rPr>
                <w:rFonts w:ascii="Arial Narrow" w:hAnsi="Arial Narrow"/>
                <w:sz w:val="20"/>
                <w:szCs w:val="20"/>
                <w:lang w:eastAsia="en-AU"/>
              </w:rPr>
              <w:t xml:space="preserve"> </w:t>
            </w:r>
            <w:r w:rsidR="00030D59" w:rsidRPr="00D22C6B">
              <w:rPr>
                <w:rFonts w:ascii="Arial Narrow" w:hAnsi="Arial Narrow"/>
                <w:i/>
                <w:iCs/>
                <w:sz w:val="20"/>
                <w:szCs w:val="20"/>
                <w:lang w:eastAsia="en-AU"/>
              </w:rPr>
              <w:t>a</w:t>
            </w:r>
            <w:r w:rsidRPr="00D22C6B">
              <w:rPr>
                <w:rFonts w:ascii="Arial Narrow" w:hAnsi="Arial Narrow"/>
                <w:i/>
                <w:iCs/>
                <w:sz w:val="20"/>
                <w:szCs w:val="20"/>
                <w:lang w:eastAsia="en-AU"/>
              </w:rPr>
              <w:t>dvanced (Stage III) or metastatic (Stage IV)</w:t>
            </w:r>
            <w:r w:rsidRPr="00D22C6B">
              <w:rPr>
                <w:rFonts w:ascii="Arial Narrow" w:hAnsi="Arial Narrow"/>
                <w:sz w:val="20"/>
                <w:szCs w:val="20"/>
                <w:lang w:eastAsia="en-AU"/>
              </w:rPr>
              <w:t xml:space="preserve"> </w:t>
            </w:r>
            <w:r w:rsidRPr="00D22C6B">
              <w:rPr>
                <w:rFonts w:ascii="Arial Narrow" w:hAnsi="Arial Narrow"/>
                <w:bCs/>
                <w:i/>
                <w:iCs/>
                <w:sz w:val="20"/>
                <w:szCs w:val="20"/>
                <w:lang w:eastAsia="en-AU"/>
              </w:rPr>
              <w:t>carcinoma of the following types: (</w:t>
            </w:r>
            <w:proofErr w:type="spellStart"/>
            <w:r w:rsidRPr="00D22C6B">
              <w:rPr>
                <w:rFonts w:ascii="Arial Narrow" w:hAnsi="Arial Narrow"/>
                <w:bCs/>
                <w:i/>
                <w:iCs/>
                <w:sz w:val="20"/>
                <w:szCs w:val="20"/>
                <w:lang w:eastAsia="en-AU"/>
              </w:rPr>
              <w:t>i</w:t>
            </w:r>
            <w:proofErr w:type="spellEnd"/>
            <w:r w:rsidRPr="00D22C6B">
              <w:rPr>
                <w:rFonts w:ascii="Arial Narrow" w:hAnsi="Arial Narrow"/>
                <w:bCs/>
                <w:i/>
                <w:iCs/>
                <w:sz w:val="20"/>
                <w:szCs w:val="20"/>
                <w:lang w:eastAsia="en-AU"/>
              </w:rPr>
              <w:t xml:space="preserve">) Siewert type I adenocarcinoma of </w:t>
            </w:r>
            <w:proofErr w:type="spellStart"/>
            <w:r w:rsidRPr="00D22C6B">
              <w:rPr>
                <w:rFonts w:ascii="Arial Narrow" w:hAnsi="Arial Narrow"/>
                <w:bCs/>
                <w:i/>
                <w:iCs/>
                <w:sz w:val="20"/>
                <w:szCs w:val="20"/>
                <w:lang w:eastAsia="en-AU"/>
              </w:rPr>
              <w:t>oesophagogastric</w:t>
            </w:r>
            <w:proofErr w:type="spellEnd"/>
            <w:r w:rsidRPr="00D22C6B">
              <w:rPr>
                <w:rFonts w:ascii="Arial Narrow" w:hAnsi="Arial Narrow"/>
                <w:bCs/>
                <w:i/>
                <w:iCs/>
                <w:sz w:val="20"/>
                <w:szCs w:val="20"/>
                <w:lang w:eastAsia="en-AU"/>
              </w:rPr>
              <w:t xml:space="preserve"> junction, (ii) adenocarcinoma of oesophagus, (iii) squamous cell carcinoma of oesophagus</w:t>
            </w:r>
          </w:p>
        </w:tc>
      </w:tr>
      <w:tr w:rsidR="001D5826" w:rsidRPr="006C4FE0" w14:paraId="0A6C040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C789EAD" w14:textId="77777777" w:rsidR="001D5826" w:rsidRPr="00D22C6B" w:rsidRDefault="001D5826" w:rsidP="00F53C83">
            <w:pPr>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Initial </w:t>
            </w:r>
            <w:proofErr w:type="spellStart"/>
            <w:r w:rsidRPr="00D22C6B">
              <w:rPr>
                <w:rFonts w:ascii="Arial Narrow" w:hAnsi="Arial Narrow"/>
                <w:i/>
                <w:iCs/>
                <w:strike/>
                <w:sz w:val="20"/>
                <w:szCs w:val="20"/>
                <w:lang w:eastAsia="en-AU"/>
              </w:rPr>
              <w:t>T</w:t>
            </w:r>
            <w:r w:rsidRPr="00D22C6B">
              <w:rPr>
                <w:rFonts w:ascii="Arial Narrow" w:hAnsi="Arial Narrow"/>
                <w:i/>
                <w:iCs/>
                <w:sz w:val="20"/>
                <w:szCs w:val="20"/>
                <w:lang w:eastAsia="en-AU"/>
              </w:rPr>
              <w:t>treatment</w:t>
            </w:r>
            <w:proofErr w:type="spellEnd"/>
          </w:p>
        </w:tc>
      </w:tr>
      <w:tr w:rsidR="001D5826" w:rsidRPr="006C4FE0" w14:paraId="41B6F86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CE253D5" w14:textId="77777777" w:rsidR="001D5826" w:rsidRPr="00D22C6B" w:rsidRDefault="001D5826" w:rsidP="00F53C83">
            <w:pPr>
              <w:rPr>
                <w:rFonts w:ascii="Arial Narrow" w:hAnsi="Arial Narrow"/>
                <w:i/>
                <w:iCs/>
                <w:sz w:val="20"/>
                <w:szCs w:val="20"/>
                <w:lang w:eastAsia="en-AU"/>
              </w:rPr>
            </w:pPr>
            <w:r w:rsidRPr="00D22C6B">
              <w:rPr>
                <w:rFonts w:ascii="Arial Narrow" w:hAnsi="Arial Narrow"/>
                <w:b/>
                <w:bCs/>
                <w:sz w:val="20"/>
                <w:szCs w:val="20"/>
                <w:lang w:eastAsia="en-AU"/>
              </w:rPr>
              <w:t xml:space="preserve">Clinical criteria: </w:t>
            </w:r>
          </w:p>
        </w:tc>
      </w:tr>
      <w:tr w:rsidR="001D5826" w:rsidRPr="006C4FE0" w14:paraId="077C88C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05"/>
        </w:trPr>
        <w:tc>
          <w:tcPr>
            <w:tcW w:w="5000" w:type="pct"/>
            <w:gridSpan w:val="5"/>
            <w:vAlign w:val="center"/>
            <w:hideMark/>
          </w:tcPr>
          <w:p w14:paraId="23657D16" w14:textId="4CC0FDB1"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strike/>
                <w:sz w:val="20"/>
                <w:szCs w:val="20"/>
                <w:lang w:eastAsia="en-AU"/>
              </w:rPr>
              <w:t xml:space="preserve">The condition must be locally advanced (Stage III) or metastatic (Stage IV) carcinoma of the oesophagus or adenocarcinoma of the gastroesophageal junction (GOJ) that is not amenable to surgical resection or definitive chemoradiation </w:t>
            </w:r>
            <w:proofErr w:type="gramStart"/>
            <w:r w:rsidRPr="00D22C6B">
              <w:rPr>
                <w:rFonts w:ascii="Arial Narrow" w:hAnsi="Arial Narrow"/>
                <w:i/>
                <w:iCs/>
                <w:sz w:val="20"/>
                <w:szCs w:val="20"/>
                <w:lang w:eastAsia="en-AU"/>
              </w:rPr>
              <w:t>The</w:t>
            </w:r>
            <w:proofErr w:type="gramEnd"/>
            <w:r w:rsidRPr="00D22C6B">
              <w:rPr>
                <w:rFonts w:ascii="Arial Narrow" w:hAnsi="Arial Narrow"/>
                <w:i/>
                <w:iCs/>
                <w:sz w:val="20"/>
                <w:szCs w:val="20"/>
                <w:lang w:eastAsia="en-AU"/>
              </w:rPr>
              <w:t xml:space="preserve"> condition must be unsuitable for each of: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surgical resection, (ii) chemoradiation</w:t>
            </w:r>
          </w:p>
        </w:tc>
      </w:tr>
      <w:tr w:rsidR="001D5826" w:rsidRPr="006C4FE0" w14:paraId="01B77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4F977D87"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7EB878B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9C0D55" w14:textId="77777777" w:rsidR="001D5826" w:rsidRPr="00D22C6B" w:rsidRDefault="001D5826" w:rsidP="00A81BC6">
            <w:pPr>
              <w:spacing w:line="276" w:lineRule="auto"/>
              <w:rPr>
                <w:rFonts w:ascii="Arial Narrow" w:hAnsi="Arial Narrow"/>
                <w:i/>
                <w:iCs/>
                <w:sz w:val="20"/>
                <w:szCs w:val="20"/>
                <w:lang w:eastAsia="en-AU"/>
              </w:rPr>
            </w:pPr>
            <w:r w:rsidRPr="00D22C6B">
              <w:rPr>
                <w:rFonts w:ascii="Arial Narrow" w:hAnsi="Arial Narrow"/>
                <w:strike/>
                <w:sz w:val="20"/>
                <w:szCs w:val="20"/>
                <w:lang w:eastAsia="en-AU"/>
              </w:rPr>
              <w:t>Patient</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The condition</w:t>
            </w:r>
            <w:r w:rsidRPr="00D22C6B">
              <w:rPr>
                <w:rFonts w:ascii="Arial Narrow" w:hAnsi="Arial Narrow"/>
                <w:sz w:val="20"/>
                <w:szCs w:val="20"/>
                <w:lang w:eastAsia="en-AU"/>
              </w:rPr>
              <w:t xml:space="preserve"> must have evidence of human epidermal growth factor receptor 2 (HER2) negativity as demonstrated by immunohistochemistry in tumour material</w:t>
            </w:r>
            <w:r w:rsidRPr="00D22C6B">
              <w:rPr>
                <w:rFonts w:ascii="Arial Narrow" w:hAnsi="Arial Narrow"/>
                <w:i/>
                <w:iCs/>
                <w:sz w:val="20"/>
                <w:szCs w:val="20"/>
                <w:lang w:eastAsia="en-AU"/>
              </w:rPr>
              <w:t xml:space="preserve">, in any diagnosis of Siewert type I adenocarcinoma of </w:t>
            </w:r>
            <w:proofErr w:type="spellStart"/>
            <w:r w:rsidRPr="00D22C6B">
              <w:rPr>
                <w:rFonts w:ascii="Arial Narrow" w:hAnsi="Arial Narrow"/>
                <w:i/>
                <w:iCs/>
                <w:sz w:val="20"/>
                <w:szCs w:val="20"/>
                <w:lang w:eastAsia="en-AU"/>
              </w:rPr>
              <w:t>oesophagogastric</w:t>
            </w:r>
            <w:proofErr w:type="spellEnd"/>
            <w:r w:rsidRPr="00D22C6B">
              <w:rPr>
                <w:rFonts w:ascii="Arial Narrow" w:hAnsi="Arial Narrow"/>
                <w:i/>
                <w:iCs/>
                <w:sz w:val="20"/>
                <w:szCs w:val="20"/>
                <w:lang w:eastAsia="en-AU"/>
              </w:rPr>
              <w:t xml:space="preserve"> junction </w:t>
            </w:r>
            <w:r w:rsidRPr="00D22C6B">
              <w:rPr>
                <w:rFonts w:ascii="Arial Narrow" w:hAnsi="Arial Narrow"/>
                <w:i/>
                <w:iCs/>
                <w:sz w:val="20"/>
                <w:szCs w:val="20"/>
                <w:lang w:eastAsia="en-AU"/>
              </w:rPr>
              <w:lastRenderedPageBreak/>
              <w:t>– retain this evidence on the patient’s medical records; do not submit a copy of this evidence in this authority application</w:t>
            </w:r>
          </w:p>
        </w:tc>
      </w:tr>
      <w:tr w:rsidR="001D5826" w:rsidRPr="006C4FE0" w14:paraId="1D9796C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05FB87DB"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lastRenderedPageBreak/>
              <w:t>AND</w:t>
            </w:r>
          </w:p>
        </w:tc>
      </w:tr>
      <w:tr w:rsidR="001D5826" w:rsidRPr="006C4FE0" w14:paraId="5FA3831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B802F4D"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The patients should not have had prior systemic therapy administered in the metastatic setting</w:t>
            </w:r>
          </w:p>
        </w:tc>
      </w:tr>
      <w:tr w:rsidR="001D5826" w:rsidRPr="006C4FE0" w14:paraId="76303C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1EE94607"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Treatment criteria:</w:t>
            </w:r>
          </w:p>
        </w:tc>
      </w:tr>
      <w:tr w:rsidR="001D5826" w:rsidRPr="006C4FE0" w14:paraId="7A9FF7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3846EEB"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the first time</w:t>
            </w:r>
          </w:p>
        </w:tc>
      </w:tr>
      <w:tr w:rsidR="001D5826" w:rsidRPr="006C4FE0" w14:paraId="26ADBC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5D49039"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AND</w:t>
            </w:r>
          </w:p>
        </w:tc>
      </w:tr>
      <w:tr w:rsidR="001D5826" w:rsidRPr="006C4FE0" w14:paraId="767807D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213A399"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metastatic disease (Stage IV disease) that is untreated with drug therapy; or</w:t>
            </w:r>
          </w:p>
        </w:tc>
      </w:tr>
      <w:tr w:rsidR="001D5826" w:rsidRPr="006C4FE0" w14:paraId="262009D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D276AF" w14:textId="77777777" w:rsidR="001D5826" w:rsidRPr="00D22C6B" w:rsidRDefault="001D5826" w:rsidP="00F53C83">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1D3A4EA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6265718"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Patients must not have had a recurrence within 6 months of platinum-based chemotherapy in the locally advanced setting</w:t>
            </w:r>
          </w:p>
          <w:p w14:paraId="77E81353"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be undergoing treatment with this drug for locally advanced disease (Stage III disease) that is untreated with drug therapy</w:t>
            </w:r>
            <w:r w:rsidRPr="00D22C6B" w:rsidDel="003E6EC7">
              <w:rPr>
                <w:rFonts w:ascii="Arial Narrow" w:hAnsi="Arial Narrow"/>
                <w:i/>
                <w:iCs/>
                <w:sz w:val="20"/>
                <w:szCs w:val="20"/>
                <w:lang w:eastAsia="en-AU"/>
              </w:rPr>
              <w:t xml:space="preserve"> </w:t>
            </w:r>
          </w:p>
        </w:tc>
      </w:tr>
      <w:tr w:rsidR="001D5826" w:rsidRPr="006C4FE0" w14:paraId="572136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0E89ECE"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 xml:space="preserve">AND </w:t>
            </w:r>
          </w:p>
        </w:tc>
      </w:tr>
      <w:tr w:rsidR="001D5826" w:rsidRPr="006C4FE0" w14:paraId="1965F66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0431AC0"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The treatment must be commenced in combination with platinum- and fluoropyrimidine-based chemotherapy</w:t>
            </w:r>
          </w:p>
        </w:tc>
      </w:tr>
      <w:tr w:rsidR="001D5826" w:rsidRPr="006C4FE0" w14:paraId="56C5B11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7AA2E78" w14:textId="77777777" w:rsidR="001D5826" w:rsidRPr="00D22C6B" w:rsidRDefault="001D5826" w:rsidP="00F53C83">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Treatment criteria:</w:t>
            </w:r>
          </w:p>
        </w:tc>
      </w:tr>
      <w:tr w:rsidR="001D5826" w:rsidRPr="006C4FE0" w14:paraId="2E10C8C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928D218"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i/>
                <w:iCs/>
                <w:sz w:val="20"/>
                <w:szCs w:val="20"/>
                <w:lang w:eastAsia="en-AU"/>
              </w:rPr>
              <w:t xml:space="preserve">Patient must be undergoing concomitant treatment with chemotherapy, at </w:t>
            </w:r>
            <w:proofErr w:type="spellStart"/>
            <w:r w:rsidRPr="00D22C6B">
              <w:rPr>
                <w:rFonts w:ascii="Arial Narrow" w:hAnsi="Arial Narrow"/>
                <w:i/>
                <w:iCs/>
                <w:sz w:val="20"/>
                <w:szCs w:val="20"/>
                <w:lang w:eastAsia="en-AU"/>
              </w:rPr>
              <w:t>leas</w:t>
            </w:r>
            <w:proofErr w:type="spellEnd"/>
            <w:r w:rsidRPr="00D22C6B">
              <w:rPr>
                <w:rFonts w:ascii="Arial Narrow" w:hAnsi="Arial Narrow"/>
                <w:i/>
                <w:iCs/>
                <w:sz w:val="20"/>
                <w:szCs w:val="20"/>
                <w:lang w:eastAsia="en-AU"/>
              </w:rPr>
              <w:t xml:space="preserve"> at treatment initiation with this drug, containing a minimum of: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a platinum agent, plus (ii) a fluoropyrimidine agent</w:t>
            </w:r>
          </w:p>
        </w:tc>
      </w:tr>
      <w:tr w:rsidR="001D5826" w:rsidRPr="006C4FE0" w14:paraId="0CBA581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4F316B1" w14:textId="77777777" w:rsidR="001D5826" w:rsidRPr="00D22C6B" w:rsidRDefault="001D5826" w:rsidP="00F53C83">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6BE3D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3D18739" w14:textId="77777777" w:rsidR="001D5826" w:rsidRPr="00D22C6B" w:rsidRDefault="001D5826" w:rsidP="00F53C83">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a WHO performance status of 0 or 1</w:t>
            </w:r>
          </w:p>
          <w:p w14:paraId="783D89FE" w14:textId="77777777" w:rsidR="001D5826" w:rsidRPr="00D22C6B" w:rsidRDefault="001D5826" w:rsidP="00F53C83">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have WHO performance status no higher than 1 at treatment initiation with this drug</w:t>
            </w:r>
          </w:p>
        </w:tc>
      </w:tr>
      <w:tr w:rsidR="001D5826" w:rsidRPr="006C4FE0" w14:paraId="6BEFF702"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DF78147" w14:textId="77777777" w:rsidR="001D5826" w:rsidRPr="00D22C6B" w:rsidRDefault="001D5826" w:rsidP="00F53C83">
            <w:pPr>
              <w:rPr>
                <w:rFonts w:ascii="Arial Narrow" w:hAnsi="Arial Narrow"/>
                <w:b/>
                <w:bCs/>
                <w:strike/>
                <w:sz w:val="20"/>
                <w:szCs w:val="20"/>
                <w:lang w:eastAsia="en-AU"/>
              </w:rPr>
            </w:pPr>
            <w:r w:rsidRPr="00D22C6B">
              <w:rPr>
                <w:rFonts w:ascii="Arial Narrow" w:hAnsi="Arial Narrow"/>
                <w:b/>
                <w:bCs/>
                <w:strike/>
                <w:sz w:val="20"/>
                <w:szCs w:val="20"/>
                <w:lang w:eastAsia="en-AU"/>
              </w:rPr>
              <w:t xml:space="preserve">Treatment criteria: </w:t>
            </w:r>
          </w:p>
          <w:p w14:paraId="3B2740DB" w14:textId="77777777" w:rsidR="001D5826" w:rsidRPr="00D22C6B" w:rsidRDefault="001D5826" w:rsidP="00F53C83">
            <w:pPr>
              <w:rPr>
                <w:rFonts w:ascii="Arial Narrow" w:hAnsi="Arial Narrow"/>
                <w:strike/>
                <w:sz w:val="20"/>
                <w:szCs w:val="20"/>
                <w:lang w:eastAsia="en-AU"/>
              </w:rPr>
            </w:pPr>
            <w:r w:rsidRPr="00D22C6B">
              <w:rPr>
                <w:rFonts w:ascii="Arial Narrow" w:hAnsi="Arial Narrow"/>
                <w:bCs/>
                <w:strike/>
                <w:sz w:val="20"/>
                <w:szCs w:val="20"/>
                <w:lang w:eastAsia="en-AU"/>
              </w:rPr>
              <w:t>The treatment must not exceed a total of 7 doses under this restriction</w:t>
            </w:r>
            <w:r w:rsidRPr="00D22C6B">
              <w:rPr>
                <w:rFonts w:ascii="Arial Narrow" w:hAnsi="Arial Narrow"/>
                <w:b/>
                <w:bCs/>
                <w:strike/>
                <w:sz w:val="20"/>
                <w:szCs w:val="20"/>
                <w:lang w:eastAsia="en-AU"/>
              </w:rPr>
              <w:t>.</w:t>
            </w:r>
          </w:p>
        </w:tc>
      </w:tr>
      <w:tr w:rsidR="001D5826" w:rsidRPr="006C4FE0" w14:paraId="685536E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FE405AE" w14:textId="77777777" w:rsidR="001D5826" w:rsidRPr="00D22C6B" w:rsidRDefault="001D5826" w:rsidP="00F53C83">
            <w:pPr>
              <w:rPr>
                <w:rFonts w:ascii="Arial Narrow" w:hAnsi="Arial Narrow"/>
                <w:b/>
                <w:bCs/>
                <w:sz w:val="20"/>
                <w:szCs w:val="20"/>
                <w:lang w:eastAsia="en-AU"/>
              </w:rPr>
            </w:pPr>
            <w:r w:rsidRPr="00D22C6B">
              <w:rPr>
                <w:rFonts w:ascii="Arial Narrow" w:hAnsi="Arial Narrow"/>
                <w:b/>
                <w:bCs/>
                <w:sz w:val="20"/>
                <w:szCs w:val="20"/>
                <w:lang w:eastAsia="en-AU"/>
              </w:rPr>
              <w:t xml:space="preserve">Administrative Advice: </w:t>
            </w:r>
          </w:p>
          <w:p w14:paraId="19BACB17" w14:textId="77777777" w:rsidR="001D5826" w:rsidRPr="00D22C6B" w:rsidRDefault="001D5826" w:rsidP="00F53C83">
            <w:pPr>
              <w:rPr>
                <w:rFonts w:ascii="Arial Narrow" w:hAnsi="Arial Narrow"/>
                <w:sz w:val="20"/>
                <w:szCs w:val="20"/>
                <w:lang w:eastAsia="en-AU"/>
              </w:rPr>
            </w:pPr>
            <w:r w:rsidRPr="00D22C6B">
              <w:rPr>
                <w:rFonts w:ascii="Arial Narrow" w:hAnsi="Arial Narrow"/>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2E0DF3F8" w14:textId="77777777" w:rsidR="001D5826" w:rsidRPr="00D22C6B" w:rsidRDefault="001D5826" w:rsidP="00F53C83">
            <w:pPr>
              <w:rPr>
                <w:rFonts w:ascii="Arial Narrow" w:hAnsi="Arial Narrow"/>
                <w:strike/>
                <w:sz w:val="20"/>
                <w:szCs w:val="20"/>
                <w:lang w:eastAsia="en-AU"/>
              </w:rPr>
            </w:pPr>
            <w:r w:rsidRPr="00D22C6B">
              <w:rPr>
                <w:rFonts w:ascii="Arial Narrow" w:hAnsi="Arial Narrow"/>
                <w:strike/>
                <w:sz w:val="20"/>
                <w:szCs w:val="20"/>
                <w:lang w:eastAsia="en-AU"/>
              </w:rPr>
              <w:t>Following completion of the initial PBS subsidised course, further applications for treatment will be assessed under the continuing treatment restriction.</w:t>
            </w:r>
          </w:p>
        </w:tc>
      </w:tr>
      <w:tr w:rsidR="001D5826" w:rsidRPr="006C4FE0" w14:paraId="48FF64B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8290707" w14:textId="77777777" w:rsidR="001D5826" w:rsidRPr="00D22C6B" w:rsidRDefault="001D5826" w:rsidP="00F53C83">
            <w:pPr>
              <w:rPr>
                <w:rFonts w:ascii="Arial Narrow" w:hAnsi="Arial Narrow"/>
                <w:b/>
                <w:bCs/>
                <w:sz w:val="20"/>
                <w:szCs w:val="20"/>
                <w:lang w:eastAsia="en-AU"/>
              </w:rPr>
            </w:pPr>
          </w:p>
        </w:tc>
      </w:tr>
      <w:tr w:rsidR="001D5826" w:rsidRPr="006C4FE0" w14:paraId="72BC054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C7C422" w14:textId="77777777" w:rsidR="001D5826" w:rsidRPr="00D22C6B" w:rsidRDefault="001D5826" w:rsidP="00030D59">
            <w:pPr>
              <w:rPr>
                <w:rFonts w:ascii="Arial Narrow" w:hAnsi="Arial Narrow"/>
                <w:b/>
                <w:bCs/>
                <w:sz w:val="20"/>
                <w:szCs w:val="20"/>
                <w:lang w:eastAsia="en-AU"/>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Authority Required (STREAMLINED) [new code]</w:t>
            </w:r>
            <w:r w:rsidRPr="00D22C6B">
              <w:rPr>
                <w:rFonts w:ascii="Arial Narrow" w:eastAsia="Calibri" w:hAnsi="Arial Narrow"/>
                <w:strike/>
                <w:sz w:val="20"/>
                <w:szCs w:val="20"/>
              </w:rPr>
              <w:t xml:space="preserve"> </w:t>
            </w:r>
          </w:p>
        </w:tc>
      </w:tr>
      <w:tr w:rsidR="001D5826" w:rsidRPr="006C4FE0" w14:paraId="3038996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224103F"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p>
          <w:p w14:paraId="2C90206C"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Advanced (Stage III) or metastatic (Stage IV) carcinoma of the following types: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xml:space="preserve">) Siewert type I adenocarcinoma of </w:t>
            </w:r>
            <w:proofErr w:type="spellStart"/>
            <w:r w:rsidRPr="00D22C6B">
              <w:rPr>
                <w:rFonts w:ascii="Arial Narrow" w:hAnsi="Arial Narrow"/>
                <w:i/>
                <w:iCs/>
                <w:sz w:val="20"/>
                <w:szCs w:val="20"/>
                <w:lang w:eastAsia="en-AU"/>
              </w:rPr>
              <w:t>oesophagogastric</w:t>
            </w:r>
            <w:proofErr w:type="spellEnd"/>
            <w:r w:rsidRPr="00D22C6B">
              <w:rPr>
                <w:rFonts w:ascii="Arial Narrow" w:hAnsi="Arial Narrow"/>
                <w:i/>
                <w:iCs/>
                <w:sz w:val="20"/>
                <w:szCs w:val="20"/>
                <w:lang w:eastAsia="en-AU"/>
              </w:rPr>
              <w:t xml:space="preserve"> junction, (ii) adenocarcinoma of oesophagus, (iii) squamous cell carcinoma of oesophagus</w:t>
            </w:r>
          </w:p>
        </w:tc>
      </w:tr>
      <w:tr w:rsidR="001D5826" w:rsidRPr="006C4FE0" w14:paraId="03D4E0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6624A9B"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Continuing </w:t>
            </w:r>
            <w:proofErr w:type="spellStart"/>
            <w:r w:rsidRPr="00D22C6B">
              <w:rPr>
                <w:rFonts w:ascii="Arial Narrow" w:hAnsi="Arial Narrow"/>
                <w:i/>
                <w:iCs/>
                <w:strike/>
                <w:sz w:val="20"/>
                <w:szCs w:val="20"/>
                <w:lang w:eastAsia="en-AU"/>
              </w:rPr>
              <w:t>T</w:t>
            </w:r>
            <w:r w:rsidRPr="00D22C6B">
              <w:rPr>
                <w:rFonts w:ascii="Arial Narrow" w:hAnsi="Arial Narrow"/>
                <w:i/>
                <w:iCs/>
                <w:sz w:val="20"/>
                <w:szCs w:val="20"/>
                <w:lang w:eastAsia="en-AU"/>
              </w:rPr>
              <w:t>treatment</w:t>
            </w:r>
            <w:proofErr w:type="spellEnd"/>
          </w:p>
        </w:tc>
      </w:tr>
      <w:tr w:rsidR="001D5826" w:rsidRPr="006C4FE0" w14:paraId="552D281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8BAE699"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Clinical criteria:</w:t>
            </w:r>
          </w:p>
        </w:tc>
      </w:tr>
      <w:tr w:rsidR="001D5826" w:rsidRPr="006C4FE0" w14:paraId="69A91AD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8"/>
        </w:trPr>
        <w:tc>
          <w:tcPr>
            <w:tcW w:w="5000" w:type="pct"/>
            <w:gridSpan w:val="5"/>
            <w:vAlign w:val="center"/>
          </w:tcPr>
          <w:p w14:paraId="4067D026" w14:textId="77777777" w:rsidR="001D5826" w:rsidRPr="00D22C6B" w:rsidRDefault="001D5826" w:rsidP="001D5826">
            <w:pPr>
              <w:widowControl/>
              <w:numPr>
                <w:ilvl w:val="0"/>
                <w:numId w:val="5"/>
              </w:numPr>
              <w:jc w:val="left"/>
              <w:rPr>
                <w:rFonts w:ascii="Arial Narrow" w:hAnsi="Arial Narrow"/>
                <w:strike/>
                <w:sz w:val="20"/>
                <w:szCs w:val="20"/>
                <w:lang w:eastAsia="en-AU"/>
              </w:rPr>
            </w:pPr>
            <w:r w:rsidRPr="00D22C6B">
              <w:rPr>
                <w:rFonts w:ascii="Arial Narrow" w:hAnsi="Arial Narrow"/>
                <w:strike/>
                <w:sz w:val="20"/>
                <w:szCs w:val="20"/>
                <w:lang w:eastAsia="en-AU"/>
              </w:rPr>
              <w:t>Patient must have previously received PBS-subsidised treatment with this drug for this condition</w:t>
            </w:r>
          </w:p>
        </w:tc>
      </w:tr>
      <w:tr w:rsidR="001D5826" w:rsidRPr="006C4FE0" w14:paraId="411885A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1776BC0A" w14:textId="77777777" w:rsidR="001D5826" w:rsidRPr="00D22C6B" w:rsidRDefault="001D5826" w:rsidP="001D5826">
            <w:pPr>
              <w:widowControl/>
              <w:numPr>
                <w:ilvl w:val="0"/>
                <w:numId w:val="5"/>
              </w:numPr>
              <w:jc w:val="left"/>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63BA025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64CB3B97" w14:textId="77777777" w:rsidR="001D5826" w:rsidRPr="00D22C6B" w:rsidRDefault="001D5826" w:rsidP="001D5826">
            <w:pPr>
              <w:widowControl/>
              <w:numPr>
                <w:ilvl w:val="0"/>
                <w:numId w:val="5"/>
              </w:numPr>
              <w:jc w:val="left"/>
              <w:rPr>
                <w:rFonts w:ascii="Arial Narrow" w:hAnsi="Arial Narrow"/>
                <w:strike/>
                <w:sz w:val="20"/>
                <w:szCs w:val="20"/>
                <w:lang w:eastAsia="en-AU"/>
              </w:rPr>
            </w:pPr>
            <w:r w:rsidRPr="00D22C6B">
              <w:rPr>
                <w:rFonts w:ascii="Arial Narrow" w:hAnsi="Arial Narrow"/>
                <w:strike/>
                <w:sz w:val="20"/>
                <w:szCs w:val="20"/>
                <w:lang w:eastAsia="en-AU"/>
              </w:rPr>
              <w:t>Patient must not have progressive disease while receiving PBS-subsidised treatment with this drug for this condition</w:t>
            </w:r>
          </w:p>
        </w:tc>
      </w:tr>
      <w:tr w:rsidR="001D5826" w:rsidRPr="006C4FE0" w14:paraId="72A189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71F8D8C9"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 xml:space="preserve">The condition must not have progressed </w:t>
            </w:r>
          </w:p>
        </w:tc>
      </w:tr>
      <w:tr w:rsidR="001D5826" w:rsidRPr="006C4FE0" w14:paraId="1C1D3F3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A2AEEF0" w14:textId="77777777" w:rsidR="001D5826" w:rsidRPr="00D22C6B" w:rsidRDefault="001D5826" w:rsidP="001D5826">
            <w:pPr>
              <w:widowControl/>
              <w:numPr>
                <w:ilvl w:val="0"/>
                <w:numId w:val="5"/>
              </w:numPr>
              <w:jc w:val="left"/>
              <w:rPr>
                <w:rFonts w:ascii="Arial Narrow" w:hAnsi="Arial Narrow"/>
                <w:b/>
                <w:i/>
                <w:iCs/>
                <w:sz w:val="20"/>
                <w:szCs w:val="20"/>
                <w:lang w:eastAsia="en-AU"/>
              </w:rPr>
            </w:pPr>
            <w:r w:rsidRPr="00D22C6B">
              <w:rPr>
                <w:rFonts w:ascii="Arial Narrow" w:hAnsi="Arial Narrow"/>
                <w:b/>
                <w:i/>
                <w:iCs/>
                <w:sz w:val="20"/>
                <w:szCs w:val="20"/>
                <w:lang w:eastAsia="en-AU"/>
              </w:rPr>
              <w:t>AND</w:t>
            </w:r>
          </w:p>
        </w:tc>
      </w:tr>
      <w:tr w:rsidR="001D5826" w:rsidRPr="006C4FE0" w14:paraId="5ADF77B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90FB6AB" w14:textId="77777777" w:rsidR="001D5826" w:rsidRPr="00D22C6B" w:rsidRDefault="001D5826" w:rsidP="001D5826">
            <w:pPr>
              <w:widowControl/>
              <w:numPr>
                <w:ilvl w:val="0"/>
                <w:numId w:val="5"/>
              </w:numPr>
              <w:jc w:val="left"/>
              <w:rPr>
                <w:rFonts w:ascii="Arial Narrow" w:hAnsi="Arial Narrow"/>
                <w:b/>
                <w:i/>
                <w:iCs/>
                <w:sz w:val="20"/>
                <w:szCs w:val="20"/>
                <w:lang w:eastAsia="en-AU"/>
              </w:rPr>
            </w:pPr>
            <w:r w:rsidRPr="00D22C6B">
              <w:rPr>
                <w:rFonts w:ascii="Arial Narrow" w:hAnsi="Arial Narrow"/>
                <w:b/>
                <w:i/>
                <w:iCs/>
                <w:sz w:val="20"/>
                <w:szCs w:val="20"/>
                <w:lang w:eastAsia="en-AU"/>
              </w:rPr>
              <w:t>Treatment criteria:</w:t>
            </w:r>
          </w:p>
        </w:tc>
      </w:tr>
      <w:tr w:rsidR="001D5826" w:rsidRPr="006C4FE0" w14:paraId="36D79E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4A0181A6" w14:textId="147E3854" w:rsidR="001D5826" w:rsidRPr="00D22C6B" w:rsidRDefault="001D5826" w:rsidP="001D5826">
            <w:pPr>
              <w:widowControl/>
              <w:numPr>
                <w:ilvl w:val="0"/>
                <w:numId w:val="5"/>
              </w:numPr>
              <w:jc w:val="left"/>
              <w:rPr>
                <w:rFonts w:ascii="Arial Narrow" w:hAnsi="Arial Narrow"/>
                <w:bCs/>
                <w:i/>
                <w:iCs/>
                <w:sz w:val="20"/>
                <w:szCs w:val="20"/>
                <w:lang w:eastAsia="en-AU"/>
              </w:rPr>
            </w:pPr>
            <w:r w:rsidRPr="00D22C6B">
              <w:rPr>
                <w:rFonts w:ascii="Arial Narrow" w:hAnsi="Arial Narrow"/>
                <w:bCs/>
                <w:i/>
                <w:iCs/>
                <w:sz w:val="20"/>
                <w:szCs w:val="20"/>
                <w:lang w:eastAsia="en-AU"/>
              </w:rPr>
              <w:t>Patient must be undergoing continuing treatment with this drug, with PBS-subsidised treatment having commenced through one of: (</w:t>
            </w:r>
            <w:proofErr w:type="spellStart"/>
            <w:r w:rsidRPr="00D22C6B">
              <w:rPr>
                <w:rFonts w:ascii="Arial Narrow" w:hAnsi="Arial Narrow"/>
                <w:bCs/>
                <w:i/>
                <w:iCs/>
                <w:sz w:val="20"/>
                <w:szCs w:val="20"/>
                <w:lang w:eastAsia="en-AU"/>
              </w:rPr>
              <w:t>i</w:t>
            </w:r>
            <w:proofErr w:type="spellEnd"/>
            <w:r w:rsidRPr="00D22C6B">
              <w:rPr>
                <w:rFonts w:ascii="Arial Narrow" w:hAnsi="Arial Narrow"/>
                <w:bCs/>
                <w:i/>
                <w:iCs/>
                <w:sz w:val="20"/>
                <w:szCs w:val="20"/>
                <w:lang w:eastAsia="en-AU"/>
              </w:rPr>
              <w:t>) the ‘Initial treatment’ phase listing, (ii) ‘Grandfather arrangements’ listing; do not commence PBS-subsidised treatment through this treatment phase</w:t>
            </w:r>
          </w:p>
        </w:tc>
      </w:tr>
      <w:tr w:rsidR="001D5826" w:rsidRPr="006C4FE0" w14:paraId="2E9997D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D6AC38" w14:textId="77777777" w:rsidR="001D5826" w:rsidRPr="00D22C6B" w:rsidRDefault="001D5826" w:rsidP="001D5826">
            <w:pPr>
              <w:widowControl/>
              <w:numPr>
                <w:ilvl w:val="0"/>
                <w:numId w:val="5"/>
              </w:numPr>
              <w:jc w:val="left"/>
              <w:rPr>
                <w:rFonts w:ascii="Arial Narrow" w:hAnsi="Arial Narrow"/>
                <w:b/>
                <w:sz w:val="20"/>
                <w:szCs w:val="20"/>
                <w:lang w:eastAsia="en-AU"/>
              </w:rPr>
            </w:pPr>
            <w:r w:rsidRPr="00D22C6B">
              <w:rPr>
                <w:rFonts w:ascii="Arial Narrow" w:hAnsi="Arial Narrow"/>
                <w:b/>
                <w:i/>
                <w:iCs/>
                <w:sz w:val="20"/>
                <w:szCs w:val="20"/>
                <w:lang w:eastAsia="en-AU"/>
              </w:rPr>
              <w:lastRenderedPageBreak/>
              <w:t>AND</w:t>
            </w:r>
          </w:p>
        </w:tc>
      </w:tr>
      <w:tr w:rsidR="001D5826" w:rsidRPr="006C4FE0" w14:paraId="7513FCD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5563E9FA"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b/>
                <w:bCs/>
                <w:sz w:val="20"/>
                <w:szCs w:val="20"/>
                <w:lang w:eastAsia="en-AU"/>
              </w:rPr>
              <w:t>Treatment</w:t>
            </w:r>
            <w:r w:rsidRPr="00D22C6B">
              <w:rPr>
                <w:rFonts w:ascii="Arial Narrow" w:hAnsi="Arial Narrow"/>
                <w:b/>
                <w:bCs/>
                <w:i/>
                <w:iCs/>
                <w:sz w:val="20"/>
                <w:szCs w:val="20"/>
                <w:lang w:eastAsia="en-AU"/>
              </w:rPr>
              <w:t xml:space="preserve"> </w:t>
            </w:r>
            <w:r w:rsidRPr="00D22C6B">
              <w:rPr>
                <w:rFonts w:ascii="Arial Narrow" w:hAnsi="Arial Narrow"/>
                <w:b/>
                <w:bCs/>
                <w:sz w:val="20"/>
                <w:szCs w:val="20"/>
                <w:lang w:eastAsia="en-AU"/>
              </w:rPr>
              <w:t xml:space="preserve">criteria: </w:t>
            </w:r>
          </w:p>
        </w:tc>
      </w:tr>
      <w:tr w:rsidR="001D5826" w:rsidRPr="006C4FE0" w14:paraId="6F5CE9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1AD819A7" w14:textId="77777777" w:rsidR="001D5826" w:rsidRPr="00D22C6B" w:rsidRDefault="001D5826" w:rsidP="001D5826">
            <w:pPr>
              <w:widowControl/>
              <w:numPr>
                <w:ilvl w:val="0"/>
                <w:numId w:val="5"/>
              </w:numPr>
              <w:jc w:val="left"/>
              <w:rPr>
                <w:rFonts w:ascii="Arial Narrow" w:hAnsi="Arial Narrow"/>
                <w:sz w:val="20"/>
                <w:szCs w:val="20"/>
                <w:lang w:eastAsia="en-AU"/>
              </w:rPr>
            </w:pPr>
            <w:r w:rsidRPr="00D22C6B">
              <w:rPr>
                <w:rFonts w:ascii="Arial Narrow" w:hAnsi="Arial Narrow"/>
                <w:strike/>
                <w:sz w:val="20"/>
                <w:szCs w:val="20"/>
                <w:lang w:eastAsia="en-AU"/>
              </w:rPr>
              <w:t>The treatment must not exceed a total of 35 cycles of treatment in a lifetime</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under this restriction</w:t>
            </w:r>
            <w:r w:rsidRPr="00D22C6B">
              <w:rPr>
                <w:rFonts w:ascii="Arial Narrow" w:hAnsi="Arial Narrow"/>
                <w:sz w:val="20"/>
                <w:szCs w:val="20"/>
                <w:lang w:eastAsia="en-AU"/>
              </w:rPr>
              <w:t>.</w:t>
            </w:r>
          </w:p>
        </w:tc>
      </w:tr>
      <w:tr w:rsidR="001D5826" w:rsidRPr="006C4FE0" w14:paraId="77F474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A6BE31B" w14:textId="77777777" w:rsidR="001D5826" w:rsidRPr="00D22C6B" w:rsidRDefault="001D5826" w:rsidP="001D5826">
            <w:pPr>
              <w:widowControl/>
              <w:numPr>
                <w:ilvl w:val="0"/>
                <w:numId w:val="5"/>
              </w:numPr>
              <w:jc w:val="left"/>
              <w:rPr>
                <w:rFonts w:ascii="Arial Narrow" w:hAnsi="Arial Narrow"/>
                <w:i/>
                <w:iCs/>
                <w:sz w:val="20"/>
                <w:szCs w:val="20"/>
                <w:lang w:eastAsia="en-AU"/>
              </w:rPr>
            </w:pPr>
            <w:r w:rsidRPr="00D22C6B">
              <w:rPr>
                <w:rFonts w:ascii="Arial Narrow" w:hAnsi="Arial Narrow"/>
                <w:i/>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24 months, (ii) 35 doses (based on a 3-weekly dose regimen), (iii) disease progression</w:t>
            </w:r>
          </w:p>
        </w:tc>
      </w:tr>
      <w:tr w:rsidR="001D5826" w:rsidRPr="006C4FE0" w14:paraId="30C2E7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330"/>
        </w:trPr>
        <w:tc>
          <w:tcPr>
            <w:tcW w:w="5000" w:type="pct"/>
            <w:gridSpan w:val="5"/>
            <w:vAlign w:val="center"/>
          </w:tcPr>
          <w:p w14:paraId="7813F5A0" w14:textId="77777777" w:rsidR="001D5826" w:rsidRPr="00D22C6B" w:rsidRDefault="001D5826" w:rsidP="001D5826">
            <w:pPr>
              <w:rPr>
                <w:rFonts w:ascii="Arial Narrow" w:hAnsi="Arial Narrow"/>
                <w:sz w:val="20"/>
                <w:szCs w:val="20"/>
                <w:lang w:eastAsia="en-AU"/>
              </w:rPr>
            </w:pPr>
          </w:p>
        </w:tc>
      </w:tr>
      <w:tr w:rsidR="001D5826" w:rsidRPr="006C4FE0" w14:paraId="4870EB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402E39EC" w14:textId="77777777" w:rsidR="001D5826" w:rsidRPr="00D22C6B" w:rsidRDefault="001D5826" w:rsidP="004E5660">
            <w:pPr>
              <w:rPr>
                <w:rFonts w:ascii="Arial Narrow" w:eastAsia="Calibri" w:hAnsi="Arial Narrow"/>
                <w:b/>
                <w:sz w:val="20"/>
                <w:szCs w:val="20"/>
              </w:rPr>
            </w:pPr>
            <w:r w:rsidRPr="00D22C6B">
              <w:rPr>
                <w:rFonts w:ascii="Arial Narrow" w:eastAsia="Calibri" w:hAnsi="Arial Narrow"/>
                <w:b/>
                <w:sz w:val="20"/>
                <w:szCs w:val="20"/>
              </w:rPr>
              <w:t xml:space="preserve">Restriction Type: </w:t>
            </w:r>
            <w:r w:rsidRPr="00D22C6B">
              <w:rPr>
                <w:rFonts w:ascii="Arial Narrow" w:eastAsia="Calibri" w:hAnsi="Arial Narrow"/>
                <w:sz w:val="20"/>
                <w:szCs w:val="20"/>
              </w:rPr>
              <w:fldChar w:fldCharType="begin">
                <w:ffData>
                  <w:name w:val=""/>
                  <w:enabled/>
                  <w:calcOnExit w:val="0"/>
                  <w:checkBox>
                    <w:sizeAuto/>
                    <w:default w:val="1"/>
                  </w:checkBox>
                </w:ffData>
              </w:fldChar>
            </w:r>
            <w:r w:rsidRPr="00D22C6B">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D22C6B">
              <w:rPr>
                <w:rFonts w:ascii="Arial Narrow" w:eastAsia="Calibri" w:hAnsi="Arial Narrow"/>
                <w:sz w:val="20"/>
                <w:szCs w:val="20"/>
              </w:rPr>
              <w:fldChar w:fldCharType="end"/>
            </w:r>
            <w:r w:rsidRPr="00D22C6B">
              <w:rPr>
                <w:rFonts w:ascii="Arial Narrow" w:eastAsia="Calibri" w:hAnsi="Arial Narrow"/>
                <w:sz w:val="20"/>
                <w:szCs w:val="20"/>
              </w:rPr>
              <w:t xml:space="preserve"> Authority Required (Streamlined) [new code] </w:t>
            </w:r>
          </w:p>
        </w:tc>
      </w:tr>
      <w:tr w:rsidR="001D5826" w:rsidRPr="006C4FE0" w14:paraId="151B1E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2EF437CB"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z w:val="20"/>
                <w:szCs w:val="20"/>
                <w:lang w:eastAsia="en-AU"/>
              </w:rPr>
              <w:t>Indication:</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Unresectable locally advanced (III) or metastatic (IV) carcinoma of the oesophagus or HER2 negative adenocarcinoma of the gastroesophageal junction (GOJ)</w:t>
            </w:r>
          </w:p>
          <w:p w14:paraId="6A0D2396" w14:textId="77777777" w:rsidR="001D5826" w:rsidRPr="00D22C6B" w:rsidRDefault="001D5826" w:rsidP="001D5826">
            <w:pPr>
              <w:rPr>
                <w:rFonts w:ascii="Arial Narrow" w:hAnsi="Arial Narrow"/>
                <w:sz w:val="20"/>
                <w:szCs w:val="20"/>
                <w:lang w:eastAsia="en-AU"/>
              </w:rPr>
            </w:pPr>
            <w:r w:rsidRPr="00D22C6B">
              <w:rPr>
                <w:rFonts w:ascii="Arial Narrow" w:hAnsi="Arial Narrow"/>
                <w:i/>
                <w:iCs/>
                <w:sz w:val="20"/>
                <w:szCs w:val="20"/>
                <w:lang w:eastAsia="en-AU"/>
              </w:rPr>
              <w:t>Advanced (Stage III) or metastatic (Stage IV) carcinoma of the following types: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xml:space="preserve">) Siewert type I adenocarcinoma of </w:t>
            </w:r>
            <w:proofErr w:type="spellStart"/>
            <w:r w:rsidRPr="00D22C6B">
              <w:rPr>
                <w:rFonts w:ascii="Arial Narrow" w:hAnsi="Arial Narrow"/>
                <w:i/>
                <w:iCs/>
                <w:sz w:val="20"/>
                <w:szCs w:val="20"/>
                <w:lang w:eastAsia="en-AU"/>
              </w:rPr>
              <w:t>oesophagogastric</w:t>
            </w:r>
            <w:proofErr w:type="spellEnd"/>
            <w:r w:rsidRPr="00D22C6B">
              <w:rPr>
                <w:rFonts w:ascii="Arial Narrow" w:hAnsi="Arial Narrow"/>
                <w:i/>
                <w:iCs/>
                <w:sz w:val="20"/>
                <w:szCs w:val="20"/>
                <w:lang w:eastAsia="en-AU"/>
              </w:rPr>
              <w:t xml:space="preserve"> junction, (ii) adenocarcinoma of oesophagus, (iii) squamous cell carcinoma of oesophagus</w:t>
            </w:r>
          </w:p>
        </w:tc>
      </w:tr>
      <w:tr w:rsidR="001D5826" w:rsidRPr="006C4FE0" w14:paraId="0A29701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C62ECF6" w14:textId="6BD63A0F" w:rsidR="001D5826" w:rsidRPr="00D22C6B" w:rsidRDefault="001D5826" w:rsidP="001D5826">
            <w:pPr>
              <w:rPr>
                <w:rFonts w:ascii="Arial Narrow" w:hAnsi="Arial Narrow"/>
                <w:sz w:val="20"/>
                <w:szCs w:val="20"/>
                <w:lang w:eastAsia="en-AU"/>
              </w:rPr>
            </w:pPr>
            <w:r w:rsidRPr="00D22C6B">
              <w:rPr>
                <w:rFonts w:ascii="Arial Narrow" w:hAnsi="Arial Narrow"/>
                <w:b/>
                <w:bCs/>
                <w:sz w:val="20"/>
                <w:szCs w:val="20"/>
                <w:lang w:eastAsia="en-AU"/>
              </w:rPr>
              <w:t>Treatment Phase:</w:t>
            </w:r>
            <w:r w:rsidRPr="00D22C6B">
              <w:rPr>
                <w:rFonts w:ascii="Arial Narrow" w:hAnsi="Arial Narrow"/>
                <w:sz w:val="20"/>
                <w:szCs w:val="20"/>
                <w:lang w:eastAsia="en-AU"/>
              </w:rPr>
              <w:t xml:space="preserve"> </w:t>
            </w:r>
            <w:r w:rsidRPr="00D22C6B">
              <w:rPr>
                <w:rFonts w:ascii="Arial Narrow" w:hAnsi="Arial Narrow"/>
                <w:strike/>
                <w:sz w:val="20"/>
                <w:szCs w:val="20"/>
                <w:lang w:eastAsia="en-AU"/>
              </w:rPr>
              <w:t>Grandfather Treatment</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Transitioning from non-PBS to PBS-subsidised supply – ‘Grandfather’ arrangements</w:t>
            </w:r>
          </w:p>
        </w:tc>
      </w:tr>
      <w:tr w:rsidR="001D5826" w:rsidRPr="006C4FE0" w14:paraId="506BC3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72BCCF5B" w14:textId="77777777" w:rsidR="001D5826" w:rsidRPr="00D22C6B" w:rsidRDefault="001D5826" w:rsidP="001D5826">
            <w:pPr>
              <w:rPr>
                <w:rFonts w:ascii="Arial Narrow" w:hAnsi="Arial Narrow"/>
                <w:sz w:val="20"/>
                <w:szCs w:val="20"/>
                <w:lang w:eastAsia="en-AU"/>
              </w:rPr>
            </w:pPr>
            <w:r w:rsidRPr="00D22C6B">
              <w:rPr>
                <w:rFonts w:ascii="Arial Narrow" w:hAnsi="Arial Narrow"/>
                <w:b/>
                <w:bCs/>
                <w:sz w:val="20"/>
                <w:szCs w:val="20"/>
                <w:lang w:eastAsia="en-AU"/>
              </w:rPr>
              <w:t>Clinical criteria:</w:t>
            </w:r>
          </w:p>
        </w:tc>
      </w:tr>
      <w:tr w:rsidR="001D5826" w:rsidRPr="006C4FE0" w14:paraId="7C453A5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hideMark/>
          </w:tcPr>
          <w:p w14:paraId="5127BB31" w14:textId="77777777" w:rsidR="001D5826" w:rsidRPr="00D22C6B" w:rsidRDefault="001D5826" w:rsidP="001D5826">
            <w:pPr>
              <w:spacing w:line="276" w:lineRule="auto"/>
              <w:rPr>
                <w:rFonts w:ascii="Arial Narrow" w:hAnsi="Arial Narrow"/>
                <w:sz w:val="20"/>
                <w:szCs w:val="20"/>
                <w:lang w:eastAsia="en-AU"/>
              </w:rPr>
            </w:pPr>
            <w:r w:rsidRPr="00D22C6B">
              <w:rPr>
                <w:rFonts w:ascii="Arial Narrow" w:hAnsi="Arial Narrow"/>
                <w:sz w:val="20"/>
                <w:szCs w:val="20"/>
                <w:lang w:eastAsia="en-AU"/>
              </w:rPr>
              <w:t xml:space="preserve">Patient must </w:t>
            </w:r>
            <w:r w:rsidRPr="00D22C6B">
              <w:rPr>
                <w:rFonts w:ascii="Arial Narrow" w:hAnsi="Arial Narrow"/>
                <w:strike/>
                <w:sz w:val="20"/>
                <w:szCs w:val="20"/>
                <w:lang w:eastAsia="en-AU"/>
              </w:rPr>
              <w:t>have previously received non-PBS subsidised treatment with this drug for this condition prior to</w:t>
            </w:r>
            <w:r w:rsidRPr="00D22C6B">
              <w:rPr>
                <w:rFonts w:ascii="Arial Narrow" w:hAnsi="Arial Narrow"/>
                <w:sz w:val="20"/>
                <w:szCs w:val="20"/>
                <w:lang w:eastAsia="en-AU"/>
              </w:rPr>
              <w:t xml:space="preserve"> </w:t>
            </w:r>
            <w:r w:rsidRPr="00D22C6B">
              <w:rPr>
                <w:rFonts w:ascii="Arial Narrow" w:hAnsi="Arial Narrow"/>
                <w:i/>
                <w:iCs/>
                <w:sz w:val="20"/>
                <w:szCs w:val="20"/>
                <w:lang w:eastAsia="en-AU"/>
              </w:rPr>
              <w:t xml:space="preserve">be currently receiving treatment with this drug for this PBS indication, with treatment having commenced prior to </w:t>
            </w:r>
            <w:r w:rsidRPr="00D22C6B">
              <w:rPr>
                <w:rFonts w:ascii="Arial Narrow" w:hAnsi="Arial Narrow"/>
                <w:sz w:val="20"/>
                <w:szCs w:val="20"/>
                <w:lang w:eastAsia="en-AU"/>
              </w:rPr>
              <w:t>[PBS listing date]</w:t>
            </w:r>
          </w:p>
        </w:tc>
      </w:tr>
      <w:tr w:rsidR="001D5826" w:rsidRPr="006C4FE0" w14:paraId="3FE8223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6DBF8E5" w14:textId="77777777" w:rsidR="001D5826" w:rsidRPr="00D22C6B" w:rsidRDefault="001D5826" w:rsidP="001D5826">
            <w:pPr>
              <w:spacing w:line="276" w:lineRule="auto"/>
              <w:rPr>
                <w:rFonts w:ascii="Arial Narrow" w:hAnsi="Arial Narrow"/>
                <w:b/>
                <w:bCs/>
                <w:sz w:val="20"/>
                <w:szCs w:val="20"/>
                <w:lang w:eastAsia="en-AU"/>
              </w:rPr>
            </w:pPr>
            <w:r w:rsidRPr="00D22C6B">
              <w:rPr>
                <w:rFonts w:ascii="Arial Narrow" w:hAnsi="Arial Narrow"/>
                <w:b/>
                <w:bCs/>
                <w:sz w:val="20"/>
                <w:szCs w:val="20"/>
                <w:lang w:eastAsia="en-AU"/>
              </w:rPr>
              <w:t>AND</w:t>
            </w:r>
          </w:p>
        </w:tc>
      </w:tr>
      <w:tr w:rsidR="001D5826" w:rsidRPr="006C4FE0" w14:paraId="7B2CEA0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7755439" w14:textId="77777777" w:rsidR="001D5826" w:rsidRPr="00D22C6B" w:rsidRDefault="001D5826" w:rsidP="001D5826">
            <w:pPr>
              <w:spacing w:line="276" w:lineRule="auto"/>
              <w:rPr>
                <w:rFonts w:ascii="Arial Narrow" w:hAnsi="Arial Narrow"/>
                <w:bCs/>
                <w:strike/>
                <w:sz w:val="20"/>
                <w:szCs w:val="20"/>
                <w:lang w:eastAsia="en-AU"/>
              </w:rPr>
            </w:pPr>
            <w:r w:rsidRPr="00D22C6B">
              <w:rPr>
                <w:rFonts w:ascii="Arial Narrow" w:hAnsi="Arial Narrow"/>
                <w:bCs/>
                <w:strike/>
                <w:sz w:val="20"/>
                <w:szCs w:val="20"/>
                <w:lang w:eastAsia="en-AU"/>
              </w:rPr>
              <w:t>Patient must not have had been treated for this condition in the metastatic setting prior to initiating non-PBS subsidised treatment with this drug for this condition</w:t>
            </w:r>
          </w:p>
        </w:tc>
      </w:tr>
      <w:tr w:rsidR="001D5826" w:rsidRPr="006C4FE0" w14:paraId="0DBAC4C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51B91F3" w14:textId="77777777" w:rsidR="001D5826" w:rsidRPr="00D22C6B" w:rsidRDefault="001D5826" w:rsidP="001D5826">
            <w:pPr>
              <w:spacing w:line="276" w:lineRule="auto"/>
              <w:rPr>
                <w:rFonts w:ascii="Arial Narrow" w:hAnsi="Arial Narrow"/>
                <w:b/>
                <w:strike/>
                <w:sz w:val="20"/>
                <w:szCs w:val="20"/>
                <w:lang w:eastAsia="en-AU"/>
              </w:rPr>
            </w:pPr>
            <w:r w:rsidRPr="00D22C6B">
              <w:rPr>
                <w:rFonts w:ascii="Arial Narrow" w:hAnsi="Arial Narrow"/>
                <w:b/>
                <w:strike/>
                <w:sz w:val="20"/>
                <w:szCs w:val="20"/>
                <w:lang w:eastAsia="en-AU"/>
              </w:rPr>
              <w:t>AND</w:t>
            </w:r>
          </w:p>
        </w:tc>
      </w:tr>
      <w:tr w:rsidR="001D5826" w:rsidRPr="006C4FE0" w14:paraId="1A2C242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511B2A21"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not have experienced recurrence within 6 months of completion of systemic therapy if treated in the locally advanced setting prior to non-PBS subsidised treatment with this drug for this condition</w:t>
            </w:r>
          </w:p>
        </w:tc>
      </w:tr>
      <w:tr w:rsidR="001D5826" w:rsidRPr="006C4FE0" w14:paraId="3BC42FB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A73E926"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 xml:space="preserve">AND </w:t>
            </w:r>
          </w:p>
        </w:tc>
      </w:tr>
      <w:tr w:rsidR="001D5826" w:rsidRPr="006C4FE0" w14:paraId="739698B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87D2A"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 xml:space="preserve">The treatment must be commenced in combination with platinum-based chemotherapy </w:t>
            </w:r>
          </w:p>
        </w:tc>
      </w:tr>
      <w:tr w:rsidR="001D5826" w:rsidRPr="006C4FE0" w14:paraId="6AAB2FE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36E5476"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57D7707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45A50B8"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stable or responding disease</w:t>
            </w:r>
          </w:p>
        </w:tc>
      </w:tr>
      <w:tr w:rsidR="001D5826" w:rsidRPr="006C4FE0" w14:paraId="1FCE391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F028C53" w14:textId="77777777" w:rsidR="001D5826" w:rsidRPr="00D22C6B" w:rsidRDefault="001D5826" w:rsidP="001D5826">
            <w:pPr>
              <w:spacing w:line="276" w:lineRule="auto"/>
              <w:rPr>
                <w:rFonts w:ascii="Arial Narrow" w:hAnsi="Arial Narrow"/>
                <w:b/>
                <w:bCs/>
                <w:strike/>
                <w:sz w:val="20"/>
                <w:szCs w:val="20"/>
                <w:lang w:eastAsia="en-AU"/>
              </w:rPr>
            </w:pPr>
            <w:r w:rsidRPr="00D22C6B">
              <w:rPr>
                <w:rFonts w:ascii="Arial Narrow" w:hAnsi="Arial Narrow"/>
                <w:b/>
                <w:bCs/>
                <w:strike/>
                <w:sz w:val="20"/>
                <w:szCs w:val="20"/>
                <w:lang w:eastAsia="en-AU"/>
              </w:rPr>
              <w:t>AND</w:t>
            </w:r>
          </w:p>
        </w:tc>
      </w:tr>
      <w:tr w:rsidR="001D5826" w:rsidRPr="006C4FE0" w14:paraId="2768212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571521E" w14:textId="77777777" w:rsidR="001D5826" w:rsidRPr="00D22C6B" w:rsidRDefault="001D5826" w:rsidP="001D5826">
            <w:pPr>
              <w:spacing w:line="276" w:lineRule="auto"/>
              <w:rPr>
                <w:rFonts w:ascii="Arial Narrow" w:hAnsi="Arial Narrow"/>
                <w:strike/>
                <w:sz w:val="20"/>
                <w:szCs w:val="20"/>
                <w:lang w:eastAsia="en-AU"/>
              </w:rPr>
            </w:pPr>
            <w:r w:rsidRPr="00D22C6B">
              <w:rPr>
                <w:rFonts w:ascii="Arial Narrow" w:hAnsi="Arial Narrow"/>
                <w:strike/>
                <w:sz w:val="20"/>
                <w:szCs w:val="20"/>
                <w:lang w:eastAsia="en-AU"/>
              </w:rPr>
              <w:t>Patient must have a WHO performance status of 0 or 1</w:t>
            </w:r>
          </w:p>
        </w:tc>
      </w:tr>
      <w:tr w:rsidR="001D5826" w:rsidRPr="006C4FE0" w14:paraId="3879AC9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60CD210C"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Clinical criteria:</w:t>
            </w:r>
          </w:p>
        </w:tc>
      </w:tr>
      <w:tr w:rsidR="001D5826" w:rsidRPr="006C4FE0" w14:paraId="15410B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EDDFD09" w14:textId="77777777" w:rsidR="001D5826" w:rsidRPr="00D22C6B" w:rsidRDefault="001D5826" w:rsidP="00A81BC6">
            <w:pPr>
              <w:spacing w:line="276" w:lineRule="auto"/>
              <w:rPr>
                <w:rFonts w:ascii="Arial Narrow" w:hAnsi="Arial Narrow"/>
                <w:i/>
                <w:iCs/>
                <w:sz w:val="20"/>
                <w:szCs w:val="20"/>
                <w:lang w:eastAsia="en-AU"/>
              </w:rPr>
            </w:pPr>
            <w:r w:rsidRPr="00D22C6B">
              <w:rPr>
                <w:rFonts w:ascii="Arial Narrow" w:hAnsi="Arial Narrow"/>
                <w:i/>
                <w:iCs/>
                <w:sz w:val="20"/>
                <w:szCs w:val="20"/>
                <w:lang w:eastAsia="en-AU"/>
              </w:rPr>
              <w:t>Patient must have met all other PBS eligibility criteria that a non-‘Grandfather’ patient would ordinarily be required to meet, meaning that at the time non-PBS supply was commenced, the patient: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xml:space="preserve">) had a WHO performance status no greater than 1, (ii) was unsuitable for both surgical resection plus chemoradiation, (iii) for a diagnosis of Siewert type I adenocarcinoma of </w:t>
            </w:r>
            <w:proofErr w:type="spellStart"/>
            <w:r w:rsidRPr="00D22C6B">
              <w:rPr>
                <w:rFonts w:ascii="Arial Narrow" w:hAnsi="Arial Narrow"/>
                <w:i/>
                <w:iCs/>
                <w:sz w:val="20"/>
                <w:szCs w:val="20"/>
                <w:lang w:eastAsia="en-AU"/>
              </w:rPr>
              <w:t>oesophagogastric</w:t>
            </w:r>
            <w:proofErr w:type="spellEnd"/>
            <w:r w:rsidRPr="00D22C6B">
              <w:rPr>
                <w:rFonts w:ascii="Arial Narrow" w:hAnsi="Arial Narrow"/>
                <w:i/>
                <w:iCs/>
                <w:sz w:val="20"/>
                <w:szCs w:val="20"/>
                <w:lang w:eastAsia="en-AU"/>
              </w:rPr>
              <w:t xml:space="preserve"> junction, there was evidence confirming HER2 negativity via immunohistochemistry in tumour material, (iv) was untreated with this drug, (v) for metastatic disease (Stage IV disease), the metastatic disease had yet to be treated with drug therapy, (vi) for locally advanced disease (Stage III disease), the locally advanced disease had</w:t>
            </w:r>
            <w:r w:rsidR="00A81BC6" w:rsidRPr="00D22C6B">
              <w:rPr>
                <w:rFonts w:ascii="Arial Narrow" w:hAnsi="Arial Narrow"/>
                <w:i/>
                <w:iCs/>
                <w:sz w:val="20"/>
                <w:szCs w:val="20"/>
                <w:lang w:eastAsia="en-AU"/>
              </w:rPr>
              <w:t xml:space="preserve"> yet to be treated with drug therapy</w:t>
            </w:r>
            <w:r w:rsidRPr="00D22C6B">
              <w:rPr>
                <w:rFonts w:ascii="Arial Narrow" w:hAnsi="Arial Narrow"/>
                <w:i/>
                <w:iCs/>
                <w:sz w:val="20"/>
                <w:szCs w:val="20"/>
                <w:lang w:eastAsia="en-AU"/>
              </w:rPr>
              <w:t>, (vii) was treated concomitantly with chemotherapy containing at least each of a platinum agent plus a fluoropyrimidine agent</w:t>
            </w:r>
          </w:p>
        </w:tc>
      </w:tr>
      <w:tr w:rsidR="001D5826" w:rsidRPr="006C4FE0" w14:paraId="30B5397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B596CF0"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AND</w:t>
            </w:r>
          </w:p>
        </w:tc>
      </w:tr>
      <w:tr w:rsidR="001D5826" w:rsidRPr="006C4FE0" w14:paraId="0AEE3B8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336A2A87" w14:textId="77777777" w:rsidR="001D5826" w:rsidRPr="00D22C6B" w:rsidRDefault="001D5826" w:rsidP="001D5826">
            <w:pPr>
              <w:spacing w:line="276" w:lineRule="auto"/>
              <w:rPr>
                <w:rFonts w:ascii="Arial Narrow" w:hAnsi="Arial Narrow"/>
                <w:b/>
                <w:bCs/>
                <w:i/>
                <w:iCs/>
                <w:sz w:val="20"/>
                <w:szCs w:val="20"/>
                <w:lang w:eastAsia="en-AU"/>
              </w:rPr>
            </w:pPr>
            <w:r w:rsidRPr="00D22C6B">
              <w:rPr>
                <w:rFonts w:ascii="Arial Narrow" w:hAnsi="Arial Narrow"/>
                <w:b/>
                <w:bCs/>
                <w:i/>
                <w:iCs/>
                <w:sz w:val="20"/>
                <w:szCs w:val="20"/>
                <w:lang w:eastAsia="en-AU"/>
              </w:rPr>
              <w:t>Clinical criteria:</w:t>
            </w:r>
          </w:p>
        </w:tc>
      </w:tr>
      <w:tr w:rsidR="001D5826" w:rsidRPr="006C4FE0" w14:paraId="6354A43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EBCFA" w14:textId="77777777" w:rsidR="001D5826" w:rsidRPr="00D22C6B" w:rsidRDefault="001D5826" w:rsidP="001D5826">
            <w:pPr>
              <w:spacing w:line="276" w:lineRule="auto"/>
              <w:rPr>
                <w:rFonts w:ascii="Arial Narrow" w:hAnsi="Arial Narrow"/>
                <w:sz w:val="20"/>
                <w:szCs w:val="20"/>
                <w:lang w:eastAsia="en-AU"/>
              </w:rPr>
            </w:pPr>
            <w:r w:rsidRPr="00D22C6B">
              <w:rPr>
                <w:rFonts w:ascii="Arial Narrow" w:hAnsi="Arial Narrow"/>
                <w:i/>
                <w:iCs/>
                <w:sz w:val="20"/>
                <w:szCs w:val="20"/>
                <w:lang w:eastAsia="en-AU"/>
              </w:rPr>
              <w:t xml:space="preserve">The condition must not have progressed </w:t>
            </w:r>
          </w:p>
        </w:tc>
      </w:tr>
      <w:tr w:rsidR="001D5826" w:rsidRPr="006C4FE0" w14:paraId="7BCB198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12D2401"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trike/>
                <w:sz w:val="20"/>
                <w:szCs w:val="20"/>
                <w:lang w:eastAsia="en-AU"/>
              </w:rPr>
              <w:t>AND</w:t>
            </w:r>
          </w:p>
        </w:tc>
      </w:tr>
      <w:tr w:rsidR="001D5826" w:rsidRPr="006C4FE0" w14:paraId="22852C0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99EF762" w14:textId="77777777" w:rsidR="001D5826" w:rsidRPr="00D22C6B" w:rsidRDefault="001D5826" w:rsidP="001D5826">
            <w:pPr>
              <w:rPr>
                <w:rFonts w:ascii="Arial Narrow" w:hAnsi="Arial Narrow"/>
                <w:strike/>
                <w:sz w:val="20"/>
                <w:szCs w:val="20"/>
                <w:lang w:eastAsia="en-AU"/>
              </w:rPr>
            </w:pPr>
            <w:r w:rsidRPr="00D22C6B">
              <w:rPr>
                <w:rFonts w:ascii="Arial Narrow" w:hAnsi="Arial Narrow"/>
                <w:b/>
                <w:bCs/>
                <w:strike/>
                <w:sz w:val="20"/>
                <w:szCs w:val="20"/>
                <w:lang w:eastAsia="en-AU"/>
              </w:rPr>
              <w:t xml:space="preserve">Treatment criteria: </w:t>
            </w:r>
          </w:p>
        </w:tc>
      </w:tr>
      <w:tr w:rsidR="001D5826" w:rsidRPr="006C4FE0" w14:paraId="2BA2DE3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69F65EE1" w14:textId="77777777" w:rsidR="001D5826" w:rsidRPr="00D22C6B" w:rsidRDefault="001D5826" w:rsidP="001D5826">
            <w:pPr>
              <w:rPr>
                <w:rFonts w:ascii="Arial Narrow" w:hAnsi="Arial Narrow"/>
                <w:b/>
                <w:bCs/>
                <w:strike/>
                <w:sz w:val="20"/>
                <w:szCs w:val="20"/>
                <w:lang w:eastAsia="en-AU"/>
              </w:rPr>
            </w:pPr>
            <w:r w:rsidRPr="00D22C6B">
              <w:rPr>
                <w:rFonts w:ascii="Arial Narrow" w:hAnsi="Arial Narrow"/>
                <w:bCs/>
                <w:strike/>
                <w:sz w:val="20"/>
                <w:szCs w:val="20"/>
                <w:lang w:eastAsia="en-AU"/>
              </w:rPr>
              <w:lastRenderedPageBreak/>
              <w:t>The treatment must not exceed a total of 35 cycles of treatment in a lifetime under this restriction.</w:t>
            </w:r>
          </w:p>
        </w:tc>
      </w:tr>
      <w:tr w:rsidR="001D5826" w:rsidRPr="006C4FE0" w14:paraId="5B7863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234B7B5" w14:textId="77777777" w:rsidR="001D5826" w:rsidRPr="00D22C6B" w:rsidRDefault="001D5826" w:rsidP="001D5826">
            <w:pPr>
              <w:rPr>
                <w:rFonts w:ascii="Arial Narrow" w:hAnsi="Arial Narrow"/>
                <w:bCs/>
                <w:i/>
                <w:iCs/>
                <w:strike/>
                <w:sz w:val="20"/>
                <w:szCs w:val="20"/>
                <w:lang w:eastAsia="en-AU"/>
              </w:rPr>
            </w:pPr>
            <w:r w:rsidRPr="00D22C6B">
              <w:rPr>
                <w:rFonts w:ascii="Arial Narrow" w:hAnsi="Arial Narrow"/>
                <w:b/>
                <w:bCs/>
                <w:i/>
                <w:iCs/>
                <w:sz w:val="20"/>
                <w:szCs w:val="20"/>
                <w:lang w:eastAsia="en-AU"/>
              </w:rPr>
              <w:t xml:space="preserve">Treatment criteria: </w:t>
            </w:r>
          </w:p>
        </w:tc>
      </w:tr>
      <w:tr w:rsidR="001D5826" w:rsidRPr="006C4FE0" w14:paraId="30BAD4E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4941A1F" w14:textId="77777777" w:rsidR="001D5826" w:rsidRPr="00D22C6B" w:rsidRDefault="001D5826" w:rsidP="001D5826">
            <w:pPr>
              <w:rPr>
                <w:rFonts w:ascii="Arial Narrow" w:hAnsi="Arial Narrow"/>
                <w:bCs/>
                <w:i/>
                <w:iCs/>
                <w:strike/>
                <w:sz w:val="20"/>
                <w:szCs w:val="20"/>
                <w:lang w:eastAsia="en-AU"/>
              </w:rPr>
            </w:pPr>
            <w:r w:rsidRPr="00D22C6B">
              <w:rPr>
                <w:rFonts w:ascii="Arial Narrow" w:hAnsi="Arial Narrow"/>
                <w:i/>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w:t>
            </w:r>
            <w:proofErr w:type="spellStart"/>
            <w:r w:rsidRPr="00D22C6B">
              <w:rPr>
                <w:rFonts w:ascii="Arial Narrow" w:hAnsi="Arial Narrow"/>
                <w:i/>
                <w:iCs/>
                <w:sz w:val="20"/>
                <w:szCs w:val="20"/>
                <w:lang w:eastAsia="en-AU"/>
              </w:rPr>
              <w:t>i</w:t>
            </w:r>
            <w:proofErr w:type="spellEnd"/>
            <w:r w:rsidRPr="00D22C6B">
              <w:rPr>
                <w:rFonts w:ascii="Arial Narrow" w:hAnsi="Arial Narrow"/>
                <w:i/>
                <w:iCs/>
                <w:sz w:val="20"/>
                <w:szCs w:val="20"/>
                <w:lang w:eastAsia="en-AU"/>
              </w:rPr>
              <w:t>) 24 months, (ii) 35 doses (based on a 3-weekly dose regimen), (iii) disease progression</w:t>
            </w:r>
          </w:p>
        </w:tc>
      </w:tr>
      <w:tr w:rsidR="001D5826" w:rsidRPr="006C4FE0" w14:paraId="66F5FD5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A8774BF" w14:textId="77777777" w:rsidR="001D5826" w:rsidRPr="00D22C6B" w:rsidRDefault="001D5826" w:rsidP="001D5826">
            <w:pPr>
              <w:rPr>
                <w:rFonts w:ascii="Arial Narrow" w:hAnsi="Arial Narrow"/>
                <w:b/>
                <w:bCs/>
                <w:strike/>
                <w:sz w:val="20"/>
                <w:szCs w:val="20"/>
                <w:lang w:eastAsia="en-AU"/>
              </w:rPr>
            </w:pPr>
            <w:r w:rsidRPr="00D22C6B">
              <w:rPr>
                <w:rFonts w:ascii="Arial Narrow" w:hAnsi="Arial Narrow"/>
                <w:b/>
                <w:bCs/>
                <w:strike/>
                <w:sz w:val="20"/>
                <w:szCs w:val="20"/>
                <w:lang w:eastAsia="en-AU"/>
              </w:rPr>
              <w:t xml:space="preserve">Administrative Advice: </w:t>
            </w:r>
          </w:p>
          <w:p w14:paraId="09968567" w14:textId="77777777" w:rsidR="001D5826" w:rsidRPr="00D22C6B" w:rsidRDefault="001D5826" w:rsidP="001D5826">
            <w:pPr>
              <w:rPr>
                <w:rFonts w:ascii="Arial Narrow" w:hAnsi="Arial Narrow"/>
                <w:strike/>
                <w:sz w:val="20"/>
                <w:szCs w:val="20"/>
                <w:lang w:eastAsia="en-AU"/>
              </w:rPr>
            </w:pPr>
            <w:r w:rsidRPr="00D22C6B">
              <w:rPr>
                <w:rFonts w:ascii="Arial Narrow" w:hAnsi="Arial Narrow"/>
                <w:strike/>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6E8874DE" w14:textId="77777777" w:rsidR="001D5826" w:rsidRPr="00D22C6B" w:rsidRDefault="001D5826" w:rsidP="001D5826">
            <w:pPr>
              <w:rPr>
                <w:rFonts w:ascii="Arial Narrow" w:hAnsi="Arial Narrow"/>
                <w:strike/>
                <w:sz w:val="20"/>
                <w:szCs w:val="20"/>
                <w:lang w:eastAsia="en-AU"/>
              </w:rPr>
            </w:pPr>
            <w:r w:rsidRPr="00D22C6B">
              <w:rPr>
                <w:rFonts w:ascii="Arial Narrow" w:hAnsi="Arial Narrow"/>
                <w:strike/>
                <w:sz w:val="20"/>
                <w:szCs w:val="20"/>
                <w:lang w:eastAsia="en-AU"/>
              </w:rPr>
              <w:t>A patient may only qualify for PBS-subsidised treatment under this restriction once.</w:t>
            </w:r>
          </w:p>
          <w:p w14:paraId="03F84830" w14:textId="77777777" w:rsidR="001D5826" w:rsidRPr="00D22C6B" w:rsidRDefault="001D5826" w:rsidP="001D5826">
            <w:pPr>
              <w:rPr>
                <w:rFonts w:ascii="Arial Narrow" w:hAnsi="Arial Narrow"/>
                <w:sz w:val="20"/>
                <w:szCs w:val="20"/>
                <w:lang w:eastAsia="en-AU"/>
              </w:rPr>
            </w:pPr>
            <w:r w:rsidRPr="00D22C6B">
              <w:rPr>
                <w:rFonts w:ascii="Arial Narrow" w:hAnsi="Arial Narrow"/>
                <w:strike/>
                <w:sz w:val="20"/>
                <w:szCs w:val="20"/>
                <w:lang w:eastAsia="en-AU"/>
              </w:rPr>
              <w:t>Following completion of the initial PBS subsidised course, further applications for treatment will be assessed under the continuing treatment restriction.</w:t>
            </w:r>
          </w:p>
        </w:tc>
      </w:tr>
      <w:tr w:rsidR="001D5826" w:rsidRPr="006C4FE0" w14:paraId="01EF22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06045995" w14:textId="77777777" w:rsidR="001D5826" w:rsidRPr="00D22C6B" w:rsidRDefault="001D5826" w:rsidP="001D5826">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p>
          <w:p w14:paraId="6FED6957" w14:textId="77777777" w:rsidR="001D5826" w:rsidRPr="00D22C6B" w:rsidRDefault="001D5826" w:rsidP="001D5826">
            <w:pPr>
              <w:rPr>
                <w:rFonts w:ascii="Arial Narrow" w:hAnsi="Arial Narrow"/>
                <w:b/>
                <w:bCs/>
                <w:i/>
                <w:iCs/>
                <w:strike/>
                <w:sz w:val="20"/>
                <w:szCs w:val="20"/>
                <w:lang w:eastAsia="en-AU"/>
              </w:rPr>
            </w:pPr>
            <w:r w:rsidRPr="00D22C6B">
              <w:rPr>
                <w:rFonts w:ascii="Arial Narrow" w:eastAsia="Calibri" w:hAnsi="Arial Narrow"/>
                <w:bCs/>
                <w:i/>
                <w:iCs/>
                <w:sz w:val="20"/>
                <w:szCs w:val="20"/>
              </w:rPr>
              <w:t>Patients may qualify for PBS-subsidised treatment under this restriction once only. For continuing PBS-subsidised treatment, a 'Grandfathered' patient must qualify under the 'Continuing treatment' criteria.</w:t>
            </w:r>
          </w:p>
        </w:tc>
      </w:tr>
      <w:tr w:rsidR="001D5826" w:rsidRPr="00BC28A1" w14:paraId="510E6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4DF802FC" w14:textId="77777777" w:rsidR="001D5826" w:rsidRPr="00D22C6B" w:rsidRDefault="001D5826" w:rsidP="001D5826">
            <w:pPr>
              <w:rPr>
                <w:rFonts w:ascii="Arial Narrow" w:eastAsia="Calibri" w:hAnsi="Arial Narrow"/>
                <w:b/>
                <w:bCs/>
                <w:i/>
                <w:iCs/>
                <w:sz w:val="20"/>
                <w:szCs w:val="20"/>
              </w:rPr>
            </w:pPr>
            <w:r w:rsidRPr="00D22C6B">
              <w:rPr>
                <w:rFonts w:ascii="Arial Narrow" w:eastAsia="Calibri" w:hAnsi="Arial Narrow"/>
                <w:b/>
                <w:bCs/>
                <w:i/>
                <w:iCs/>
                <w:sz w:val="20"/>
                <w:szCs w:val="20"/>
              </w:rPr>
              <w:t xml:space="preserve">Administrative advice: </w:t>
            </w:r>
          </w:p>
          <w:p w14:paraId="3E97651A" w14:textId="77777777" w:rsidR="001D5826" w:rsidRPr="00D22C6B" w:rsidRDefault="001D5826" w:rsidP="001D5826">
            <w:pPr>
              <w:rPr>
                <w:rFonts w:ascii="Arial Narrow" w:hAnsi="Arial Narrow"/>
                <w:b/>
                <w:bCs/>
                <w:i/>
                <w:iCs/>
                <w:strike/>
                <w:sz w:val="20"/>
                <w:szCs w:val="20"/>
                <w:lang w:eastAsia="en-AU"/>
              </w:rPr>
            </w:pPr>
            <w:r w:rsidRPr="00D22C6B">
              <w:rPr>
                <w:rFonts w:ascii="Arial Narrow" w:eastAsia="Calibri" w:hAnsi="Arial Narrow"/>
                <w:bCs/>
                <w:i/>
                <w:iCs/>
                <w:sz w:val="20"/>
                <w:szCs w:val="20"/>
              </w:rPr>
              <w:t>This grandfather restriction will cease to operate from 12 months after the date specified in the clinical criteria.</w:t>
            </w:r>
          </w:p>
        </w:tc>
      </w:tr>
    </w:tbl>
    <w:p w14:paraId="2FD16AE5" w14:textId="77777777" w:rsidR="00A55C4B" w:rsidRDefault="00A55C4B" w:rsidP="00A55C4B">
      <w:pPr>
        <w:rPr>
          <w:i/>
          <w:iCs/>
        </w:rPr>
      </w:pPr>
    </w:p>
    <w:p w14:paraId="0FFE9A14" w14:textId="22D157D4" w:rsidR="00B35650" w:rsidRPr="00F06FBA" w:rsidRDefault="001D10D8" w:rsidP="00863C38">
      <w:pPr>
        <w:pStyle w:val="ListParagraph"/>
        <w:widowControl/>
        <w:numPr>
          <w:ilvl w:val="1"/>
          <w:numId w:val="1"/>
        </w:numPr>
        <w:rPr>
          <w:rFonts w:asciiTheme="minorHAnsi" w:hAnsiTheme="minorHAnsi" w:cstheme="minorHAnsi"/>
        </w:rPr>
      </w:pPr>
      <w:r>
        <w:rPr>
          <w:iCs/>
        </w:rPr>
        <w:t>T</w:t>
      </w:r>
      <w:r w:rsidR="00B35650" w:rsidRPr="00F06FBA">
        <w:rPr>
          <w:iCs/>
        </w:rPr>
        <w:t xml:space="preserve">he submission stated that a </w:t>
      </w:r>
      <w:r w:rsidR="002A73A8">
        <w:rPr>
          <w:iCs/>
        </w:rPr>
        <w:t>S</w:t>
      </w:r>
      <w:r w:rsidR="00B35650" w:rsidRPr="00F06FBA">
        <w:rPr>
          <w:iCs/>
        </w:rPr>
        <w:t xml:space="preserve">pecial </w:t>
      </w:r>
      <w:r w:rsidR="002A73A8">
        <w:rPr>
          <w:iCs/>
        </w:rPr>
        <w:t>P</w:t>
      </w:r>
      <w:r w:rsidR="00B35650" w:rsidRPr="00F06FBA">
        <w:rPr>
          <w:iCs/>
        </w:rPr>
        <w:t xml:space="preserve">ricing </w:t>
      </w:r>
      <w:r w:rsidR="002A73A8">
        <w:rPr>
          <w:iCs/>
        </w:rPr>
        <w:t>A</w:t>
      </w:r>
      <w:r w:rsidR="00B35650" w:rsidRPr="00F06FBA">
        <w:rPr>
          <w:iCs/>
        </w:rPr>
        <w:t>rrangement (SPA) will be required.</w:t>
      </w:r>
      <w:r w:rsidR="00786396">
        <w:rPr>
          <w:iCs/>
        </w:rPr>
        <w:t xml:space="preserve"> </w:t>
      </w:r>
      <w:r w:rsidR="00786396" w:rsidRPr="00586BAA">
        <w:rPr>
          <w:iCs/>
        </w:rPr>
        <w:t xml:space="preserve">The </w:t>
      </w:r>
      <w:r w:rsidR="00786396">
        <w:rPr>
          <w:iCs/>
        </w:rPr>
        <w:t xml:space="preserve">submission included an ex-manufacturer </w:t>
      </w:r>
      <w:r w:rsidR="00786396" w:rsidRPr="00586BAA">
        <w:rPr>
          <w:iCs/>
        </w:rPr>
        <w:t xml:space="preserve">price per 100 mg vial </w:t>
      </w:r>
      <w:r w:rsidR="00786396">
        <w:rPr>
          <w:iCs/>
        </w:rPr>
        <w:t xml:space="preserve">of </w:t>
      </w:r>
      <w:r w:rsidR="00786396" w:rsidRPr="00586BAA">
        <w:rPr>
          <w:iCs/>
        </w:rPr>
        <w:t>$</w:t>
      </w:r>
      <w:r w:rsidR="00D451EA">
        <w:rPr>
          <w:iCs/>
          <w:noProof/>
          <w:color w:val="000000"/>
          <w:highlight w:val="black"/>
        </w:rPr>
        <w:t>'''''''''''''''''</w:t>
      </w:r>
      <w:r w:rsidR="00786396" w:rsidRPr="00586BAA">
        <w:rPr>
          <w:iCs/>
        </w:rPr>
        <w:t xml:space="preserve"> </w:t>
      </w:r>
      <w:r w:rsidR="00786396">
        <w:rPr>
          <w:iCs/>
        </w:rPr>
        <w:t xml:space="preserve">and the </w:t>
      </w:r>
      <w:r w:rsidR="00AF5B76">
        <w:t>Pre-Sub-Committee Response</w:t>
      </w:r>
      <w:r w:rsidR="00AF5B76">
        <w:rPr>
          <w:iCs/>
        </w:rPr>
        <w:t xml:space="preserve"> (</w:t>
      </w:r>
      <w:r w:rsidR="00786396">
        <w:rPr>
          <w:iCs/>
        </w:rPr>
        <w:t>PSCR</w:t>
      </w:r>
      <w:r w:rsidR="00AF5B76">
        <w:rPr>
          <w:iCs/>
        </w:rPr>
        <w:t>)</w:t>
      </w:r>
      <w:r w:rsidR="00786396">
        <w:rPr>
          <w:iCs/>
        </w:rPr>
        <w:t xml:space="preserve"> proposed a revised price of $</w:t>
      </w:r>
      <w:r w:rsidR="00D451EA">
        <w:rPr>
          <w:iCs/>
          <w:noProof/>
          <w:color w:val="000000"/>
          <w:highlight w:val="black"/>
        </w:rPr>
        <w:t>'''''''''''''''''</w:t>
      </w:r>
    </w:p>
    <w:p w14:paraId="35699E4C" w14:textId="77777777" w:rsidR="001E3B67" w:rsidRPr="001E3B67" w:rsidRDefault="004E0DA6"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is</w:t>
      </w:r>
      <w:r w:rsidR="001E3B67">
        <w:rPr>
          <w:rFonts w:asciiTheme="minorHAnsi" w:hAnsiTheme="minorHAnsi" w:cstheme="minorHAnsi"/>
          <w:iCs/>
        </w:rPr>
        <w:t xml:space="preserve"> generally</w:t>
      </w:r>
      <w:r w:rsidRPr="00586BAA">
        <w:rPr>
          <w:rFonts w:asciiTheme="minorHAnsi" w:hAnsiTheme="minorHAnsi" w:cstheme="minorHAnsi"/>
          <w:iCs/>
        </w:rPr>
        <w:t xml:space="preserve"> consistent with the </w:t>
      </w:r>
      <w:r w:rsidR="00346577" w:rsidRPr="00586BAA">
        <w:rPr>
          <w:rFonts w:asciiTheme="minorHAnsi" w:hAnsiTheme="minorHAnsi" w:cstheme="minorHAnsi"/>
          <w:iCs/>
        </w:rPr>
        <w:t xml:space="preserve">approved </w:t>
      </w:r>
      <w:r w:rsidRPr="00586BAA">
        <w:rPr>
          <w:rFonts w:asciiTheme="minorHAnsi" w:hAnsiTheme="minorHAnsi" w:cstheme="minorHAnsi"/>
          <w:iCs/>
        </w:rPr>
        <w:t>TGA indication and the inclusion criteria of the KN590 trial</w:t>
      </w:r>
      <w:r w:rsidR="001E3B67">
        <w:rPr>
          <w:rFonts w:asciiTheme="minorHAnsi" w:hAnsiTheme="minorHAnsi" w:cstheme="minorHAnsi"/>
          <w:iCs/>
        </w:rPr>
        <w:t>.</w:t>
      </w:r>
      <w:r w:rsidR="0090191C" w:rsidRPr="00586BAA">
        <w:rPr>
          <w:rFonts w:asciiTheme="minorHAnsi" w:hAnsiTheme="minorHAnsi" w:cstheme="minorHAnsi"/>
          <w:iCs/>
        </w:rPr>
        <w:t xml:space="preserve"> </w:t>
      </w:r>
    </w:p>
    <w:p w14:paraId="2FEAA9D2" w14:textId="77777777" w:rsidR="004E0DA6" w:rsidRPr="00586BAA" w:rsidRDefault="0090191C"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HER2-negative status is only relevant to</w:t>
      </w:r>
      <w:r w:rsidR="002A73A8">
        <w:rPr>
          <w:rFonts w:asciiTheme="minorHAnsi" w:hAnsiTheme="minorHAnsi" w:cstheme="minorHAnsi"/>
          <w:iCs/>
        </w:rPr>
        <w:t xml:space="preserve"> patients with AC of the</w:t>
      </w:r>
      <w:r w:rsidRPr="00586BAA">
        <w:rPr>
          <w:rFonts w:asciiTheme="minorHAnsi" w:hAnsiTheme="minorHAnsi" w:cstheme="minorHAnsi"/>
          <w:iCs/>
        </w:rPr>
        <w:t xml:space="preserve"> GOJ</w:t>
      </w:r>
      <w:r w:rsidR="004E0DA6" w:rsidRPr="00586BAA">
        <w:rPr>
          <w:rFonts w:asciiTheme="minorHAnsi" w:hAnsiTheme="minorHAnsi" w:cstheme="minorHAnsi"/>
          <w:iCs/>
        </w:rPr>
        <w:t>.</w:t>
      </w:r>
      <w:r w:rsidR="001E3B67">
        <w:rPr>
          <w:rFonts w:asciiTheme="minorHAnsi" w:hAnsiTheme="minorHAnsi" w:cstheme="minorHAnsi"/>
          <w:iCs/>
        </w:rPr>
        <w:t xml:space="preserve"> </w:t>
      </w:r>
      <w:r w:rsidR="001E3B67">
        <w:rPr>
          <w:rFonts w:asciiTheme="minorHAnsi" w:hAnsiTheme="minorHAnsi" w:cstheme="minorHAnsi"/>
        </w:rPr>
        <w:t>P</w:t>
      </w:r>
      <w:r w:rsidR="001E3B67" w:rsidRPr="009F282A">
        <w:rPr>
          <w:rFonts w:asciiTheme="minorHAnsi" w:hAnsiTheme="minorHAnsi" w:cstheme="minorHAnsi"/>
        </w:rPr>
        <w:t>atients with</w:t>
      </w:r>
      <w:r w:rsidR="002A73A8">
        <w:rPr>
          <w:rFonts w:asciiTheme="minorHAnsi" w:hAnsiTheme="minorHAnsi" w:cstheme="minorHAnsi"/>
        </w:rPr>
        <w:t xml:space="preserve"> AC of the</w:t>
      </w:r>
      <w:r w:rsidR="001E3B67" w:rsidRPr="009F282A">
        <w:rPr>
          <w:rFonts w:asciiTheme="minorHAnsi" w:hAnsiTheme="minorHAnsi" w:cstheme="minorHAnsi"/>
        </w:rPr>
        <w:t xml:space="preserve"> GOJ would receive a HER2 test</w:t>
      </w:r>
      <w:r w:rsidR="00FF1627">
        <w:rPr>
          <w:rFonts w:asciiTheme="minorHAnsi" w:hAnsiTheme="minorHAnsi" w:cstheme="minorHAnsi"/>
        </w:rPr>
        <w:t xml:space="preserve"> </w:t>
      </w:r>
      <w:r w:rsidR="006E1BC8">
        <w:rPr>
          <w:rFonts w:asciiTheme="minorHAnsi" w:hAnsiTheme="minorHAnsi" w:cstheme="minorHAnsi"/>
        </w:rPr>
        <w:t xml:space="preserve">to determine eligibility for </w:t>
      </w:r>
      <w:r w:rsidR="00FF1627">
        <w:rPr>
          <w:rFonts w:asciiTheme="minorHAnsi" w:hAnsiTheme="minorHAnsi" w:cstheme="minorHAnsi"/>
        </w:rPr>
        <w:t xml:space="preserve">treatment with </w:t>
      </w:r>
      <w:r w:rsidR="001E3B67" w:rsidRPr="009F282A">
        <w:rPr>
          <w:rFonts w:asciiTheme="minorHAnsi" w:hAnsiTheme="minorHAnsi" w:cstheme="minorHAnsi"/>
        </w:rPr>
        <w:t>trastuzumab</w:t>
      </w:r>
      <w:r w:rsidR="00786396">
        <w:rPr>
          <w:rFonts w:asciiTheme="minorHAnsi" w:hAnsiTheme="minorHAnsi" w:cstheme="minorHAnsi"/>
        </w:rPr>
        <w:t xml:space="preserve"> (</w:t>
      </w:r>
      <w:r w:rsidR="00FF1627">
        <w:rPr>
          <w:rFonts w:asciiTheme="minorHAnsi" w:hAnsiTheme="minorHAnsi" w:cstheme="minorHAnsi"/>
        </w:rPr>
        <w:t xml:space="preserve">which is </w:t>
      </w:r>
      <w:r w:rsidR="00786396">
        <w:rPr>
          <w:rFonts w:asciiTheme="minorHAnsi" w:hAnsiTheme="minorHAnsi" w:cstheme="minorHAnsi"/>
        </w:rPr>
        <w:t>PBS listed for HER2</w:t>
      </w:r>
      <w:r w:rsidR="00FF1627">
        <w:rPr>
          <w:rFonts w:asciiTheme="minorHAnsi" w:hAnsiTheme="minorHAnsi" w:cstheme="minorHAnsi"/>
        </w:rPr>
        <w:t>-positive</w:t>
      </w:r>
      <w:r w:rsidR="00786396">
        <w:rPr>
          <w:rFonts w:asciiTheme="minorHAnsi" w:hAnsiTheme="minorHAnsi" w:cstheme="minorHAnsi"/>
        </w:rPr>
        <w:t xml:space="preserve"> GOJ)</w:t>
      </w:r>
      <w:r w:rsidR="001E3B67" w:rsidRPr="009F282A">
        <w:rPr>
          <w:rFonts w:asciiTheme="minorHAnsi" w:hAnsiTheme="minorHAnsi" w:cstheme="minorHAnsi"/>
        </w:rPr>
        <w:t xml:space="preserve">, </w:t>
      </w:r>
      <w:r w:rsidR="001E3B67">
        <w:rPr>
          <w:rFonts w:asciiTheme="minorHAnsi" w:hAnsiTheme="minorHAnsi" w:cstheme="minorHAnsi"/>
        </w:rPr>
        <w:t xml:space="preserve">but </w:t>
      </w:r>
      <w:r w:rsidR="001E3B67" w:rsidRPr="009F282A">
        <w:rPr>
          <w:rFonts w:asciiTheme="minorHAnsi" w:hAnsiTheme="minorHAnsi" w:cstheme="minorHAnsi"/>
        </w:rPr>
        <w:t xml:space="preserve">patients with OAC and OSCC may not routinely receive a HER2 test, and thus have unknown HER2 status. </w:t>
      </w:r>
    </w:p>
    <w:p w14:paraId="58819975" w14:textId="77777777" w:rsidR="00A50594" w:rsidRPr="00030D59" w:rsidRDefault="00A50594" w:rsidP="00030D59">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state</w:t>
      </w:r>
      <w:r w:rsidR="00346577" w:rsidRPr="00586BAA">
        <w:rPr>
          <w:rFonts w:asciiTheme="minorHAnsi" w:hAnsiTheme="minorHAnsi" w:cstheme="minorHAnsi"/>
          <w:iCs/>
        </w:rPr>
        <w:t>d</w:t>
      </w:r>
      <w:r w:rsidRPr="00586BAA">
        <w:rPr>
          <w:rFonts w:asciiTheme="minorHAnsi" w:hAnsiTheme="minorHAnsi" w:cstheme="minorHAnsi"/>
          <w:iCs/>
        </w:rPr>
        <w:t>: “</w:t>
      </w:r>
      <w:r w:rsidRPr="00586BAA">
        <w:t>The treatment must be commenced in combination with platinum- and fluoropyrimidine-based chemotherapy</w:t>
      </w:r>
      <w:r w:rsidR="004549A1" w:rsidRPr="00586BAA">
        <w:t>.</w:t>
      </w:r>
      <w:r w:rsidRPr="00586BAA">
        <w:t xml:space="preserve">” </w:t>
      </w:r>
      <w:r w:rsidR="004549A1" w:rsidRPr="00586BAA">
        <w:t xml:space="preserve">The Secretariat </w:t>
      </w:r>
      <w:r w:rsidR="00003B1B">
        <w:t>suggested rewording to</w:t>
      </w:r>
      <w:r w:rsidR="004549A1" w:rsidRPr="00586BAA">
        <w:t xml:space="preserve"> “Patient must be undergoing concomitant treatment with chemotherapy, at least at treatment initiation with this drug, containing a minimum of: (</w:t>
      </w:r>
      <w:proofErr w:type="spellStart"/>
      <w:r w:rsidR="004549A1" w:rsidRPr="00586BAA">
        <w:t>i</w:t>
      </w:r>
      <w:proofErr w:type="spellEnd"/>
      <w:r w:rsidR="004549A1" w:rsidRPr="00586BAA">
        <w:t>) a platinum agent, plus (ii) a fluoropyrimidine agent</w:t>
      </w:r>
      <w:r w:rsidR="00030D59">
        <w:t>”. The PBAC considered this could be simplified to “</w:t>
      </w:r>
      <w:r w:rsidR="00030D59" w:rsidRPr="00586BAA">
        <w:t xml:space="preserve">Patient must be undergoing </w:t>
      </w:r>
      <w:r w:rsidR="00030D59" w:rsidRPr="00030D59">
        <w:t>concomitant chemotherapy</w:t>
      </w:r>
      <w:r w:rsidR="00030D59">
        <w:t xml:space="preserve"> with</w:t>
      </w:r>
      <w:r w:rsidR="00030D59" w:rsidRPr="00030D59">
        <w:t xml:space="preserve"> </w:t>
      </w:r>
      <w:r w:rsidR="00030D59">
        <w:t xml:space="preserve">a platinum agent plus </w:t>
      </w:r>
      <w:r w:rsidR="00030D59" w:rsidRPr="00030D59">
        <w:t>a fluoropyrimidine agent at treatment initiation with this drug</w:t>
      </w:r>
      <w:r w:rsidR="00030D59">
        <w:t xml:space="preserve">”. </w:t>
      </w:r>
      <w:r w:rsidR="004549A1" w:rsidRPr="00586BAA">
        <w:t xml:space="preserve">The </w:t>
      </w:r>
      <w:r w:rsidR="00003B1B">
        <w:t xml:space="preserve">criterion </w:t>
      </w:r>
      <w:r w:rsidR="004549A1" w:rsidRPr="00586BAA">
        <w:t>permits use of pembrolizumab with cisplatin + 5-FU, FOLFOX, or XELOX/</w:t>
      </w:r>
      <w:r w:rsidR="004549A1" w:rsidRPr="0005561F">
        <w:t xml:space="preserve">CAPOX (paragraph </w:t>
      </w:r>
      <w:r w:rsidR="0005561F">
        <w:t>5.2</w:t>
      </w:r>
      <w:r w:rsidR="00875FDA" w:rsidRPr="0005561F">
        <w:t>)</w:t>
      </w:r>
      <w:r w:rsidR="004549A1" w:rsidRPr="0005561F">
        <w:t>.</w:t>
      </w:r>
    </w:p>
    <w:p w14:paraId="7EE8F1DF" w14:textId="77777777" w:rsidR="00FF5051" w:rsidRPr="004E5660" w:rsidRDefault="00FF5051" w:rsidP="00FF5051">
      <w:pPr>
        <w:pStyle w:val="ListParagraph"/>
        <w:widowControl/>
        <w:numPr>
          <w:ilvl w:val="1"/>
          <w:numId w:val="1"/>
        </w:numPr>
        <w:rPr>
          <w:rFonts w:asciiTheme="minorHAnsi" w:hAnsiTheme="minorHAnsi" w:cstheme="minorHAnsi"/>
        </w:rPr>
      </w:pPr>
      <w:bookmarkStart w:id="8" w:name="_Ref89942213"/>
      <w:r w:rsidRPr="00FF5051">
        <w:rPr>
          <w:rFonts w:asciiTheme="minorHAnsi" w:hAnsiTheme="minorHAnsi" w:cstheme="minorHAnsi"/>
          <w:iCs/>
        </w:rPr>
        <w:t xml:space="preserve">The PBAC considered that the restriction should reflect that a requirement for HER2 testing should only apply to patients with AC of the GOJ, and to fully align with the TGA outcome, the restriction should specify the location of the tumour centre above the junction (1 to 5 cm) by stating “Siewert type I adenocarcinoma of </w:t>
      </w:r>
      <w:proofErr w:type="spellStart"/>
      <w:r w:rsidRPr="00FF5051">
        <w:rPr>
          <w:rFonts w:asciiTheme="minorHAnsi" w:hAnsiTheme="minorHAnsi" w:cstheme="minorHAnsi"/>
          <w:iCs/>
        </w:rPr>
        <w:t>oesophagogastric</w:t>
      </w:r>
      <w:proofErr w:type="spellEnd"/>
      <w:r w:rsidRPr="00FF5051">
        <w:rPr>
          <w:rFonts w:asciiTheme="minorHAnsi" w:hAnsiTheme="minorHAnsi" w:cstheme="minorHAnsi"/>
          <w:iCs/>
        </w:rPr>
        <w:t xml:space="preserve"> junction” as part of the restriction condition</w:t>
      </w:r>
      <w:r>
        <w:rPr>
          <w:rFonts w:asciiTheme="minorHAnsi" w:hAnsiTheme="minorHAnsi" w:cstheme="minorHAnsi"/>
          <w:iCs/>
        </w:rPr>
        <w:t xml:space="preserve">. The PBAC considered </w:t>
      </w:r>
      <w:r w:rsidR="000F47CE">
        <w:rPr>
          <w:rFonts w:asciiTheme="minorHAnsi" w:hAnsiTheme="minorHAnsi" w:cstheme="minorHAnsi"/>
          <w:iCs/>
        </w:rPr>
        <w:t xml:space="preserve">the restriction should specify </w:t>
      </w:r>
      <w:r>
        <w:rPr>
          <w:rFonts w:asciiTheme="minorHAnsi" w:hAnsiTheme="minorHAnsi" w:cstheme="minorHAnsi"/>
          <w:iCs/>
        </w:rPr>
        <w:t xml:space="preserve">Siewert type I GOJ cancer. The PBAC noted that even </w:t>
      </w:r>
      <w:r>
        <w:rPr>
          <w:rFonts w:asciiTheme="minorHAnsi" w:hAnsiTheme="minorHAnsi" w:cstheme="minorHAnsi"/>
          <w:iCs/>
        </w:rPr>
        <w:lastRenderedPageBreak/>
        <w:t>with inclusion of this wording there was a risk pembrolizumab would be used in Siewert type II and III GOJ and gastric cancer.</w:t>
      </w:r>
      <w:bookmarkEnd w:id="8"/>
    </w:p>
    <w:p w14:paraId="4993E615" w14:textId="77777777" w:rsidR="006B2687" w:rsidRPr="00586BAA" w:rsidRDefault="006B2687" w:rsidP="00CB71F0">
      <w:pPr>
        <w:pStyle w:val="ListParagraph"/>
        <w:widowControl/>
        <w:spacing w:after="240"/>
        <w:rPr>
          <w:rFonts w:asciiTheme="minorHAnsi" w:hAnsiTheme="minorHAnsi" w:cstheme="minorHAnsi"/>
        </w:rPr>
      </w:pPr>
      <w:r w:rsidRPr="002A73A8">
        <w:rPr>
          <w:rFonts w:asciiTheme="minorHAnsi" w:hAnsiTheme="minorHAnsi"/>
          <w:i/>
        </w:rPr>
        <w:t>For more detail on PBAC’s view, see section 7 PBAC outcome.</w:t>
      </w:r>
    </w:p>
    <w:p w14:paraId="5EBED163" w14:textId="04B606CC" w:rsidR="004E0DA6" w:rsidRPr="00CB71F0" w:rsidRDefault="004E0DA6" w:rsidP="00CB71F0">
      <w:pPr>
        <w:pStyle w:val="PBACHeading1"/>
        <w:spacing w:after="120"/>
      </w:pPr>
      <w:bookmarkStart w:id="9" w:name="_Toc79761894"/>
      <w:r>
        <w:t>Population and disease</w:t>
      </w:r>
      <w:bookmarkEnd w:id="9"/>
    </w:p>
    <w:p w14:paraId="5973A57F" w14:textId="77777777" w:rsidR="004E0DA6" w:rsidRPr="008E5320" w:rsidRDefault="004E0DA6" w:rsidP="00863C38">
      <w:pPr>
        <w:pStyle w:val="ListParagraph"/>
        <w:widowControl/>
        <w:numPr>
          <w:ilvl w:val="1"/>
          <w:numId w:val="1"/>
        </w:numPr>
        <w:rPr>
          <w:rFonts w:asciiTheme="minorHAnsi" w:hAnsiTheme="minorHAnsi" w:cstheme="minorHAnsi"/>
          <w:iCs/>
        </w:rPr>
      </w:pPr>
      <w:r w:rsidRPr="008E5320">
        <w:rPr>
          <w:rFonts w:asciiTheme="minorHAnsi" w:hAnsiTheme="minorHAnsi" w:cstheme="minorHAnsi"/>
          <w:iCs/>
        </w:rPr>
        <w:t>Oesophageal cancer is the eighth</w:t>
      </w:r>
      <w:r w:rsidR="00171867" w:rsidRPr="008E5320">
        <w:rPr>
          <w:rFonts w:asciiTheme="minorHAnsi" w:hAnsiTheme="minorHAnsi" w:cstheme="minorHAnsi"/>
          <w:iCs/>
        </w:rPr>
        <w:t xml:space="preserve"> </w:t>
      </w:r>
      <w:r w:rsidRPr="008E5320">
        <w:rPr>
          <w:rFonts w:asciiTheme="minorHAnsi" w:hAnsiTheme="minorHAnsi" w:cstheme="minorHAnsi"/>
          <w:iCs/>
        </w:rPr>
        <w:t>most common cancer and the sixth</w:t>
      </w:r>
      <w:r w:rsidR="00171867" w:rsidRPr="008E5320">
        <w:rPr>
          <w:rFonts w:asciiTheme="minorHAnsi" w:hAnsiTheme="minorHAnsi" w:cstheme="minorHAnsi"/>
          <w:iCs/>
        </w:rPr>
        <w:t xml:space="preserve"> </w:t>
      </w:r>
      <w:r w:rsidRPr="008E5320">
        <w:rPr>
          <w:rFonts w:asciiTheme="minorHAnsi" w:hAnsiTheme="minorHAnsi" w:cstheme="minorHAnsi"/>
          <w:iCs/>
        </w:rPr>
        <w:t xml:space="preserve">most common cause of </w:t>
      </w:r>
      <w:r w:rsidR="00350913" w:rsidRPr="008E5320">
        <w:rPr>
          <w:rFonts w:asciiTheme="minorHAnsi" w:hAnsiTheme="minorHAnsi" w:cstheme="minorHAnsi"/>
          <w:iCs/>
        </w:rPr>
        <w:t xml:space="preserve">cancer </w:t>
      </w:r>
      <w:r w:rsidRPr="008E5320">
        <w:rPr>
          <w:rFonts w:asciiTheme="minorHAnsi" w:hAnsiTheme="minorHAnsi" w:cstheme="minorHAnsi"/>
          <w:iCs/>
        </w:rPr>
        <w:t>death worldwide. Squamous cell carcinoma and adenocarcinoma account for over 95 per</w:t>
      </w:r>
      <w:r w:rsidR="00171867" w:rsidRPr="008E5320">
        <w:rPr>
          <w:rFonts w:asciiTheme="minorHAnsi" w:hAnsiTheme="minorHAnsi" w:cstheme="minorHAnsi"/>
          <w:iCs/>
        </w:rPr>
        <w:t xml:space="preserve"> </w:t>
      </w:r>
      <w:r w:rsidRPr="008E5320">
        <w:rPr>
          <w:rFonts w:asciiTheme="minorHAnsi" w:hAnsiTheme="minorHAnsi" w:cstheme="minorHAnsi"/>
          <w:iCs/>
        </w:rPr>
        <w:t>cent of oesophageal malignant tumours (Saltzman 2021</w:t>
      </w:r>
      <w:r w:rsidRPr="008E5320">
        <w:rPr>
          <w:rStyle w:val="FootnoteReference"/>
          <w:rFonts w:asciiTheme="minorHAnsi" w:hAnsiTheme="minorHAnsi" w:cstheme="minorHAnsi"/>
          <w:iCs/>
        </w:rPr>
        <w:footnoteReference w:id="1"/>
      </w:r>
      <w:r w:rsidRPr="008E5320">
        <w:rPr>
          <w:rFonts w:asciiTheme="minorHAnsi" w:hAnsiTheme="minorHAnsi" w:cstheme="minorHAnsi"/>
          <w:iCs/>
        </w:rPr>
        <w:t xml:space="preserve">). Smoking and alcohol are major risk factors for </w:t>
      </w:r>
      <w:r w:rsidR="00453190" w:rsidRPr="008E5320">
        <w:rPr>
          <w:rFonts w:asciiTheme="minorHAnsi" w:hAnsiTheme="minorHAnsi" w:cstheme="minorHAnsi"/>
          <w:iCs/>
        </w:rPr>
        <w:t>O</w:t>
      </w:r>
      <w:r w:rsidRPr="008E5320">
        <w:rPr>
          <w:rFonts w:asciiTheme="minorHAnsi" w:hAnsiTheme="minorHAnsi" w:cstheme="minorHAnsi"/>
          <w:iCs/>
        </w:rPr>
        <w:t xml:space="preserve">SCC, while Barrett's oesophagus with intestinal metaplasia (a complication of gastroesophageal reflux disease), obesity, and smoking are risk factors for </w:t>
      </w:r>
      <w:r w:rsidR="00453190" w:rsidRPr="008E5320">
        <w:rPr>
          <w:rFonts w:asciiTheme="minorHAnsi" w:hAnsiTheme="minorHAnsi" w:cstheme="minorHAnsi"/>
          <w:iCs/>
        </w:rPr>
        <w:t>OAC</w:t>
      </w:r>
      <w:r w:rsidRPr="008E5320">
        <w:rPr>
          <w:rFonts w:asciiTheme="minorHAnsi" w:hAnsiTheme="minorHAnsi" w:cstheme="minorHAnsi"/>
          <w:iCs/>
        </w:rPr>
        <w:t xml:space="preserve">. </w:t>
      </w:r>
    </w:p>
    <w:p w14:paraId="44A0CD82" w14:textId="77777777" w:rsidR="004E0DA6" w:rsidRPr="008E5320" w:rsidRDefault="004E0DA6" w:rsidP="00863C38">
      <w:pPr>
        <w:pStyle w:val="ListParagraph"/>
        <w:widowControl/>
        <w:numPr>
          <w:ilvl w:val="1"/>
          <w:numId w:val="1"/>
        </w:numPr>
        <w:rPr>
          <w:rFonts w:asciiTheme="minorHAnsi" w:hAnsiTheme="minorHAnsi" w:cstheme="minorHAnsi"/>
          <w:iCs/>
        </w:rPr>
      </w:pPr>
      <w:bookmarkStart w:id="10" w:name="_Ref89250995"/>
      <w:r w:rsidRPr="008E5320">
        <w:rPr>
          <w:rFonts w:asciiTheme="minorHAnsi" w:hAnsiTheme="minorHAnsi" w:cstheme="minorHAnsi"/>
          <w:iCs/>
          <w:color w:val="000000" w:themeColor="text1"/>
        </w:rPr>
        <w:t>In a review of all oesophageal cancer patients presented to the South Australia state-wide upper gastrointestinal cancer multi-disciplinary team from 2012 to 2014 (Nguyen 2019</w:t>
      </w:r>
      <w:r w:rsidR="00912877">
        <w:rPr>
          <w:rStyle w:val="FootnoteReference"/>
          <w:rFonts w:asciiTheme="minorHAnsi" w:hAnsiTheme="minorHAnsi" w:cstheme="minorHAnsi"/>
          <w:iCs/>
          <w:color w:val="000000" w:themeColor="text1"/>
        </w:rPr>
        <w:footnoteReference w:id="2"/>
      </w:r>
      <w:r w:rsidRPr="008E5320">
        <w:rPr>
          <w:rFonts w:asciiTheme="minorHAnsi" w:hAnsiTheme="minorHAnsi" w:cstheme="minorHAnsi"/>
          <w:iCs/>
          <w:color w:val="000000" w:themeColor="text1"/>
        </w:rPr>
        <w:t xml:space="preserve">), the diagnosis was </w:t>
      </w:r>
      <w:r w:rsidR="00453190" w:rsidRPr="008E5320">
        <w:rPr>
          <w:rFonts w:asciiTheme="minorHAnsi" w:hAnsiTheme="minorHAnsi" w:cstheme="minorHAnsi"/>
          <w:iCs/>
          <w:color w:val="000000" w:themeColor="text1"/>
        </w:rPr>
        <w:t xml:space="preserve">OAC </w:t>
      </w:r>
      <w:r w:rsidRPr="008E5320">
        <w:rPr>
          <w:rFonts w:asciiTheme="minorHAnsi" w:hAnsiTheme="minorHAnsi" w:cstheme="minorHAnsi"/>
          <w:iCs/>
          <w:color w:val="000000" w:themeColor="text1"/>
        </w:rPr>
        <w:t xml:space="preserve">in 69.6%, </w:t>
      </w:r>
      <w:r w:rsidR="00453190" w:rsidRPr="008E5320">
        <w:rPr>
          <w:rFonts w:asciiTheme="minorHAnsi" w:hAnsiTheme="minorHAnsi" w:cstheme="minorHAnsi"/>
          <w:iCs/>
          <w:color w:val="000000" w:themeColor="text1"/>
        </w:rPr>
        <w:t xml:space="preserve">OSCC </w:t>
      </w:r>
      <w:r w:rsidRPr="008E5320">
        <w:rPr>
          <w:rFonts w:asciiTheme="minorHAnsi" w:hAnsiTheme="minorHAnsi" w:cstheme="minorHAnsi"/>
          <w:iCs/>
          <w:color w:val="000000" w:themeColor="text1"/>
        </w:rPr>
        <w:t xml:space="preserve">in 24.8% and </w:t>
      </w:r>
      <w:proofErr w:type="gramStart"/>
      <w:r w:rsidRPr="008E5320">
        <w:rPr>
          <w:rFonts w:asciiTheme="minorHAnsi" w:hAnsiTheme="minorHAnsi" w:cstheme="minorHAnsi"/>
          <w:iCs/>
          <w:color w:val="000000" w:themeColor="text1"/>
        </w:rPr>
        <w:t>high grade</w:t>
      </w:r>
      <w:proofErr w:type="gramEnd"/>
      <w:r w:rsidRPr="008E5320">
        <w:rPr>
          <w:rFonts w:asciiTheme="minorHAnsi" w:hAnsiTheme="minorHAnsi" w:cstheme="minorHAnsi"/>
          <w:iCs/>
          <w:color w:val="000000" w:themeColor="text1"/>
        </w:rPr>
        <w:t xml:space="preserve"> dysplasia (HGD) in 5.6%. </w:t>
      </w:r>
      <w:proofErr w:type="gramStart"/>
      <w:r w:rsidRPr="008E5320">
        <w:rPr>
          <w:rFonts w:asciiTheme="minorHAnsi" w:hAnsiTheme="minorHAnsi" w:cstheme="minorHAnsi"/>
          <w:iCs/>
          <w:color w:val="000000" w:themeColor="text1"/>
        </w:rPr>
        <w:t>The majority of</w:t>
      </w:r>
      <w:proofErr w:type="gramEnd"/>
      <w:r w:rsidRPr="008E5320">
        <w:rPr>
          <w:rFonts w:asciiTheme="minorHAnsi" w:hAnsiTheme="minorHAnsi" w:cstheme="minorHAnsi"/>
          <w:iCs/>
          <w:color w:val="000000" w:themeColor="text1"/>
        </w:rPr>
        <w:t xml:space="preserve"> patients presented with </w:t>
      </w:r>
      <w:r w:rsidR="00171867" w:rsidRPr="008E5320">
        <w:rPr>
          <w:rFonts w:asciiTheme="minorHAnsi" w:hAnsiTheme="minorHAnsi" w:cstheme="minorHAnsi"/>
          <w:iCs/>
          <w:color w:val="000000" w:themeColor="text1"/>
        </w:rPr>
        <w:t>S</w:t>
      </w:r>
      <w:r w:rsidRPr="008E5320">
        <w:rPr>
          <w:rFonts w:asciiTheme="minorHAnsi" w:hAnsiTheme="minorHAnsi" w:cstheme="minorHAnsi"/>
          <w:iCs/>
          <w:color w:val="000000" w:themeColor="text1"/>
        </w:rPr>
        <w:t>tage II and III disease (56.8%). A total of 51.5% were treated with curative intent, with 28.8% undergoing surgery and/or neoadjuvant therapy. Treatment was palliative in 48.5%, with chemoradiotherapy utilised in 20.8%.</w:t>
      </w:r>
      <w:bookmarkEnd w:id="10"/>
      <w:r w:rsidRPr="008E5320">
        <w:rPr>
          <w:rFonts w:asciiTheme="minorHAnsi" w:hAnsiTheme="minorHAnsi" w:cstheme="minorHAnsi"/>
          <w:iCs/>
          <w:color w:val="000000" w:themeColor="text1"/>
        </w:rPr>
        <w:t xml:space="preserve"> </w:t>
      </w:r>
    </w:p>
    <w:p w14:paraId="67F8BBEE" w14:textId="77777777" w:rsidR="004E0DA6" w:rsidRPr="00C7614F" w:rsidRDefault="006B2687" w:rsidP="00CB71F0">
      <w:pPr>
        <w:pStyle w:val="ListParagraph"/>
        <w:widowControl/>
        <w:spacing w:after="240"/>
        <w:rPr>
          <w:rFonts w:asciiTheme="minorHAnsi" w:hAnsiTheme="minorHAnsi" w:cstheme="minorHAnsi"/>
        </w:rPr>
      </w:pPr>
      <w:r w:rsidRPr="000759D0">
        <w:rPr>
          <w:rFonts w:asciiTheme="minorHAnsi" w:hAnsiTheme="minorHAnsi"/>
          <w:i/>
        </w:rPr>
        <w:t>For more detail on PBAC’s view, see section 7 PBAC outcome.</w:t>
      </w:r>
      <w:r w:rsidR="004E0DA6" w:rsidRPr="00197FE9">
        <w:rPr>
          <w:rFonts w:asciiTheme="minorHAnsi" w:hAnsiTheme="minorHAnsi" w:cstheme="minorHAnsi"/>
          <w:color w:val="000000" w:themeColor="text1"/>
        </w:rPr>
        <w:t xml:space="preserve"> </w:t>
      </w:r>
    </w:p>
    <w:p w14:paraId="7D6FCBAD" w14:textId="09FE3175" w:rsidR="004E0DA6" w:rsidRPr="00CB71F0" w:rsidRDefault="004E0DA6" w:rsidP="00CB71F0">
      <w:pPr>
        <w:pStyle w:val="PBACHeading1"/>
        <w:keepNext/>
        <w:keepLines/>
        <w:spacing w:after="120"/>
      </w:pPr>
      <w:bookmarkStart w:id="11" w:name="_Toc79761895"/>
      <w:r w:rsidRPr="00407F2D">
        <w:t>Comparator</w:t>
      </w:r>
      <w:bookmarkEnd w:id="11"/>
    </w:p>
    <w:p w14:paraId="44E5B8DD" w14:textId="77777777" w:rsidR="00A55C4B" w:rsidRPr="00171867" w:rsidRDefault="00A55C4B" w:rsidP="004F403E">
      <w:pPr>
        <w:pStyle w:val="ListParagraph"/>
        <w:keepNext/>
        <w:keepLines/>
        <w:widowControl/>
        <w:numPr>
          <w:ilvl w:val="1"/>
          <w:numId w:val="1"/>
        </w:numPr>
        <w:rPr>
          <w:rFonts w:asciiTheme="minorHAnsi" w:hAnsiTheme="minorHAnsi" w:cstheme="minorHAnsi"/>
        </w:rPr>
      </w:pPr>
      <w:bookmarkStart w:id="12" w:name="_Ref89246756"/>
      <w:r w:rsidRPr="001009D9">
        <w:t xml:space="preserve">The submission noted that there is no single main comparator, since the choice of agent in first line is determined by the patients’ performance status, organ function and the ability to swallow. There are currently </w:t>
      </w:r>
      <w:r w:rsidR="00171867">
        <w:t>three</w:t>
      </w:r>
      <w:r w:rsidRPr="001009D9">
        <w:t xml:space="preserve"> main chemotherapy regimens used in Australia and recommended by Australian </w:t>
      </w:r>
      <w:r w:rsidRPr="00171867">
        <w:t>Guidelines:</w:t>
      </w:r>
      <w:bookmarkEnd w:id="12"/>
    </w:p>
    <w:p w14:paraId="3BF1CA6E" w14:textId="77777777" w:rsidR="00A55C4B" w:rsidRPr="001009D9" w:rsidRDefault="00A55C4B" w:rsidP="00863C38">
      <w:pPr>
        <w:pStyle w:val="ListParagraph"/>
        <w:numPr>
          <w:ilvl w:val="0"/>
          <w:numId w:val="4"/>
        </w:numPr>
        <w:ind w:left="1134" w:hanging="425"/>
      </w:pPr>
      <w:r w:rsidRPr="001009D9">
        <w:t>Cisplatin and fluorouracil (5-FU</w:t>
      </w:r>
      <w:proofErr w:type="gramStart"/>
      <w:r w:rsidRPr="001009D9">
        <w:t>)</w:t>
      </w:r>
      <w:r w:rsidR="00171867">
        <w:t>;</w:t>
      </w:r>
      <w:proofErr w:type="gramEnd"/>
    </w:p>
    <w:p w14:paraId="45EFB720" w14:textId="77777777" w:rsidR="00A55C4B" w:rsidRPr="001009D9" w:rsidRDefault="00A55C4B" w:rsidP="00863C38">
      <w:pPr>
        <w:pStyle w:val="ListParagraph"/>
        <w:numPr>
          <w:ilvl w:val="0"/>
          <w:numId w:val="4"/>
        </w:numPr>
        <w:ind w:left="1134" w:hanging="425"/>
      </w:pPr>
      <w:r w:rsidRPr="001009D9">
        <w:t>Oxaliplatin and capecitabine (XELOX</w:t>
      </w:r>
      <w:r w:rsidR="00171867">
        <w:t>/</w:t>
      </w:r>
      <w:r w:rsidR="00171867" w:rsidRPr="001009D9">
        <w:t>CAPOX</w:t>
      </w:r>
      <w:r w:rsidR="00171867">
        <w:t>); and</w:t>
      </w:r>
    </w:p>
    <w:p w14:paraId="18512650" w14:textId="77777777" w:rsidR="00A55C4B" w:rsidRPr="00A55C4B" w:rsidRDefault="00A55C4B" w:rsidP="00863C38">
      <w:pPr>
        <w:pStyle w:val="ListParagraph"/>
        <w:numPr>
          <w:ilvl w:val="0"/>
          <w:numId w:val="4"/>
        </w:numPr>
        <w:ind w:left="1134" w:hanging="425"/>
      </w:pPr>
      <w:r w:rsidRPr="001009D9">
        <w:t>Leucovorin calcium (</w:t>
      </w:r>
      <w:proofErr w:type="spellStart"/>
      <w:r w:rsidRPr="001009D9">
        <w:t>folinic</w:t>
      </w:r>
      <w:proofErr w:type="spellEnd"/>
      <w:r w:rsidRPr="001009D9">
        <w:t xml:space="preserve"> acid), 5-FU and oxaliplatin (FOLFOX)</w:t>
      </w:r>
      <w:r w:rsidR="00171867">
        <w:t>.</w:t>
      </w:r>
    </w:p>
    <w:p w14:paraId="7C377CD0" w14:textId="54232267" w:rsidR="00A55C4B" w:rsidRPr="00586BAA" w:rsidRDefault="00FF389B" w:rsidP="00863C38">
      <w:pPr>
        <w:pStyle w:val="ListParagraph"/>
        <w:widowControl/>
        <w:numPr>
          <w:ilvl w:val="1"/>
          <w:numId w:val="1"/>
        </w:numPr>
        <w:rPr>
          <w:rFonts w:asciiTheme="minorHAnsi" w:hAnsiTheme="minorHAnsi" w:cstheme="minorHAnsi"/>
        </w:rPr>
      </w:pPr>
      <w:bookmarkStart w:id="13" w:name="_Ref89757003"/>
      <w:r w:rsidRPr="00586BAA">
        <w:rPr>
          <w:iCs/>
        </w:rPr>
        <w:lastRenderedPageBreak/>
        <w:t xml:space="preserve">The submission stated that cisplatin + 5-FU has been selected as representative of all platinum- and 5-FU-based regimens and is therefore representative of all standard of care comparators. </w:t>
      </w:r>
      <w:r w:rsidR="00A55C4B" w:rsidRPr="00586BAA">
        <w:t>The submission noted</w:t>
      </w:r>
      <w:r w:rsidR="00E90596" w:rsidRPr="00586BAA">
        <w:t xml:space="preserve"> </w:t>
      </w:r>
      <w:r w:rsidR="00A55C4B" w:rsidRPr="00586BAA">
        <w:t>that all three regimens are used in practice</w:t>
      </w:r>
      <w:r w:rsidR="00AB2C44" w:rsidRPr="00586BAA">
        <w:t>, with clinicians considering them to be interchangeable with respect to efficacy and safety. The PSCR stated that</w:t>
      </w:r>
      <w:r w:rsidR="00DB5628" w:rsidRPr="00586BAA">
        <w:t xml:space="preserve"> while</w:t>
      </w:r>
      <w:r w:rsidRPr="00586BAA">
        <w:t xml:space="preserve"> FOLFOX and</w:t>
      </w:r>
      <w:r w:rsidR="00DB5628" w:rsidRPr="00586BAA">
        <w:t xml:space="preserve"> XELOX/CAPOX are the </w:t>
      </w:r>
      <w:proofErr w:type="gramStart"/>
      <w:r w:rsidR="00DB5628" w:rsidRPr="00586BAA">
        <w:t>most commonly used</w:t>
      </w:r>
      <w:proofErr w:type="gramEnd"/>
      <w:r w:rsidR="00DB5628" w:rsidRPr="00586BAA">
        <w:t xml:space="preserve"> regimens,</w:t>
      </w:r>
      <w:r w:rsidR="00AB2C44" w:rsidRPr="00586BAA">
        <w:t xml:space="preserve"> the PBAC has previously deemed all platinum doublets to be comparable and clinically non-inferior (</w:t>
      </w:r>
      <w:r w:rsidR="00DB5628" w:rsidRPr="00586BAA">
        <w:t xml:space="preserve">Section 6, </w:t>
      </w:r>
      <w:r w:rsidR="00AB2C44" w:rsidRPr="00586BAA">
        <w:t xml:space="preserve">gefitinib </w:t>
      </w:r>
      <w:r w:rsidR="00DB5628" w:rsidRPr="00586BAA">
        <w:t>Public Summary Document (PSD), July 2013) and fluoropyrimidines to be</w:t>
      </w:r>
      <w:r w:rsidR="00AB2C44" w:rsidRPr="00586BAA">
        <w:t xml:space="preserve"> interchangeable (</w:t>
      </w:r>
      <w:r w:rsidR="00DB5628" w:rsidRPr="00586BAA">
        <w:t xml:space="preserve">Table 1, </w:t>
      </w:r>
      <w:r w:rsidR="00AB2C44" w:rsidRPr="00586BAA">
        <w:t>trastuzumab</w:t>
      </w:r>
      <w:r w:rsidR="00DB5628" w:rsidRPr="00586BAA">
        <w:t xml:space="preserve"> PSD,</w:t>
      </w:r>
      <w:r w:rsidR="00AB2C44" w:rsidRPr="00586BAA">
        <w:t xml:space="preserve"> July 2015).</w:t>
      </w:r>
      <w:r w:rsidR="00DB5628" w:rsidRPr="00586BAA">
        <w:t xml:space="preserve"> </w:t>
      </w:r>
      <w:r w:rsidRPr="00586BAA">
        <w:t>The ESC agreed with the PSCR that most patients would receive FOLFOX or XELOX/CAPOX</w:t>
      </w:r>
      <w:r w:rsidR="00B80795" w:rsidRPr="00586BAA">
        <w:t xml:space="preserve"> regimens</w:t>
      </w:r>
      <w:r w:rsidRPr="00586BAA">
        <w:t xml:space="preserve">, as they have comparable efficacy </w:t>
      </w:r>
      <w:r w:rsidR="00B80795" w:rsidRPr="00586BAA">
        <w:t>and</w:t>
      </w:r>
      <w:r w:rsidRPr="00586BAA">
        <w:t xml:space="preserve"> reduced toxicity compared with cisplatin + 5-FU</w:t>
      </w:r>
      <w:r w:rsidR="00900E74" w:rsidRPr="00586BAA">
        <w:t>.</w:t>
      </w:r>
      <w:r w:rsidR="008B476F" w:rsidRPr="00586BAA">
        <w:t xml:space="preserve"> The ESC agreed with the submission that cisplatin + 5-FU can be considered representative of all platinum- and 5-FU-based regimens.</w:t>
      </w:r>
      <w:bookmarkEnd w:id="13"/>
    </w:p>
    <w:p w14:paraId="77BC28C7" w14:textId="77777777" w:rsidR="00A41841" w:rsidRPr="00C87C8B" w:rsidRDefault="00A55C4B" w:rsidP="00E310BD">
      <w:pPr>
        <w:pStyle w:val="ListParagraph"/>
        <w:widowControl/>
        <w:numPr>
          <w:ilvl w:val="1"/>
          <w:numId w:val="1"/>
        </w:numPr>
        <w:rPr>
          <w:rFonts w:asciiTheme="minorHAnsi" w:hAnsiTheme="minorHAnsi" w:cstheme="minorHAnsi"/>
        </w:rPr>
      </w:pPr>
      <w:bookmarkStart w:id="14" w:name="_Ref89941650"/>
      <w:r w:rsidRPr="008E5320">
        <w:t>The submission also noted that nivolumab plus chemotherapy may be a near term comparator.</w:t>
      </w:r>
      <w:r w:rsidR="00171867" w:rsidRPr="008E5320">
        <w:t xml:space="preserve"> </w:t>
      </w:r>
      <w:r w:rsidR="00A41841" w:rsidRPr="008E5320">
        <w:t>The</w:t>
      </w:r>
      <w:r w:rsidR="003C0DF0">
        <w:t xml:space="preserve"> PBAC noted</w:t>
      </w:r>
      <w:r w:rsidR="00A41841" w:rsidRPr="008E5320">
        <w:t xml:space="preserve"> that nivolumab </w:t>
      </w:r>
      <w:r w:rsidR="008A5643">
        <w:t xml:space="preserve">was being considered at the same PBAC meeting for </w:t>
      </w:r>
      <w:r w:rsidR="00A41841" w:rsidRPr="008E5320">
        <w:t xml:space="preserve">advanced or metastatic gastric cancer, </w:t>
      </w:r>
      <w:r w:rsidR="00F27B95" w:rsidRPr="008E5320">
        <w:t>GOJ</w:t>
      </w:r>
      <w:r w:rsidR="00A41841" w:rsidRPr="008E5320">
        <w:t xml:space="preserve"> cancer and </w:t>
      </w:r>
      <w:r w:rsidR="00F27B95" w:rsidRPr="008E5320">
        <w:t>OAC</w:t>
      </w:r>
      <w:r w:rsidR="008A5643">
        <w:t>.</w:t>
      </w:r>
      <w:r w:rsidR="00040A5F" w:rsidRPr="008E5320">
        <w:t xml:space="preserve"> </w:t>
      </w:r>
      <w:r w:rsidR="00CA0122">
        <w:t>T</w:t>
      </w:r>
      <w:r w:rsidR="00C87C8B">
        <w:t>he PBAC noted the</w:t>
      </w:r>
      <w:r w:rsidR="00040A5F" w:rsidRPr="008E5320">
        <w:t xml:space="preserve"> indications for pembrolizumab</w:t>
      </w:r>
      <w:r w:rsidR="00040A5F" w:rsidRPr="00C87C8B">
        <w:rPr>
          <w:i/>
        </w:rPr>
        <w:t xml:space="preserve"> </w:t>
      </w:r>
      <w:r w:rsidR="00040A5F" w:rsidRPr="008E5320">
        <w:t xml:space="preserve">and nivolumab </w:t>
      </w:r>
      <w:r w:rsidR="0053313A">
        <w:t xml:space="preserve">(which were based on the clinical trial populations) </w:t>
      </w:r>
      <w:r w:rsidR="00040A5F" w:rsidRPr="008E5320">
        <w:t>do not fully align</w:t>
      </w:r>
      <w:r w:rsidR="00E310BD">
        <w:t xml:space="preserve">; however, </w:t>
      </w:r>
      <w:r w:rsidR="00C87C8B">
        <w:t xml:space="preserve">the PBAC considered there was likely to be significant overlap in clinical practice </w:t>
      </w:r>
      <w:r w:rsidR="00E310BD" w:rsidRPr="00E310BD">
        <w:t>due to</w:t>
      </w:r>
      <w:r w:rsidR="0053313A">
        <w:t xml:space="preserve"> overlap</w:t>
      </w:r>
      <w:r w:rsidR="00E310BD" w:rsidRPr="00E310BD">
        <w:t xml:space="preserve"> in anatomical distribution of these cancers.</w:t>
      </w:r>
      <w:bookmarkEnd w:id="14"/>
    </w:p>
    <w:p w14:paraId="087545D2" w14:textId="77777777" w:rsidR="00013E71" w:rsidRPr="00875FDA" w:rsidRDefault="006B2687" w:rsidP="00CB71F0">
      <w:pPr>
        <w:pStyle w:val="ListParagraph"/>
        <w:widowControl/>
        <w:spacing w:after="240"/>
        <w:rPr>
          <w:rFonts w:asciiTheme="minorHAnsi" w:hAnsiTheme="minorHAnsi" w:cstheme="minorHAnsi"/>
        </w:rPr>
      </w:pPr>
      <w:r w:rsidRPr="00875FDA">
        <w:rPr>
          <w:rFonts w:asciiTheme="minorHAnsi" w:hAnsiTheme="minorHAnsi"/>
          <w:i/>
        </w:rPr>
        <w:t>For more detail on PBAC’s view, see section 7 PBAC outcome.</w:t>
      </w:r>
    </w:p>
    <w:p w14:paraId="16042F95" w14:textId="77777777" w:rsidR="00013E71" w:rsidRDefault="004E0DA6" w:rsidP="00CB71F0">
      <w:pPr>
        <w:pStyle w:val="PBACHeading1"/>
        <w:keepNext/>
        <w:keepLines/>
        <w:spacing w:after="120"/>
      </w:pPr>
      <w:bookmarkStart w:id="15" w:name="_Toc79761896"/>
      <w:r>
        <w:t>C</w:t>
      </w:r>
      <w:r w:rsidRPr="00407F2D">
        <w:t>onsideration of the evidence</w:t>
      </w:r>
      <w:bookmarkStart w:id="16" w:name="_Hlk76375935"/>
      <w:bookmarkEnd w:id="15"/>
    </w:p>
    <w:p w14:paraId="19D82A03" w14:textId="31930819" w:rsidR="00013E71" w:rsidRPr="00013E71" w:rsidRDefault="001D138D" w:rsidP="00CB71F0">
      <w:pPr>
        <w:pStyle w:val="Heading2"/>
        <w:spacing w:after="120"/>
        <w:rPr>
          <w:lang w:eastAsia="en-AU"/>
        </w:rPr>
      </w:pPr>
      <w:r w:rsidRPr="006E1229">
        <w:rPr>
          <w:lang w:eastAsia="en-AU"/>
        </w:rPr>
        <w:t>Sponsor hearing</w:t>
      </w:r>
    </w:p>
    <w:p w14:paraId="14D067BF" w14:textId="77777777" w:rsidR="00013E71" w:rsidRPr="00013E71" w:rsidRDefault="00166F4A" w:rsidP="00013E71">
      <w:pPr>
        <w:numPr>
          <w:ilvl w:val="1"/>
          <w:numId w:val="1"/>
        </w:numPr>
        <w:spacing w:after="120"/>
        <w:rPr>
          <w:rFonts w:cs="Calibri"/>
          <w:bCs/>
        </w:rPr>
      </w:pPr>
      <w:r w:rsidRPr="00F91542">
        <w:rPr>
          <w:rFonts w:cs="Calibri"/>
          <w:bCs/>
        </w:rPr>
        <w:t>Ther</w:t>
      </w:r>
      <w:r>
        <w:rPr>
          <w:rFonts w:cs="Calibri"/>
          <w:bCs/>
        </w:rPr>
        <w:t>e was no hearing for this item.</w:t>
      </w:r>
    </w:p>
    <w:p w14:paraId="26D226ED" w14:textId="70AA765B" w:rsidR="001D138D" w:rsidRPr="001D138D" w:rsidRDefault="001D138D" w:rsidP="00CB71F0">
      <w:pPr>
        <w:pStyle w:val="Heading2"/>
        <w:spacing w:after="120"/>
        <w:rPr>
          <w:lang w:eastAsia="en-AU"/>
        </w:rPr>
      </w:pPr>
      <w:r w:rsidRPr="006E1229">
        <w:rPr>
          <w:lang w:eastAsia="en-AU"/>
        </w:rPr>
        <w:t>Consumer comments</w:t>
      </w:r>
    </w:p>
    <w:p w14:paraId="672C1C33" w14:textId="77777777" w:rsidR="003B6346" w:rsidRDefault="00A349F5" w:rsidP="00863C38">
      <w:pPr>
        <w:numPr>
          <w:ilvl w:val="1"/>
          <w:numId w:val="1"/>
        </w:numPr>
        <w:spacing w:after="120"/>
        <w:rPr>
          <w:rFonts w:asciiTheme="minorHAnsi" w:hAnsiTheme="minorHAnsi"/>
          <w:bCs/>
        </w:rPr>
      </w:pPr>
      <w:bookmarkStart w:id="17" w:name="_Hlk76382618"/>
      <w:r w:rsidRPr="00836F75">
        <w:rPr>
          <w:rFonts w:asciiTheme="minorHAnsi" w:hAnsiTheme="minorHAnsi"/>
          <w:bCs/>
        </w:rPr>
        <w:t>The PBAC noted and welcomed the input from</w:t>
      </w:r>
      <w:r>
        <w:rPr>
          <w:rFonts w:asciiTheme="minorHAnsi" w:hAnsiTheme="minorHAnsi"/>
          <w:bCs/>
        </w:rPr>
        <w:t xml:space="preserve"> an individual, health care professionals (HCPs) (2) and organisations (2</w:t>
      </w:r>
      <w:r w:rsidRPr="00836F75">
        <w:rPr>
          <w:rFonts w:asciiTheme="minorHAnsi" w:hAnsiTheme="minorHAnsi"/>
          <w:bCs/>
        </w:rPr>
        <w:t>) via the Consumer Commen</w:t>
      </w:r>
      <w:r>
        <w:rPr>
          <w:rFonts w:asciiTheme="minorHAnsi" w:hAnsiTheme="minorHAnsi"/>
          <w:bCs/>
        </w:rPr>
        <w:t>ts facility on the PBS website.</w:t>
      </w:r>
    </w:p>
    <w:p w14:paraId="2242C305" w14:textId="77777777" w:rsidR="00847ABE" w:rsidRPr="00847ABE" w:rsidRDefault="00847ABE" w:rsidP="00847ABE">
      <w:pPr>
        <w:numPr>
          <w:ilvl w:val="1"/>
          <w:numId w:val="1"/>
        </w:numPr>
        <w:spacing w:after="120"/>
        <w:rPr>
          <w:rFonts w:asciiTheme="minorHAnsi" w:hAnsiTheme="minorHAnsi"/>
          <w:bCs/>
        </w:rPr>
      </w:pPr>
      <w:r w:rsidRPr="00847ABE">
        <w:rPr>
          <w:rFonts w:asciiTheme="minorHAnsi" w:hAnsiTheme="minorHAnsi"/>
          <w:bCs/>
        </w:rPr>
        <w:t xml:space="preserve">The comments from </w:t>
      </w:r>
      <w:r>
        <w:rPr>
          <w:rFonts w:asciiTheme="minorHAnsi" w:hAnsiTheme="minorHAnsi"/>
          <w:bCs/>
        </w:rPr>
        <w:t>two</w:t>
      </w:r>
      <w:r w:rsidRPr="00847ABE">
        <w:rPr>
          <w:rFonts w:asciiTheme="minorHAnsi" w:hAnsiTheme="minorHAnsi"/>
          <w:bCs/>
        </w:rPr>
        <w:t xml:space="preserve"> HCPs emphasised the aggressive nature of the disease and the poor prognosis for patients. One HCP stated that there is an urgent need for newer agents to be available, and commented that unlike some other cancers, there are few survivors to advocate for this patient population, as </w:t>
      </w:r>
      <w:proofErr w:type="gramStart"/>
      <w:r w:rsidRPr="00847ABE">
        <w:rPr>
          <w:rFonts w:asciiTheme="minorHAnsi" w:hAnsiTheme="minorHAnsi"/>
          <w:bCs/>
        </w:rPr>
        <w:t>the majority of</w:t>
      </w:r>
      <w:proofErr w:type="gramEnd"/>
      <w:r w:rsidRPr="00847ABE">
        <w:rPr>
          <w:rFonts w:asciiTheme="minorHAnsi" w:hAnsiTheme="minorHAnsi"/>
          <w:bCs/>
        </w:rPr>
        <w:t xml:space="preserve"> patients die within 12 months of diagnosis. Another HCP described the course of the disease where patients have simultaneous issues with metastatic cancer spread and difficulty swallowing from the primary cancer, leading to rapid weight loss, decreased quality of life and side effects from chemotherapy. The HCP emphasised</w:t>
      </w:r>
      <w:r w:rsidR="00EC42EB">
        <w:rPr>
          <w:rFonts w:asciiTheme="minorHAnsi" w:hAnsiTheme="minorHAnsi"/>
          <w:bCs/>
        </w:rPr>
        <w:t xml:space="preserve"> that</w:t>
      </w:r>
      <w:r w:rsidRPr="00847ABE">
        <w:rPr>
          <w:rFonts w:asciiTheme="minorHAnsi" w:hAnsiTheme="minorHAnsi"/>
          <w:bCs/>
        </w:rPr>
        <w:t xml:space="preserve"> the current options for treatment</w:t>
      </w:r>
      <w:r w:rsidR="00EC42EB">
        <w:rPr>
          <w:rFonts w:asciiTheme="minorHAnsi" w:hAnsiTheme="minorHAnsi"/>
          <w:bCs/>
        </w:rPr>
        <w:t xml:space="preserve"> are very </w:t>
      </w:r>
      <w:proofErr w:type="gramStart"/>
      <w:r w:rsidR="00EC42EB">
        <w:rPr>
          <w:rFonts w:asciiTheme="minorHAnsi" w:hAnsiTheme="minorHAnsi"/>
          <w:bCs/>
        </w:rPr>
        <w:t>limited</w:t>
      </w:r>
      <w:r w:rsidRPr="00847ABE">
        <w:rPr>
          <w:rFonts w:asciiTheme="minorHAnsi" w:hAnsiTheme="minorHAnsi"/>
          <w:bCs/>
        </w:rPr>
        <w:t>, and</w:t>
      </w:r>
      <w:proofErr w:type="gramEnd"/>
      <w:r w:rsidRPr="00847ABE">
        <w:rPr>
          <w:rFonts w:asciiTheme="minorHAnsi" w:hAnsiTheme="minorHAnsi"/>
          <w:bCs/>
        </w:rPr>
        <w:t xml:space="preserve"> commented </w:t>
      </w:r>
      <w:r w:rsidR="001620B8">
        <w:rPr>
          <w:rFonts w:asciiTheme="minorHAnsi" w:hAnsiTheme="minorHAnsi"/>
          <w:bCs/>
        </w:rPr>
        <w:t>that the</w:t>
      </w:r>
      <w:r w:rsidRPr="00847ABE">
        <w:rPr>
          <w:rFonts w:asciiTheme="minorHAnsi" w:hAnsiTheme="minorHAnsi"/>
          <w:bCs/>
        </w:rPr>
        <w:t xml:space="preserve"> KEYNOTE 590 trial (along with </w:t>
      </w:r>
      <w:r w:rsidRPr="00847ABE">
        <w:rPr>
          <w:rFonts w:asciiTheme="minorHAnsi" w:hAnsiTheme="minorHAnsi"/>
          <w:bCs/>
        </w:rPr>
        <w:lastRenderedPageBreak/>
        <w:t xml:space="preserve">the </w:t>
      </w:r>
      <w:proofErr w:type="spellStart"/>
      <w:r w:rsidR="00894051">
        <w:rPr>
          <w:rFonts w:asciiTheme="minorHAnsi" w:hAnsiTheme="minorHAnsi"/>
          <w:bCs/>
        </w:rPr>
        <w:t>C</w:t>
      </w:r>
      <w:r w:rsidRPr="00847ABE">
        <w:rPr>
          <w:rFonts w:asciiTheme="minorHAnsi" w:hAnsiTheme="minorHAnsi"/>
          <w:bCs/>
        </w:rPr>
        <w:t>heck</w:t>
      </w:r>
      <w:r w:rsidR="00894051">
        <w:rPr>
          <w:rFonts w:asciiTheme="minorHAnsi" w:hAnsiTheme="minorHAnsi"/>
          <w:bCs/>
        </w:rPr>
        <w:t>M</w:t>
      </w:r>
      <w:r w:rsidRPr="00847ABE">
        <w:rPr>
          <w:rFonts w:asciiTheme="minorHAnsi" w:hAnsiTheme="minorHAnsi"/>
          <w:bCs/>
        </w:rPr>
        <w:t>ate</w:t>
      </w:r>
      <w:proofErr w:type="spellEnd"/>
      <w:r w:rsidRPr="00847ABE">
        <w:rPr>
          <w:rFonts w:asciiTheme="minorHAnsi" w:hAnsiTheme="minorHAnsi"/>
          <w:bCs/>
        </w:rPr>
        <w:t xml:space="preserve"> 648 nivolumab trial) </w:t>
      </w:r>
      <w:r w:rsidR="00DC606B">
        <w:rPr>
          <w:rFonts w:asciiTheme="minorHAnsi" w:hAnsiTheme="minorHAnsi"/>
          <w:bCs/>
        </w:rPr>
        <w:t xml:space="preserve">was </w:t>
      </w:r>
      <w:r w:rsidRPr="00847ABE">
        <w:rPr>
          <w:rFonts w:asciiTheme="minorHAnsi" w:hAnsiTheme="minorHAnsi"/>
          <w:bCs/>
        </w:rPr>
        <w:t xml:space="preserve">one of the only positive clinical trials in </w:t>
      </w:r>
      <w:r w:rsidR="00915D87" w:rsidRPr="00847ABE">
        <w:rPr>
          <w:rFonts w:asciiTheme="minorHAnsi" w:hAnsiTheme="minorHAnsi"/>
          <w:bCs/>
        </w:rPr>
        <w:t xml:space="preserve">oesophageal </w:t>
      </w:r>
      <w:r w:rsidRPr="00847ABE">
        <w:rPr>
          <w:rFonts w:asciiTheme="minorHAnsi" w:hAnsiTheme="minorHAnsi"/>
          <w:bCs/>
        </w:rPr>
        <w:t>cancer for a long time.</w:t>
      </w:r>
    </w:p>
    <w:p w14:paraId="76405F45" w14:textId="77777777" w:rsidR="00DE6895" w:rsidRPr="00871CAA" w:rsidRDefault="00871CAA" w:rsidP="00B43D8E">
      <w:pPr>
        <w:numPr>
          <w:ilvl w:val="1"/>
          <w:numId w:val="1"/>
        </w:numPr>
        <w:spacing w:after="120"/>
        <w:rPr>
          <w:bCs/>
          <w:smallCaps/>
          <w:spacing w:val="5"/>
        </w:rPr>
      </w:pPr>
      <w:r w:rsidRPr="00871CAA">
        <w:rPr>
          <w:rFonts w:asciiTheme="minorHAnsi" w:hAnsiTheme="minorHAnsi"/>
          <w:bCs/>
        </w:rPr>
        <w:t xml:space="preserve">The PBAC noted the advice received from the </w:t>
      </w:r>
      <w:proofErr w:type="spellStart"/>
      <w:r w:rsidRPr="00871CAA">
        <w:rPr>
          <w:rFonts w:asciiTheme="minorHAnsi" w:hAnsiTheme="minorHAnsi"/>
          <w:bCs/>
        </w:rPr>
        <w:t>Pancare</w:t>
      </w:r>
      <w:proofErr w:type="spellEnd"/>
      <w:r w:rsidRPr="00871CAA">
        <w:rPr>
          <w:rFonts w:asciiTheme="minorHAnsi" w:hAnsiTheme="minorHAnsi"/>
          <w:bCs/>
        </w:rPr>
        <w:t xml:space="preserve"> Foundation clarifying the likely use of pembrolizumab in clinical practice. </w:t>
      </w:r>
      <w:r w:rsidR="00EC42EB">
        <w:rPr>
          <w:rFonts w:asciiTheme="minorHAnsi" w:hAnsiTheme="minorHAnsi"/>
          <w:bCs/>
        </w:rPr>
        <w:t>In addition to simila</w:t>
      </w:r>
      <w:r w:rsidR="00D55D94">
        <w:rPr>
          <w:rFonts w:asciiTheme="minorHAnsi" w:hAnsiTheme="minorHAnsi"/>
          <w:bCs/>
        </w:rPr>
        <w:t>r issues listed in paragraph 6.3</w:t>
      </w:r>
      <w:r w:rsidR="00EC42EB">
        <w:rPr>
          <w:rFonts w:asciiTheme="minorHAnsi" w:hAnsiTheme="minorHAnsi"/>
          <w:bCs/>
        </w:rPr>
        <w:t xml:space="preserve">, </w:t>
      </w:r>
      <w:proofErr w:type="spellStart"/>
      <w:r w:rsidRPr="00871CAA">
        <w:rPr>
          <w:rFonts w:asciiTheme="minorHAnsi" w:hAnsiTheme="minorHAnsi"/>
          <w:bCs/>
        </w:rPr>
        <w:t>Pancare</w:t>
      </w:r>
      <w:proofErr w:type="spellEnd"/>
      <w:r w:rsidRPr="00871CAA">
        <w:rPr>
          <w:rFonts w:asciiTheme="minorHAnsi" w:hAnsiTheme="minorHAnsi"/>
          <w:bCs/>
        </w:rPr>
        <w:t xml:space="preserve"> described oesophageal carcinoma and HER-2 negative gastro-oesophageal carcinoma as having one of the worst survival rates of all cancers in Australia (5-year survival 22.5%). </w:t>
      </w:r>
      <w:proofErr w:type="spellStart"/>
      <w:r w:rsidRPr="00EC42EB">
        <w:rPr>
          <w:rFonts w:asciiTheme="minorHAnsi" w:hAnsiTheme="minorHAnsi"/>
          <w:bCs/>
        </w:rPr>
        <w:t>Pancare</w:t>
      </w:r>
      <w:proofErr w:type="spellEnd"/>
      <w:r w:rsidRPr="00EC42EB">
        <w:rPr>
          <w:rFonts w:asciiTheme="minorHAnsi" w:hAnsiTheme="minorHAnsi"/>
          <w:bCs/>
        </w:rPr>
        <w:t xml:space="preserve"> stated that a PBS listing for pembrolizumab would enable access to a superior first-line treatment and offer much-needed hope for Australians with oesophageal cancer.</w:t>
      </w:r>
      <w:r w:rsidRPr="00871CAA">
        <w:rPr>
          <w:rFonts w:asciiTheme="minorHAnsi" w:hAnsiTheme="minorHAnsi"/>
          <w:bCs/>
        </w:rPr>
        <w:t xml:space="preserve"> The PBAC noted that this advice was supportive of the evidence provided in the submission.</w:t>
      </w:r>
    </w:p>
    <w:p w14:paraId="1E93CCB6" w14:textId="77777777" w:rsidR="001D138D" w:rsidRPr="001620B8" w:rsidRDefault="00ED6353" w:rsidP="00863C38">
      <w:pPr>
        <w:numPr>
          <w:ilvl w:val="1"/>
          <w:numId w:val="1"/>
        </w:numPr>
        <w:spacing w:after="120"/>
        <w:rPr>
          <w:rFonts w:asciiTheme="minorHAnsi" w:hAnsiTheme="minorHAnsi"/>
          <w:bCs/>
        </w:rPr>
      </w:pPr>
      <w:r w:rsidRPr="001620B8">
        <w:rPr>
          <w:rFonts w:asciiTheme="minorHAnsi" w:hAnsiTheme="minorHAnsi"/>
          <w:bCs/>
        </w:rPr>
        <w:t xml:space="preserve">The Medical Oncology Group of Australia (MOGA) also expressed its strong support for the use of pembrolizumab in </w:t>
      </w:r>
      <w:r w:rsidR="00C24622" w:rsidRPr="001620B8">
        <w:rPr>
          <w:rFonts w:asciiTheme="minorHAnsi" w:hAnsiTheme="minorHAnsi"/>
          <w:bCs/>
        </w:rPr>
        <w:t>first line (</w:t>
      </w:r>
      <w:r w:rsidRPr="001620B8">
        <w:rPr>
          <w:rFonts w:asciiTheme="minorHAnsi" w:hAnsiTheme="minorHAnsi"/>
          <w:bCs/>
        </w:rPr>
        <w:t>1L</w:t>
      </w:r>
      <w:r w:rsidR="00C24622" w:rsidRPr="001620B8">
        <w:rPr>
          <w:rFonts w:asciiTheme="minorHAnsi" w:hAnsiTheme="minorHAnsi"/>
          <w:bCs/>
        </w:rPr>
        <w:t>)</w:t>
      </w:r>
      <w:r w:rsidRPr="001620B8">
        <w:rPr>
          <w:rFonts w:asciiTheme="minorHAnsi" w:hAnsiTheme="minorHAnsi"/>
          <w:bCs/>
        </w:rPr>
        <w:t xml:space="preserve"> </w:t>
      </w:r>
      <w:r w:rsidR="00C24622" w:rsidRPr="001620B8">
        <w:rPr>
          <w:rFonts w:asciiTheme="minorHAnsi" w:hAnsiTheme="minorHAnsi"/>
          <w:bCs/>
        </w:rPr>
        <w:t>oesoph</w:t>
      </w:r>
      <w:r w:rsidR="00587AFC" w:rsidRPr="001620B8">
        <w:rPr>
          <w:rFonts w:asciiTheme="minorHAnsi" w:hAnsiTheme="minorHAnsi"/>
          <w:bCs/>
        </w:rPr>
        <w:t>ageal carcinoma (</w:t>
      </w:r>
      <w:r w:rsidRPr="001620B8">
        <w:rPr>
          <w:rFonts w:asciiTheme="minorHAnsi" w:hAnsiTheme="minorHAnsi"/>
          <w:bCs/>
        </w:rPr>
        <w:t>OC</w:t>
      </w:r>
      <w:r w:rsidR="00587AFC" w:rsidRPr="001620B8">
        <w:rPr>
          <w:rFonts w:asciiTheme="minorHAnsi" w:hAnsiTheme="minorHAnsi"/>
          <w:bCs/>
        </w:rPr>
        <w:t>)</w:t>
      </w:r>
      <w:r w:rsidRPr="001620B8">
        <w:rPr>
          <w:rFonts w:asciiTheme="minorHAnsi" w:hAnsiTheme="minorHAnsi"/>
          <w:bCs/>
        </w:rPr>
        <w:t xml:space="preserve"> and HER2-negative AC of the GOJ, categorising it as one of the therapies of “highest priority for PBS listing” </w:t>
      </w:r>
      <w:r w:rsidR="002A5BE1" w:rsidRPr="001620B8">
        <w:rPr>
          <w:rFonts w:asciiTheme="minorHAnsi" w:hAnsiTheme="minorHAnsi"/>
          <w:bCs/>
        </w:rPr>
        <w:t xml:space="preserve">for patients with PD-L1 CPS </w:t>
      </w:r>
      <w:r w:rsidR="002A5BE1" w:rsidRPr="001620B8">
        <w:rPr>
          <w:rFonts w:asciiTheme="minorHAnsi" w:hAnsiTheme="minorHAnsi" w:cstheme="minorHAnsi"/>
          <w:bCs/>
        </w:rPr>
        <w:t>≥</w:t>
      </w:r>
      <w:r w:rsidR="002A5BE1" w:rsidRPr="001620B8">
        <w:rPr>
          <w:rFonts w:asciiTheme="minorHAnsi" w:hAnsiTheme="minorHAnsi"/>
          <w:bCs/>
        </w:rPr>
        <w:t xml:space="preserve"> 10% and “high priority for PBS listing” for all patients (regardless of PD-L1 CPS expression) </w:t>
      </w:r>
      <w:proofErr w:type="gramStart"/>
      <w:r w:rsidRPr="001620B8">
        <w:rPr>
          <w:rFonts w:asciiTheme="minorHAnsi" w:hAnsiTheme="minorHAnsi"/>
          <w:bCs/>
        </w:rPr>
        <w:t>on the basis of</w:t>
      </w:r>
      <w:proofErr w:type="gramEnd"/>
      <w:r w:rsidRPr="001620B8">
        <w:rPr>
          <w:rFonts w:asciiTheme="minorHAnsi" w:hAnsiTheme="minorHAnsi"/>
          <w:bCs/>
        </w:rPr>
        <w:t xml:space="preserve"> the KEYNOTE 590 trial. The PBAC noted that the MOGA presented a European Society for Medical Oncology Magnitude of Clinical Benefit Scale (ESMO-MCBS) for pembrolizumab (+ chemotherapy) in 1L OC and HER2-negative AC of the GOJ, which was limited to 4 (out of a maximum of 5, where</w:t>
      </w:r>
      <w:r w:rsidR="00934BE4" w:rsidRPr="001620B8">
        <w:rPr>
          <w:rFonts w:asciiTheme="minorHAnsi" w:hAnsiTheme="minorHAnsi"/>
          <w:bCs/>
        </w:rPr>
        <w:t xml:space="preserve"> 4 and</w:t>
      </w:r>
      <w:r w:rsidRPr="001620B8">
        <w:rPr>
          <w:rFonts w:asciiTheme="minorHAnsi" w:hAnsiTheme="minorHAnsi"/>
          <w:bCs/>
        </w:rPr>
        <w:t xml:space="preserve"> 5 represent the grades with substantial improvement)</w:t>
      </w:r>
      <w:r w:rsidRPr="001620B8">
        <w:rPr>
          <w:rStyle w:val="FootnoteReference"/>
          <w:rFonts w:asciiTheme="minorHAnsi" w:hAnsiTheme="minorHAnsi"/>
          <w:bCs/>
        </w:rPr>
        <w:footnoteReference w:id="3"/>
      </w:r>
      <w:r w:rsidRPr="001620B8">
        <w:rPr>
          <w:rFonts w:asciiTheme="minorHAnsi" w:hAnsiTheme="minorHAnsi"/>
          <w:bCs/>
        </w:rPr>
        <w:t>, based on a comparison with chemotherapy alone.</w:t>
      </w:r>
    </w:p>
    <w:bookmarkEnd w:id="16"/>
    <w:bookmarkEnd w:id="17"/>
    <w:p w14:paraId="2721124C" w14:textId="62EBA0B5" w:rsidR="00DE6895" w:rsidRDefault="0008745C" w:rsidP="00CB71F0">
      <w:pPr>
        <w:pStyle w:val="ListParagraph"/>
        <w:widowControl/>
        <w:numPr>
          <w:ilvl w:val="1"/>
          <w:numId w:val="1"/>
        </w:numPr>
        <w:spacing w:after="120"/>
        <w:rPr>
          <w:rFonts w:asciiTheme="minorHAnsi" w:hAnsiTheme="minorHAnsi" w:cstheme="minorHAnsi"/>
        </w:rPr>
      </w:pPr>
      <w:r>
        <w:rPr>
          <w:rFonts w:asciiTheme="minorHAnsi" w:hAnsiTheme="minorHAnsi"/>
          <w:bCs/>
        </w:rPr>
        <w:t>One individual who has used pembrolizumab provided insight into their experience with oesophageal cancer and</w:t>
      </w:r>
      <w:r w:rsidR="00C87C8B">
        <w:rPr>
          <w:rFonts w:asciiTheme="minorHAnsi" w:hAnsiTheme="minorHAnsi"/>
          <w:bCs/>
        </w:rPr>
        <w:t xml:space="preserve"> </w:t>
      </w:r>
      <w:r w:rsidRPr="003D3774">
        <w:rPr>
          <w:rFonts w:asciiTheme="minorHAnsi" w:hAnsiTheme="minorHAnsi"/>
          <w:bCs/>
        </w:rPr>
        <w:t>treatment with this medicine.</w:t>
      </w:r>
      <w:r w:rsidR="00E7499F">
        <w:rPr>
          <w:rFonts w:asciiTheme="minorHAnsi" w:hAnsiTheme="minorHAnsi"/>
          <w:bCs/>
        </w:rPr>
        <w:t xml:space="preserve"> </w:t>
      </w:r>
      <w:r w:rsidR="00D23468">
        <w:rPr>
          <w:rFonts w:asciiTheme="minorHAnsi" w:hAnsiTheme="minorHAnsi"/>
          <w:bCs/>
        </w:rPr>
        <w:t xml:space="preserve">The individual reported their positive experience with treatment including being able to work, a reduction in pain and weight gain. </w:t>
      </w:r>
      <w:r w:rsidR="0030121A">
        <w:rPr>
          <w:rFonts w:asciiTheme="minorHAnsi" w:hAnsiTheme="minorHAnsi"/>
          <w:bCs/>
        </w:rPr>
        <w:t xml:space="preserve">The patient </w:t>
      </w:r>
      <w:r w:rsidR="00A9775F">
        <w:rPr>
          <w:rFonts w:asciiTheme="minorHAnsi" w:hAnsiTheme="minorHAnsi"/>
          <w:bCs/>
        </w:rPr>
        <w:t>advocated</w:t>
      </w:r>
      <w:r w:rsidR="0030121A">
        <w:rPr>
          <w:rFonts w:asciiTheme="minorHAnsi" w:hAnsiTheme="minorHAnsi"/>
          <w:bCs/>
        </w:rPr>
        <w:t xml:space="preserve"> that access to pembrolizumab should be available through the PBS.</w:t>
      </w:r>
    </w:p>
    <w:p w14:paraId="1C0D8608" w14:textId="75D57B39" w:rsidR="00DE6895" w:rsidRPr="00DE6895" w:rsidRDefault="00DE6895" w:rsidP="00CB71F0">
      <w:pPr>
        <w:pStyle w:val="Heading2"/>
        <w:keepNext/>
        <w:keepLines/>
        <w:spacing w:after="120"/>
      </w:pPr>
      <w:bookmarkStart w:id="18" w:name="_Toc79761897"/>
      <w:r w:rsidRPr="00C9624D">
        <w:t xml:space="preserve">Clinical </w:t>
      </w:r>
      <w:r w:rsidRPr="001D138D">
        <w:t>trials</w:t>
      </w:r>
      <w:bookmarkEnd w:id="18"/>
    </w:p>
    <w:p w14:paraId="4DDB9EA6" w14:textId="0481310D" w:rsidR="004E0DA6" w:rsidRPr="00586BAA" w:rsidRDefault="004E0DA6" w:rsidP="0030121A">
      <w:pPr>
        <w:pStyle w:val="ListParagraph"/>
        <w:keepNext/>
        <w:keepLines/>
        <w:widowControl/>
        <w:numPr>
          <w:ilvl w:val="1"/>
          <w:numId w:val="1"/>
        </w:numPr>
        <w:rPr>
          <w:rFonts w:asciiTheme="minorHAnsi" w:hAnsiTheme="minorHAnsi" w:cstheme="minorHAnsi"/>
        </w:rPr>
      </w:pPr>
      <w:bookmarkStart w:id="19" w:name="_Ref89250962"/>
      <w:r w:rsidRPr="00197FE9">
        <w:rPr>
          <w:rFonts w:asciiTheme="minorHAnsi" w:hAnsiTheme="minorHAnsi" w:cstheme="minorHAnsi"/>
          <w:szCs w:val="24"/>
        </w:rPr>
        <w:t xml:space="preserve">The submission </w:t>
      </w:r>
      <w:r w:rsidRPr="00586BAA">
        <w:rPr>
          <w:rFonts w:asciiTheme="minorHAnsi" w:hAnsiTheme="minorHAnsi" w:cstheme="minorHAnsi"/>
          <w:szCs w:val="24"/>
        </w:rPr>
        <w:t>was based on</w:t>
      </w:r>
      <w:r w:rsidR="00BA46CB" w:rsidRPr="00586BAA">
        <w:rPr>
          <w:rFonts w:asciiTheme="minorHAnsi" w:hAnsiTheme="minorHAnsi" w:cstheme="minorHAnsi"/>
          <w:szCs w:val="24"/>
        </w:rPr>
        <w:t xml:space="preserve"> K</w:t>
      </w:r>
      <w:r w:rsidR="00B3275A">
        <w:rPr>
          <w:rFonts w:asciiTheme="minorHAnsi" w:hAnsiTheme="minorHAnsi" w:cstheme="minorHAnsi"/>
          <w:szCs w:val="24"/>
        </w:rPr>
        <w:t>EYNOTE</w:t>
      </w:r>
      <w:r w:rsidR="00BA46CB" w:rsidRPr="00586BAA">
        <w:rPr>
          <w:rFonts w:asciiTheme="minorHAnsi" w:hAnsiTheme="minorHAnsi" w:cstheme="minorHAnsi"/>
          <w:szCs w:val="24"/>
        </w:rPr>
        <w:t xml:space="preserve"> 590</w:t>
      </w:r>
      <w:r w:rsidRPr="00586BAA">
        <w:rPr>
          <w:rFonts w:asciiTheme="minorHAnsi" w:hAnsiTheme="minorHAnsi" w:cstheme="minorHAnsi"/>
          <w:szCs w:val="24"/>
        </w:rPr>
        <w:t xml:space="preserve"> </w:t>
      </w:r>
      <w:r w:rsidR="00BA46CB" w:rsidRPr="00586BAA">
        <w:rPr>
          <w:rFonts w:asciiTheme="minorHAnsi" w:hAnsiTheme="minorHAnsi" w:cstheme="minorHAnsi"/>
          <w:szCs w:val="24"/>
        </w:rPr>
        <w:t>(</w:t>
      </w:r>
      <w:r w:rsidRPr="00586BAA">
        <w:rPr>
          <w:rFonts w:asciiTheme="minorHAnsi" w:hAnsiTheme="minorHAnsi" w:cstheme="minorHAnsi"/>
          <w:szCs w:val="24"/>
        </w:rPr>
        <w:t>KN590</w:t>
      </w:r>
      <w:r w:rsidR="00BA46CB" w:rsidRPr="00586BAA">
        <w:rPr>
          <w:rFonts w:asciiTheme="minorHAnsi" w:hAnsiTheme="minorHAnsi" w:cstheme="minorHAnsi"/>
          <w:szCs w:val="24"/>
        </w:rPr>
        <w:t>)</w:t>
      </w:r>
      <w:r w:rsidRPr="00586BAA">
        <w:rPr>
          <w:rFonts w:asciiTheme="minorHAnsi" w:hAnsiTheme="minorHAnsi" w:cstheme="minorHAnsi"/>
          <w:szCs w:val="24"/>
        </w:rPr>
        <w:t xml:space="preserve"> (n=749), a randomised, double blind trial comparing pembrolizumab + chemo</w:t>
      </w:r>
      <w:r w:rsidR="00AB17DB" w:rsidRPr="00586BAA">
        <w:rPr>
          <w:rFonts w:asciiTheme="minorHAnsi" w:hAnsiTheme="minorHAnsi" w:cstheme="minorHAnsi"/>
          <w:szCs w:val="24"/>
        </w:rPr>
        <w:t>therapy</w:t>
      </w:r>
      <w:r w:rsidRPr="00586BAA">
        <w:rPr>
          <w:rFonts w:asciiTheme="minorHAnsi" w:hAnsiTheme="minorHAnsi" w:cstheme="minorHAnsi"/>
          <w:szCs w:val="24"/>
        </w:rPr>
        <w:t xml:space="preserve"> (n=373) to cisplatin + 5</w:t>
      </w:r>
      <w:r w:rsidR="002018B2" w:rsidRPr="00586BAA">
        <w:rPr>
          <w:rFonts w:asciiTheme="minorHAnsi" w:hAnsiTheme="minorHAnsi" w:cstheme="minorHAnsi"/>
          <w:szCs w:val="24"/>
        </w:rPr>
        <w:t>-</w:t>
      </w:r>
      <w:r w:rsidRPr="00586BAA">
        <w:rPr>
          <w:rFonts w:asciiTheme="minorHAnsi" w:hAnsiTheme="minorHAnsi" w:cstheme="minorHAnsi"/>
          <w:szCs w:val="24"/>
        </w:rPr>
        <w:t>FU (n=376) in patients with locally advanced unresectable or metastatic</w:t>
      </w:r>
      <w:r w:rsidR="002018B2" w:rsidRPr="00586BAA">
        <w:rPr>
          <w:rFonts w:asciiTheme="minorHAnsi" w:hAnsiTheme="minorHAnsi" w:cstheme="minorHAnsi"/>
          <w:szCs w:val="24"/>
        </w:rPr>
        <w:t xml:space="preserve"> OAC or OSCC</w:t>
      </w:r>
      <w:r w:rsidRPr="00586BAA">
        <w:rPr>
          <w:rFonts w:asciiTheme="minorHAnsi" w:hAnsiTheme="minorHAnsi" w:cstheme="minorHAnsi"/>
          <w:szCs w:val="24"/>
        </w:rPr>
        <w:t xml:space="preserve"> or advanced/metastatic Siewert</w:t>
      </w:r>
      <w:r w:rsidR="00831E85">
        <w:rPr>
          <w:rFonts w:asciiTheme="minorHAnsi" w:hAnsiTheme="minorHAnsi" w:cstheme="minorHAnsi"/>
          <w:szCs w:val="24"/>
        </w:rPr>
        <w:t xml:space="preserve"> type I</w:t>
      </w:r>
      <w:r w:rsidRPr="00586BAA">
        <w:rPr>
          <w:rFonts w:asciiTheme="minorHAnsi" w:hAnsiTheme="minorHAnsi" w:cstheme="minorHAnsi"/>
          <w:szCs w:val="24"/>
        </w:rPr>
        <w:t xml:space="preserve"> </w:t>
      </w:r>
      <w:r w:rsidR="00C36A49">
        <w:rPr>
          <w:rFonts w:asciiTheme="minorHAnsi" w:hAnsiTheme="minorHAnsi" w:cstheme="minorHAnsi"/>
          <w:szCs w:val="24"/>
        </w:rPr>
        <w:t>AC</w:t>
      </w:r>
      <w:r w:rsidR="00C36A49" w:rsidRPr="00586BAA">
        <w:rPr>
          <w:rFonts w:asciiTheme="minorHAnsi" w:hAnsiTheme="minorHAnsi" w:cstheme="minorHAnsi"/>
          <w:szCs w:val="24"/>
        </w:rPr>
        <w:t xml:space="preserve"> </w:t>
      </w:r>
      <w:r w:rsidRPr="00586BAA">
        <w:rPr>
          <w:rFonts w:asciiTheme="minorHAnsi" w:hAnsiTheme="minorHAnsi" w:cstheme="minorHAnsi"/>
          <w:szCs w:val="24"/>
        </w:rPr>
        <w:t>of the GOJ</w:t>
      </w:r>
      <w:r w:rsidR="00770963" w:rsidRPr="00586BAA">
        <w:rPr>
          <w:rFonts w:asciiTheme="minorHAnsi" w:hAnsiTheme="minorHAnsi" w:cstheme="minorHAnsi"/>
          <w:szCs w:val="24"/>
        </w:rPr>
        <w:t>.</w:t>
      </w:r>
      <w:r w:rsidRPr="00586BAA">
        <w:rPr>
          <w:rFonts w:asciiTheme="minorHAnsi" w:hAnsiTheme="minorHAnsi" w:cstheme="minorHAnsi"/>
          <w:szCs w:val="24"/>
        </w:rPr>
        <w:t xml:space="preserve"> </w:t>
      </w:r>
      <w:r w:rsidR="00F73A2B" w:rsidRPr="00586BAA">
        <w:rPr>
          <w:rFonts w:asciiTheme="minorHAnsi" w:hAnsiTheme="minorHAnsi" w:cstheme="minorHAnsi"/>
          <w:szCs w:val="24"/>
        </w:rPr>
        <w:t>The ESC noted</w:t>
      </w:r>
      <w:r w:rsidR="00C36A49">
        <w:rPr>
          <w:rFonts w:asciiTheme="minorHAnsi" w:hAnsiTheme="minorHAnsi" w:cstheme="minorHAnsi"/>
          <w:szCs w:val="24"/>
        </w:rPr>
        <w:t xml:space="preserve"> that</w:t>
      </w:r>
      <w:r w:rsidR="00F73A2B" w:rsidRPr="00586BAA">
        <w:rPr>
          <w:rFonts w:asciiTheme="minorHAnsi" w:hAnsiTheme="minorHAnsi" w:cstheme="minorHAnsi"/>
          <w:szCs w:val="24"/>
        </w:rPr>
        <w:t xml:space="preserve"> 73% of patients enrolled in KN590 were diagnosed with OSCC, 15% had OAC and 12% had</w:t>
      </w:r>
      <w:r w:rsidR="00C36A49">
        <w:rPr>
          <w:rFonts w:asciiTheme="minorHAnsi" w:hAnsiTheme="minorHAnsi" w:cstheme="minorHAnsi"/>
          <w:szCs w:val="24"/>
        </w:rPr>
        <w:t xml:space="preserve"> AC of the</w:t>
      </w:r>
      <w:r w:rsidR="00F73A2B" w:rsidRPr="00586BAA">
        <w:rPr>
          <w:rFonts w:asciiTheme="minorHAnsi" w:hAnsiTheme="minorHAnsi" w:cstheme="minorHAnsi"/>
          <w:szCs w:val="24"/>
        </w:rPr>
        <w:t xml:space="preserve"> GOJ.</w:t>
      </w:r>
      <w:bookmarkEnd w:id="19"/>
      <w:r w:rsidR="00F73A2B" w:rsidRPr="00586BAA">
        <w:rPr>
          <w:rFonts w:asciiTheme="minorHAnsi" w:hAnsiTheme="minorHAnsi" w:cstheme="minorHAnsi"/>
          <w:szCs w:val="24"/>
        </w:rPr>
        <w:t xml:space="preserve"> </w:t>
      </w:r>
    </w:p>
    <w:p w14:paraId="7D62138D" w14:textId="77777777" w:rsidR="004E0DA6" w:rsidRPr="00C7614F" w:rsidRDefault="004E0DA6" w:rsidP="00863C38">
      <w:pPr>
        <w:pStyle w:val="ListParagraph"/>
        <w:widowControl/>
        <w:numPr>
          <w:ilvl w:val="1"/>
          <w:numId w:val="1"/>
        </w:numPr>
        <w:rPr>
          <w:rFonts w:asciiTheme="minorHAnsi" w:hAnsiTheme="minorHAnsi" w:cstheme="minorHAnsi"/>
          <w:snapToGrid/>
        </w:rPr>
      </w:pPr>
      <w:r w:rsidRPr="00197FE9">
        <w:rPr>
          <w:rFonts w:asciiTheme="minorHAnsi" w:hAnsiTheme="minorHAnsi" w:cstheme="minorHAnsi"/>
          <w:snapToGrid/>
          <w:lang w:eastAsia="en-AU"/>
        </w:rPr>
        <w:t>Details of the</w:t>
      </w:r>
      <w:r w:rsidR="00BA46CB">
        <w:rPr>
          <w:rFonts w:asciiTheme="minorHAnsi" w:hAnsiTheme="minorHAnsi" w:cstheme="minorHAnsi"/>
          <w:snapToGrid/>
          <w:lang w:eastAsia="en-AU"/>
        </w:rPr>
        <w:t xml:space="preserve"> </w:t>
      </w:r>
      <w:r w:rsidR="00BA46CB" w:rsidRPr="00197FE9">
        <w:rPr>
          <w:rFonts w:asciiTheme="minorHAnsi" w:hAnsiTheme="minorHAnsi" w:cstheme="minorHAnsi"/>
          <w:szCs w:val="24"/>
        </w:rPr>
        <w:t>KN590</w:t>
      </w:r>
      <w:r w:rsidRPr="00197FE9">
        <w:rPr>
          <w:rFonts w:asciiTheme="minorHAnsi" w:hAnsiTheme="minorHAnsi" w:cstheme="minorHAnsi"/>
          <w:snapToGrid/>
          <w:lang w:eastAsia="en-AU"/>
        </w:rPr>
        <w:t xml:space="preserve"> trial presented in the submission are provided in </w:t>
      </w:r>
      <w:r w:rsidR="005051CB" w:rsidRPr="005051CB">
        <w:rPr>
          <w:snapToGrid/>
          <w:color w:val="000000" w:themeColor="text1"/>
        </w:rPr>
        <w:t>Table 2</w:t>
      </w:r>
      <w:r w:rsidRPr="00171867">
        <w:rPr>
          <w:rFonts w:asciiTheme="minorHAnsi" w:hAnsiTheme="minorHAnsi" w:cstheme="minorHAnsi"/>
          <w:color w:val="000000" w:themeColor="text1"/>
        </w:rPr>
        <w:t xml:space="preserve">. </w:t>
      </w:r>
    </w:p>
    <w:p w14:paraId="369512D7" w14:textId="6B436569" w:rsidR="00A55C4B" w:rsidRPr="001009D9" w:rsidRDefault="004E0DA6" w:rsidP="00CB4383">
      <w:pPr>
        <w:keepNext/>
        <w:keepLines/>
        <w:rPr>
          <w:rFonts w:ascii="Arial Narrow" w:hAnsi="Arial Narrow"/>
          <w:b/>
          <w:sz w:val="20"/>
          <w:szCs w:val="16"/>
        </w:rPr>
      </w:pPr>
      <w:bookmarkStart w:id="20" w:name="_Ref79741389"/>
      <w:r>
        <w:rPr>
          <w:rStyle w:val="CommentReference"/>
        </w:rPr>
        <w:lastRenderedPageBreak/>
        <w:t xml:space="preserve">Table </w:t>
      </w:r>
      <w:r w:rsidR="005051CB">
        <w:rPr>
          <w:rStyle w:val="CommentReference"/>
          <w:noProof/>
        </w:rPr>
        <w:t>2</w:t>
      </w:r>
      <w:bookmarkEnd w:id="20"/>
      <w:r>
        <w:rPr>
          <w:rStyle w:val="CommentReference"/>
        </w:rPr>
        <w:t xml:space="preserve">: </w:t>
      </w:r>
      <w:r w:rsidR="00A55C4B" w:rsidRPr="001009D9">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A55C4B" w:rsidRPr="001009D9" w14:paraId="42719B62" w14:textId="77777777" w:rsidTr="0025246D">
        <w:trPr>
          <w:tblHeader/>
        </w:trPr>
        <w:tc>
          <w:tcPr>
            <w:tcW w:w="796" w:type="pct"/>
            <w:vAlign w:val="center"/>
          </w:tcPr>
          <w:p w14:paraId="10009D72" w14:textId="77777777" w:rsidR="00A55C4B" w:rsidRPr="001009D9" w:rsidRDefault="00A55C4B" w:rsidP="00CB4383">
            <w:pPr>
              <w:pStyle w:val="Tabletext"/>
              <w:keepNext/>
              <w:keepLines/>
              <w:rPr>
                <w:b/>
              </w:rPr>
            </w:pPr>
            <w:r w:rsidRPr="001009D9">
              <w:rPr>
                <w:b/>
              </w:rPr>
              <w:t>Trial ID</w:t>
            </w:r>
          </w:p>
        </w:tc>
        <w:tc>
          <w:tcPr>
            <w:tcW w:w="3027" w:type="pct"/>
            <w:vAlign w:val="center"/>
          </w:tcPr>
          <w:p w14:paraId="02A4E201" w14:textId="77777777" w:rsidR="00A55C4B" w:rsidRPr="001009D9" w:rsidRDefault="00A55C4B" w:rsidP="00CB4383">
            <w:pPr>
              <w:pStyle w:val="Tabletext"/>
              <w:keepNext/>
              <w:keepLines/>
              <w:jc w:val="center"/>
              <w:rPr>
                <w:b/>
              </w:rPr>
            </w:pPr>
            <w:r w:rsidRPr="001009D9">
              <w:rPr>
                <w:b/>
              </w:rPr>
              <w:t>Protocol title/ Publication title</w:t>
            </w:r>
          </w:p>
        </w:tc>
        <w:tc>
          <w:tcPr>
            <w:tcW w:w="1177" w:type="pct"/>
            <w:vAlign w:val="center"/>
          </w:tcPr>
          <w:p w14:paraId="0A7EEDB3" w14:textId="77777777" w:rsidR="00A55C4B" w:rsidRPr="001009D9" w:rsidRDefault="00A55C4B" w:rsidP="00CB4383">
            <w:pPr>
              <w:pStyle w:val="Tabletext"/>
              <w:keepNext/>
              <w:keepLines/>
              <w:jc w:val="center"/>
              <w:rPr>
                <w:b/>
              </w:rPr>
            </w:pPr>
            <w:r w:rsidRPr="001009D9">
              <w:rPr>
                <w:b/>
              </w:rPr>
              <w:t>Publication citation</w:t>
            </w:r>
          </w:p>
        </w:tc>
      </w:tr>
      <w:tr w:rsidR="00A55C4B" w:rsidRPr="001009D9" w14:paraId="6D16653B" w14:textId="77777777" w:rsidTr="002F4961">
        <w:tc>
          <w:tcPr>
            <w:tcW w:w="796" w:type="pct"/>
            <w:tcBorders>
              <w:bottom w:val="nil"/>
            </w:tcBorders>
            <w:vAlign w:val="center"/>
          </w:tcPr>
          <w:p w14:paraId="1B62E7A5" w14:textId="77777777" w:rsidR="00A55C4B" w:rsidRPr="001009D9" w:rsidRDefault="00A55C4B" w:rsidP="00CB4383">
            <w:pPr>
              <w:pStyle w:val="Tabletext"/>
              <w:keepNext/>
              <w:keepLines/>
              <w:rPr>
                <w:rFonts w:ascii="Times" w:hAnsi="Times"/>
              </w:rPr>
            </w:pPr>
          </w:p>
        </w:tc>
        <w:tc>
          <w:tcPr>
            <w:tcW w:w="3027" w:type="pct"/>
            <w:tcBorders>
              <w:bottom w:val="nil"/>
            </w:tcBorders>
          </w:tcPr>
          <w:p w14:paraId="3C5D6275" w14:textId="77777777" w:rsidR="00A55C4B" w:rsidRPr="001009D9" w:rsidRDefault="00A55C4B" w:rsidP="00CB4383">
            <w:pPr>
              <w:pStyle w:val="TableText0"/>
              <w:keepLines/>
              <w:rPr>
                <w:szCs w:val="18"/>
              </w:rPr>
            </w:pPr>
            <w:r w:rsidRPr="001009D9">
              <w:t>A Phase III randomised study of chemotherapy + pembrolizumab vs chemotherapy + placebo as first-line therapy for patients with advanced oesophageal or esophagogastric junction (E/EGJ) cancer</w:t>
            </w:r>
            <w:r>
              <w:rPr>
                <w:szCs w:val="18"/>
              </w:rPr>
              <w:t>.</w:t>
            </w:r>
          </w:p>
        </w:tc>
        <w:tc>
          <w:tcPr>
            <w:tcW w:w="1177" w:type="pct"/>
            <w:tcBorders>
              <w:bottom w:val="nil"/>
            </w:tcBorders>
          </w:tcPr>
          <w:p w14:paraId="65970136" w14:textId="77777777" w:rsidR="00A55C4B" w:rsidRPr="001009D9" w:rsidRDefault="00A55C4B" w:rsidP="00CB4383">
            <w:pPr>
              <w:pStyle w:val="TableText0"/>
              <w:keepLines/>
            </w:pPr>
            <w:r w:rsidRPr="001009D9">
              <w:t>CSR.</w:t>
            </w:r>
            <w:r>
              <w:t xml:space="preserve"> September 2020</w:t>
            </w:r>
          </w:p>
        </w:tc>
      </w:tr>
      <w:tr w:rsidR="00A55C4B" w:rsidRPr="001009D9" w14:paraId="65C8032C" w14:textId="77777777" w:rsidTr="002F4961">
        <w:tc>
          <w:tcPr>
            <w:tcW w:w="796" w:type="pct"/>
            <w:tcBorders>
              <w:top w:val="nil"/>
              <w:bottom w:val="nil"/>
            </w:tcBorders>
            <w:vAlign w:val="center"/>
          </w:tcPr>
          <w:p w14:paraId="0F3688DD" w14:textId="77777777" w:rsidR="00A55C4B" w:rsidRPr="001009D9" w:rsidRDefault="00A55C4B" w:rsidP="00CB4383">
            <w:pPr>
              <w:pStyle w:val="Tabletext"/>
              <w:keepNext/>
              <w:keepLines/>
            </w:pPr>
            <w:r w:rsidRPr="001009D9">
              <w:t>Keynote 590</w:t>
            </w:r>
            <w:r>
              <w:t xml:space="preserve"> (KN590)</w:t>
            </w:r>
          </w:p>
        </w:tc>
        <w:tc>
          <w:tcPr>
            <w:tcW w:w="3027" w:type="pct"/>
            <w:tcBorders>
              <w:top w:val="nil"/>
              <w:bottom w:val="nil"/>
            </w:tcBorders>
          </w:tcPr>
          <w:p w14:paraId="3A2D46A6" w14:textId="77777777" w:rsidR="00A55C4B" w:rsidRPr="001009D9" w:rsidRDefault="00A55C4B" w:rsidP="00CB4383">
            <w:pPr>
              <w:pStyle w:val="Tabletext"/>
              <w:keepNext/>
              <w:keepLines/>
              <w:rPr>
                <w:szCs w:val="18"/>
                <w:lang w:eastAsia="en-AU"/>
              </w:rPr>
            </w:pPr>
            <w:r w:rsidRPr="001009D9">
              <w:rPr>
                <w:szCs w:val="18"/>
                <w:lang w:eastAsia="en-AU"/>
              </w:rPr>
              <w:t xml:space="preserve">Kato K, Shah MA, </w:t>
            </w:r>
            <w:proofErr w:type="spellStart"/>
            <w:r w:rsidRPr="001009D9">
              <w:rPr>
                <w:szCs w:val="18"/>
                <w:lang w:eastAsia="en-AU"/>
              </w:rPr>
              <w:t>Enzinger</w:t>
            </w:r>
            <w:proofErr w:type="spellEnd"/>
            <w:r w:rsidRPr="001009D9">
              <w:rPr>
                <w:szCs w:val="18"/>
                <w:lang w:eastAsia="en-AU"/>
              </w:rPr>
              <w:t xml:space="preserve"> P, </w:t>
            </w:r>
            <w:proofErr w:type="spellStart"/>
            <w:r w:rsidRPr="001009D9">
              <w:rPr>
                <w:szCs w:val="18"/>
                <w:lang w:eastAsia="en-AU"/>
              </w:rPr>
              <w:t>Bennouna</w:t>
            </w:r>
            <w:proofErr w:type="spellEnd"/>
            <w:r w:rsidRPr="001009D9">
              <w:rPr>
                <w:szCs w:val="18"/>
                <w:lang w:eastAsia="en-AU"/>
              </w:rPr>
              <w:t xml:space="preserve"> J, Shen L, </w:t>
            </w:r>
            <w:proofErr w:type="spellStart"/>
            <w:r w:rsidRPr="001009D9">
              <w:rPr>
                <w:szCs w:val="18"/>
                <w:lang w:eastAsia="en-AU"/>
              </w:rPr>
              <w:t>Adenis</w:t>
            </w:r>
            <w:proofErr w:type="spellEnd"/>
            <w:r w:rsidRPr="001009D9">
              <w:rPr>
                <w:szCs w:val="18"/>
                <w:lang w:eastAsia="en-AU"/>
              </w:rPr>
              <w:t xml:space="preserve"> A, Sun JM, Cho BC, </w:t>
            </w:r>
            <w:proofErr w:type="spellStart"/>
            <w:r w:rsidRPr="001009D9">
              <w:rPr>
                <w:szCs w:val="18"/>
                <w:lang w:eastAsia="en-AU"/>
              </w:rPr>
              <w:t>Özgüroğlu</w:t>
            </w:r>
            <w:proofErr w:type="spellEnd"/>
            <w:r w:rsidRPr="001009D9">
              <w:rPr>
                <w:szCs w:val="18"/>
                <w:lang w:eastAsia="en-AU"/>
              </w:rPr>
              <w:t xml:space="preserve"> M, Kojima T, </w:t>
            </w:r>
            <w:proofErr w:type="spellStart"/>
            <w:r w:rsidRPr="001009D9">
              <w:rPr>
                <w:szCs w:val="18"/>
                <w:lang w:eastAsia="en-AU"/>
              </w:rPr>
              <w:t>Kostorov</w:t>
            </w:r>
            <w:proofErr w:type="spellEnd"/>
            <w:r w:rsidRPr="001009D9">
              <w:rPr>
                <w:szCs w:val="18"/>
                <w:lang w:eastAsia="en-AU"/>
              </w:rPr>
              <w:t xml:space="preserve"> V, </w:t>
            </w:r>
            <w:proofErr w:type="spellStart"/>
            <w:r w:rsidRPr="001009D9">
              <w:rPr>
                <w:szCs w:val="18"/>
                <w:lang w:eastAsia="en-AU"/>
              </w:rPr>
              <w:t>Hierro</w:t>
            </w:r>
            <w:proofErr w:type="spellEnd"/>
            <w:r w:rsidRPr="001009D9">
              <w:rPr>
                <w:szCs w:val="18"/>
                <w:lang w:eastAsia="en-AU"/>
              </w:rPr>
              <w:t xml:space="preserve"> C, Zhu Y, McLean LA, Shah S, Doi T. KEYNOTE-590: Phase III study of first-line chemotherapy with or without pembrolizumab for advanced </w:t>
            </w:r>
            <w:proofErr w:type="spellStart"/>
            <w:r w:rsidRPr="001009D9">
              <w:rPr>
                <w:szCs w:val="18"/>
                <w:lang w:eastAsia="en-AU"/>
              </w:rPr>
              <w:t>esophageal</w:t>
            </w:r>
            <w:proofErr w:type="spellEnd"/>
            <w:r w:rsidRPr="001009D9">
              <w:rPr>
                <w:szCs w:val="18"/>
                <w:lang w:eastAsia="en-AU"/>
              </w:rPr>
              <w:t xml:space="preserve"> cancer. </w:t>
            </w:r>
          </w:p>
        </w:tc>
        <w:tc>
          <w:tcPr>
            <w:tcW w:w="1177" w:type="pct"/>
            <w:tcBorders>
              <w:top w:val="nil"/>
              <w:bottom w:val="nil"/>
            </w:tcBorders>
          </w:tcPr>
          <w:p w14:paraId="75FC2944" w14:textId="77777777" w:rsidR="00A55C4B" w:rsidRPr="001009D9" w:rsidRDefault="00A55C4B" w:rsidP="00CB4383">
            <w:pPr>
              <w:pStyle w:val="Tabletext"/>
              <w:keepNext/>
              <w:keepLines/>
              <w:rPr>
                <w:i/>
                <w:szCs w:val="18"/>
                <w:lang w:eastAsia="en-AU"/>
              </w:rPr>
            </w:pPr>
            <w:r w:rsidRPr="001009D9">
              <w:rPr>
                <w:szCs w:val="18"/>
                <w:lang w:eastAsia="en-AU"/>
              </w:rPr>
              <w:t xml:space="preserve">Future Oncol. 2019 Apr;15(10):1057-1066. </w:t>
            </w:r>
            <w:proofErr w:type="spellStart"/>
            <w:r w:rsidRPr="001009D9">
              <w:rPr>
                <w:szCs w:val="18"/>
                <w:lang w:eastAsia="en-AU"/>
              </w:rPr>
              <w:t>Epub</w:t>
            </w:r>
            <w:proofErr w:type="spellEnd"/>
            <w:r w:rsidRPr="001009D9">
              <w:rPr>
                <w:szCs w:val="18"/>
                <w:lang w:eastAsia="en-AU"/>
              </w:rPr>
              <w:t xml:space="preserve"> 2019 Feb 8. </w:t>
            </w:r>
          </w:p>
        </w:tc>
      </w:tr>
      <w:tr w:rsidR="00A55C4B" w:rsidRPr="001009D9" w14:paraId="34B8870F" w14:textId="77777777" w:rsidTr="002F4961">
        <w:tc>
          <w:tcPr>
            <w:tcW w:w="796" w:type="pct"/>
            <w:tcBorders>
              <w:top w:val="nil"/>
              <w:bottom w:val="single" w:sz="4" w:space="0" w:color="auto"/>
            </w:tcBorders>
            <w:vAlign w:val="center"/>
          </w:tcPr>
          <w:p w14:paraId="452E975C" w14:textId="77777777" w:rsidR="00A55C4B" w:rsidRPr="001009D9" w:rsidRDefault="00A55C4B" w:rsidP="00CB4383">
            <w:pPr>
              <w:pStyle w:val="Tabletext"/>
              <w:keepNext/>
              <w:keepLines/>
            </w:pPr>
          </w:p>
        </w:tc>
        <w:tc>
          <w:tcPr>
            <w:tcW w:w="3027" w:type="pct"/>
            <w:tcBorders>
              <w:top w:val="nil"/>
              <w:bottom w:val="single" w:sz="4" w:space="0" w:color="auto"/>
            </w:tcBorders>
          </w:tcPr>
          <w:p w14:paraId="27717F3D" w14:textId="77777777" w:rsidR="00A55C4B" w:rsidRPr="001009D9" w:rsidRDefault="00A55C4B" w:rsidP="00CB4383">
            <w:pPr>
              <w:pStyle w:val="Tabletext"/>
              <w:keepNext/>
              <w:keepLines/>
              <w:rPr>
                <w:szCs w:val="18"/>
                <w:lang w:eastAsia="en-AU"/>
              </w:rPr>
            </w:pPr>
            <w:r w:rsidRPr="001009D9">
              <w:t xml:space="preserve">Kato K, Sun J, Shah MA, </w:t>
            </w:r>
            <w:proofErr w:type="spellStart"/>
            <w:r w:rsidRPr="001009D9">
              <w:t>Enzinger</w:t>
            </w:r>
            <w:proofErr w:type="spellEnd"/>
            <w:r w:rsidRPr="001009D9">
              <w:t xml:space="preserve"> PC, </w:t>
            </w:r>
            <w:proofErr w:type="spellStart"/>
            <w:r w:rsidRPr="001009D9">
              <w:t>Adenis</w:t>
            </w:r>
            <w:proofErr w:type="spellEnd"/>
            <w:r w:rsidRPr="001009D9">
              <w:t xml:space="preserve"> A, Doi T, Kojima T, </w:t>
            </w:r>
            <w:proofErr w:type="spellStart"/>
            <w:r w:rsidRPr="001009D9">
              <w:t>Metges</w:t>
            </w:r>
            <w:proofErr w:type="spellEnd"/>
            <w:r w:rsidRPr="001009D9">
              <w:t xml:space="preserve"> J, Li Z, Kim S, </w:t>
            </w:r>
            <w:proofErr w:type="spellStart"/>
            <w:r w:rsidRPr="001009D9">
              <w:t>Chul</w:t>
            </w:r>
            <w:proofErr w:type="spellEnd"/>
            <w:r w:rsidRPr="001009D9">
              <w:t xml:space="preserve"> Cho BC, Mansoor W, Li S, </w:t>
            </w:r>
            <w:proofErr w:type="spellStart"/>
            <w:r w:rsidRPr="001009D9">
              <w:t>Sunpaweravong</w:t>
            </w:r>
            <w:proofErr w:type="spellEnd"/>
            <w:r w:rsidRPr="001009D9">
              <w:t xml:space="preserve"> P, </w:t>
            </w:r>
            <w:proofErr w:type="spellStart"/>
            <w:r w:rsidRPr="001009D9">
              <w:t>Maqueda</w:t>
            </w:r>
            <w:proofErr w:type="spellEnd"/>
            <w:r w:rsidRPr="001009D9">
              <w:t xml:space="preserve"> MA, </w:t>
            </w:r>
            <w:proofErr w:type="spellStart"/>
            <w:r w:rsidRPr="001009D9">
              <w:t>Goekkurt</w:t>
            </w:r>
            <w:proofErr w:type="spellEnd"/>
            <w:r w:rsidRPr="001009D9">
              <w:t xml:space="preserve"> E, Liu Q, Shah S, </w:t>
            </w:r>
            <w:proofErr w:type="spellStart"/>
            <w:r w:rsidRPr="001009D9">
              <w:t>Bhagia</w:t>
            </w:r>
            <w:proofErr w:type="spellEnd"/>
            <w:r w:rsidRPr="001009D9">
              <w:t xml:space="preserve"> P, Shen L, </w:t>
            </w:r>
          </w:p>
        </w:tc>
        <w:tc>
          <w:tcPr>
            <w:tcW w:w="1177" w:type="pct"/>
            <w:tcBorders>
              <w:top w:val="nil"/>
              <w:bottom w:val="single" w:sz="4" w:space="0" w:color="auto"/>
            </w:tcBorders>
          </w:tcPr>
          <w:p w14:paraId="482B0055" w14:textId="77777777" w:rsidR="00A55C4B" w:rsidRPr="001009D9" w:rsidRDefault="00A55C4B" w:rsidP="00CB4383">
            <w:pPr>
              <w:pStyle w:val="Tabletext"/>
              <w:keepNext/>
              <w:keepLines/>
              <w:rPr>
                <w:i/>
                <w:szCs w:val="18"/>
                <w:lang w:eastAsia="en-AU"/>
              </w:rPr>
            </w:pPr>
            <w:r w:rsidRPr="001009D9">
              <w:t>Annals of Oncology (2020) 31 (suppl_4): S1142-S1215. [abstract]</w:t>
            </w:r>
          </w:p>
        </w:tc>
      </w:tr>
    </w:tbl>
    <w:p w14:paraId="05D44833" w14:textId="0D50EE86" w:rsidR="004E0DA6" w:rsidRPr="00CB71F0" w:rsidRDefault="00A55C4B" w:rsidP="00CB71F0">
      <w:pPr>
        <w:pStyle w:val="TableFooter"/>
        <w:keepNext/>
        <w:keepLines/>
        <w:spacing w:after="120"/>
        <w:rPr>
          <w:sz w:val="20"/>
        </w:rPr>
      </w:pPr>
      <w:r w:rsidRPr="001009D9">
        <w:t xml:space="preserve">Source: Table 2.2-1, p10 of the submission. </w:t>
      </w:r>
    </w:p>
    <w:p w14:paraId="3BE272D1" w14:textId="13965500" w:rsidR="004E0DA6" w:rsidRPr="00197FE9" w:rsidRDefault="004E0DA6" w:rsidP="00863C38">
      <w:pPr>
        <w:pStyle w:val="ListParagraph"/>
        <w:widowControl/>
        <w:numPr>
          <w:ilvl w:val="1"/>
          <w:numId w:val="1"/>
        </w:numPr>
        <w:jc w:val="left"/>
        <w:rPr>
          <w:rFonts w:asciiTheme="minorHAnsi" w:hAnsiTheme="minorHAnsi" w:cstheme="minorHAnsi"/>
          <w:szCs w:val="24"/>
        </w:rPr>
      </w:pPr>
      <w:r w:rsidRPr="00197FE9">
        <w:rPr>
          <w:rFonts w:asciiTheme="minorHAnsi" w:hAnsiTheme="minorHAnsi" w:cstheme="minorHAnsi"/>
          <w:szCs w:val="24"/>
        </w:rPr>
        <w:t>The key features of</w:t>
      </w:r>
      <w:r w:rsidR="002F4961">
        <w:rPr>
          <w:rFonts w:asciiTheme="minorHAnsi" w:hAnsiTheme="minorHAnsi" w:cstheme="minorHAnsi"/>
          <w:szCs w:val="24"/>
        </w:rPr>
        <w:t xml:space="preserve"> the</w:t>
      </w:r>
      <w:r w:rsidRPr="00197FE9">
        <w:rPr>
          <w:rFonts w:asciiTheme="minorHAnsi" w:hAnsiTheme="minorHAnsi" w:cstheme="minorHAnsi"/>
          <w:szCs w:val="24"/>
        </w:rPr>
        <w:t xml:space="preserve"> KN590</w:t>
      </w:r>
      <w:r w:rsidR="002F4961">
        <w:rPr>
          <w:rFonts w:asciiTheme="minorHAnsi" w:hAnsiTheme="minorHAnsi" w:cstheme="minorHAnsi"/>
          <w:szCs w:val="24"/>
        </w:rPr>
        <w:t xml:space="preserve"> trial</w:t>
      </w:r>
      <w:r w:rsidRPr="00197FE9">
        <w:rPr>
          <w:rFonts w:asciiTheme="minorHAnsi" w:hAnsiTheme="minorHAnsi" w:cstheme="minorHAnsi"/>
          <w:szCs w:val="24"/>
        </w:rPr>
        <w:t xml:space="preserve"> are summarised </w:t>
      </w:r>
      <w:r w:rsidRPr="00197FE9">
        <w:rPr>
          <w:rStyle w:val="BodyTextChar"/>
          <w:rFonts w:asciiTheme="minorHAnsi" w:hAnsiTheme="minorHAnsi" w:cstheme="minorHAnsi"/>
          <w:sz w:val="24"/>
          <w:szCs w:val="24"/>
        </w:rPr>
        <w:t xml:space="preserve">in </w:t>
      </w:r>
      <w:r w:rsidR="005051CB" w:rsidRPr="005051CB">
        <w:rPr>
          <w:snapToGrid/>
          <w:color w:val="000000" w:themeColor="text1"/>
        </w:rPr>
        <w:t>Table 3</w:t>
      </w:r>
      <w:r w:rsidRPr="00171867">
        <w:rPr>
          <w:rFonts w:asciiTheme="minorHAnsi" w:hAnsiTheme="minorHAnsi" w:cstheme="minorHAnsi"/>
          <w:color w:val="000000" w:themeColor="text1"/>
        </w:rPr>
        <w:t xml:space="preserve">. </w:t>
      </w:r>
    </w:p>
    <w:p w14:paraId="795B8ECB" w14:textId="09478B30" w:rsidR="004E0DA6" w:rsidRPr="00E2771E" w:rsidRDefault="004E0DA6" w:rsidP="00B3275A">
      <w:pPr>
        <w:keepNext/>
        <w:keepLines/>
        <w:rPr>
          <w:rStyle w:val="CommentReference"/>
        </w:rPr>
      </w:pPr>
      <w:bookmarkStart w:id="21" w:name="_Ref79503144"/>
      <w:r>
        <w:rPr>
          <w:rStyle w:val="CommentReference"/>
        </w:rPr>
        <w:t xml:space="preserve">Table </w:t>
      </w:r>
      <w:r w:rsidR="005051CB">
        <w:rPr>
          <w:rStyle w:val="CommentReference"/>
          <w:noProof/>
        </w:rPr>
        <w:t>3</w:t>
      </w:r>
      <w:bookmarkEnd w:id="21"/>
      <w:r>
        <w:rPr>
          <w:rStyle w:val="CommentReference"/>
        </w:rPr>
        <w:t xml:space="preserve">: </w:t>
      </w:r>
      <w:r w:rsidRPr="00E2771E">
        <w:rPr>
          <w:rStyle w:val="CommentReference"/>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4E0DA6" w:rsidRPr="00B41614" w14:paraId="757A99A5" w14:textId="77777777" w:rsidTr="00322E1B">
        <w:tc>
          <w:tcPr>
            <w:tcW w:w="713" w:type="pct"/>
            <w:shd w:val="clear" w:color="auto" w:fill="auto"/>
            <w:vAlign w:val="center"/>
          </w:tcPr>
          <w:p w14:paraId="4881FDE7" w14:textId="77777777" w:rsidR="004E0DA6" w:rsidRPr="00B41614" w:rsidRDefault="004E0DA6" w:rsidP="00B3275A">
            <w:pPr>
              <w:pStyle w:val="Tabletext"/>
              <w:keepNext/>
              <w:keepLines/>
              <w:rPr>
                <w:b/>
                <w:lang w:val="en-US"/>
              </w:rPr>
            </w:pPr>
            <w:r w:rsidRPr="00B41614">
              <w:rPr>
                <w:b/>
                <w:lang w:val="en-US"/>
              </w:rPr>
              <w:t>Trial</w:t>
            </w:r>
          </w:p>
        </w:tc>
        <w:tc>
          <w:tcPr>
            <w:tcW w:w="466" w:type="pct"/>
            <w:shd w:val="clear" w:color="auto" w:fill="auto"/>
            <w:vAlign w:val="center"/>
          </w:tcPr>
          <w:p w14:paraId="3DF66002" w14:textId="77777777" w:rsidR="004E0DA6" w:rsidRPr="00B41614" w:rsidRDefault="004E0DA6" w:rsidP="00B3275A">
            <w:pPr>
              <w:pStyle w:val="Tabletext"/>
              <w:keepNext/>
              <w:keepLines/>
              <w:jc w:val="center"/>
              <w:rPr>
                <w:b/>
                <w:lang w:val="en-US"/>
              </w:rPr>
            </w:pPr>
            <w:r w:rsidRPr="00B41614">
              <w:rPr>
                <w:b/>
                <w:lang w:val="en-US"/>
              </w:rPr>
              <w:t>N</w:t>
            </w:r>
          </w:p>
        </w:tc>
        <w:tc>
          <w:tcPr>
            <w:tcW w:w="782" w:type="pct"/>
            <w:shd w:val="clear" w:color="auto" w:fill="auto"/>
            <w:vAlign w:val="center"/>
          </w:tcPr>
          <w:p w14:paraId="2FCE0571" w14:textId="77777777" w:rsidR="004E0DA6" w:rsidRPr="00B41614" w:rsidRDefault="004E0DA6" w:rsidP="00B3275A">
            <w:pPr>
              <w:pStyle w:val="Tabletext"/>
              <w:keepNext/>
              <w:keepLines/>
              <w:jc w:val="center"/>
              <w:rPr>
                <w:b/>
                <w:lang w:val="en-US"/>
              </w:rPr>
            </w:pPr>
            <w:r w:rsidRPr="00B41614">
              <w:rPr>
                <w:b/>
                <w:lang w:val="en-US"/>
              </w:rPr>
              <w:t>Design/duration</w:t>
            </w:r>
          </w:p>
        </w:tc>
        <w:tc>
          <w:tcPr>
            <w:tcW w:w="621" w:type="pct"/>
            <w:shd w:val="clear" w:color="auto" w:fill="auto"/>
            <w:vAlign w:val="center"/>
          </w:tcPr>
          <w:p w14:paraId="0DB39C4A" w14:textId="77777777" w:rsidR="004E0DA6" w:rsidRPr="00B41614" w:rsidRDefault="004E0DA6" w:rsidP="00B3275A">
            <w:pPr>
              <w:pStyle w:val="Tabletext"/>
              <w:keepNext/>
              <w:keepLines/>
              <w:jc w:val="center"/>
              <w:rPr>
                <w:b/>
                <w:lang w:val="en-US"/>
              </w:rPr>
            </w:pPr>
            <w:r w:rsidRPr="00B41614">
              <w:rPr>
                <w:b/>
                <w:lang w:val="en-US"/>
              </w:rPr>
              <w:t>Risk of bias</w:t>
            </w:r>
          </w:p>
        </w:tc>
        <w:tc>
          <w:tcPr>
            <w:tcW w:w="857" w:type="pct"/>
            <w:shd w:val="clear" w:color="auto" w:fill="auto"/>
            <w:vAlign w:val="center"/>
          </w:tcPr>
          <w:p w14:paraId="3E7F8D5D" w14:textId="77777777" w:rsidR="004E0DA6" w:rsidRPr="00B41614" w:rsidRDefault="004E0DA6" w:rsidP="00B3275A">
            <w:pPr>
              <w:pStyle w:val="Tabletext"/>
              <w:keepNext/>
              <w:keepLines/>
              <w:jc w:val="center"/>
              <w:rPr>
                <w:b/>
                <w:lang w:val="en-US"/>
              </w:rPr>
            </w:pPr>
            <w:r w:rsidRPr="00B41614">
              <w:rPr>
                <w:b/>
                <w:lang w:val="en-US"/>
              </w:rPr>
              <w:t>Patient population</w:t>
            </w:r>
          </w:p>
        </w:tc>
        <w:tc>
          <w:tcPr>
            <w:tcW w:w="622" w:type="pct"/>
            <w:shd w:val="clear" w:color="auto" w:fill="auto"/>
            <w:vAlign w:val="center"/>
          </w:tcPr>
          <w:p w14:paraId="3E5EF164" w14:textId="77777777" w:rsidR="004E0DA6" w:rsidRPr="00B41614" w:rsidRDefault="004E0DA6" w:rsidP="00B3275A">
            <w:pPr>
              <w:pStyle w:val="Tabletext"/>
              <w:keepNext/>
              <w:keepLines/>
              <w:jc w:val="center"/>
              <w:rPr>
                <w:b/>
                <w:lang w:val="en-US"/>
              </w:rPr>
            </w:pPr>
            <w:r w:rsidRPr="00B41614">
              <w:rPr>
                <w:b/>
                <w:lang w:val="en-US"/>
              </w:rPr>
              <w:t>Outcome(s)</w:t>
            </w:r>
          </w:p>
        </w:tc>
        <w:tc>
          <w:tcPr>
            <w:tcW w:w="939" w:type="pct"/>
            <w:shd w:val="clear" w:color="auto" w:fill="auto"/>
            <w:vAlign w:val="center"/>
          </w:tcPr>
          <w:p w14:paraId="5B5F638A" w14:textId="77777777" w:rsidR="004E0DA6" w:rsidRPr="00B41614" w:rsidRDefault="004E0DA6" w:rsidP="00B3275A">
            <w:pPr>
              <w:pStyle w:val="Tabletext"/>
              <w:keepNext/>
              <w:keepLines/>
              <w:jc w:val="center"/>
              <w:rPr>
                <w:b/>
                <w:lang w:val="en-US"/>
              </w:rPr>
            </w:pPr>
            <w:r w:rsidRPr="00B41614">
              <w:rPr>
                <w:b/>
                <w:lang w:val="en-US"/>
              </w:rPr>
              <w:t>Use in modelled evaluation</w:t>
            </w:r>
          </w:p>
        </w:tc>
      </w:tr>
      <w:tr w:rsidR="004E0DA6" w:rsidRPr="00E2771E" w14:paraId="7572549A" w14:textId="77777777" w:rsidTr="00322E1B">
        <w:tc>
          <w:tcPr>
            <w:tcW w:w="5000" w:type="pct"/>
            <w:gridSpan w:val="7"/>
            <w:shd w:val="clear" w:color="auto" w:fill="auto"/>
            <w:vAlign w:val="center"/>
          </w:tcPr>
          <w:p w14:paraId="7B653A16" w14:textId="77777777" w:rsidR="004E0DA6" w:rsidRPr="00B41614" w:rsidRDefault="00B65944" w:rsidP="00B3275A">
            <w:pPr>
              <w:pStyle w:val="Tabletext"/>
              <w:keepNext/>
              <w:keepLines/>
              <w:rPr>
                <w:b/>
                <w:lang w:val="en-US"/>
              </w:rPr>
            </w:pPr>
            <w:r>
              <w:rPr>
                <w:b/>
              </w:rPr>
              <w:t>Pembrolizumab plus chemo</w:t>
            </w:r>
            <w:r w:rsidR="004E0DA6" w:rsidRPr="00B41614">
              <w:rPr>
                <w:b/>
                <w:lang w:val="en-US"/>
              </w:rPr>
              <w:t xml:space="preserve"> vs. </w:t>
            </w:r>
            <w:r>
              <w:rPr>
                <w:b/>
                <w:lang w:val="en-US"/>
              </w:rPr>
              <w:t>chemo alone</w:t>
            </w:r>
          </w:p>
        </w:tc>
      </w:tr>
      <w:tr w:rsidR="004E0DA6" w:rsidRPr="00E2771E" w14:paraId="381058F6" w14:textId="77777777" w:rsidTr="00322E1B">
        <w:tc>
          <w:tcPr>
            <w:tcW w:w="713" w:type="pct"/>
            <w:shd w:val="clear" w:color="auto" w:fill="auto"/>
            <w:vAlign w:val="center"/>
          </w:tcPr>
          <w:p w14:paraId="3E248677" w14:textId="77777777" w:rsidR="004E0DA6" w:rsidRPr="00E2771E" w:rsidRDefault="004E0DA6" w:rsidP="00B3275A">
            <w:pPr>
              <w:pStyle w:val="Tabletext"/>
              <w:keepNext/>
              <w:keepLines/>
              <w:rPr>
                <w:lang w:val="en-US"/>
              </w:rPr>
            </w:pPr>
            <w:r>
              <w:rPr>
                <w:lang w:val="en-US"/>
              </w:rPr>
              <w:t>KN590</w:t>
            </w:r>
          </w:p>
        </w:tc>
        <w:tc>
          <w:tcPr>
            <w:tcW w:w="466" w:type="pct"/>
            <w:shd w:val="clear" w:color="auto" w:fill="auto"/>
            <w:vAlign w:val="center"/>
          </w:tcPr>
          <w:p w14:paraId="1A475A13" w14:textId="77777777" w:rsidR="004E0DA6" w:rsidRPr="00E2771E" w:rsidRDefault="004E0DA6" w:rsidP="00B3275A">
            <w:pPr>
              <w:pStyle w:val="Tabletext"/>
              <w:keepNext/>
              <w:keepLines/>
              <w:jc w:val="center"/>
              <w:rPr>
                <w:lang w:val="en-US"/>
              </w:rPr>
            </w:pPr>
            <w:r w:rsidRPr="001009D9">
              <w:t>749</w:t>
            </w:r>
          </w:p>
        </w:tc>
        <w:tc>
          <w:tcPr>
            <w:tcW w:w="782" w:type="pct"/>
            <w:shd w:val="clear" w:color="auto" w:fill="auto"/>
            <w:vAlign w:val="center"/>
          </w:tcPr>
          <w:p w14:paraId="3E575262" w14:textId="77777777" w:rsidR="004E0DA6" w:rsidRPr="00E2771E" w:rsidRDefault="004E0DA6" w:rsidP="00B3275A">
            <w:pPr>
              <w:pStyle w:val="Tabletext"/>
              <w:keepNext/>
              <w:keepLines/>
              <w:jc w:val="center"/>
              <w:rPr>
                <w:lang w:val="en-US"/>
              </w:rPr>
            </w:pPr>
            <w:r w:rsidRPr="00E2771E">
              <w:rPr>
                <w:lang w:val="en-US"/>
              </w:rPr>
              <w:t>R, DB</w:t>
            </w:r>
            <w:r>
              <w:rPr>
                <w:lang w:val="en-US"/>
              </w:rPr>
              <w:t>, MC</w:t>
            </w:r>
          </w:p>
          <w:p w14:paraId="37005E62" w14:textId="77777777" w:rsidR="004E0DA6" w:rsidRPr="00E2771E" w:rsidRDefault="004E0DA6" w:rsidP="00B3275A">
            <w:pPr>
              <w:pStyle w:val="Tabletext"/>
              <w:keepNext/>
              <w:keepLines/>
              <w:jc w:val="center"/>
              <w:rPr>
                <w:lang w:val="en-US"/>
              </w:rPr>
            </w:pPr>
            <w:r>
              <w:rPr>
                <w:lang w:val="en-US"/>
              </w:rPr>
              <w:t>~12</w:t>
            </w:r>
            <w:r w:rsidRPr="00E2771E">
              <w:rPr>
                <w:lang w:val="en-US"/>
              </w:rPr>
              <w:t xml:space="preserve"> </w:t>
            </w:r>
            <w:proofErr w:type="spellStart"/>
            <w:r w:rsidRPr="00E2771E">
              <w:rPr>
                <w:lang w:val="en-US"/>
              </w:rPr>
              <w:t>mths</w:t>
            </w:r>
            <w:r w:rsidR="007675F7">
              <w:rPr>
                <w:vertAlign w:val="superscript"/>
                <w:lang w:val="en-US"/>
              </w:rPr>
              <w:t>a</w:t>
            </w:r>
            <w:proofErr w:type="spellEnd"/>
          </w:p>
        </w:tc>
        <w:tc>
          <w:tcPr>
            <w:tcW w:w="621" w:type="pct"/>
            <w:shd w:val="clear" w:color="auto" w:fill="auto"/>
            <w:vAlign w:val="center"/>
          </w:tcPr>
          <w:p w14:paraId="243194D8" w14:textId="77777777" w:rsidR="004E0DA6" w:rsidRPr="00440525" w:rsidRDefault="004E0DA6" w:rsidP="00B3275A">
            <w:pPr>
              <w:pStyle w:val="Tabletext"/>
              <w:keepNext/>
              <w:keepLines/>
              <w:jc w:val="center"/>
              <w:rPr>
                <w:iCs/>
                <w:lang w:val="en-US"/>
              </w:rPr>
            </w:pPr>
            <w:r w:rsidRPr="00440525">
              <w:rPr>
                <w:iCs/>
                <w:lang w:val="en-US"/>
              </w:rPr>
              <w:t>Low</w:t>
            </w:r>
          </w:p>
        </w:tc>
        <w:tc>
          <w:tcPr>
            <w:tcW w:w="857" w:type="pct"/>
            <w:shd w:val="clear" w:color="auto" w:fill="auto"/>
            <w:vAlign w:val="center"/>
          </w:tcPr>
          <w:p w14:paraId="1D27E1A3" w14:textId="77777777" w:rsidR="004E0DA6" w:rsidRPr="00E2771E" w:rsidRDefault="004E0DA6" w:rsidP="00B3275A">
            <w:pPr>
              <w:pStyle w:val="Tabletext"/>
              <w:keepNext/>
              <w:keepLines/>
              <w:jc w:val="center"/>
              <w:rPr>
                <w:lang w:val="en-US"/>
              </w:rPr>
            </w:pPr>
            <w:r>
              <w:rPr>
                <w:lang w:val="en-US"/>
              </w:rPr>
              <w:t>First line</w:t>
            </w:r>
          </w:p>
        </w:tc>
        <w:tc>
          <w:tcPr>
            <w:tcW w:w="622" w:type="pct"/>
            <w:shd w:val="clear" w:color="auto" w:fill="auto"/>
            <w:vAlign w:val="center"/>
          </w:tcPr>
          <w:p w14:paraId="1E07E26A" w14:textId="77777777" w:rsidR="004E0DA6" w:rsidRPr="00E2771E" w:rsidRDefault="004E0DA6" w:rsidP="00B3275A">
            <w:pPr>
              <w:pStyle w:val="Tabletext"/>
              <w:keepNext/>
              <w:keepLines/>
              <w:jc w:val="center"/>
              <w:rPr>
                <w:lang w:val="en-US"/>
              </w:rPr>
            </w:pPr>
            <w:r w:rsidRPr="00E2771E">
              <w:rPr>
                <w:lang w:val="en-US"/>
              </w:rPr>
              <w:t>OS</w:t>
            </w:r>
            <w:r>
              <w:rPr>
                <w:lang w:val="en-US"/>
              </w:rPr>
              <w:t xml:space="preserve">, PFS </w:t>
            </w:r>
          </w:p>
        </w:tc>
        <w:tc>
          <w:tcPr>
            <w:tcW w:w="939" w:type="pct"/>
            <w:shd w:val="clear" w:color="auto" w:fill="auto"/>
            <w:vAlign w:val="center"/>
          </w:tcPr>
          <w:p w14:paraId="2F85B8D4" w14:textId="77777777" w:rsidR="004E0DA6" w:rsidRPr="00E2771E" w:rsidRDefault="004E0DA6" w:rsidP="00B3275A">
            <w:pPr>
              <w:pStyle w:val="Tabletext"/>
              <w:keepNext/>
              <w:keepLines/>
              <w:jc w:val="center"/>
              <w:rPr>
                <w:lang w:val="en-US"/>
              </w:rPr>
            </w:pPr>
            <w:r>
              <w:rPr>
                <w:lang w:val="en-US"/>
              </w:rPr>
              <w:t>OS</w:t>
            </w:r>
            <w:r w:rsidR="00B65944">
              <w:rPr>
                <w:lang w:val="en-US"/>
              </w:rPr>
              <w:t>,</w:t>
            </w:r>
            <w:r>
              <w:rPr>
                <w:lang w:val="en-US"/>
              </w:rPr>
              <w:t xml:space="preserve"> PFS</w:t>
            </w:r>
            <w:r w:rsidR="00B65944">
              <w:rPr>
                <w:lang w:val="en-US"/>
              </w:rPr>
              <w:t>,</w:t>
            </w:r>
            <w:r>
              <w:rPr>
                <w:lang w:val="en-US"/>
              </w:rPr>
              <w:t xml:space="preserve"> </w:t>
            </w:r>
            <w:proofErr w:type="spellStart"/>
            <w:r>
              <w:rPr>
                <w:lang w:val="en-US"/>
              </w:rPr>
              <w:t>ToT</w:t>
            </w:r>
            <w:proofErr w:type="spellEnd"/>
          </w:p>
        </w:tc>
      </w:tr>
    </w:tbl>
    <w:p w14:paraId="663194D4" w14:textId="77777777" w:rsidR="004E0DA6" w:rsidRPr="008D500A" w:rsidRDefault="004E0DA6" w:rsidP="00B3275A">
      <w:pPr>
        <w:pStyle w:val="TableFooter"/>
        <w:keepNext/>
        <w:keepLines/>
        <w:rPr>
          <w:sz w:val="20"/>
        </w:rPr>
      </w:pPr>
      <w:r>
        <w:t>Source: pp10-20 of the submission.</w:t>
      </w:r>
    </w:p>
    <w:p w14:paraId="17278374" w14:textId="77777777" w:rsidR="004E0DA6" w:rsidRDefault="004E0DA6" w:rsidP="00B3275A">
      <w:pPr>
        <w:pStyle w:val="TableFooter"/>
        <w:keepNext/>
        <w:keepLines/>
      </w:pPr>
      <w:r w:rsidRPr="0072416F">
        <w:t>DB</w:t>
      </w:r>
      <w:r w:rsidR="00BA46CB">
        <w:t xml:space="preserve"> </w:t>
      </w:r>
      <w:r w:rsidRPr="0072416F">
        <w:t>=</w:t>
      </w:r>
      <w:r w:rsidR="00BA46CB">
        <w:t xml:space="preserve"> </w:t>
      </w:r>
      <w:r w:rsidRPr="0072416F">
        <w:t>double blind; MC</w:t>
      </w:r>
      <w:r w:rsidR="00BA46CB">
        <w:t xml:space="preserve"> </w:t>
      </w:r>
      <w:r w:rsidRPr="0072416F">
        <w:t>=</w:t>
      </w:r>
      <w:r w:rsidR="00BA46CB">
        <w:t xml:space="preserve"> </w:t>
      </w:r>
      <w:r w:rsidRPr="0072416F">
        <w:t>multi-centre; OL</w:t>
      </w:r>
      <w:r w:rsidR="00BA46CB">
        <w:t xml:space="preserve"> </w:t>
      </w:r>
      <w:r w:rsidRPr="0072416F">
        <w:t>=</w:t>
      </w:r>
      <w:r w:rsidR="00BA46CB">
        <w:t xml:space="preserve"> </w:t>
      </w:r>
      <w:r w:rsidRPr="0072416F">
        <w:t>open label; OS</w:t>
      </w:r>
      <w:r w:rsidR="00BA46CB">
        <w:t xml:space="preserve"> </w:t>
      </w:r>
      <w:r w:rsidRPr="0072416F">
        <w:t>=</w:t>
      </w:r>
      <w:r w:rsidR="00BA46CB">
        <w:t xml:space="preserve"> </w:t>
      </w:r>
      <w:r w:rsidRPr="0072416F">
        <w:t>overall survival; PFS</w:t>
      </w:r>
      <w:r w:rsidR="00BA46CB">
        <w:t xml:space="preserve"> </w:t>
      </w:r>
      <w:r w:rsidRPr="0072416F">
        <w:t>=</w:t>
      </w:r>
      <w:r w:rsidR="00BA46CB">
        <w:t xml:space="preserve"> </w:t>
      </w:r>
      <w:r w:rsidRPr="0072416F">
        <w:t>progression-free survival; R</w:t>
      </w:r>
      <w:r w:rsidR="00BA46CB">
        <w:t xml:space="preserve"> </w:t>
      </w:r>
      <w:r w:rsidRPr="0072416F">
        <w:t>=</w:t>
      </w:r>
      <w:r w:rsidR="00BA46CB">
        <w:t xml:space="preserve"> </w:t>
      </w:r>
      <w:r w:rsidRPr="0072416F">
        <w:t>randomised</w:t>
      </w:r>
      <w:r>
        <w:t xml:space="preserve">; </w:t>
      </w:r>
      <w:proofErr w:type="spellStart"/>
      <w:r>
        <w:t>ToT</w:t>
      </w:r>
      <w:proofErr w:type="spellEnd"/>
      <w:r>
        <w:t xml:space="preserve"> = time on treatment</w:t>
      </w:r>
    </w:p>
    <w:p w14:paraId="01C7C844" w14:textId="75232BED" w:rsidR="004E0DA6" w:rsidRPr="00CB71F0" w:rsidRDefault="007675F7" w:rsidP="00CB71F0">
      <w:pPr>
        <w:pStyle w:val="TableFooter"/>
        <w:keepNext/>
        <w:keepLines/>
        <w:tabs>
          <w:tab w:val="left" w:pos="284"/>
        </w:tabs>
        <w:spacing w:after="120"/>
        <w:rPr>
          <w:rFonts w:cs="Times New Roman"/>
        </w:rPr>
      </w:pPr>
      <w:r w:rsidRPr="007675F7">
        <w:rPr>
          <w:vertAlign w:val="superscript"/>
        </w:rPr>
        <w:t>a</w:t>
      </w:r>
      <w:r w:rsidR="003C492F">
        <w:t xml:space="preserve"> M</w:t>
      </w:r>
      <w:r w:rsidR="004E0DA6" w:rsidRPr="007675F7">
        <w:t>edian</w:t>
      </w:r>
      <w:r w:rsidR="004E0DA6">
        <w:t xml:space="preserve"> follow-up in </w:t>
      </w:r>
      <w:r w:rsidR="002608F1">
        <w:t>t</w:t>
      </w:r>
      <w:r w:rsidR="004E0DA6">
        <w:t>reatment arm</w:t>
      </w:r>
    </w:p>
    <w:p w14:paraId="685A8A14" w14:textId="77777777" w:rsidR="00583AB9" w:rsidRPr="00586BAA" w:rsidRDefault="00583AB9" w:rsidP="00863C38">
      <w:pPr>
        <w:pStyle w:val="ListParagraph"/>
        <w:widowControl/>
        <w:numPr>
          <w:ilvl w:val="1"/>
          <w:numId w:val="1"/>
        </w:numPr>
        <w:rPr>
          <w:rFonts w:asciiTheme="minorHAnsi" w:hAnsiTheme="minorHAnsi" w:cstheme="minorHAnsi"/>
          <w:color w:val="3366FF"/>
        </w:rPr>
      </w:pPr>
      <w:r w:rsidRPr="00586BAA">
        <w:t>The dual primary efficacy outcomes for KN590 were overall survival (OS) and progression free survival (PFS). Overall Response Rate (ORR) was the key secondary efficacy endpoint.</w:t>
      </w:r>
    </w:p>
    <w:p w14:paraId="74701601" w14:textId="77777777" w:rsidR="003815AD" w:rsidRPr="00A55C4B"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The KN590 trial was evaluated in a stepwise fashion</w:t>
      </w:r>
      <w:r>
        <w:rPr>
          <w:rFonts w:asciiTheme="minorHAnsi" w:hAnsiTheme="minorHAnsi" w:cstheme="minorHAnsi"/>
        </w:rPr>
        <w:t>, with sequential hypothesis testing</w:t>
      </w:r>
      <w:r w:rsidRPr="00197FE9">
        <w:rPr>
          <w:rFonts w:asciiTheme="minorHAnsi" w:hAnsiTheme="minorHAnsi" w:cstheme="minorHAnsi"/>
        </w:rPr>
        <w:t xml:space="preserve">. </w:t>
      </w:r>
      <w:r>
        <w:t>This included key primary and secondary outcomes in the following pre-specified subgroup populations:</w:t>
      </w:r>
    </w:p>
    <w:p w14:paraId="0B09150F" w14:textId="77777777" w:rsidR="003815AD" w:rsidRDefault="003815AD" w:rsidP="00863C38">
      <w:pPr>
        <w:pStyle w:val="ListParagraph"/>
        <w:numPr>
          <w:ilvl w:val="0"/>
          <w:numId w:val="11"/>
        </w:numPr>
        <w:tabs>
          <w:tab w:val="left" w:pos="284"/>
        </w:tabs>
        <w:ind w:left="1134" w:hanging="425"/>
      </w:pPr>
      <w:r>
        <w:t>Participants with OSCC in the</w:t>
      </w:r>
      <w:r w:rsidR="003E175D">
        <w:t xml:space="preserve"> </w:t>
      </w:r>
      <w:r w:rsidR="003E175D" w:rsidRPr="00CB4383">
        <w:rPr>
          <w:rFonts w:asciiTheme="minorHAnsi" w:hAnsiTheme="minorHAnsi" w:cstheme="minorHAnsi"/>
        </w:rPr>
        <w:t>intention-to-treat</w:t>
      </w:r>
      <w:r>
        <w:t xml:space="preserve"> </w:t>
      </w:r>
      <w:r w:rsidR="003E175D">
        <w:t>(</w:t>
      </w:r>
      <w:r>
        <w:t>ITT</w:t>
      </w:r>
      <w:r w:rsidR="003E175D">
        <w:t>)</w:t>
      </w:r>
      <w:r>
        <w:t xml:space="preserve"> population.</w:t>
      </w:r>
    </w:p>
    <w:p w14:paraId="76799B1D" w14:textId="77777777" w:rsidR="003815AD" w:rsidRDefault="003815AD" w:rsidP="00863C38">
      <w:pPr>
        <w:pStyle w:val="ListParagraph"/>
        <w:numPr>
          <w:ilvl w:val="0"/>
          <w:numId w:val="11"/>
        </w:numPr>
        <w:tabs>
          <w:tab w:val="left" w:pos="284"/>
        </w:tabs>
        <w:ind w:left="1134" w:hanging="425"/>
      </w:pPr>
      <w:r>
        <w:t>Participants with OSCC with p</w:t>
      </w:r>
      <w:r w:rsidRPr="00DF55C8">
        <w:t>rogrammed death-ligand 1</w:t>
      </w:r>
      <w:r>
        <w:t xml:space="preserve"> (</w:t>
      </w:r>
      <w:r w:rsidRPr="00197FE9">
        <w:rPr>
          <w:rFonts w:asciiTheme="minorHAnsi" w:hAnsiTheme="minorHAnsi" w:cstheme="minorHAnsi"/>
          <w:lang w:eastAsia="en-AU"/>
        </w:rPr>
        <w:t>PD-L1</w:t>
      </w:r>
      <w:r>
        <w:rPr>
          <w:rFonts w:asciiTheme="minorHAnsi" w:hAnsiTheme="minorHAnsi" w:cstheme="minorHAnsi"/>
          <w:lang w:eastAsia="en-AU"/>
        </w:rPr>
        <w:t>)</w:t>
      </w:r>
      <w:r>
        <w:t xml:space="preserve"> combined positive score (CPS) ≥10 in the ITT population (OSCC CPS ≥10).</w:t>
      </w:r>
    </w:p>
    <w:p w14:paraId="3240B05B" w14:textId="77777777" w:rsidR="003815AD" w:rsidRPr="00197FE9" w:rsidRDefault="003815AD" w:rsidP="00863C38">
      <w:pPr>
        <w:pStyle w:val="ListParagraph"/>
        <w:numPr>
          <w:ilvl w:val="0"/>
          <w:numId w:val="11"/>
        </w:numPr>
        <w:tabs>
          <w:tab w:val="left" w:pos="284"/>
        </w:tabs>
        <w:ind w:left="1134" w:hanging="425"/>
      </w:pPr>
      <w:r>
        <w:t xml:space="preserve">Participants with </w:t>
      </w:r>
      <w:r w:rsidRPr="00197FE9">
        <w:rPr>
          <w:rFonts w:asciiTheme="minorHAnsi" w:hAnsiTheme="minorHAnsi" w:cstheme="minorHAnsi"/>
          <w:lang w:eastAsia="en-AU"/>
        </w:rPr>
        <w:t>PD-L1</w:t>
      </w:r>
      <w:r>
        <w:t xml:space="preserve"> CPS ≥10 in the ITT population.</w:t>
      </w:r>
    </w:p>
    <w:p w14:paraId="76BA609B" w14:textId="77777777" w:rsidR="003815AD" w:rsidRPr="00197FE9"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 xml:space="preserve">Protocol </w:t>
      </w:r>
      <w:r>
        <w:rPr>
          <w:rFonts w:asciiTheme="minorHAnsi" w:hAnsiTheme="minorHAnsi" w:cstheme="minorHAnsi"/>
        </w:rPr>
        <w:t>A</w:t>
      </w:r>
      <w:r w:rsidRPr="00197FE9">
        <w:rPr>
          <w:rFonts w:asciiTheme="minorHAnsi" w:hAnsiTheme="minorHAnsi" w:cstheme="minorHAnsi"/>
        </w:rPr>
        <w:t>mendment 8 included the addition of three primary objectives and their corresponding hypotheses.</w:t>
      </w:r>
    </w:p>
    <w:p w14:paraId="67191A6F" w14:textId="77777777" w:rsidR="003815AD" w:rsidRDefault="003815AD" w:rsidP="00863C38">
      <w:pPr>
        <w:pStyle w:val="ListParagraph"/>
        <w:numPr>
          <w:ilvl w:val="0"/>
          <w:numId w:val="11"/>
        </w:numPr>
        <w:tabs>
          <w:tab w:val="left" w:pos="284"/>
        </w:tabs>
        <w:ind w:left="1134" w:hanging="425"/>
      </w:pPr>
      <w:r>
        <w:t>OS in OSCC population.</w:t>
      </w:r>
    </w:p>
    <w:p w14:paraId="4918058A" w14:textId="77777777" w:rsidR="003815AD" w:rsidRDefault="003815AD" w:rsidP="00863C38">
      <w:pPr>
        <w:pStyle w:val="ListParagraph"/>
        <w:numPr>
          <w:ilvl w:val="0"/>
          <w:numId w:val="11"/>
        </w:numPr>
        <w:tabs>
          <w:tab w:val="left" w:pos="284"/>
        </w:tabs>
        <w:ind w:left="1134" w:hanging="425"/>
      </w:pPr>
      <w:r>
        <w:t>OS in OSCC CPS ≥10 population.</w:t>
      </w:r>
    </w:p>
    <w:p w14:paraId="39996A95" w14:textId="77777777" w:rsidR="003815AD" w:rsidRPr="00171867" w:rsidRDefault="003815AD" w:rsidP="00863C38">
      <w:pPr>
        <w:pStyle w:val="ListParagraph"/>
        <w:numPr>
          <w:ilvl w:val="0"/>
          <w:numId w:val="11"/>
        </w:numPr>
        <w:tabs>
          <w:tab w:val="left" w:pos="284"/>
        </w:tabs>
        <w:ind w:left="1134" w:hanging="425"/>
      </w:pPr>
      <w:r>
        <w:t>PFS in OSCC population.</w:t>
      </w:r>
    </w:p>
    <w:p w14:paraId="4D9A9BBD" w14:textId="77777777" w:rsidR="003815AD" w:rsidRPr="003815AD" w:rsidRDefault="003815AD" w:rsidP="003815AD">
      <w:pPr>
        <w:widowControl/>
        <w:rPr>
          <w:rFonts w:asciiTheme="minorHAnsi" w:hAnsiTheme="minorHAnsi" w:cstheme="minorHAnsi"/>
          <w:i/>
        </w:rPr>
      </w:pPr>
    </w:p>
    <w:p w14:paraId="3F5571AF" w14:textId="77777777" w:rsidR="00F47048" w:rsidRPr="00586BAA" w:rsidRDefault="005051CB" w:rsidP="00863C38">
      <w:pPr>
        <w:pStyle w:val="ListParagraph"/>
        <w:keepNext/>
        <w:keepLines/>
        <w:widowControl/>
        <w:numPr>
          <w:ilvl w:val="1"/>
          <w:numId w:val="1"/>
        </w:numPr>
        <w:rPr>
          <w:rFonts w:asciiTheme="minorHAnsi" w:hAnsiTheme="minorHAnsi" w:cstheme="minorHAnsi"/>
        </w:rPr>
      </w:pPr>
      <w:r w:rsidRPr="00586BAA">
        <w:rPr>
          <w:rFonts w:asciiTheme="minorHAnsi" w:hAnsiTheme="minorHAnsi" w:cstheme="minorHAnsi"/>
        </w:rPr>
        <w:t xml:space="preserve">Figure 1 </w:t>
      </w:r>
      <w:r w:rsidR="00F47048" w:rsidRPr="00586BAA">
        <w:rPr>
          <w:rFonts w:asciiTheme="minorHAnsi" w:hAnsiTheme="minorHAnsi" w:cstheme="minorHAnsi"/>
        </w:rPr>
        <w:t>illustrates the sequential hypothesis testing in the KN590 trial.</w:t>
      </w:r>
    </w:p>
    <w:p w14:paraId="4BF7201D" w14:textId="77777777" w:rsidR="00F47048" w:rsidRPr="00586BAA" w:rsidRDefault="005051CB" w:rsidP="003815AD">
      <w:pPr>
        <w:pStyle w:val="TableFigureHeading"/>
        <w:keepLines/>
      </w:pPr>
      <w:bookmarkStart w:id="22" w:name="_Ref85552156"/>
      <w:r w:rsidRPr="00586BAA">
        <w:rPr>
          <w:rStyle w:val="CommentReference"/>
          <w:b/>
        </w:rPr>
        <w:t xml:space="preserve">Figure </w:t>
      </w:r>
      <w:r w:rsidRPr="00586BAA">
        <w:rPr>
          <w:rStyle w:val="CommentReference"/>
          <w:b/>
          <w:noProof/>
        </w:rPr>
        <w:t>1</w:t>
      </w:r>
      <w:bookmarkEnd w:id="22"/>
      <w:r w:rsidR="00F47048" w:rsidRPr="00586BAA">
        <w:t>: Sequential hypothesis testing and alpha spending in the KN590 trial</w:t>
      </w:r>
    </w:p>
    <w:p w14:paraId="6297D4B2" w14:textId="77777777" w:rsidR="00F47048" w:rsidRDefault="00F47048" w:rsidP="003815AD">
      <w:pPr>
        <w:pStyle w:val="In-tableHeading"/>
        <w:keepLines/>
        <w:rPr>
          <w:lang w:val="en-AU"/>
        </w:rPr>
      </w:pPr>
      <w:r>
        <w:rPr>
          <w:noProof/>
          <w:lang w:val="en-AU"/>
        </w:rPr>
        <w:drawing>
          <wp:inline distT="0" distB="0" distL="0" distR="0" wp14:anchorId="48C89992" wp14:editId="4FC7F820">
            <wp:extent cx="4197096" cy="3497580"/>
            <wp:effectExtent l="0" t="0" r="0" b="7620"/>
            <wp:docPr id="7171" name="image307.png" descr="Figure 1: Sequential hypothesis testing and alpha spending in the KN590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image307.png" descr="Figure 1: Sequential hypothesis testing and alpha spending in the KN590 tri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6563" cy="3505469"/>
                    </a:xfrm>
                    <a:prstGeom prst="rect">
                      <a:avLst/>
                    </a:prstGeom>
                  </pic:spPr>
                </pic:pic>
              </a:graphicData>
            </a:graphic>
          </wp:inline>
        </w:drawing>
      </w:r>
    </w:p>
    <w:p w14:paraId="75C79A89" w14:textId="77777777" w:rsidR="00F47048" w:rsidRPr="00586BAA" w:rsidRDefault="00F47048" w:rsidP="003815AD">
      <w:pPr>
        <w:pStyle w:val="TableFooter"/>
        <w:keepNext/>
        <w:keepLines/>
      </w:pPr>
      <w:r w:rsidRPr="00586BAA">
        <w:t>Source: Figure 2.4-2, p23 of the submission.</w:t>
      </w:r>
    </w:p>
    <w:p w14:paraId="7D65C382" w14:textId="4586D55E" w:rsidR="004E0DA6" w:rsidRPr="00CB71F0" w:rsidRDefault="00F47048" w:rsidP="00CB71F0">
      <w:pPr>
        <w:pStyle w:val="TableFooter"/>
        <w:keepNext/>
        <w:keepLines/>
        <w:spacing w:after="120"/>
      </w:pPr>
      <w:r w:rsidRPr="00586BAA">
        <w:t>ESCC = oesophageal squamous cell carcinoma; H = hypothesis; ORR = objective response rate; OS = Overall survival; PDL+ = programmed death-ligand 1 positive; PFS = progression free survival.</w:t>
      </w:r>
    </w:p>
    <w:p w14:paraId="5AF7D87B" w14:textId="60B446A5" w:rsidR="00F47048" w:rsidRPr="00CB71F0" w:rsidRDefault="00F47048" w:rsidP="00CB71F0">
      <w:pPr>
        <w:pStyle w:val="Heading2"/>
        <w:spacing w:after="120"/>
        <w:rPr>
          <w:rFonts w:asciiTheme="minorHAnsi" w:hAnsiTheme="minorHAnsi" w:cstheme="minorHAnsi"/>
        </w:rPr>
      </w:pPr>
      <w:bookmarkStart w:id="23" w:name="_Toc79761898"/>
      <w:r w:rsidRPr="00197FE9">
        <w:rPr>
          <w:rFonts w:asciiTheme="minorHAnsi" w:hAnsiTheme="minorHAnsi" w:cstheme="minorHAnsi"/>
        </w:rPr>
        <w:t>Comparative effectiveness</w:t>
      </w:r>
      <w:bookmarkEnd w:id="23"/>
    </w:p>
    <w:p w14:paraId="7138DFC4" w14:textId="77777777" w:rsidR="00F47048" w:rsidRPr="00197FE9" w:rsidRDefault="00F47048" w:rsidP="00863C38">
      <w:pPr>
        <w:pStyle w:val="ListParagraph"/>
        <w:widowControl/>
        <w:numPr>
          <w:ilvl w:val="1"/>
          <w:numId w:val="1"/>
        </w:numPr>
        <w:jc w:val="left"/>
        <w:rPr>
          <w:rFonts w:asciiTheme="minorHAnsi" w:hAnsiTheme="minorHAnsi" w:cstheme="minorHAnsi"/>
          <w:color w:val="000000" w:themeColor="text1"/>
        </w:rPr>
      </w:pPr>
      <w:r w:rsidRPr="00197FE9">
        <w:rPr>
          <w:rFonts w:asciiTheme="minorHAnsi" w:hAnsiTheme="minorHAnsi" w:cstheme="minorHAnsi"/>
          <w:color w:val="000000" w:themeColor="text1"/>
        </w:rPr>
        <w:t xml:space="preserve">Key survival results of the KN590 </w:t>
      </w:r>
      <w:r>
        <w:rPr>
          <w:rFonts w:asciiTheme="minorHAnsi" w:hAnsiTheme="minorHAnsi" w:cstheme="minorHAnsi"/>
          <w:color w:val="000000" w:themeColor="text1"/>
        </w:rPr>
        <w:t>t</w:t>
      </w:r>
      <w:r w:rsidRPr="00197FE9">
        <w:rPr>
          <w:rFonts w:asciiTheme="minorHAnsi" w:hAnsiTheme="minorHAnsi" w:cstheme="minorHAnsi"/>
          <w:color w:val="000000" w:themeColor="text1"/>
        </w:rPr>
        <w:t xml:space="preserve">rial are summarised in </w:t>
      </w:r>
      <w:r w:rsidR="005051CB" w:rsidRPr="005051CB">
        <w:rPr>
          <w:snapToGrid/>
          <w:color w:val="000000" w:themeColor="text1"/>
        </w:rPr>
        <w:t>Table 4</w:t>
      </w:r>
      <w:r w:rsidRPr="00171867">
        <w:rPr>
          <w:snapToGrid/>
          <w:color w:val="000000" w:themeColor="text1"/>
        </w:rPr>
        <w:t>.</w:t>
      </w:r>
    </w:p>
    <w:p w14:paraId="2DED506D" w14:textId="77777777" w:rsidR="007E381E" w:rsidRPr="001009D9" w:rsidRDefault="004E0DA6" w:rsidP="00171867">
      <w:pPr>
        <w:keepNext/>
        <w:rPr>
          <w:rStyle w:val="CommentReference"/>
        </w:rPr>
      </w:pPr>
      <w:bookmarkStart w:id="24" w:name="_Ref79503727"/>
      <w:r>
        <w:rPr>
          <w:rStyle w:val="CommentReference"/>
        </w:rPr>
        <w:lastRenderedPageBreak/>
        <w:t xml:space="preserve">Table </w:t>
      </w:r>
      <w:r w:rsidR="005051CB">
        <w:rPr>
          <w:rStyle w:val="CommentReference"/>
          <w:noProof/>
        </w:rPr>
        <w:t>4</w:t>
      </w:r>
      <w:bookmarkEnd w:id="24"/>
      <w:r>
        <w:rPr>
          <w:rStyle w:val="CommentReference"/>
        </w:rPr>
        <w:t xml:space="preserve">: </w:t>
      </w:r>
      <w:r w:rsidR="007E381E" w:rsidRPr="001009D9">
        <w:rPr>
          <w:rStyle w:val="CommentReference"/>
        </w:rPr>
        <w:t xml:space="preserve">Summary of </w:t>
      </w:r>
      <w:r w:rsidR="007E381E">
        <w:rPr>
          <w:rStyle w:val="CommentReference"/>
        </w:rPr>
        <w:t xml:space="preserve">ITT </w:t>
      </w:r>
      <w:r w:rsidR="007E381E" w:rsidRPr="001009D9">
        <w:rPr>
          <w:rStyle w:val="CommentReference"/>
        </w:rPr>
        <w:t xml:space="preserve">survival outcomes in </w:t>
      </w:r>
      <w:r w:rsidR="007E381E">
        <w:rPr>
          <w:rStyle w:val="CommentReference"/>
        </w:rPr>
        <w:t>KN590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Summary of ITT survival outcomes in KN590"/>
      </w:tblPr>
      <w:tblGrid>
        <w:gridCol w:w="2377"/>
        <w:gridCol w:w="1971"/>
        <w:gridCol w:w="1959"/>
        <w:gridCol w:w="1133"/>
        <w:gridCol w:w="1493"/>
      </w:tblGrid>
      <w:tr w:rsidR="007E381E" w:rsidRPr="001009D9" w14:paraId="2CBE8368" w14:textId="77777777" w:rsidTr="00AB17DB">
        <w:tc>
          <w:tcPr>
            <w:tcW w:w="2377" w:type="dxa"/>
            <w:vAlign w:val="center"/>
          </w:tcPr>
          <w:p w14:paraId="04332092" w14:textId="77777777" w:rsidR="007E381E" w:rsidRPr="001009D9" w:rsidRDefault="007E381E" w:rsidP="00171867">
            <w:pPr>
              <w:pStyle w:val="Tabletext"/>
              <w:keepNext/>
              <w:rPr>
                <w:b/>
              </w:rPr>
            </w:pPr>
          </w:p>
        </w:tc>
        <w:tc>
          <w:tcPr>
            <w:tcW w:w="1971" w:type="dxa"/>
            <w:vAlign w:val="center"/>
          </w:tcPr>
          <w:p w14:paraId="387532A4" w14:textId="77777777" w:rsidR="007E381E" w:rsidRDefault="007E381E" w:rsidP="00171867">
            <w:pPr>
              <w:pStyle w:val="Tabletext"/>
              <w:keepNext/>
              <w:jc w:val="center"/>
              <w:rPr>
                <w:b/>
              </w:rPr>
            </w:pPr>
            <w:r>
              <w:rPr>
                <w:b/>
              </w:rPr>
              <w:t>Pembrolizumab plus chemo</w:t>
            </w:r>
            <w:r w:rsidRPr="001009D9">
              <w:rPr>
                <w:b/>
              </w:rPr>
              <w:t xml:space="preserve"> </w:t>
            </w:r>
          </w:p>
          <w:p w14:paraId="0324A0DD" w14:textId="77777777" w:rsidR="007E381E" w:rsidRPr="001009D9" w:rsidRDefault="007E381E" w:rsidP="00171867">
            <w:pPr>
              <w:pStyle w:val="Tabletext"/>
              <w:keepNext/>
              <w:jc w:val="center"/>
              <w:rPr>
                <w:b/>
              </w:rPr>
            </w:pPr>
            <w:r>
              <w:rPr>
                <w:b/>
              </w:rPr>
              <w:t>N=376</w:t>
            </w:r>
          </w:p>
        </w:tc>
        <w:tc>
          <w:tcPr>
            <w:tcW w:w="1959" w:type="dxa"/>
            <w:vAlign w:val="center"/>
          </w:tcPr>
          <w:p w14:paraId="2F3BE540" w14:textId="77777777" w:rsidR="007E381E" w:rsidRDefault="007E381E" w:rsidP="00171867">
            <w:pPr>
              <w:pStyle w:val="Tabletext"/>
              <w:keepNext/>
              <w:jc w:val="center"/>
              <w:rPr>
                <w:b/>
              </w:rPr>
            </w:pPr>
            <w:r>
              <w:rPr>
                <w:b/>
              </w:rPr>
              <w:t>Chemo alone</w:t>
            </w:r>
          </w:p>
          <w:p w14:paraId="27D68D1D" w14:textId="77777777" w:rsidR="007E381E" w:rsidRPr="001009D9" w:rsidRDefault="007E381E" w:rsidP="00171867">
            <w:pPr>
              <w:pStyle w:val="Tabletext"/>
              <w:keepNext/>
              <w:jc w:val="center"/>
              <w:rPr>
                <w:b/>
              </w:rPr>
            </w:pPr>
            <w:r>
              <w:rPr>
                <w:b/>
              </w:rPr>
              <w:t>N=376</w:t>
            </w:r>
          </w:p>
        </w:tc>
        <w:tc>
          <w:tcPr>
            <w:tcW w:w="1133" w:type="dxa"/>
            <w:vAlign w:val="center"/>
          </w:tcPr>
          <w:p w14:paraId="6CF0593D" w14:textId="77777777" w:rsidR="007E381E" w:rsidRPr="001009D9" w:rsidRDefault="007E381E" w:rsidP="00171867">
            <w:pPr>
              <w:pStyle w:val="Tabletext"/>
              <w:keepNext/>
              <w:jc w:val="center"/>
              <w:rPr>
                <w:b/>
              </w:rPr>
            </w:pPr>
            <w:r w:rsidRPr="001009D9">
              <w:rPr>
                <w:b/>
              </w:rPr>
              <w:t>Absolute difference</w:t>
            </w:r>
          </w:p>
        </w:tc>
        <w:tc>
          <w:tcPr>
            <w:tcW w:w="1493" w:type="dxa"/>
            <w:vAlign w:val="center"/>
          </w:tcPr>
          <w:p w14:paraId="5B9C72D8" w14:textId="77777777" w:rsidR="007E381E" w:rsidRDefault="007E381E" w:rsidP="00171867">
            <w:pPr>
              <w:pStyle w:val="Tabletext"/>
              <w:keepNext/>
              <w:jc w:val="center"/>
              <w:rPr>
                <w:b/>
              </w:rPr>
            </w:pPr>
            <w:proofErr w:type="spellStart"/>
            <w:r w:rsidRPr="001009D9">
              <w:rPr>
                <w:b/>
              </w:rPr>
              <w:t>HR</w:t>
            </w:r>
            <w:r w:rsidR="00BB27C1">
              <w:rPr>
                <w:b/>
                <w:vertAlign w:val="superscript"/>
              </w:rPr>
              <w:t>b</w:t>
            </w:r>
            <w:proofErr w:type="spellEnd"/>
            <w:r w:rsidRPr="001009D9">
              <w:rPr>
                <w:b/>
              </w:rPr>
              <w:t xml:space="preserve"> (95% CI)</w:t>
            </w:r>
          </w:p>
          <w:p w14:paraId="1BEEA1B6" w14:textId="77777777" w:rsidR="00B84A39" w:rsidRPr="001009D9" w:rsidRDefault="00B84A39" w:rsidP="00171867">
            <w:pPr>
              <w:pStyle w:val="Tabletext"/>
              <w:keepNext/>
              <w:jc w:val="center"/>
              <w:rPr>
                <w:b/>
              </w:rPr>
            </w:pPr>
            <w:r>
              <w:rPr>
                <w:b/>
              </w:rPr>
              <w:t>p-value</w:t>
            </w:r>
          </w:p>
        </w:tc>
      </w:tr>
      <w:tr w:rsidR="007E381E" w:rsidRPr="001009D9" w14:paraId="315E9D86" w14:textId="77777777" w:rsidTr="00AB17DB">
        <w:tc>
          <w:tcPr>
            <w:tcW w:w="8933" w:type="dxa"/>
            <w:gridSpan w:val="5"/>
            <w:vAlign w:val="center"/>
          </w:tcPr>
          <w:p w14:paraId="23C400C7" w14:textId="77777777" w:rsidR="007E381E" w:rsidRPr="001009D9" w:rsidRDefault="007E381E" w:rsidP="00171867">
            <w:pPr>
              <w:pStyle w:val="Tabletext"/>
              <w:keepNext/>
              <w:rPr>
                <w:b/>
              </w:rPr>
            </w:pPr>
            <w:r w:rsidRPr="001009D9">
              <w:rPr>
                <w:b/>
              </w:rPr>
              <w:t>Progression-free survival</w:t>
            </w:r>
          </w:p>
        </w:tc>
      </w:tr>
      <w:tr w:rsidR="007E381E" w:rsidRPr="001009D9" w14:paraId="2EC91973" w14:textId="77777777" w:rsidTr="00AB17DB">
        <w:tc>
          <w:tcPr>
            <w:tcW w:w="2377" w:type="dxa"/>
            <w:vAlign w:val="center"/>
          </w:tcPr>
          <w:p w14:paraId="15CDDF3F"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15FA24E5" w14:textId="77777777" w:rsidR="007E381E" w:rsidRPr="001009D9" w:rsidRDefault="007E381E" w:rsidP="00171867">
            <w:pPr>
              <w:pStyle w:val="Tabletext"/>
              <w:keepNext/>
              <w:jc w:val="center"/>
            </w:pPr>
            <w:r>
              <w:t>297 (79.6)</w:t>
            </w:r>
          </w:p>
        </w:tc>
        <w:tc>
          <w:tcPr>
            <w:tcW w:w="1959" w:type="dxa"/>
            <w:vAlign w:val="center"/>
          </w:tcPr>
          <w:p w14:paraId="386610BA" w14:textId="77777777" w:rsidR="007E381E" w:rsidRPr="001009D9" w:rsidRDefault="007E381E" w:rsidP="00171867">
            <w:pPr>
              <w:pStyle w:val="Tabletext"/>
              <w:keepNext/>
              <w:jc w:val="center"/>
            </w:pPr>
            <w:r>
              <w:t>333 (88.6)</w:t>
            </w:r>
          </w:p>
        </w:tc>
        <w:tc>
          <w:tcPr>
            <w:tcW w:w="1133" w:type="dxa"/>
            <w:vAlign w:val="center"/>
          </w:tcPr>
          <w:p w14:paraId="3E9C7780" w14:textId="77777777" w:rsidR="007E381E" w:rsidRPr="00F90F80" w:rsidRDefault="00BB27C1" w:rsidP="00171867">
            <w:pPr>
              <w:pStyle w:val="Tabletext"/>
              <w:keepNext/>
              <w:jc w:val="center"/>
              <w:rPr>
                <w:i/>
                <w:iCs/>
              </w:rPr>
            </w:pPr>
            <w:r>
              <w:rPr>
                <w:i/>
                <w:iCs/>
              </w:rPr>
              <w:t>-</w:t>
            </w:r>
          </w:p>
        </w:tc>
        <w:tc>
          <w:tcPr>
            <w:tcW w:w="1493" w:type="dxa"/>
            <w:vAlign w:val="center"/>
          </w:tcPr>
          <w:p w14:paraId="13A151BA" w14:textId="77777777" w:rsidR="007E381E" w:rsidRPr="001009D9" w:rsidRDefault="007E381E" w:rsidP="00171867">
            <w:pPr>
              <w:pStyle w:val="Tabletext"/>
              <w:keepNext/>
              <w:jc w:val="center"/>
            </w:pPr>
            <w:r w:rsidRPr="001009D9">
              <w:t>-</w:t>
            </w:r>
          </w:p>
        </w:tc>
      </w:tr>
      <w:tr w:rsidR="007E381E" w:rsidRPr="001009D9" w14:paraId="0F32DF53" w14:textId="77777777" w:rsidTr="00AB17DB">
        <w:tc>
          <w:tcPr>
            <w:tcW w:w="2377" w:type="dxa"/>
            <w:vAlign w:val="center"/>
          </w:tcPr>
          <w:p w14:paraId="73E21230" w14:textId="18B36E08" w:rsidR="007E381E" w:rsidRPr="001009D9" w:rsidRDefault="007E381E" w:rsidP="00171867">
            <w:pPr>
              <w:pStyle w:val="Tabletext"/>
              <w:keepNext/>
            </w:pPr>
            <w:proofErr w:type="spellStart"/>
            <w:r w:rsidRPr="001009D9">
              <w:t>Median</w:t>
            </w:r>
            <w:r w:rsidR="00BB27C1">
              <w:rPr>
                <w:vertAlign w:val="superscript"/>
              </w:rPr>
              <w:t>a</w:t>
            </w:r>
            <w:proofErr w:type="spellEnd"/>
            <w:r w:rsidR="00AB17DB">
              <w:rPr>
                <w:vertAlign w:val="superscript"/>
              </w:rPr>
              <w:t xml:space="preserve"> </w:t>
            </w:r>
            <w:r w:rsidRPr="001009D9">
              <w:t>PFS months (95% CI)</w:t>
            </w:r>
          </w:p>
        </w:tc>
        <w:tc>
          <w:tcPr>
            <w:tcW w:w="1971" w:type="dxa"/>
            <w:vAlign w:val="center"/>
          </w:tcPr>
          <w:p w14:paraId="42E0AB3B" w14:textId="77777777" w:rsidR="007E381E" w:rsidRPr="001009D9" w:rsidRDefault="007E381E" w:rsidP="00171867">
            <w:pPr>
              <w:pStyle w:val="Tabletext"/>
              <w:keepNext/>
              <w:jc w:val="center"/>
            </w:pPr>
            <w:r>
              <w:t>6.3 (6.2, 6.9)</w:t>
            </w:r>
          </w:p>
        </w:tc>
        <w:tc>
          <w:tcPr>
            <w:tcW w:w="1959" w:type="dxa"/>
            <w:vAlign w:val="center"/>
          </w:tcPr>
          <w:p w14:paraId="4015D093" w14:textId="77777777" w:rsidR="007E381E" w:rsidRPr="001009D9" w:rsidRDefault="007E381E" w:rsidP="00171867">
            <w:pPr>
              <w:pStyle w:val="Tabletext"/>
              <w:keepNext/>
              <w:jc w:val="center"/>
            </w:pPr>
            <w:r>
              <w:t>5.8 (5.0, 6.0)</w:t>
            </w:r>
          </w:p>
        </w:tc>
        <w:tc>
          <w:tcPr>
            <w:tcW w:w="1133" w:type="dxa"/>
            <w:vAlign w:val="center"/>
          </w:tcPr>
          <w:p w14:paraId="1FEF5E96" w14:textId="77777777" w:rsidR="007E381E" w:rsidRPr="008E5320" w:rsidRDefault="007E381E" w:rsidP="00171867">
            <w:pPr>
              <w:pStyle w:val="Tabletext"/>
              <w:keepNext/>
              <w:jc w:val="center"/>
              <w:rPr>
                <w:iCs/>
              </w:rPr>
            </w:pPr>
            <w:r w:rsidRPr="008E5320">
              <w:rPr>
                <w:iCs/>
              </w:rPr>
              <w:t>0.5 months</w:t>
            </w:r>
          </w:p>
        </w:tc>
        <w:tc>
          <w:tcPr>
            <w:tcW w:w="1493" w:type="dxa"/>
            <w:vAlign w:val="center"/>
          </w:tcPr>
          <w:p w14:paraId="3D0C6966" w14:textId="77777777" w:rsidR="007E381E" w:rsidRDefault="007E381E" w:rsidP="00171867">
            <w:pPr>
              <w:pStyle w:val="Tabletext"/>
              <w:keepNext/>
              <w:jc w:val="center"/>
              <w:rPr>
                <w:b/>
                <w:bCs/>
              </w:rPr>
            </w:pPr>
            <w:r w:rsidRPr="00F90F80">
              <w:rPr>
                <w:b/>
                <w:bCs/>
              </w:rPr>
              <w:t>0.65 (0.55, 0.76)</w:t>
            </w:r>
          </w:p>
          <w:p w14:paraId="20343DC8" w14:textId="77777777" w:rsidR="007E381E" w:rsidRPr="00F90F80" w:rsidRDefault="007E381E" w:rsidP="00171867">
            <w:pPr>
              <w:pStyle w:val="Tabletext"/>
              <w:keepNext/>
              <w:jc w:val="center"/>
            </w:pPr>
            <w:r w:rsidRPr="00F90F80">
              <w:t>p-</w:t>
            </w:r>
            <w:proofErr w:type="spellStart"/>
            <w:r w:rsidRPr="00F90F80">
              <w:t>value</w:t>
            </w:r>
            <w:r w:rsidR="00BB27C1">
              <w:rPr>
                <w:vertAlign w:val="superscript"/>
              </w:rPr>
              <w:t>c</w:t>
            </w:r>
            <w:proofErr w:type="spellEnd"/>
            <w:r w:rsidRPr="00F90F80">
              <w:t xml:space="preserve"> &lt;0.0001</w:t>
            </w:r>
          </w:p>
        </w:tc>
      </w:tr>
      <w:tr w:rsidR="00A3016C" w:rsidRPr="00FE70C3" w14:paraId="2AA58D93" w14:textId="77777777" w:rsidTr="00AB17DB">
        <w:trPr>
          <w:cantSplit/>
        </w:trPr>
        <w:tc>
          <w:tcPr>
            <w:tcW w:w="2377" w:type="dxa"/>
            <w:vAlign w:val="center"/>
          </w:tcPr>
          <w:p w14:paraId="2DAE3970" w14:textId="77777777" w:rsidR="00A3016C" w:rsidRPr="00FE70C3" w:rsidRDefault="00A3016C" w:rsidP="003F671C">
            <w:pPr>
              <w:pStyle w:val="TableText0"/>
            </w:pPr>
            <w:r>
              <w:t>Proportion progression free at 12 months (95% CI)</w:t>
            </w:r>
          </w:p>
        </w:tc>
        <w:tc>
          <w:tcPr>
            <w:tcW w:w="1971" w:type="dxa"/>
            <w:vAlign w:val="center"/>
          </w:tcPr>
          <w:p w14:paraId="0FDE3FB4" w14:textId="77777777" w:rsidR="00A3016C" w:rsidRDefault="00A3016C" w:rsidP="003F671C">
            <w:pPr>
              <w:pStyle w:val="TableText0"/>
              <w:jc w:val="center"/>
            </w:pPr>
            <w:r>
              <w:t>62.4 (57.1, 67.3)</w:t>
            </w:r>
          </w:p>
        </w:tc>
        <w:tc>
          <w:tcPr>
            <w:tcW w:w="1959" w:type="dxa"/>
            <w:vAlign w:val="center"/>
          </w:tcPr>
          <w:p w14:paraId="5C3E90D7" w14:textId="77777777" w:rsidR="00A3016C" w:rsidRDefault="00A3016C" w:rsidP="003F671C">
            <w:pPr>
              <w:pStyle w:val="TableText0"/>
              <w:jc w:val="center"/>
            </w:pPr>
            <w:r>
              <w:t>48.7 (43.4, 53.7)</w:t>
            </w:r>
          </w:p>
        </w:tc>
        <w:tc>
          <w:tcPr>
            <w:tcW w:w="1133" w:type="dxa"/>
            <w:vAlign w:val="center"/>
          </w:tcPr>
          <w:p w14:paraId="674767A3" w14:textId="77777777" w:rsidR="00A3016C" w:rsidRPr="008E5320" w:rsidRDefault="00A3016C" w:rsidP="003F671C">
            <w:pPr>
              <w:pStyle w:val="TableText0"/>
              <w:jc w:val="center"/>
              <w:rPr>
                <w:iCs/>
              </w:rPr>
            </w:pPr>
            <w:r w:rsidRPr="008E5320">
              <w:rPr>
                <w:iCs/>
              </w:rPr>
              <w:t>13.7%</w:t>
            </w:r>
          </w:p>
        </w:tc>
        <w:tc>
          <w:tcPr>
            <w:tcW w:w="1493" w:type="dxa"/>
            <w:vAlign w:val="center"/>
          </w:tcPr>
          <w:p w14:paraId="395FC8C2" w14:textId="77777777" w:rsidR="00A3016C" w:rsidRPr="00F90F80" w:rsidRDefault="00A3016C" w:rsidP="003F671C">
            <w:pPr>
              <w:pStyle w:val="Tabletext"/>
              <w:jc w:val="center"/>
              <w:rPr>
                <w:b/>
                <w:bCs/>
              </w:rPr>
            </w:pPr>
            <w:r>
              <w:rPr>
                <w:b/>
                <w:bCs/>
              </w:rPr>
              <w:t>-</w:t>
            </w:r>
          </w:p>
        </w:tc>
      </w:tr>
      <w:tr w:rsidR="007E381E" w:rsidRPr="001009D9" w14:paraId="09039351" w14:textId="77777777" w:rsidTr="00AB17DB">
        <w:tc>
          <w:tcPr>
            <w:tcW w:w="8933" w:type="dxa"/>
            <w:gridSpan w:val="5"/>
            <w:vAlign w:val="center"/>
          </w:tcPr>
          <w:p w14:paraId="2C3504BD" w14:textId="77777777" w:rsidR="007E381E" w:rsidRPr="008E5320" w:rsidRDefault="007E381E" w:rsidP="00171867">
            <w:pPr>
              <w:pStyle w:val="Tabletext"/>
              <w:keepNext/>
              <w:rPr>
                <w:b/>
              </w:rPr>
            </w:pPr>
            <w:r w:rsidRPr="008E5320">
              <w:rPr>
                <w:b/>
              </w:rPr>
              <w:t>Overall survival</w:t>
            </w:r>
          </w:p>
        </w:tc>
      </w:tr>
      <w:tr w:rsidR="007E381E" w:rsidRPr="001009D9" w14:paraId="43D19990" w14:textId="77777777" w:rsidTr="00AB17DB">
        <w:tc>
          <w:tcPr>
            <w:tcW w:w="2377" w:type="dxa"/>
            <w:vAlign w:val="center"/>
          </w:tcPr>
          <w:p w14:paraId="693736EE"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0643449F" w14:textId="77777777" w:rsidR="007E381E" w:rsidRPr="001009D9" w:rsidRDefault="007E381E" w:rsidP="00171867">
            <w:pPr>
              <w:pStyle w:val="Tabletext"/>
              <w:keepNext/>
              <w:jc w:val="center"/>
            </w:pPr>
            <w:r>
              <w:t>262 (70.2)</w:t>
            </w:r>
          </w:p>
        </w:tc>
        <w:tc>
          <w:tcPr>
            <w:tcW w:w="1959" w:type="dxa"/>
            <w:vAlign w:val="center"/>
          </w:tcPr>
          <w:p w14:paraId="5DAC3A69" w14:textId="77777777" w:rsidR="007E381E" w:rsidRPr="001009D9" w:rsidRDefault="007E381E" w:rsidP="00171867">
            <w:pPr>
              <w:pStyle w:val="Tabletext"/>
              <w:keepNext/>
              <w:jc w:val="center"/>
            </w:pPr>
            <w:r>
              <w:t>309 (82.2)</w:t>
            </w:r>
          </w:p>
        </w:tc>
        <w:tc>
          <w:tcPr>
            <w:tcW w:w="1133" w:type="dxa"/>
            <w:vAlign w:val="center"/>
          </w:tcPr>
          <w:p w14:paraId="3349C641" w14:textId="77777777" w:rsidR="007E381E" w:rsidRPr="008E5320" w:rsidRDefault="00BB27C1" w:rsidP="00171867">
            <w:pPr>
              <w:pStyle w:val="Tabletext"/>
              <w:keepNext/>
              <w:jc w:val="center"/>
              <w:rPr>
                <w:iCs/>
              </w:rPr>
            </w:pPr>
            <w:r w:rsidRPr="008E5320">
              <w:rPr>
                <w:iCs/>
              </w:rPr>
              <w:t>-</w:t>
            </w:r>
          </w:p>
        </w:tc>
        <w:tc>
          <w:tcPr>
            <w:tcW w:w="1493" w:type="dxa"/>
            <w:vAlign w:val="center"/>
          </w:tcPr>
          <w:p w14:paraId="30478BF9" w14:textId="77777777" w:rsidR="007E381E" w:rsidRPr="001009D9" w:rsidRDefault="007E381E" w:rsidP="00171867">
            <w:pPr>
              <w:pStyle w:val="Tabletext"/>
              <w:keepNext/>
              <w:jc w:val="center"/>
            </w:pPr>
            <w:r w:rsidRPr="001009D9">
              <w:t>-</w:t>
            </w:r>
          </w:p>
        </w:tc>
      </w:tr>
      <w:tr w:rsidR="007E381E" w:rsidRPr="001009D9" w14:paraId="5C85AAC9" w14:textId="77777777" w:rsidTr="00AB17DB">
        <w:tc>
          <w:tcPr>
            <w:tcW w:w="2377" w:type="dxa"/>
            <w:vAlign w:val="center"/>
          </w:tcPr>
          <w:p w14:paraId="5AFCF570" w14:textId="77777777" w:rsidR="007E381E" w:rsidRPr="001009D9" w:rsidRDefault="007E381E" w:rsidP="00171867">
            <w:pPr>
              <w:pStyle w:val="Tabletext"/>
              <w:keepNext/>
            </w:pPr>
            <w:proofErr w:type="spellStart"/>
            <w:r w:rsidRPr="001009D9">
              <w:t>Median</w:t>
            </w:r>
            <w:r w:rsidR="00BB27C1">
              <w:rPr>
                <w:vertAlign w:val="superscript"/>
              </w:rPr>
              <w:t>a</w:t>
            </w:r>
            <w:proofErr w:type="spellEnd"/>
            <w:r w:rsidRPr="001009D9">
              <w:t xml:space="preserve"> OS</w:t>
            </w:r>
            <w:r w:rsidR="00AB17DB">
              <w:t xml:space="preserve"> </w:t>
            </w:r>
            <w:r w:rsidR="00AB17DB" w:rsidRPr="001009D9">
              <w:t>months</w:t>
            </w:r>
            <w:r w:rsidRPr="001009D9">
              <w:t xml:space="preserve"> (95% CI)</w:t>
            </w:r>
          </w:p>
        </w:tc>
        <w:tc>
          <w:tcPr>
            <w:tcW w:w="1971" w:type="dxa"/>
            <w:vAlign w:val="center"/>
          </w:tcPr>
          <w:p w14:paraId="3560B882" w14:textId="77777777" w:rsidR="007E381E" w:rsidRPr="001009D9" w:rsidRDefault="007E381E" w:rsidP="00171867">
            <w:pPr>
              <w:pStyle w:val="Tabletext"/>
              <w:keepNext/>
              <w:jc w:val="center"/>
            </w:pPr>
            <w:r>
              <w:t>12.4 (10.5, 14.0)</w:t>
            </w:r>
          </w:p>
        </w:tc>
        <w:tc>
          <w:tcPr>
            <w:tcW w:w="1959" w:type="dxa"/>
            <w:vAlign w:val="center"/>
          </w:tcPr>
          <w:p w14:paraId="5A931F81" w14:textId="77777777" w:rsidR="007E381E" w:rsidRPr="001009D9" w:rsidRDefault="007E381E" w:rsidP="00171867">
            <w:pPr>
              <w:pStyle w:val="Tabletext"/>
              <w:keepNext/>
              <w:jc w:val="center"/>
            </w:pPr>
            <w:r>
              <w:t>9.8 (8.8, 10.8)</w:t>
            </w:r>
          </w:p>
        </w:tc>
        <w:tc>
          <w:tcPr>
            <w:tcW w:w="1133" w:type="dxa"/>
            <w:vAlign w:val="center"/>
          </w:tcPr>
          <w:p w14:paraId="592C6E41" w14:textId="77777777" w:rsidR="007E381E" w:rsidRPr="008E5320" w:rsidRDefault="007E381E" w:rsidP="00171867">
            <w:pPr>
              <w:pStyle w:val="Tabletext"/>
              <w:keepNext/>
              <w:jc w:val="center"/>
            </w:pPr>
            <w:r w:rsidRPr="008E5320">
              <w:t>2.6 months</w:t>
            </w:r>
          </w:p>
        </w:tc>
        <w:tc>
          <w:tcPr>
            <w:tcW w:w="1493" w:type="dxa"/>
            <w:vAlign w:val="center"/>
          </w:tcPr>
          <w:p w14:paraId="188E9E04" w14:textId="77777777" w:rsidR="007E381E" w:rsidRDefault="007E381E" w:rsidP="00171867">
            <w:pPr>
              <w:pStyle w:val="Tabletext"/>
              <w:keepNext/>
              <w:jc w:val="center"/>
              <w:rPr>
                <w:b/>
                <w:bCs/>
              </w:rPr>
            </w:pPr>
            <w:r w:rsidRPr="00D92D2C">
              <w:rPr>
                <w:b/>
                <w:bCs/>
              </w:rPr>
              <w:t>0.73 (0.62, 0.86)</w:t>
            </w:r>
          </w:p>
          <w:p w14:paraId="3250B03C" w14:textId="77777777" w:rsidR="007E381E" w:rsidRPr="00D92D2C" w:rsidRDefault="007E381E" w:rsidP="00171867">
            <w:pPr>
              <w:pStyle w:val="Tabletext"/>
              <w:keepNext/>
              <w:jc w:val="center"/>
            </w:pPr>
            <w:r w:rsidRPr="00D92D2C">
              <w:t>p-</w:t>
            </w:r>
            <w:proofErr w:type="spellStart"/>
            <w:r w:rsidRPr="00D92D2C">
              <w:t>value</w:t>
            </w:r>
            <w:r w:rsidR="00BB27C1">
              <w:rPr>
                <w:vertAlign w:val="superscript"/>
              </w:rPr>
              <w:t>c</w:t>
            </w:r>
            <w:proofErr w:type="spellEnd"/>
            <w:r w:rsidRPr="00D92D2C">
              <w:t xml:space="preserve"> &lt;0.0001</w:t>
            </w:r>
          </w:p>
        </w:tc>
      </w:tr>
      <w:tr w:rsidR="00A3016C" w:rsidRPr="00FE70C3" w14:paraId="6891FBB2" w14:textId="77777777" w:rsidTr="00AB17DB">
        <w:trPr>
          <w:cantSplit/>
        </w:trPr>
        <w:tc>
          <w:tcPr>
            <w:tcW w:w="2377" w:type="dxa"/>
            <w:vAlign w:val="center"/>
          </w:tcPr>
          <w:p w14:paraId="0EF5DBAE" w14:textId="77777777" w:rsidR="00A3016C" w:rsidRPr="00FE70C3" w:rsidRDefault="00A3016C" w:rsidP="003F671C">
            <w:pPr>
              <w:pStyle w:val="TableText0"/>
            </w:pPr>
            <w:r>
              <w:t>Proportion alive at 12 months (95% CI)</w:t>
            </w:r>
          </w:p>
        </w:tc>
        <w:tc>
          <w:tcPr>
            <w:tcW w:w="1971" w:type="dxa"/>
            <w:vAlign w:val="center"/>
          </w:tcPr>
          <w:p w14:paraId="08F962F4" w14:textId="77777777" w:rsidR="00A3016C" w:rsidRDefault="00A3016C" w:rsidP="003F671C">
            <w:pPr>
              <w:pStyle w:val="TableText0"/>
              <w:keepLines/>
              <w:jc w:val="center"/>
            </w:pPr>
            <w:r>
              <w:t>50.6 (45.4, 55.6)</w:t>
            </w:r>
          </w:p>
        </w:tc>
        <w:tc>
          <w:tcPr>
            <w:tcW w:w="1959" w:type="dxa"/>
            <w:vAlign w:val="center"/>
          </w:tcPr>
          <w:p w14:paraId="6255DBB8" w14:textId="77777777" w:rsidR="00A3016C" w:rsidRDefault="00A3016C" w:rsidP="003F671C">
            <w:pPr>
              <w:pStyle w:val="TableText0"/>
              <w:keepLines/>
              <w:jc w:val="center"/>
            </w:pPr>
            <w:r>
              <w:t>39.4 (34.4, 44.3)</w:t>
            </w:r>
          </w:p>
        </w:tc>
        <w:tc>
          <w:tcPr>
            <w:tcW w:w="1133" w:type="dxa"/>
            <w:vAlign w:val="center"/>
          </w:tcPr>
          <w:p w14:paraId="12DAFAB6" w14:textId="77777777" w:rsidR="00A3016C" w:rsidRPr="008E5320" w:rsidRDefault="00A3016C" w:rsidP="003F671C">
            <w:pPr>
              <w:pStyle w:val="TableText0"/>
              <w:jc w:val="center"/>
            </w:pPr>
            <w:r w:rsidRPr="008E5320">
              <w:rPr>
                <w:iCs/>
              </w:rPr>
              <w:t>11.2%</w:t>
            </w:r>
          </w:p>
        </w:tc>
        <w:tc>
          <w:tcPr>
            <w:tcW w:w="1493" w:type="dxa"/>
            <w:vAlign w:val="center"/>
          </w:tcPr>
          <w:p w14:paraId="75D0DBED" w14:textId="77777777" w:rsidR="00A3016C" w:rsidRPr="00D92D2C" w:rsidRDefault="00A3016C" w:rsidP="003F671C">
            <w:pPr>
              <w:pStyle w:val="Tabletext"/>
              <w:jc w:val="center"/>
              <w:rPr>
                <w:b/>
                <w:bCs/>
              </w:rPr>
            </w:pPr>
            <w:r>
              <w:rPr>
                <w:b/>
                <w:bCs/>
              </w:rPr>
              <w:t>-</w:t>
            </w:r>
          </w:p>
        </w:tc>
      </w:tr>
    </w:tbl>
    <w:p w14:paraId="4371CB62" w14:textId="77777777" w:rsidR="007E381E" w:rsidRDefault="007E381E" w:rsidP="00171867">
      <w:pPr>
        <w:pStyle w:val="TableFooter"/>
        <w:keepNext/>
      </w:pPr>
      <w:r w:rsidRPr="001009D9">
        <w:t xml:space="preserve">Source: </w:t>
      </w:r>
      <w:r>
        <w:t>Table 2.5.2, p30 and Table 2.5.3, p32 of the submission.</w:t>
      </w:r>
    </w:p>
    <w:p w14:paraId="7F9441C5" w14:textId="77777777" w:rsidR="007E381E" w:rsidRDefault="00171867" w:rsidP="00171867">
      <w:pPr>
        <w:pStyle w:val="TableFooter"/>
        <w:keepNext/>
      </w:pPr>
      <w:r>
        <w:t xml:space="preserve">Chemo = chemotherapy; </w:t>
      </w:r>
      <w:r w:rsidR="007E381E">
        <w:t>CI = confidence interval; HR = hazard ratio; OS = overall survival; PFS = progression free survival</w:t>
      </w:r>
      <w:r w:rsidR="00B84A39">
        <w:t>.</w:t>
      </w:r>
    </w:p>
    <w:p w14:paraId="75AC143B" w14:textId="77777777" w:rsidR="007E381E" w:rsidRDefault="00BB27C1" w:rsidP="00AB17DB">
      <w:pPr>
        <w:pStyle w:val="TableFooter"/>
        <w:keepNext/>
        <w:tabs>
          <w:tab w:val="left" w:pos="284"/>
        </w:tabs>
      </w:pPr>
      <w:r w:rsidRPr="00BB27C1">
        <w:rPr>
          <w:vertAlign w:val="superscript"/>
        </w:rPr>
        <w:t>a</w:t>
      </w:r>
      <w:r>
        <w:rPr>
          <w:vertAlign w:val="superscript"/>
        </w:rPr>
        <w:tab/>
      </w:r>
      <w:r w:rsidR="007E381E">
        <w:t>Median survival was estimated through Kaplan Meier product-limit method of censored data</w:t>
      </w:r>
      <w:r w:rsidR="00B84A39">
        <w:t>.</w:t>
      </w:r>
      <w:r w:rsidR="007E381E">
        <w:t xml:space="preserve"> </w:t>
      </w:r>
    </w:p>
    <w:p w14:paraId="65910A67" w14:textId="77777777" w:rsidR="007E381E" w:rsidRDefault="00BB27C1" w:rsidP="00AB17DB">
      <w:pPr>
        <w:pStyle w:val="TableFooter"/>
        <w:keepNext/>
        <w:tabs>
          <w:tab w:val="left" w:pos="284"/>
        </w:tabs>
        <w:ind w:left="284" w:hanging="284"/>
      </w:pPr>
      <w:r>
        <w:rPr>
          <w:vertAlign w:val="superscript"/>
        </w:rPr>
        <w:t>b</w:t>
      </w:r>
      <w:r>
        <w:rPr>
          <w:vertAlign w:val="superscript"/>
        </w:rPr>
        <w:tab/>
      </w:r>
      <w:r w:rsidR="007E381E">
        <w:t>Hazard ratio was b</w:t>
      </w:r>
      <w:r w:rsidR="007E381E" w:rsidRPr="00D92D2C">
        <w:t xml:space="preserve">ased on Cox regression model with </w:t>
      </w:r>
      <w:proofErr w:type="spellStart"/>
      <w:r w:rsidR="007E381E" w:rsidRPr="00D92D2C">
        <w:t>Efron’s</w:t>
      </w:r>
      <w:proofErr w:type="spellEnd"/>
      <w:r w:rsidR="007E381E" w:rsidRPr="00D92D2C">
        <w:t xml:space="preserve"> method of tie handling with treatment as a covariate stratified by geographic region (Asia versus Rest of the World) and ECOG performance status (0 versus 1).</w:t>
      </w:r>
    </w:p>
    <w:p w14:paraId="708753DF" w14:textId="4F00D79B" w:rsidR="004E0DA6" w:rsidRPr="00CB71F0" w:rsidRDefault="00BB27C1" w:rsidP="00CB71F0">
      <w:pPr>
        <w:pStyle w:val="TableFooter"/>
        <w:keepNext/>
        <w:tabs>
          <w:tab w:val="left" w:pos="284"/>
        </w:tabs>
        <w:spacing w:after="120"/>
        <w:ind w:left="284" w:hanging="284"/>
      </w:pPr>
      <w:r>
        <w:rPr>
          <w:vertAlign w:val="superscript"/>
        </w:rPr>
        <w:t>c</w:t>
      </w:r>
      <w:r>
        <w:tab/>
      </w:r>
      <w:proofErr w:type="gramStart"/>
      <w:r w:rsidR="007E381E">
        <w:t>The</w:t>
      </w:r>
      <w:proofErr w:type="gramEnd"/>
      <w:r w:rsidR="007E381E">
        <w:t xml:space="preserve"> o</w:t>
      </w:r>
      <w:r w:rsidR="007E381E" w:rsidRPr="00D92D2C">
        <w:t>ne-sided p-value based on log-rank test stratified by geographic region (Asia versus Rest of the World) and ECOG performance status (0 versus 1)</w:t>
      </w:r>
      <w:r w:rsidR="00B84A39">
        <w:t>.</w:t>
      </w:r>
    </w:p>
    <w:p w14:paraId="12A9790B" w14:textId="77777777" w:rsidR="004E0DA6" w:rsidRPr="00171867" w:rsidRDefault="004E0DA6" w:rsidP="00863C38">
      <w:pPr>
        <w:pStyle w:val="ListParagraph"/>
        <w:widowControl/>
        <w:numPr>
          <w:ilvl w:val="1"/>
          <w:numId w:val="1"/>
        </w:numPr>
        <w:rPr>
          <w:rFonts w:asciiTheme="minorHAnsi" w:hAnsiTheme="minorHAnsi" w:cstheme="minorHAnsi"/>
        </w:rPr>
      </w:pPr>
      <w:r w:rsidRPr="00171867">
        <w:rPr>
          <w:rFonts w:asciiTheme="minorHAnsi" w:hAnsiTheme="minorHAnsi" w:cstheme="minorHAnsi"/>
        </w:rPr>
        <w:t>The KN590 results showed statistically significant improvements in both PFS and OS in the</w:t>
      </w:r>
      <w:r w:rsidR="0039133A">
        <w:rPr>
          <w:rFonts w:asciiTheme="minorHAnsi" w:hAnsiTheme="minorHAnsi" w:cstheme="minorHAnsi"/>
        </w:rPr>
        <w:t xml:space="preserve"> </w:t>
      </w:r>
      <w:r w:rsidRPr="00171867">
        <w:rPr>
          <w:rFonts w:asciiTheme="minorHAnsi" w:hAnsiTheme="minorHAnsi" w:cstheme="minorHAnsi"/>
        </w:rPr>
        <w:t>ITT population.</w:t>
      </w:r>
    </w:p>
    <w:p w14:paraId="0A95452F" w14:textId="77777777" w:rsidR="004E0DA6" w:rsidRPr="00171867" w:rsidRDefault="005051CB" w:rsidP="00863C38">
      <w:pPr>
        <w:pStyle w:val="ListParagraph"/>
        <w:widowControl/>
        <w:numPr>
          <w:ilvl w:val="1"/>
          <w:numId w:val="1"/>
        </w:numPr>
        <w:rPr>
          <w:rFonts w:asciiTheme="minorHAnsi" w:hAnsiTheme="minorHAnsi" w:cstheme="minorHAnsi"/>
        </w:rPr>
      </w:pPr>
      <w:r w:rsidRPr="005051CB">
        <w:rPr>
          <w:snapToGrid/>
        </w:rPr>
        <w:t>Figure 2</w:t>
      </w:r>
      <w:r w:rsidR="004E0DA6" w:rsidRPr="00171867">
        <w:rPr>
          <w:snapToGrid/>
        </w:rPr>
        <w:t xml:space="preserve"> and </w:t>
      </w:r>
      <w:r w:rsidRPr="005051CB">
        <w:rPr>
          <w:snapToGrid/>
        </w:rPr>
        <w:t>Figure 3</w:t>
      </w:r>
      <w:r w:rsidR="004E0DA6" w:rsidRPr="00171867">
        <w:rPr>
          <w:rFonts w:asciiTheme="minorHAnsi" w:hAnsiTheme="minorHAnsi" w:cstheme="minorHAnsi"/>
        </w:rPr>
        <w:t xml:space="preserve"> present the KN590 Kaplan Meier survival curves for OS and PFS, respectively.</w:t>
      </w:r>
    </w:p>
    <w:p w14:paraId="1B8BD9AB" w14:textId="3FFE3916" w:rsidR="004E0DA6" w:rsidRPr="00322E1F" w:rsidRDefault="004E0DA6" w:rsidP="00B3275A">
      <w:pPr>
        <w:pStyle w:val="BodyText"/>
        <w:keepNext/>
        <w:keepLines/>
        <w:rPr>
          <w:rStyle w:val="CommentReference"/>
        </w:rPr>
      </w:pPr>
      <w:bookmarkStart w:id="25" w:name="_Ref79741676"/>
      <w:bookmarkStart w:id="26" w:name="_Ref79741670"/>
      <w:r>
        <w:rPr>
          <w:rStyle w:val="CommentReference"/>
        </w:rPr>
        <w:lastRenderedPageBreak/>
        <w:t xml:space="preserve">Figure </w:t>
      </w:r>
      <w:r w:rsidR="005051CB">
        <w:rPr>
          <w:rStyle w:val="CommentReference"/>
          <w:noProof/>
        </w:rPr>
        <w:t>2</w:t>
      </w:r>
      <w:bookmarkEnd w:id="25"/>
      <w:r>
        <w:rPr>
          <w:rStyle w:val="CommentReference"/>
        </w:rPr>
        <w:t xml:space="preserve">: </w:t>
      </w:r>
      <w:r w:rsidRPr="00322E1F">
        <w:rPr>
          <w:rStyle w:val="CommentReference"/>
        </w:rPr>
        <w:t>Kaplan-Meier Estimates of Overall Survival (ITT Population)</w:t>
      </w:r>
      <w:bookmarkEnd w:id="26"/>
    </w:p>
    <w:p w14:paraId="5F2A346F" w14:textId="6411E232" w:rsidR="004E0DA6" w:rsidRPr="00E80FE9" w:rsidRDefault="004E0DA6" w:rsidP="00B3275A">
      <w:pPr>
        <w:pStyle w:val="Source"/>
        <w:keepNext/>
        <w:keepLines/>
        <w:jc w:val="center"/>
        <w:rPr>
          <w:noProof/>
        </w:rPr>
      </w:pPr>
      <w:r w:rsidRPr="00E80FE9">
        <w:rPr>
          <w:noProof/>
          <w:szCs w:val="22"/>
          <w:lang w:eastAsia="en-AU"/>
        </w:rPr>
        <w:drawing>
          <wp:inline distT="0" distB="0" distL="0" distR="0" wp14:anchorId="03E8D2E6" wp14:editId="3C5B6AA6">
            <wp:extent cx="3546461" cy="2743200"/>
            <wp:effectExtent l="0" t="0" r="0" b="0"/>
            <wp:docPr id="3" name="Picture 3" descr="Figure 2: Kaplan-Meier Estimates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Kaplan-Meier Estimates of Overall Survival (ITT Population)"/>
                    <pic:cNvPicPr/>
                  </pic:nvPicPr>
                  <pic:blipFill>
                    <a:blip r:embed="rId9"/>
                    <a:stretch>
                      <a:fillRect/>
                    </a:stretch>
                  </pic:blipFill>
                  <pic:spPr>
                    <a:xfrm>
                      <a:off x="0" y="0"/>
                      <a:ext cx="3546461" cy="2743200"/>
                    </a:xfrm>
                    <a:prstGeom prst="rect">
                      <a:avLst/>
                    </a:prstGeom>
                  </pic:spPr>
                </pic:pic>
              </a:graphicData>
            </a:graphic>
          </wp:inline>
        </w:drawing>
      </w:r>
    </w:p>
    <w:p w14:paraId="712A72D1" w14:textId="77777777" w:rsidR="004E0DA6" w:rsidRDefault="004E0DA6" w:rsidP="00B3275A">
      <w:pPr>
        <w:pStyle w:val="TableFooter"/>
        <w:keepNext/>
        <w:keepLines/>
        <w:jc w:val="left"/>
        <w:rPr>
          <w:noProof/>
        </w:rPr>
      </w:pPr>
      <w:r>
        <w:rPr>
          <w:noProof/>
        </w:rPr>
        <w:t>Source: Figure 2.5-1, p31 of the submission.</w:t>
      </w:r>
    </w:p>
    <w:p w14:paraId="0483BCBB" w14:textId="77777777" w:rsidR="004E0DA6" w:rsidRPr="002145A8" w:rsidRDefault="004E0DA6" w:rsidP="00B3275A">
      <w:pPr>
        <w:pStyle w:val="TableFooter"/>
        <w:keepNext/>
        <w:keepLines/>
        <w:jc w:val="left"/>
      </w:pPr>
      <w:r>
        <w:t xml:space="preserve">CI = confidence interval; HR = hazard ratio; </w:t>
      </w:r>
      <w:proofErr w:type="spellStart"/>
      <w:r>
        <w:t>mo</w:t>
      </w:r>
      <w:proofErr w:type="spellEnd"/>
      <w:r>
        <w:t xml:space="preserve"> = month; No = number; OS = overall survival</w:t>
      </w:r>
    </w:p>
    <w:p w14:paraId="4CEC0EB3" w14:textId="77777777" w:rsidR="004E0DA6" w:rsidRDefault="004E0DA6" w:rsidP="004E0DA6">
      <w:pPr>
        <w:pStyle w:val="BodyText"/>
        <w:rPr>
          <w:noProof/>
        </w:rPr>
      </w:pPr>
    </w:p>
    <w:p w14:paraId="16FCCEC8" w14:textId="77777777" w:rsidR="004E0DA6" w:rsidRPr="00322E1F" w:rsidRDefault="004E0DA6" w:rsidP="00171867">
      <w:pPr>
        <w:pStyle w:val="BodyText"/>
        <w:keepNext/>
        <w:keepLines/>
        <w:jc w:val="both"/>
        <w:rPr>
          <w:rStyle w:val="CommentReference"/>
        </w:rPr>
      </w:pPr>
      <w:bookmarkStart w:id="27" w:name="_Ref79741713"/>
      <w:r>
        <w:rPr>
          <w:rStyle w:val="CommentReference"/>
        </w:rPr>
        <w:lastRenderedPageBreak/>
        <w:t xml:space="preserve">Figure </w:t>
      </w:r>
      <w:r w:rsidR="005051CB">
        <w:rPr>
          <w:rStyle w:val="CommentReference"/>
          <w:noProof/>
        </w:rPr>
        <w:t>3</w:t>
      </w:r>
      <w:bookmarkEnd w:id="27"/>
      <w:r>
        <w:rPr>
          <w:rStyle w:val="CommentReference"/>
        </w:rPr>
        <w:t xml:space="preserve">: </w:t>
      </w:r>
      <w:r w:rsidRPr="00322E1F">
        <w:rPr>
          <w:rStyle w:val="CommentReference"/>
        </w:rPr>
        <w:t>Kaplan-Meier Estimates of Progression-Free Survival Based on Investigator Assessment per RECIST 1.1 (ITT Population)</w:t>
      </w:r>
    </w:p>
    <w:p w14:paraId="7B959BC1" w14:textId="77777777" w:rsidR="004E0DA6" w:rsidRPr="001C2D6C" w:rsidRDefault="004E0DA6" w:rsidP="004E0DA6">
      <w:pPr>
        <w:jc w:val="center"/>
      </w:pPr>
      <w:r w:rsidRPr="00322E1F">
        <w:rPr>
          <w:noProof/>
          <w:snapToGrid/>
        </w:rPr>
        <w:t xml:space="preserve"> </w:t>
      </w:r>
      <w:r w:rsidRPr="00322E1F">
        <w:rPr>
          <w:noProof/>
          <w:lang w:eastAsia="en-AU"/>
        </w:rPr>
        <w:drawing>
          <wp:inline distT="0" distB="0" distL="0" distR="0" wp14:anchorId="2043D03E" wp14:editId="0C995949">
            <wp:extent cx="3438525" cy="4195169"/>
            <wp:effectExtent l="0" t="0" r="0" b="0"/>
            <wp:docPr id="4" name="Picture 4" descr="Figure 3: Kaplan-Meier Estimates of Progression-Free Survival Based on Investigator Assessment per RECIST 1.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aplan-Meier Estimates of Progression-Free Survival Based on Investigator Assessment per RECIST 1.1 (ITT Population)"/>
                    <pic:cNvPicPr/>
                  </pic:nvPicPr>
                  <pic:blipFill>
                    <a:blip r:embed="rId10"/>
                    <a:stretch>
                      <a:fillRect/>
                    </a:stretch>
                  </pic:blipFill>
                  <pic:spPr>
                    <a:xfrm>
                      <a:off x="0" y="0"/>
                      <a:ext cx="3441916" cy="4199306"/>
                    </a:xfrm>
                    <a:prstGeom prst="rect">
                      <a:avLst/>
                    </a:prstGeom>
                  </pic:spPr>
                </pic:pic>
              </a:graphicData>
            </a:graphic>
          </wp:inline>
        </w:drawing>
      </w:r>
    </w:p>
    <w:p w14:paraId="358537CB" w14:textId="77777777" w:rsidR="004E0DA6" w:rsidRDefault="004E0DA6" w:rsidP="00171867">
      <w:pPr>
        <w:pStyle w:val="TableFooter"/>
      </w:pPr>
      <w:r>
        <w:t xml:space="preserve">Source: Slide 9 of Kato 2020 ESMO presentation. </w:t>
      </w:r>
    </w:p>
    <w:p w14:paraId="52BA4A2D" w14:textId="77777777" w:rsidR="004E0DA6" w:rsidRDefault="004E0DA6" w:rsidP="00171867">
      <w:pPr>
        <w:pStyle w:val="TableFooter"/>
      </w:pPr>
      <w:r>
        <w:t xml:space="preserve">CI = confidence interval; HR = hazard ratio; </w:t>
      </w:r>
      <w:proofErr w:type="spellStart"/>
      <w:r>
        <w:t>mo</w:t>
      </w:r>
      <w:proofErr w:type="spellEnd"/>
      <w:r>
        <w:t xml:space="preserve"> = month; No = number</w:t>
      </w:r>
    </w:p>
    <w:p w14:paraId="0CDEF2A8" w14:textId="72030E92" w:rsidR="004E0DA6" w:rsidRPr="00CB71F0" w:rsidRDefault="004E0DA6" w:rsidP="00CB71F0">
      <w:pPr>
        <w:pStyle w:val="TableFooter"/>
        <w:spacing w:after="120"/>
      </w:pPr>
      <w:r>
        <w:t xml:space="preserve">Note: The submission erroneously copied the OS Kaplan Meier curve for the PFS results. This was corrected in the evaluation. </w:t>
      </w:r>
    </w:p>
    <w:p w14:paraId="600FC87B" w14:textId="77777777" w:rsidR="004E0DA6" w:rsidRPr="00F338DB" w:rsidRDefault="005051CB" w:rsidP="00863C38">
      <w:pPr>
        <w:pStyle w:val="ListParagraph"/>
        <w:widowControl/>
        <w:numPr>
          <w:ilvl w:val="1"/>
          <w:numId w:val="1"/>
        </w:numPr>
        <w:rPr>
          <w:rFonts w:asciiTheme="minorHAnsi" w:hAnsiTheme="minorHAnsi" w:cstheme="minorHAnsi"/>
          <w:color w:val="3366FF"/>
        </w:rPr>
      </w:pPr>
      <w:r w:rsidRPr="005051CB">
        <w:rPr>
          <w:rFonts w:asciiTheme="minorHAnsi" w:hAnsiTheme="minorHAnsi" w:cstheme="minorHAnsi"/>
        </w:rPr>
        <w:t>Table 5</w:t>
      </w:r>
      <w:r w:rsidR="004E0DA6" w:rsidRPr="00197FE9">
        <w:rPr>
          <w:rFonts w:asciiTheme="minorHAnsi" w:hAnsiTheme="minorHAnsi" w:cstheme="minorHAnsi"/>
          <w:bCs/>
        </w:rPr>
        <w:t xml:space="preserve"> presents the subgroup results for the pre-specified KN590 primary endpoints discussed above</w:t>
      </w:r>
      <w:r w:rsidR="00B46FD4">
        <w:rPr>
          <w:rFonts w:asciiTheme="minorHAnsi" w:hAnsiTheme="minorHAnsi" w:cstheme="minorHAnsi"/>
          <w:bCs/>
        </w:rPr>
        <w:t>,</w:t>
      </w:r>
      <w:r w:rsidR="004E0DA6" w:rsidRPr="00197FE9">
        <w:rPr>
          <w:rFonts w:asciiTheme="minorHAnsi" w:hAnsiTheme="minorHAnsi" w:cstheme="minorHAnsi"/>
          <w:bCs/>
        </w:rPr>
        <w:t xml:space="preserve"> as well as additional exploratory analyses compiled by the FDA (including </w:t>
      </w:r>
      <w:r w:rsidR="00B3275A">
        <w:rPr>
          <w:rFonts w:asciiTheme="minorHAnsi" w:hAnsiTheme="minorHAnsi" w:cstheme="minorHAnsi"/>
          <w:bCs/>
        </w:rPr>
        <w:t xml:space="preserve">PD-L1 </w:t>
      </w:r>
      <w:r w:rsidR="004E0DA6" w:rsidRPr="00197FE9">
        <w:rPr>
          <w:rFonts w:asciiTheme="minorHAnsi" w:hAnsiTheme="minorHAnsi" w:cstheme="minorHAnsi"/>
          <w:bCs/>
        </w:rPr>
        <w:t xml:space="preserve">CPS &gt;/&lt; 1, </w:t>
      </w:r>
      <w:r w:rsidR="00B46FD4">
        <w:rPr>
          <w:rFonts w:asciiTheme="minorHAnsi" w:hAnsiTheme="minorHAnsi" w:cstheme="minorHAnsi"/>
          <w:bCs/>
        </w:rPr>
        <w:t>and</w:t>
      </w:r>
      <w:r w:rsidR="004E0DA6" w:rsidRPr="00197FE9">
        <w:rPr>
          <w:rFonts w:asciiTheme="minorHAnsi" w:hAnsiTheme="minorHAnsi" w:cstheme="minorHAnsi"/>
          <w:bCs/>
        </w:rPr>
        <w:t xml:space="preserve"> </w:t>
      </w:r>
      <w:r w:rsidR="00F947B4">
        <w:rPr>
          <w:rFonts w:asciiTheme="minorHAnsi" w:hAnsiTheme="minorHAnsi" w:cstheme="minorHAnsi"/>
          <w:bCs/>
        </w:rPr>
        <w:t>O</w:t>
      </w:r>
      <w:r w:rsidR="00504E96">
        <w:rPr>
          <w:rFonts w:asciiTheme="minorHAnsi" w:hAnsiTheme="minorHAnsi" w:cstheme="minorHAnsi"/>
          <w:bCs/>
        </w:rPr>
        <w:t>AC</w:t>
      </w:r>
      <w:r w:rsidR="00504E96" w:rsidRPr="00197FE9">
        <w:rPr>
          <w:rFonts w:asciiTheme="minorHAnsi" w:hAnsiTheme="minorHAnsi" w:cstheme="minorHAnsi"/>
          <w:bCs/>
        </w:rPr>
        <w:t xml:space="preserve"> </w:t>
      </w:r>
      <w:r w:rsidR="004E0DA6" w:rsidRPr="00197FE9">
        <w:rPr>
          <w:rFonts w:asciiTheme="minorHAnsi" w:hAnsiTheme="minorHAnsi" w:cstheme="minorHAnsi"/>
          <w:bCs/>
        </w:rPr>
        <w:t>patients by CPS status)</w:t>
      </w:r>
      <w:r w:rsidR="00AB17DB">
        <w:rPr>
          <w:rFonts w:asciiTheme="minorHAnsi" w:hAnsiTheme="minorHAnsi" w:cstheme="minorHAnsi"/>
          <w:bCs/>
        </w:rPr>
        <w:t>.</w:t>
      </w:r>
    </w:p>
    <w:p w14:paraId="588B1264" w14:textId="77777777" w:rsidR="004E0DA6" w:rsidRPr="001B3455" w:rsidRDefault="004E0DA6" w:rsidP="00B84A39">
      <w:pPr>
        <w:keepNext/>
        <w:keepLines/>
        <w:rPr>
          <w:rStyle w:val="CommentReference"/>
        </w:rPr>
      </w:pPr>
      <w:bookmarkStart w:id="28" w:name="_Ref79742310"/>
      <w:r>
        <w:rPr>
          <w:rStyle w:val="CommentReference"/>
        </w:rPr>
        <w:lastRenderedPageBreak/>
        <w:t xml:space="preserve">Table </w:t>
      </w:r>
      <w:r w:rsidR="005051CB">
        <w:rPr>
          <w:rStyle w:val="CommentReference"/>
          <w:noProof/>
        </w:rPr>
        <w:t>5</w:t>
      </w:r>
      <w:bookmarkEnd w:id="28"/>
      <w:r w:rsidRPr="001B3455">
        <w:rPr>
          <w:rStyle w:val="CommentReference"/>
        </w:rPr>
        <w:t xml:space="preserve">: </w:t>
      </w:r>
      <w:r>
        <w:rPr>
          <w:rStyle w:val="CommentReference"/>
        </w:rPr>
        <w:t>S</w:t>
      </w:r>
      <w:r w:rsidRPr="001B3455">
        <w:rPr>
          <w:rStyle w:val="CommentReference"/>
        </w:rPr>
        <w:t xml:space="preserve">ubgroup analyses from </w:t>
      </w:r>
      <w:r>
        <w:rPr>
          <w:rStyle w:val="CommentReference"/>
        </w:rPr>
        <w:t xml:space="preserve">KN590 prespecified analyses and FDA analyses from </w:t>
      </w:r>
      <w:r w:rsidRPr="001B3455">
        <w:rPr>
          <w:rStyle w:val="CommentReference"/>
        </w:rPr>
        <w:t xml:space="preserve">TGA Delegate’s </w:t>
      </w:r>
      <w:r w:rsidR="00DF55C8">
        <w:rPr>
          <w:rStyle w:val="CommentReference"/>
        </w:rPr>
        <w:t>O</w:t>
      </w:r>
      <w:r w:rsidRPr="001B3455">
        <w:rPr>
          <w:rStyle w:val="CommentReference"/>
        </w:rPr>
        <w:t>verview</w:t>
      </w:r>
    </w:p>
    <w:tbl>
      <w:tblPr>
        <w:tblStyle w:val="TableGrid"/>
        <w:tblW w:w="0" w:type="auto"/>
        <w:tblInd w:w="-5" w:type="dxa"/>
        <w:tblCellMar>
          <w:left w:w="28" w:type="dxa"/>
          <w:right w:w="28" w:type="dxa"/>
        </w:tblCellMar>
        <w:tblLook w:val="04A0" w:firstRow="1" w:lastRow="0" w:firstColumn="1" w:lastColumn="0" w:noHBand="0" w:noVBand="1"/>
        <w:tblCaption w:val="Table 5: Subgroup analyses from KN590 prespecified analyses and FDA analyses from TGA Delegate’s Overview"/>
      </w:tblPr>
      <w:tblGrid>
        <w:gridCol w:w="3644"/>
        <w:gridCol w:w="1199"/>
        <w:gridCol w:w="2038"/>
        <w:gridCol w:w="2141"/>
      </w:tblGrid>
      <w:tr w:rsidR="008822AC" w:rsidRPr="001B3455" w14:paraId="34412AD9" w14:textId="77777777" w:rsidTr="006D03E2">
        <w:trPr>
          <w:tblHeader/>
        </w:trPr>
        <w:tc>
          <w:tcPr>
            <w:tcW w:w="3644" w:type="dxa"/>
          </w:tcPr>
          <w:p w14:paraId="6A4D5BE5" w14:textId="77777777" w:rsidR="008822AC" w:rsidRPr="001B3455" w:rsidRDefault="008822AC" w:rsidP="00B84A39">
            <w:pPr>
              <w:pStyle w:val="TableText0"/>
              <w:keepLines/>
              <w:spacing w:before="0" w:after="0"/>
              <w:rPr>
                <w:b/>
                <w:bCs/>
              </w:rPr>
            </w:pPr>
            <w:r w:rsidRPr="001B3455">
              <w:rPr>
                <w:b/>
                <w:bCs/>
              </w:rPr>
              <w:t>Population</w:t>
            </w:r>
          </w:p>
        </w:tc>
        <w:tc>
          <w:tcPr>
            <w:tcW w:w="1199" w:type="dxa"/>
          </w:tcPr>
          <w:p w14:paraId="34CB4AAA" w14:textId="77777777" w:rsidR="008822AC" w:rsidRPr="001B3455" w:rsidRDefault="008822AC" w:rsidP="00B84A39">
            <w:pPr>
              <w:pStyle w:val="TableText0"/>
              <w:keepLines/>
              <w:spacing w:before="0" w:after="0"/>
              <w:jc w:val="center"/>
              <w:rPr>
                <w:b/>
                <w:bCs/>
              </w:rPr>
            </w:pPr>
            <w:r w:rsidRPr="001B3455">
              <w:rPr>
                <w:b/>
                <w:bCs/>
              </w:rPr>
              <w:t>N</w:t>
            </w:r>
          </w:p>
        </w:tc>
        <w:tc>
          <w:tcPr>
            <w:tcW w:w="2038" w:type="dxa"/>
          </w:tcPr>
          <w:p w14:paraId="75FC39DD" w14:textId="77777777" w:rsidR="008822AC" w:rsidRPr="001B3455" w:rsidRDefault="008822AC" w:rsidP="00B84A39">
            <w:pPr>
              <w:pStyle w:val="TableText0"/>
              <w:keepLines/>
              <w:spacing w:before="0" w:after="0"/>
              <w:jc w:val="center"/>
              <w:rPr>
                <w:b/>
                <w:bCs/>
              </w:rPr>
            </w:pPr>
            <w:r w:rsidRPr="001B3455">
              <w:rPr>
                <w:b/>
                <w:bCs/>
              </w:rPr>
              <w:t>OS HR (CI)</w:t>
            </w:r>
          </w:p>
        </w:tc>
        <w:tc>
          <w:tcPr>
            <w:tcW w:w="2141" w:type="dxa"/>
          </w:tcPr>
          <w:p w14:paraId="6844D8E1" w14:textId="77777777" w:rsidR="008822AC" w:rsidRPr="001B3455" w:rsidRDefault="008822AC" w:rsidP="00B84A39">
            <w:pPr>
              <w:pStyle w:val="TableText0"/>
              <w:keepLines/>
              <w:spacing w:before="0" w:after="0"/>
              <w:jc w:val="center"/>
              <w:rPr>
                <w:b/>
                <w:bCs/>
              </w:rPr>
            </w:pPr>
            <w:r w:rsidRPr="001B3455">
              <w:rPr>
                <w:b/>
                <w:bCs/>
              </w:rPr>
              <w:t>P</w:t>
            </w:r>
          </w:p>
        </w:tc>
      </w:tr>
      <w:tr w:rsidR="00EF6EE7" w14:paraId="288E8D7B" w14:textId="77777777" w:rsidTr="00EF6EE7">
        <w:tc>
          <w:tcPr>
            <w:tcW w:w="3644" w:type="dxa"/>
          </w:tcPr>
          <w:p w14:paraId="43158B04" w14:textId="77777777" w:rsidR="00EF6EE7" w:rsidRDefault="002D18D8" w:rsidP="00B84A39">
            <w:pPr>
              <w:pStyle w:val="TableText0"/>
              <w:keepLines/>
              <w:spacing w:before="0" w:after="0"/>
            </w:pPr>
            <w:r>
              <w:t>OSCC</w:t>
            </w:r>
            <w:r w:rsidR="00EF6EE7">
              <w:t xml:space="preserve"> CPS ≥10</w:t>
            </w:r>
          </w:p>
        </w:tc>
        <w:tc>
          <w:tcPr>
            <w:tcW w:w="1199" w:type="dxa"/>
          </w:tcPr>
          <w:p w14:paraId="2C82FD88" w14:textId="77777777" w:rsidR="00EF6EE7" w:rsidRDefault="00EF6EE7" w:rsidP="00B84A39">
            <w:pPr>
              <w:pStyle w:val="TableText0"/>
              <w:keepLines/>
              <w:spacing w:before="0" w:after="0"/>
              <w:jc w:val="center"/>
            </w:pPr>
            <w:r>
              <w:t>286</w:t>
            </w:r>
          </w:p>
        </w:tc>
        <w:tc>
          <w:tcPr>
            <w:tcW w:w="2038" w:type="dxa"/>
          </w:tcPr>
          <w:p w14:paraId="38452585" w14:textId="77777777" w:rsidR="00EF6EE7" w:rsidRDefault="00EF6EE7" w:rsidP="00B84A39">
            <w:pPr>
              <w:pStyle w:val="TableText0"/>
              <w:keepLines/>
              <w:spacing w:before="0" w:after="0"/>
              <w:jc w:val="center"/>
            </w:pPr>
            <w:r>
              <w:t>0.57 (0.43, 0.75)</w:t>
            </w:r>
          </w:p>
        </w:tc>
        <w:tc>
          <w:tcPr>
            <w:tcW w:w="2141" w:type="dxa"/>
          </w:tcPr>
          <w:p w14:paraId="4FBD345C" w14:textId="77777777" w:rsidR="00EF6EE7" w:rsidRDefault="00EF6EE7" w:rsidP="00B84A39">
            <w:pPr>
              <w:pStyle w:val="TableText0"/>
              <w:keepLines/>
              <w:spacing w:before="0" w:after="0"/>
              <w:jc w:val="center"/>
            </w:pPr>
            <w:r>
              <w:t>Significant</w:t>
            </w:r>
          </w:p>
        </w:tc>
      </w:tr>
      <w:tr w:rsidR="00EF6EE7" w14:paraId="00561345" w14:textId="77777777" w:rsidTr="00EF6EE7">
        <w:tc>
          <w:tcPr>
            <w:tcW w:w="3644" w:type="dxa"/>
          </w:tcPr>
          <w:p w14:paraId="7FD67C46" w14:textId="77777777" w:rsidR="00EF6EE7" w:rsidRDefault="002D18D8" w:rsidP="00B84A39">
            <w:pPr>
              <w:pStyle w:val="TableText0"/>
              <w:keepLines/>
              <w:spacing w:before="0" w:after="0"/>
            </w:pPr>
            <w:r>
              <w:t>OSCC</w:t>
            </w:r>
            <w:r w:rsidR="00EF6EE7">
              <w:t xml:space="preserve"> all CPS</w:t>
            </w:r>
          </w:p>
        </w:tc>
        <w:tc>
          <w:tcPr>
            <w:tcW w:w="1199" w:type="dxa"/>
          </w:tcPr>
          <w:p w14:paraId="626A8C67" w14:textId="77777777" w:rsidR="00EF6EE7" w:rsidRDefault="00EF6EE7" w:rsidP="00B84A39">
            <w:pPr>
              <w:pStyle w:val="TableText0"/>
              <w:keepLines/>
              <w:spacing w:before="0" w:after="0"/>
              <w:jc w:val="center"/>
            </w:pPr>
            <w:r>
              <w:t>548</w:t>
            </w:r>
          </w:p>
        </w:tc>
        <w:tc>
          <w:tcPr>
            <w:tcW w:w="2038" w:type="dxa"/>
          </w:tcPr>
          <w:p w14:paraId="2C9938BD" w14:textId="77777777" w:rsidR="00EF6EE7" w:rsidRDefault="00EF6EE7" w:rsidP="00B84A39">
            <w:pPr>
              <w:pStyle w:val="TableText0"/>
              <w:keepLines/>
              <w:spacing w:before="0" w:after="0"/>
              <w:jc w:val="center"/>
            </w:pPr>
            <w:r>
              <w:t>0.72 (0.60, 0,88)</w:t>
            </w:r>
          </w:p>
        </w:tc>
        <w:tc>
          <w:tcPr>
            <w:tcW w:w="2141" w:type="dxa"/>
          </w:tcPr>
          <w:p w14:paraId="0D228507" w14:textId="77777777" w:rsidR="00EF6EE7" w:rsidRDefault="00EF6EE7" w:rsidP="00B84A39">
            <w:pPr>
              <w:pStyle w:val="TableText0"/>
              <w:keepLines/>
              <w:spacing w:before="0" w:after="0"/>
              <w:jc w:val="center"/>
            </w:pPr>
            <w:r>
              <w:t>Significant</w:t>
            </w:r>
          </w:p>
        </w:tc>
      </w:tr>
      <w:tr w:rsidR="00EF6EE7" w14:paraId="55C67F23" w14:textId="77777777" w:rsidTr="00EF6EE7">
        <w:tc>
          <w:tcPr>
            <w:tcW w:w="3644" w:type="dxa"/>
          </w:tcPr>
          <w:p w14:paraId="012DFA9D" w14:textId="77777777" w:rsidR="00EF6EE7" w:rsidRDefault="00EF6EE7" w:rsidP="00B84A39">
            <w:pPr>
              <w:pStyle w:val="TableText0"/>
              <w:keepLines/>
              <w:spacing w:before="0" w:after="0"/>
            </w:pPr>
            <w:r>
              <w:t>All cancer types, CPS ≥10</w:t>
            </w:r>
          </w:p>
        </w:tc>
        <w:tc>
          <w:tcPr>
            <w:tcW w:w="1199" w:type="dxa"/>
          </w:tcPr>
          <w:p w14:paraId="5BF40385" w14:textId="77777777" w:rsidR="00EF6EE7" w:rsidRDefault="00EF6EE7" w:rsidP="00B84A39">
            <w:pPr>
              <w:pStyle w:val="TableText0"/>
              <w:keepLines/>
              <w:spacing w:before="0" w:after="0"/>
              <w:jc w:val="center"/>
            </w:pPr>
            <w:r>
              <w:t>383</w:t>
            </w:r>
          </w:p>
        </w:tc>
        <w:tc>
          <w:tcPr>
            <w:tcW w:w="2038" w:type="dxa"/>
          </w:tcPr>
          <w:p w14:paraId="3B37ED28" w14:textId="77777777" w:rsidR="00EF6EE7" w:rsidRDefault="00EF6EE7" w:rsidP="00B84A39">
            <w:pPr>
              <w:pStyle w:val="TableText0"/>
              <w:keepLines/>
              <w:spacing w:before="0" w:after="0"/>
              <w:jc w:val="center"/>
            </w:pPr>
            <w:r>
              <w:t>0.62 (0.49, 0.78)</w:t>
            </w:r>
          </w:p>
        </w:tc>
        <w:tc>
          <w:tcPr>
            <w:tcW w:w="2141" w:type="dxa"/>
          </w:tcPr>
          <w:p w14:paraId="6B91DC8A" w14:textId="77777777" w:rsidR="00EF6EE7" w:rsidRDefault="00EF6EE7" w:rsidP="00B84A39">
            <w:pPr>
              <w:pStyle w:val="TableText0"/>
              <w:keepLines/>
              <w:spacing w:before="0" w:after="0"/>
              <w:jc w:val="center"/>
            </w:pPr>
            <w:r>
              <w:t>Significant</w:t>
            </w:r>
          </w:p>
        </w:tc>
      </w:tr>
      <w:tr w:rsidR="00EF6EE7" w14:paraId="33031F96" w14:textId="77777777" w:rsidTr="00EF6EE7">
        <w:tc>
          <w:tcPr>
            <w:tcW w:w="3644" w:type="dxa"/>
          </w:tcPr>
          <w:p w14:paraId="3B0835DC" w14:textId="77777777" w:rsidR="00EF6EE7" w:rsidRDefault="00EF6EE7" w:rsidP="00B84A39">
            <w:pPr>
              <w:pStyle w:val="TableText0"/>
              <w:keepLines/>
              <w:spacing w:before="0" w:after="0"/>
            </w:pPr>
            <w:r>
              <w:t xml:space="preserve">All </w:t>
            </w:r>
            <w:r w:rsidR="00C33C79">
              <w:t>p</w:t>
            </w:r>
            <w:r>
              <w:t xml:space="preserve">atients </w:t>
            </w:r>
          </w:p>
        </w:tc>
        <w:tc>
          <w:tcPr>
            <w:tcW w:w="1199" w:type="dxa"/>
          </w:tcPr>
          <w:p w14:paraId="45071216" w14:textId="77777777" w:rsidR="00EF6EE7" w:rsidRDefault="00EF6EE7" w:rsidP="00B84A39">
            <w:pPr>
              <w:pStyle w:val="TableText0"/>
              <w:keepLines/>
              <w:spacing w:before="0" w:after="0"/>
              <w:jc w:val="center"/>
            </w:pPr>
            <w:r>
              <w:t>749</w:t>
            </w:r>
          </w:p>
        </w:tc>
        <w:tc>
          <w:tcPr>
            <w:tcW w:w="2038" w:type="dxa"/>
          </w:tcPr>
          <w:p w14:paraId="3B4DB5AD" w14:textId="77777777" w:rsidR="00EF6EE7" w:rsidRDefault="00EF6EE7" w:rsidP="00B84A39">
            <w:pPr>
              <w:pStyle w:val="TableText0"/>
              <w:keepLines/>
              <w:spacing w:before="0" w:after="0"/>
              <w:jc w:val="center"/>
            </w:pPr>
            <w:r>
              <w:t>0.73 (0.62, 0.86)</w:t>
            </w:r>
          </w:p>
        </w:tc>
        <w:tc>
          <w:tcPr>
            <w:tcW w:w="2141" w:type="dxa"/>
          </w:tcPr>
          <w:p w14:paraId="2F3F85F7" w14:textId="77777777" w:rsidR="00EF6EE7" w:rsidRDefault="00EF6EE7" w:rsidP="00B84A39">
            <w:pPr>
              <w:pStyle w:val="TableText0"/>
              <w:keepLines/>
              <w:spacing w:before="0" w:after="0"/>
              <w:jc w:val="center"/>
            </w:pPr>
            <w:r>
              <w:t>Significant</w:t>
            </w:r>
          </w:p>
        </w:tc>
      </w:tr>
      <w:tr w:rsidR="00EF6EE7" w14:paraId="16D904F5" w14:textId="77777777" w:rsidTr="00EF6EE7">
        <w:tc>
          <w:tcPr>
            <w:tcW w:w="3644" w:type="dxa"/>
          </w:tcPr>
          <w:p w14:paraId="19DF8294" w14:textId="77777777" w:rsidR="00EF6EE7" w:rsidRDefault="00EF6EE7" w:rsidP="00B84A39">
            <w:pPr>
              <w:pStyle w:val="TableText0"/>
              <w:keepLines/>
              <w:spacing w:before="0" w:after="0"/>
            </w:pPr>
            <w:r>
              <w:t xml:space="preserve">All </w:t>
            </w:r>
            <w:r w:rsidR="00C33C79">
              <w:t xml:space="preserve">cancer </w:t>
            </w:r>
            <w:r>
              <w:t>types, CPS &lt;10</w:t>
            </w:r>
            <w:r w:rsidR="00AF33E5">
              <w:rPr>
                <w:vertAlign w:val="superscript"/>
              </w:rPr>
              <w:t xml:space="preserve"> a</w:t>
            </w:r>
          </w:p>
        </w:tc>
        <w:tc>
          <w:tcPr>
            <w:tcW w:w="1199" w:type="dxa"/>
          </w:tcPr>
          <w:p w14:paraId="2EA12D60" w14:textId="77777777" w:rsidR="00EF6EE7" w:rsidRDefault="00EF6EE7" w:rsidP="00B84A39">
            <w:pPr>
              <w:pStyle w:val="TableText0"/>
              <w:keepLines/>
              <w:spacing w:before="0" w:after="0"/>
              <w:jc w:val="center"/>
            </w:pPr>
            <w:r>
              <w:t>347</w:t>
            </w:r>
          </w:p>
        </w:tc>
        <w:tc>
          <w:tcPr>
            <w:tcW w:w="2038" w:type="dxa"/>
          </w:tcPr>
          <w:p w14:paraId="78568BE5" w14:textId="77777777" w:rsidR="00EF6EE7" w:rsidRDefault="00EF6EE7" w:rsidP="00B84A39">
            <w:pPr>
              <w:pStyle w:val="TableText0"/>
              <w:keepLines/>
              <w:spacing w:before="0" w:after="0"/>
              <w:jc w:val="center"/>
            </w:pPr>
            <w:r>
              <w:t>0.86 (0.68, 1.10)</w:t>
            </w:r>
          </w:p>
        </w:tc>
        <w:tc>
          <w:tcPr>
            <w:tcW w:w="2141" w:type="dxa"/>
          </w:tcPr>
          <w:p w14:paraId="2B41D018" w14:textId="77777777" w:rsidR="00EF6EE7" w:rsidRDefault="00EF6EE7" w:rsidP="00B84A39">
            <w:pPr>
              <w:pStyle w:val="TableText0"/>
              <w:keepLines/>
              <w:spacing w:before="0" w:after="0"/>
              <w:jc w:val="center"/>
            </w:pPr>
            <w:r>
              <w:t>Not tested</w:t>
            </w:r>
          </w:p>
        </w:tc>
      </w:tr>
      <w:tr w:rsidR="00EF6EE7" w14:paraId="7B1EB465" w14:textId="77777777" w:rsidTr="00EF6EE7">
        <w:tc>
          <w:tcPr>
            <w:tcW w:w="3644" w:type="dxa"/>
          </w:tcPr>
          <w:p w14:paraId="1E9FF57C" w14:textId="77777777" w:rsidR="00EF6EE7" w:rsidRDefault="002D18D8" w:rsidP="00B84A39">
            <w:pPr>
              <w:pStyle w:val="TableText0"/>
              <w:keepLines/>
              <w:spacing w:before="0" w:after="0"/>
            </w:pPr>
            <w:r>
              <w:t>OSCC</w:t>
            </w:r>
            <w:r w:rsidR="00EF6EE7">
              <w:t>, CPS &lt;10</w:t>
            </w:r>
            <w:r w:rsidR="00AF33E5">
              <w:rPr>
                <w:vertAlign w:val="superscript"/>
              </w:rPr>
              <w:t xml:space="preserve"> a</w:t>
            </w:r>
          </w:p>
        </w:tc>
        <w:tc>
          <w:tcPr>
            <w:tcW w:w="1199" w:type="dxa"/>
          </w:tcPr>
          <w:p w14:paraId="79995EA6" w14:textId="77777777" w:rsidR="00EF6EE7" w:rsidRDefault="00EF6EE7" w:rsidP="00B84A39">
            <w:pPr>
              <w:pStyle w:val="TableText0"/>
              <w:keepLines/>
              <w:spacing w:before="0" w:after="0"/>
              <w:jc w:val="center"/>
            </w:pPr>
            <w:r>
              <w:t>247</w:t>
            </w:r>
          </w:p>
        </w:tc>
        <w:tc>
          <w:tcPr>
            <w:tcW w:w="2038" w:type="dxa"/>
          </w:tcPr>
          <w:p w14:paraId="0BD106E3" w14:textId="77777777" w:rsidR="00EF6EE7" w:rsidRDefault="00EF6EE7" w:rsidP="00B84A39">
            <w:pPr>
              <w:pStyle w:val="TableText0"/>
              <w:keepLines/>
              <w:spacing w:before="0" w:after="0"/>
              <w:jc w:val="center"/>
            </w:pPr>
            <w:r>
              <w:t>0.99 (0.74, 1.32)</w:t>
            </w:r>
          </w:p>
        </w:tc>
        <w:tc>
          <w:tcPr>
            <w:tcW w:w="2141" w:type="dxa"/>
          </w:tcPr>
          <w:p w14:paraId="6D01DA40" w14:textId="77777777" w:rsidR="00EF6EE7" w:rsidRDefault="00EF6EE7" w:rsidP="00B84A39">
            <w:pPr>
              <w:pStyle w:val="TableText0"/>
              <w:keepLines/>
              <w:spacing w:before="0" w:after="0"/>
              <w:jc w:val="center"/>
            </w:pPr>
            <w:r>
              <w:t>Not tested</w:t>
            </w:r>
          </w:p>
        </w:tc>
      </w:tr>
      <w:tr w:rsidR="00EF6EE7" w14:paraId="6DF433A0" w14:textId="77777777" w:rsidTr="00EF6EE7">
        <w:tc>
          <w:tcPr>
            <w:tcW w:w="3644" w:type="dxa"/>
          </w:tcPr>
          <w:p w14:paraId="63FB7D4D" w14:textId="77777777" w:rsidR="00EF6EE7" w:rsidRDefault="002D18D8" w:rsidP="00B84A39">
            <w:pPr>
              <w:pStyle w:val="TableText0"/>
              <w:keepLines/>
              <w:spacing w:before="0" w:after="0"/>
            </w:pPr>
            <w:r>
              <w:t>O</w:t>
            </w:r>
            <w:r w:rsidR="00EF6EE7">
              <w:t>AC, CPS &lt;10</w:t>
            </w:r>
            <w:r w:rsidR="00AF33E5">
              <w:rPr>
                <w:vertAlign w:val="superscript"/>
              </w:rPr>
              <w:t xml:space="preserve"> a</w:t>
            </w:r>
          </w:p>
        </w:tc>
        <w:tc>
          <w:tcPr>
            <w:tcW w:w="1199" w:type="dxa"/>
          </w:tcPr>
          <w:p w14:paraId="4202E17E" w14:textId="77777777" w:rsidR="00EF6EE7" w:rsidRDefault="00EF6EE7" w:rsidP="00B84A39">
            <w:pPr>
              <w:pStyle w:val="TableText0"/>
              <w:keepLines/>
              <w:spacing w:before="0" w:after="0"/>
              <w:jc w:val="center"/>
            </w:pPr>
            <w:r>
              <w:t>100</w:t>
            </w:r>
          </w:p>
        </w:tc>
        <w:tc>
          <w:tcPr>
            <w:tcW w:w="2038" w:type="dxa"/>
          </w:tcPr>
          <w:p w14:paraId="0391758B" w14:textId="77777777" w:rsidR="00EF6EE7" w:rsidRDefault="00EF6EE7" w:rsidP="00B84A39">
            <w:pPr>
              <w:pStyle w:val="TableText0"/>
              <w:keepLines/>
              <w:spacing w:before="0" w:after="0"/>
              <w:jc w:val="center"/>
            </w:pPr>
            <w:r>
              <w:t>0.66 (0.42, 1.04)</w:t>
            </w:r>
          </w:p>
        </w:tc>
        <w:tc>
          <w:tcPr>
            <w:tcW w:w="2141" w:type="dxa"/>
          </w:tcPr>
          <w:p w14:paraId="7E571602" w14:textId="77777777" w:rsidR="00EF6EE7" w:rsidRDefault="00EF6EE7" w:rsidP="00B84A39">
            <w:pPr>
              <w:pStyle w:val="TableText0"/>
              <w:keepLines/>
              <w:spacing w:before="0" w:after="0"/>
              <w:jc w:val="center"/>
            </w:pPr>
            <w:r>
              <w:t>Not tested</w:t>
            </w:r>
          </w:p>
        </w:tc>
      </w:tr>
      <w:tr w:rsidR="00EF6EE7" w:rsidRPr="00EE15E4" w14:paraId="7A6123A3" w14:textId="77777777" w:rsidTr="00EF6EE7">
        <w:tc>
          <w:tcPr>
            <w:tcW w:w="3644" w:type="dxa"/>
          </w:tcPr>
          <w:p w14:paraId="4C6D665A" w14:textId="77777777" w:rsidR="00EF6EE7" w:rsidRPr="00EE15E4" w:rsidRDefault="00EF6EE7" w:rsidP="00B84A39">
            <w:pPr>
              <w:pStyle w:val="TableText0"/>
              <w:keepLines/>
              <w:spacing w:before="0" w:after="0"/>
            </w:pPr>
            <w:r w:rsidRPr="00EE15E4">
              <w:t>CPS &lt;1</w:t>
            </w:r>
            <w:r w:rsidR="00AF33E5" w:rsidRPr="00EE15E4">
              <w:rPr>
                <w:vertAlign w:val="superscript"/>
              </w:rPr>
              <w:t xml:space="preserve"> a</w:t>
            </w:r>
          </w:p>
        </w:tc>
        <w:tc>
          <w:tcPr>
            <w:tcW w:w="1199" w:type="dxa"/>
          </w:tcPr>
          <w:p w14:paraId="1BFC73D2"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3EF4130F"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348C0323"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r w:rsidR="00EF6EE7" w:rsidRPr="00EE15E4" w14:paraId="62D74F61" w14:textId="77777777" w:rsidTr="00EF6EE7">
        <w:tc>
          <w:tcPr>
            <w:tcW w:w="3644" w:type="dxa"/>
          </w:tcPr>
          <w:p w14:paraId="7BA120D1" w14:textId="77777777" w:rsidR="00EF6EE7" w:rsidRPr="00EE15E4" w:rsidRDefault="00EF6EE7" w:rsidP="00B84A39">
            <w:pPr>
              <w:pStyle w:val="TableText0"/>
              <w:keepLines/>
              <w:spacing w:before="0" w:after="0"/>
            </w:pPr>
            <w:r w:rsidRPr="00EE15E4">
              <w:t>CPS &gt;1</w:t>
            </w:r>
            <w:r w:rsidR="00AF33E5" w:rsidRPr="00EE15E4">
              <w:rPr>
                <w:vertAlign w:val="superscript"/>
              </w:rPr>
              <w:t xml:space="preserve"> a</w:t>
            </w:r>
          </w:p>
        </w:tc>
        <w:tc>
          <w:tcPr>
            <w:tcW w:w="1199" w:type="dxa"/>
          </w:tcPr>
          <w:p w14:paraId="6F74F4D3"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74E12914"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7CF1C9CA"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bl>
    <w:p w14:paraId="790D25F5" w14:textId="77777777" w:rsidR="004E0DA6" w:rsidRPr="00EE15E4" w:rsidRDefault="004E0DA6" w:rsidP="00B84A39">
      <w:pPr>
        <w:pStyle w:val="TableFooter"/>
        <w:keepNext/>
        <w:keepLines/>
      </w:pPr>
      <w:r w:rsidRPr="00EE15E4">
        <w:t>Source: Page 27 of TGA Delegate’s Overview</w:t>
      </w:r>
    </w:p>
    <w:p w14:paraId="08763386" w14:textId="77777777" w:rsidR="004E0DA6" w:rsidRPr="00EE15E4" w:rsidRDefault="004E0DA6" w:rsidP="00B84A39">
      <w:pPr>
        <w:pStyle w:val="TableFooter"/>
        <w:keepNext/>
        <w:keepLines/>
      </w:pPr>
      <w:r w:rsidRPr="00EE15E4">
        <w:t xml:space="preserve">CI; = confidence interval; CPS = combined positive score; HR = hazard ratio; </w:t>
      </w:r>
      <w:r w:rsidR="00AB17DB" w:rsidRPr="00EE15E4">
        <w:t xml:space="preserve">OAC = oesophageal adenocarcinoma; </w:t>
      </w:r>
      <w:r w:rsidRPr="00EE15E4">
        <w:t>OS = overall survival</w:t>
      </w:r>
      <w:r w:rsidR="00AB17DB" w:rsidRPr="00EE15E4">
        <w:t xml:space="preserve">; </w:t>
      </w:r>
      <w:r w:rsidR="002608F1" w:rsidRPr="00EE15E4">
        <w:t>OSCC = oesophageal squamous cell carcinoma</w:t>
      </w:r>
      <w:r w:rsidRPr="00EE15E4">
        <w:t xml:space="preserve"> </w:t>
      </w:r>
    </w:p>
    <w:p w14:paraId="3E248F09" w14:textId="3CB9CDC9" w:rsidR="006247AE" w:rsidRPr="00CB71F0" w:rsidRDefault="00AF33E5" w:rsidP="00CB71F0">
      <w:pPr>
        <w:pStyle w:val="TableFooter"/>
        <w:keepNext/>
        <w:keepLines/>
        <w:spacing w:after="120"/>
        <w:rPr>
          <w:i/>
        </w:rPr>
      </w:pPr>
      <w:r w:rsidRPr="00EE15E4">
        <w:rPr>
          <w:i/>
          <w:vertAlign w:val="superscript"/>
        </w:rPr>
        <w:t xml:space="preserve">a </w:t>
      </w:r>
      <w:r w:rsidRPr="00EE15E4">
        <w:rPr>
          <w:i/>
        </w:rPr>
        <w:t>Note that these results presented in Table 5 were not part of the pre-specified statistical plan for KN590. Interpretation of the results and their application should therefore be limited to seeking to understand the basis for the PBAC outcome and should not be used for any other purpose.</w:t>
      </w:r>
    </w:p>
    <w:p w14:paraId="1B901E18" w14:textId="77777777" w:rsidR="005A196B" w:rsidRPr="00C741C0" w:rsidRDefault="005A196B" w:rsidP="00863C38">
      <w:pPr>
        <w:pStyle w:val="ListParagraph"/>
        <w:widowControl/>
        <w:numPr>
          <w:ilvl w:val="1"/>
          <w:numId w:val="1"/>
        </w:numPr>
        <w:rPr>
          <w:rFonts w:asciiTheme="minorHAnsi" w:hAnsiTheme="minorHAnsi" w:cstheme="minorHAnsi"/>
        </w:rPr>
      </w:pPr>
      <w:r>
        <w:t xml:space="preserve">The KN590 trial included results of the </w:t>
      </w:r>
      <w:r w:rsidRPr="0074330D">
        <w:t>European Organisation for Research and Treatment of Cancer</w:t>
      </w:r>
      <w:r>
        <w:t xml:space="preserve"> Quality of Care (EORTC-QLQ) C30 questionnaire and the Oesophageal cancer module (OES18) as well as the European Quality of life 5 dimensions Visual Analogue Scale (EQ-5D VAS) as exploratory analyses. No statistically significant differences were observed in these </w:t>
      </w:r>
      <w:proofErr w:type="gramStart"/>
      <w:r>
        <w:t>quality of life</w:t>
      </w:r>
      <w:proofErr w:type="gramEnd"/>
      <w:r>
        <w:t xml:space="preserve"> measures.</w:t>
      </w:r>
    </w:p>
    <w:p w14:paraId="02DF3FB0" w14:textId="77777777" w:rsidR="00C741C0" w:rsidRPr="00F93D2F" w:rsidRDefault="00C741C0" w:rsidP="00863C38">
      <w:pPr>
        <w:pStyle w:val="ListParagraph"/>
        <w:widowControl/>
        <w:numPr>
          <w:ilvl w:val="1"/>
          <w:numId w:val="1"/>
        </w:numPr>
        <w:rPr>
          <w:rFonts w:asciiTheme="minorHAnsi" w:hAnsiTheme="minorHAnsi" w:cstheme="minorHAnsi"/>
        </w:rPr>
      </w:pPr>
      <w:r>
        <w:t xml:space="preserve">The PBAC noted the objective response rate </w:t>
      </w:r>
      <w:r w:rsidR="00084074">
        <w:t xml:space="preserve">(ORR) </w:t>
      </w:r>
      <w:r>
        <w:t>for patients treated with pembrolizumab in combination with chemotherapy was 45.0% with a median du</w:t>
      </w:r>
      <w:r w:rsidR="00084074">
        <w:t>ra</w:t>
      </w:r>
      <w:r>
        <w:t>tion of response of 8.3 months compared to a 29.2% O</w:t>
      </w:r>
      <w:r w:rsidR="00084074">
        <w:t xml:space="preserve">RR and a median duration of response of 6.0 months for patients treated with chemotherapy. </w:t>
      </w:r>
    </w:p>
    <w:p w14:paraId="55F25474" w14:textId="3F187442" w:rsidR="004E0DA6" w:rsidRPr="00CB71F0" w:rsidRDefault="004E0DA6" w:rsidP="00CB71F0">
      <w:pPr>
        <w:pStyle w:val="Heading2"/>
        <w:spacing w:after="120"/>
      </w:pPr>
      <w:bookmarkStart w:id="29" w:name="_Toc79761899"/>
      <w:r w:rsidRPr="00C9624D">
        <w:t>Comparative harms</w:t>
      </w:r>
      <w:bookmarkEnd w:id="29"/>
    </w:p>
    <w:p w14:paraId="4C9EC214" w14:textId="77777777" w:rsidR="004E0DA6" w:rsidRPr="00197FE9" w:rsidRDefault="004E0DA6" w:rsidP="00863C38">
      <w:pPr>
        <w:pStyle w:val="ListParagraph"/>
        <w:widowControl/>
        <w:numPr>
          <w:ilvl w:val="1"/>
          <w:numId w:val="1"/>
        </w:numPr>
        <w:rPr>
          <w:rFonts w:asciiTheme="minorHAnsi" w:hAnsiTheme="minorHAnsi" w:cstheme="minorHAnsi"/>
        </w:rPr>
      </w:pPr>
      <w:r w:rsidRPr="00197FE9">
        <w:rPr>
          <w:rFonts w:asciiTheme="minorHAnsi" w:hAnsiTheme="minorHAnsi" w:cstheme="minorHAnsi"/>
        </w:rPr>
        <w:t>The analysis of safety data in this study were based on the All Subjects as Treated (</w:t>
      </w:r>
      <w:proofErr w:type="spellStart"/>
      <w:r w:rsidRPr="00197FE9">
        <w:rPr>
          <w:rFonts w:asciiTheme="minorHAnsi" w:hAnsiTheme="minorHAnsi" w:cstheme="minorHAnsi"/>
        </w:rPr>
        <w:t>ASaT</w:t>
      </w:r>
      <w:proofErr w:type="spellEnd"/>
      <w:r w:rsidRPr="00197FE9">
        <w:rPr>
          <w:rFonts w:asciiTheme="minorHAnsi" w:hAnsiTheme="minorHAnsi" w:cstheme="minorHAnsi"/>
        </w:rPr>
        <w:t>) population which consists of all randomi</w:t>
      </w:r>
      <w:r w:rsidR="00A80EA2">
        <w:rPr>
          <w:rFonts w:asciiTheme="minorHAnsi" w:hAnsiTheme="minorHAnsi" w:cstheme="minorHAnsi"/>
        </w:rPr>
        <w:t>s</w:t>
      </w:r>
      <w:r w:rsidRPr="00197FE9">
        <w:rPr>
          <w:rFonts w:asciiTheme="minorHAnsi" w:hAnsiTheme="minorHAnsi" w:cstheme="minorHAnsi"/>
        </w:rPr>
        <w:t xml:space="preserve">ed participants who received at least one dose of study treatment. </w:t>
      </w:r>
      <w:r w:rsidR="005051CB" w:rsidRPr="005051CB">
        <w:rPr>
          <w:rFonts w:asciiTheme="minorHAnsi" w:hAnsiTheme="minorHAnsi" w:cstheme="minorHAnsi"/>
        </w:rPr>
        <w:t>Table 6</w:t>
      </w:r>
      <w:r w:rsidRPr="00197FE9">
        <w:rPr>
          <w:rFonts w:asciiTheme="minorHAnsi" w:hAnsiTheme="minorHAnsi" w:cstheme="minorHAnsi"/>
        </w:rPr>
        <w:t xml:space="preserve"> presents a summary of adverse events</w:t>
      </w:r>
      <w:r w:rsidR="00DF36B9">
        <w:rPr>
          <w:rFonts w:asciiTheme="minorHAnsi" w:hAnsiTheme="minorHAnsi" w:cstheme="minorHAnsi"/>
        </w:rPr>
        <w:t xml:space="preserve"> (AEs)</w:t>
      </w:r>
      <w:r w:rsidRPr="00197FE9">
        <w:rPr>
          <w:rFonts w:asciiTheme="minorHAnsi" w:hAnsiTheme="minorHAnsi" w:cstheme="minorHAnsi"/>
        </w:rPr>
        <w:t xml:space="preserve"> in the KN590 trial.</w:t>
      </w:r>
    </w:p>
    <w:p w14:paraId="01884E3D" w14:textId="77777777" w:rsidR="004E0DA6" w:rsidRPr="001009D9" w:rsidRDefault="004E0DA6" w:rsidP="008822AC">
      <w:pPr>
        <w:pStyle w:val="Tabletext"/>
        <w:keepNext/>
        <w:rPr>
          <w:b/>
        </w:rPr>
      </w:pPr>
      <w:bookmarkStart w:id="30" w:name="_Ref79742945"/>
      <w:r>
        <w:rPr>
          <w:rStyle w:val="CommentReference"/>
        </w:rPr>
        <w:lastRenderedPageBreak/>
        <w:t xml:space="preserve">Table </w:t>
      </w:r>
      <w:r w:rsidR="005051CB">
        <w:rPr>
          <w:rStyle w:val="CommentReference"/>
          <w:noProof/>
        </w:rPr>
        <w:t>6</w:t>
      </w:r>
      <w:bookmarkEnd w:id="30"/>
      <w:r w:rsidRPr="001B3455">
        <w:rPr>
          <w:rStyle w:val="CommentReference"/>
        </w:rPr>
        <w:t xml:space="preserve">: </w:t>
      </w:r>
      <w:r w:rsidRPr="001009D9">
        <w:rPr>
          <w:b/>
        </w:rPr>
        <w:t xml:space="preserve">Summary of key adverse events in </w:t>
      </w:r>
      <w:r>
        <w:rPr>
          <w:b/>
        </w:rPr>
        <w:t>KN590 (</w:t>
      </w:r>
      <w:proofErr w:type="spellStart"/>
      <w:r>
        <w:rPr>
          <w:b/>
        </w:rPr>
        <w:t>ASaT</w:t>
      </w:r>
      <w:proofErr w:type="spellEnd"/>
      <w:r>
        <w:rPr>
          <w:b/>
        </w:rPr>
        <w:t xml:space="preserv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Summary of key adverse events in KN590 (ASaT population)"/>
      </w:tblPr>
      <w:tblGrid>
        <w:gridCol w:w="4404"/>
        <w:gridCol w:w="1522"/>
        <w:gridCol w:w="13"/>
        <w:gridCol w:w="1358"/>
        <w:gridCol w:w="1720"/>
      </w:tblGrid>
      <w:tr w:rsidR="008822AC" w:rsidRPr="001009D9" w14:paraId="536A2313" w14:textId="77777777" w:rsidTr="00433941">
        <w:trPr>
          <w:tblHeader/>
        </w:trPr>
        <w:tc>
          <w:tcPr>
            <w:tcW w:w="2442" w:type="pct"/>
            <w:vAlign w:val="center"/>
          </w:tcPr>
          <w:p w14:paraId="652E2CE2" w14:textId="77777777" w:rsidR="008822AC" w:rsidRPr="001009D9" w:rsidRDefault="008822AC" w:rsidP="008822AC">
            <w:pPr>
              <w:pStyle w:val="Tabletext"/>
              <w:keepNext/>
              <w:rPr>
                <w:b/>
              </w:rPr>
            </w:pPr>
            <w:r w:rsidRPr="001009D9">
              <w:rPr>
                <w:b/>
              </w:rPr>
              <w:t xml:space="preserve">Trial </w:t>
            </w:r>
          </w:p>
        </w:tc>
        <w:tc>
          <w:tcPr>
            <w:tcW w:w="844" w:type="pct"/>
            <w:vAlign w:val="center"/>
          </w:tcPr>
          <w:p w14:paraId="377CD92F" w14:textId="77777777" w:rsidR="008822AC" w:rsidRDefault="008822AC" w:rsidP="008822AC">
            <w:pPr>
              <w:pStyle w:val="Tabletext"/>
              <w:keepNext/>
              <w:jc w:val="center"/>
              <w:rPr>
                <w:b/>
              </w:rPr>
            </w:pPr>
            <w:r>
              <w:rPr>
                <w:b/>
              </w:rPr>
              <w:t>Pembrolizumab plus chemo</w:t>
            </w:r>
          </w:p>
          <w:p w14:paraId="4BA4A169" w14:textId="77777777" w:rsidR="008822AC" w:rsidRPr="001009D9" w:rsidRDefault="008822AC" w:rsidP="008822AC">
            <w:pPr>
              <w:pStyle w:val="Tabletext"/>
              <w:keepNext/>
              <w:jc w:val="center"/>
              <w:rPr>
                <w:b/>
              </w:rPr>
            </w:pPr>
            <w:r>
              <w:rPr>
                <w:b/>
              </w:rPr>
              <w:t xml:space="preserve"> n</w:t>
            </w:r>
            <w:r w:rsidRPr="001009D9">
              <w:rPr>
                <w:b/>
              </w:rPr>
              <w:t xml:space="preserve"> (%)</w:t>
            </w:r>
          </w:p>
        </w:tc>
        <w:tc>
          <w:tcPr>
            <w:tcW w:w="760" w:type="pct"/>
            <w:gridSpan w:val="2"/>
            <w:vAlign w:val="center"/>
          </w:tcPr>
          <w:p w14:paraId="05D121F9" w14:textId="77777777" w:rsidR="008822AC" w:rsidRDefault="008822AC" w:rsidP="008822AC">
            <w:pPr>
              <w:pStyle w:val="Tabletext"/>
              <w:keepNext/>
              <w:jc w:val="center"/>
              <w:rPr>
                <w:b/>
              </w:rPr>
            </w:pPr>
            <w:r>
              <w:rPr>
                <w:b/>
              </w:rPr>
              <w:t>Chemo alone</w:t>
            </w:r>
          </w:p>
          <w:p w14:paraId="4311055B" w14:textId="77777777" w:rsidR="008822AC" w:rsidRPr="001009D9" w:rsidRDefault="008822AC" w:rsidP="008822AC">
            <w:pPr>
              <w:pStyle w:val="Tabletext"/>
              <w:keepNext/>
              <w:jc w:val="center"/>
              <w:rPr>
                <w:b/>
              </w:rPr>
            </w:pPr>
            <w:r>
              <w:rPr>
                <w:b/>
              </w:rPr>
              <w:t>n (%)</w:t>
            </w:r>
          </w:p>
        </w:tc>
        <w:tc>
          <w:tcPr>
            <w:tcW w:w="954" w:type="pct"/>
            <w:vAlign w:val="center"/>
          </w:tcPr>
          <w:p w14:paraId="7F073ADD" w14:textId="77777777" w:rsidR="008822AC" w:rsidRPr="001009D9" w:rsidRDefault="008822AC" w:rsidP="008822AC">
            <w:pPr>
              <w:pStyle w:val="Tabletext"/>
              <w:keepNext/>
              <w:jc w:val="center"/>
              <w:rPr>
                <w:b/>
              </w:rPr>
            </w:pPr>
            <w:r w:rsidRPr="001009D9">
              <w:rPr>
                <w:b/>
              </w:rPr>
              <w:t>RD (95% CI)</w:t>
            </w:r>
          </w:p>
        </w:tc>
      </w:tr>
      <w:tr w:rsidR="008822AC" w:rsidRPr="001009D9" w14:paraId="24BBDC7A" w14:textId="77777777" w:rsidTr="00433941">
        <w:trPr>
          <w:trHeight w:val="70"/>
        </w:trPr>
        <w:tc>
          <w:tcPr>
            <w:tcW w:w="2442" w:type="pct"/>
          </w:tcPr>
          <w:p w14:paraId="29D0743C" w14:textId="77777777" w:rsidR="008822AC" w:rsidRPr="001009D9" w:rsidRDefault="008822AC" w:rsidP="008822AC">
            <w:pPr>
              <w:pStyle w:val="Tabletext"/>
              <w:keepNext/>
            </w:pPr>
            <w:r w:rsidRPr="00C44B39">
              <w:t>Subjects in population</w:t>
            </w:r>
            <w:r w:rsidR="006F4FFA">
              <w:t xml:space="preserve"> (N)</w:t>
            </w:r>
          </w:p>
        </w:tc>
        <w:tc>
          <w:tcPr>
            <w:tcW w:w="844" w:type="pct"/>
            <w:vAlign w:val="center"/>
          </w:tcPr>
          <w:p w14:paraId="3D07DD97" w14:textId="77777777" w:rsidR="008822AC" w:rsidRPr="001009D9" w:rsidRDefault="008822AC" w:rsidP="008822AC">
            <w:pPr>
              <w:pStyle w:val="Tabletext"/>
              <w:keepNext/>
              <w:jc w:val="center"/>
            </w:pPr>
            <w:r>
              <w:t>370</w:t>
            </w:r>
          </w:p>
        </w:tc>
        <w:tc>
          <w:tcPr>
            <w:tcW w:w="760" w:type="pct"/>
            <w:gridSpan w:val="2"/>
            <w:vAlign w:val="center"/>
          </w:tcPr>
          <w:p w14:paraId="71CCC1BE" w14:textId="77777777" w:rsidR="008822AC" w:rsidRPr="001009D9" w:rsidRDefault="008822AC" w:rsidP="008822AC">
            <w:pPr>
              <w:pStyle w:val="Tabletext"/>
              <w:keepNext/>
              <w:jc w:val="center"/>
            </w:pPr>
            <w:r>
              <w:t>370</w:t>
            </w:r>
          </w:p>
        </w:tc>
        <w:tc>
          <w:tcPr>
            <w:tcW w:w="954" w:type="pct"/>
            <w:vAlign w:val="bottom"/>
          </w:tcPr>
          <w:p w14:paraId="573198B3" w14:textId="77777777" w:rsidR="008822AC" w:rsidRPr="001009D9" w:rsidRDefault="008822AC" w:rsidP="008822AC">
            <w:pPr>
              <w:pStyle w:val="TableText0"/>
              <w:spacing w:before="0" w:after="0"/>
              <w:jc w:val="center"/>
            </w:pPr>
            <w:r>
              <w:t>--</w:t>
            </w:r>
          </w:p>
        </w:tc>
      </w:tr>
      <w:tr w:rsidR="008822AC" w:rsidRPr="001009D9" w14:paraId="1B889916" w14:textId="77777777" w:rsidTr="00433941">
        <w:tc>
          <w:tcPr>
            <w:tcW w:w="2442" w:type="pct"/>
          </w:tcPr>
          <w:p w14:paraId="5605F8CE" w14:textId="77777777" w:rsidR="008822AC" w:rsidRPr="001009D9" w:rsidRDefault="006F4FFA" w:rsidP="00433941">
            <w:pPr>
              <w:pStyle w:val="Tabletext"/>
              <w:keepNext/>
            </w:pPr>
            <w:r>
              <w:t>O</w:t>
            </w:r>
            <w:r w:rsidR="008822AC" w:rsidRPr="00C44B39">
              <w:t xml:space="preserve">ne or more </w:t>
            </w:r>
            <w:r w:rsidR="00433941">
              <w:t>AEs</w:t>
            </w:r>
            <w:r w:rsidR="008822AC" w:rsidRPr="00C44B39">
              <w:t xml:space="preserve"> </w:t>
            </w:r>
          </w:p>
        </w:tc>
        <w:tc>
          <w:tcPr>
            <w:tcW w:w="844" w:type="pct"/>
            <w:vAlign w:val="center"/>
          </w:tcPr>
          <w:p w14:paraId="3E26D16D" w14:textId="77777777" w:rsidR="008822AC" w:rsidRPr="001009D9" w:rsidRDefault="008822AC" w:rsidP="008822AC">
            <w:pPr>
              <w:pStyle w:val="Tabletext"/>
              <w:keepNext/>
              <w:jc w:val="center"/>
            </w:pPr>
            <w:r>
              <w:t>370 (100)</w:t>
            </w:r>
          </w:p>
        </w:tc>
        <w:tc>
          <w:tcPr>
            <w:tcW w:w="760" w:type="pct"/>
            <w:gridSpan w:val="2"/>
            <w:vAlign w:val="center"/>
          </w:tcPr>
          <w:p w14:paraId="723D0D39" w14:textId="77777777" w:rsidR="008822AC" w:rsidRPr="001009D9" w:rsidRDefault="008822AC" w:rsidP="008822AC">
            <w:pPr>
              <w:pStyle w:val="Tabletext"/>
              <w:keepNext/>
              <w:jc w:val="center"/>
            </w:pPr>
            <w:r>
              <w:t>368 (99.5)</w:t>
            </w:r>
          </w:p>
        </w:tc>
        <w:tc>
          <w:tcPr>
            <w:tcW w:w="954" w:type="pct"/>
            <w:vAlign w:val="bottom"/>
          </w:tcPr>
          <w:p w14:paraId="2B31409D" w14:textId="77777777" w:rsidR="008822AC" w:rsidRPr="008E5320" w:rsidRDefault="008822AC" w:rsidP="008822AC">
            <w:pPr>
              <w:pStyle w:val="TableText0"/>
              <w:spacing w:before="0" w:after="0"/>
              <w:jc w:val="center"/>
              <w:rPr>
                <w:iCs/>
              </w:rPr>
            </w:pPr>
            <w:r w:rsidRPr="008E5320">
              <w:rPr>
                <w:iCs/>
              </w:rPr>
              <w:t>0.</w:t>
            </w:r>
            <w:r w:rsidR="002D18D8" w:rsidRPr="008E5320">
              <w:rPr>
                <w:iCs/>
              </w:rPr>
              <w:t>0</w:t>
            </w:r>
            <w:r w:rsidR="00837CD0" w:rsidRPr="008E5320">
              <w:rPr>
                <w:iCs/>
              </w:rPr>
              <w:t>1</w:t>
            </w:r>
            <w:r w:rsidRPr="008E5320">
              <w:rPr>
                <w:iCs/>
              </w:rPr>
              <w:t xml:space="preserve"> (</w:t>
            </w:r>
            <w:r w:rsidR="002D18D8" w:rsidRPr="008E5320">
              <w:rPr>
                <w:iCs/>
              </w:rPr>
              <w:t>0</w:t>
            </w:r>
            <w:r w:rsidRPr="008E5320">
              <w:rPr>
                <w:iCs/>
              </w:rPr>
              <w:t>.00, 0.</w:t>
            </w:r>
            <w:r w:rsidR="002D18D8" w:rsidRPr="008E5320">
              <w:rPr>
                <w:iCs/>
              </w:rPr>
              <w:t>0</w:t>
            </w:r>
            <w:r w:rsidR="00837CD0" w:rsidRPr="008E5320">
              <w:rPr>
                <w:iCs/>
              </w:rPr>
              <w:t>2</w:t>
            </w:r>
            <w:r w:rsidRPr="008E5320">
              <w:rPr>
                <w:iCs/>
              </w:rPr>
              <w:t>)</w:t>
            </w:r>
          </w:p>
        </w:tc>
      </w:tr>
      <w:tr w:rsidR="008822AC" w:rsidRPr="001009D9" w14:paraId="7FB2361B" w14:textId="77777777" w:rsidTr="00433941">
        <w:tc>
          <w:tcPr>
            <w:tcW w:w="2442" w:type="pct"/>
          </w:tcPr>
          <w:p w14:paraId="6265907F" w14:textId="77777777" w:rsidR="008822AC" w:rsidRPr="00C44B39" w:rsidRDefault="006F4FFA" w:rsidP="00433941">
            <w:pPr>
              <w:pStyle w:val="Tabletext"/>
              <w:keepNext/>
            </w:pPr>
            <w:r>
              <w:t>D</w:t>
            </w:r>
            <w:r w:rsidR="008822AC" w:rsidRPr="00C44B39">
              <w:t>rug-related</w:t>
            </w:r>
            <w:r w:rsidR="008822AC" w:rsidRPr="00C44B39">
              <w:rPr>
                <w:vertAlign w:val="superscript"/>
              </w:rPr>
              <w:t>†</w:t>
            </w:r>
            <w:r w:rsidR="008822AC" w:rsidRPr="00C44B39">
              <w:t xml:space="preserve"> </w:t>
            </w:r>
            <w:r w:rsidR="00433941">
              <w:t>AEs</w:t>
            </w:r>
            <w:r w:rsidR="008822AC" w:rsidRPr="00C44B39">
              <w:t xml:space="preserve"> </w:t>
            </w:r>
          </w:p>
        </w:tc>
        <w:tc>
          <w:tcPr>
            <w:tcW w:w="844" w:type="pct"/>
            <w:vAlign w:val="center"/>
          </w:tcPr>
          <w:p w14:paraId="6D65381E" w14:textId="77777777" w:rsidR="008822AC" w:rsidRPr="001009D9" w:rsidRDefault="008822AC" w:rsidP="008822AC">
            <w:pPr>
              <w:pStyle w:val="Tabletext"/>
              <w:keepNext/>
              <w:jc w:val="center"/>
            </w:pPr>
            <w:r>
              <w:t>364 (98.4)</w:t>
            </w:r>
          </w:p>
        </w:tc>
        <w:tc>
          <w:tcPr>
            <w:tcW w:w="760" w:type="pct"/>
            <w:gridSpan w:val="2"/>
            <w:vAlign w:val="center"/>
          </w:tcPr>
          <w:p w14:paraId="5F26CAE3" w14:textId="77777777" w:rsidR="008822AC" w:rsidRPr="001009D9" w:rsidRDefault="008822AC" w:rsidP="008822AC">
            <w:pPr>
              <w:pStyle w:val="Tabletext"/>
              <w:keepNext/>
              <w:jc w:val="center"/>
            </w:pPr>
            <w:r>
              <w:t>360 (97.3)</w:t>
            </w:r>
          </w:p>
        </w:tc>
        <w:tc>
          <w:tcPr>
            <w:tcW w:w="954" w:type="pct"/>
            <w:vAlign w:val="bottom"/>
          </w:tcPr>
          <w:p w14:paraId="6E424732"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F5A26E8" w14:textId="77777777" w:rsidTr="00433941">
        <w:tc>
          <w:tcPr>
            <w:tcW w:w="2442" w:type="pct"/>
          </w:tcPr>
          <w:p w14:paraId="72D2AE34" w14:textId="77777777" w:rsidR="008822AC" w:rsidRPr="00C44B39" w:rsidRDefault="006F4FFA" w:rsidP="00433941">
            <w:pPr>
              <w:pStyle w:val="Tabletext"/>
              <w:keepNext/>
            </w:pPr>
            <w:r>
              <w:t>T</w:t>
            </w:r>
            <w:r w:rsidR="008822AC" w:rsidRPr="00C44B39">
              <w:t xml:space="preserve">oxicity grade 3-5 </w:t>
            </w:r>
            <w:r w:rsidR="00433941">
              <w:t>AEs</w:t>
            </w:r>
          </w:p>
        </w:tc>
        <w:tc>
          <w:tcPr>
            <w:tcW w:w="844" w:type="pct"/>
            <w:vAlign w:val="center"/>
          </w:tcPr>
          <w:p w14:paraId="1771FF99" w14:textId="77777777" w:rsidR="008822AC" w:rsidRPr="001009D9" w:rsidRDefault="008822AC" w:rsidP="008822AC">
            <w:pPr>
              <w:pStyle w:val="Tabletext"/>
              <w:keepNext/>
              <w:jc w:val="center"/>
            </w:pPr>
            <w:r>
              <w:t>318 (85.9)</w:t>
            </w:r>
          </w:p>
        </w:tc>
        <w:tc>
          <w:tcPr>
            <w:tcW w:w="760" w:type="pct"/>
            <w:gridSpan w:val="2"/>
            <w:vAlign w:val="center"/>
          </w:tcPr>
          <w:p w14:paraId="0B674A0E" w14:textId="77777777" w:rsidR="008822AC" w:rsidRPr="001009D9" w:rsidRDefault="008822AC" w:rsidP="008822AC">
            <w:pPr>
              <w:pStyle w:val="Tabletext"/>
              <w:keepNext/>
              <w:jc w:val="center"/>
            </w:pPr>
            <w:r>
              <w:t>308 (83.2)</w:t>
            </w:r>
          </w:p>
        </w:tc>
        <w:tc>
          <w:tcPr>
            <w:tcW w:w="954" w:type="pct"/>
            <w:vAlign w:val="bottom"/>
          </w:tcPr>
          <w:p w14:paraId="1490BAC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0AD52D4E" w14:textId="77777777" w:rsidTr="00433941">
        <w:tc>
          <w:tcPr>
            <w:tcW w:w="2442" w:type="pct"/>
          </w:tcPr>
          <w:p w14:paraId="1093581E" w14:textId="77777777" w:rsidR="008822AC" w:rsidRPr="00C44B39" w:rsidRDefault="006F4FFA" w:rsidP="008822AC">
            <w:pPr>
              <w:pStyle w:val="Tabletext"/>
              <w:keepNext/>
            </w:pPr>
            <w:r>
              <w:t>T</w:t>
            </w:r>
            <w:r w:rsidR="008822AC" w:rsidRPr="00C44B39">
              <w:t xml:space="preserve">oxicity grade 3-5 drug-related </w:t>
            </w:r>
            <w:r w:rsidR="00433941">
              <w:t>AEs</w:t>
            </w:r>
          </w:p>
        </w:tc>
        <w:tc>
          <w:tcPr>
            <w:tcW w:w="844" w:type="pct"/>
            <w:vAlign w:val="center"/>
          </w:tcPr>
          <w:p w14:paraId="7FA83576" w14:textId="77777777" w:rsidR="008822AC" w:rsidRPr="001009D9" w:rsidRDefault="008822AC" w:rsidP="008822AC">
            <w:pPr>
              <w:pStyle w:val="Tabletext"/>
              <w:keepNext/>
              <w:jc w:val="center"/>
            </w:pPr>
            <w:r>
              <w:t>266 (71.9)</w:t>
            </w:r>
          </w:p>
        </w:tc>
        <w:tc>
          <w:tcPr>
            <w:tcW w:w="760" w:type="pct"/>
            <w:gridSpan w:val="2"/>
            <w:vAlign w:val="center"/>
          </w:tcPr>
          <w:p w14:paraId="7317E367" w14:textId="77777777" w:rsidR="008822AC" w:rsidRPr="001009D9" w:rsidRDefault="008822AC" w:rsidP="008822AC">
            <w:pPr>
              <w:pStyle w:val="Tabletext"/>
              <w:keepNext/>
              <w:jc w:val="center"/>
            </w:pPr>
            <w:r>
              <w:t>250 (67.6)</w:t>
            </w:r>
          </w:p>
        </w:tc>
        <w:tc>
          <w:tcPr>
            <w:tcW w:w="954" w:type="pct"/>
            <w:vAlign w:val="bottom"/>
          </w:tcPr>
          <w:p w14:paraId="767BEA37" w14:textId="77777777" w:rsidR="008822AC" w:rsidRPr="008E5320" w:rsidRDefault="008822AC" w:rsidP="008822AC">
            <w:pPr>
              <w:pStyle w:val="TableText0"/>
              <w:spacing w:before="0" w:after="0"/>
              <w:jc w:val="center"/>
              <w:rPr>
                <w:iCs/>
              </w:rPr>
            </w:pPr>
            <w:r w:rsidRPr="008E5320">
              <w:rPr>
                <w:iCs/>
              </w:rPr>
              <w:t>0.04 (-0.02, 0.11)</w:t>
            </w:r>
          </w:p>
        </w:tc>
      </w:tr>
      <w:tr w:rsidR="008822AC" w:rsidRPr="001009D9" w14:paraId="50D3DF76" w14:textId="77777777" w:rsidTr="00433941">
        <w:tc>
          <w:tcPr>
            <w:tcW w:w="2442" w:type="pct"/>
          </w:tcPr>
          <w:p w14:paraId="2F37BD6A" w14:textId="77777777" w:rsidR="008822AC" w:rsidRPr="00C44B39" w:rsidRDefault="006F4FFA" w:rsidP="008822AC">
            <w:pPr>
              <w:pStyle w:val="Tabletext"/>
              <w:keepNext/>
            </w:pPr>
            <w:r>
              <w:t>N</w:t>
            </w:r>
            <w:r w:rsidR="008822AC" w:rsidRPr="00C44B39">
              <w:t xml:space="preserve">on-serious </w:t>
            </w:r>
            <w:r w:rsidR="00433941">
              <w:t>AEs</w:t>
            </w:r>
          </w:p>
        </w:tc>
        <w:tc>
          <w:tcPr>
            <w:tcW w:w="844" w:type="pct"/>
            <w:vAlign w:val="center"/>
          </w:tcPr>
          <w:p w14:paraId="086A4834" w14:textId="77777777" w:rsidR="008822AC" w:rsidRPr="001009D9" w:rsidRDefault="008822AC" w:rsidP="008822AC">
            <w:pPr>
              <w:pStyle w:val="Tabletext"/>
              <w:keepNext/>
              <w:jc w:val="center"/>
            </w:pPr>
            <w:r>
              <w:t>368 (99.5)</w:t>
            </w:r>
          </w:p>
        </w:tc>
        <w:tc>
          <w:tcPr>
            <w:tcW w:w="760" w:type="pct"/>
            <w:gridSpan w:val="2"/>
            <w:vAlign w:val="center"/>
          </w:tcPr>
          <w:p w14:paraId="7060AB4F" w14:textId="77777777" w:rsidR="008822AC" w:rsidRPr="001009D9" w:rsidRDefault="008822AC" w:rsidP="008822AC">
            <w:pPr>
              <w:pStyle w:val="Tabletext"/>
              <w:keepNext/>
              <w:jc w:val="center"/>
            </w:pPr>
            <w:r>
              <w:t>367 (99.2)</w:t>
            </w:r>
          </w:p>
        </w:tc>
        <w:tc>
          <w:tcPr>
            <w:tcW w:w="954" w:type="pct"/>
            <w:vAlign w:val="bottom"/>
          </w:tcPr>
          <w:p w14:paraId="4798ED49" w14:textId="77777777" w:rsidR="008822AC" w:rsidRPr="008E5320" w:rsidRDefault="008822AC" w:rsidP="008822AC">
            <w:pPr>
              <w:pStyle w:val="TableText0"/>
              <w:spacing w:before="0" w:after="0"/>
              <w:jc w:val="center"/>
              <w:rPr>
                <w:iCs/>
              </w:rPr>
            </w:pPr>
            <w:r w:rsidRPr="008E5320">
              <w:rPr>
                <w:iCs/>
              </w:rPr>
              <w:t>0 (-0.01, 0.01)</w:t>
            </w:r>
          </w:p>
        </w:tc>
      </w:tr>
      <w:tr w:rsidR="008822AC" w:rsidRPr="001009D9" w14:paraId="6A85D3EE" w14:textId="77777777" w:rsidTr="00433941">
        <w:tc>
          <w:tcPr>
            <w:tcW w:w="2442" w:type="pct"/>
          </w:tcPr>
          <w:p w14:paraId="6B3098D1" w14:textId="77777777" w:rsidR="008822AC" w:rsidRPr="00C44B39" w:rsidRDefault="006F4FFA" w:rsidP="008822AC">
            <w:pPr>
              <w:pStyle w:val="Tabletext"/>
              <w:keepNext/>
            </w:pPr>
            <w:r>
              <w:t>S</w:t>
            </w:r>
            <w:r w:rsidR="008822AC" w:rsidRPr="00C44B39">
              <w:t xml:space="preserve">erious </w:t>
            </w:r>
            <w:r w:rsidR="00433941">
              <w:t>AEs</w:t>
            </w:r>
          </w:p>
        </w:tc>
        <w:tc>
          <w:tcPr>
            <w:tcW w:w="844" w:type="pct"/>
            <w:vAlign w:val="center"/>
          </w:tcPr>
          <w:p w14:paraId="426379CB" w14:textId="77777777" w:rsidR="008822AC" w:rsidRPr="001009D9" w:rsidRDefault="008822AC" w:rsidP="008822AC">
            <w:pPr>
              <w:pStyle w:val="Tabletext"/>
              <w:keepNext/>
              <w:jc w:val="center"/>
            </w:pPr>
            <w:r>
              <w:t>205 (55.4)</w:t>
            </w:r>
          </w:p>
        </w:tc>
        <w:tc>
          <w:tcPr>
            <w:tcW w:w="760" w:type="pct"/>
            <w:gridSpan w:val="2"/>
            <w:vAlign w:val="center"/>
          </w:tcPr>
          <w:p w14:paraId="7D4441ED" w14:textId="77777777" w:rsidR="008822AC" w:rsidRPr="001009D9" w:rsidRDefault="008822AC" w:rsidP="008822AC">
            <w:pPr>
              <w:pStyle w:val="Tabletext"/>
              <w:keepNext/>
              <w:jc w:val="center"/>
            </w:pPr>
            <w:r>
              <w:t>204 (55.1)</w:t>
            </w:r>
          </w:p>
        </w:tc>
        <w:tc>
          <w:tcPr>
            <w:tcW w:w="954" w:type="pct"/>
            <w:vAlign w:val="bottom"/>
          </w:tcPr>
          <w:p w14:paraId="3EA2117E" w14:textId="77777777" w:rsidR="008822AC" w:rsidRPr="008E5320" w:rsidRDefault="008822AC" w:rsidP="008822AC">
            <w:pPr>
              <w:pStyle w:val="TableText0"/>
              <w:spacing w:before="0" w:after="0"/>
              <w:jc w:val="center"/>
              <w:rPr>
                <w:iCs/>
              </w:rPr>
            </w:pPr>
            <w:r w:rsidRPr="008E5320">
              <w:rPr>
                <w:iCs/>
              </w:rPr>
              <w:t>0 (-0.07, 0.07)</w:t>
            </w:r>
          </w:p>
        </w:tc>
      </w:tr>
      <w:tr w:rsidR="008822AC" w:rsidRPr="001009D9" w14:paraId="3B9D782D" w14:textId="77777777" w:rsidTr="00433941">
        <w:tc>
          <w:tcPr>
            <w:tcW w:w="2442" w:type="pct"/>
          </w:tcPr>
          <w:p w14:paraId="2B204467" w14:textId="77777777" w:rsidR="008822AC" w:rsidRPr="00C44B39" w:rsidRDefault="006F4FFA" w:rsidP="008822AC">
            <w:pPr>
              <w:pStyle w:val="Tabletext"/>
              <w:keepNext/>
            </w:pPr>
            <w:r>
              <w:t>S</w:t>
            </w:r>
            <w:r w:rsidR="008822AC" w:rsidRPr="00C44B39">
              <w:t xml:space="preserve">erious drug-related </w:t>
            </w:r>
            <w:r w:rsidR="000E4F5C">
              <w:t>AEs</w:t>
            </w:r>
          </w:p>
        </w:tc>
        <w:tc>
          <w:tcPr>
            <w:tcW w:w="844" w:type="pct"/>
            <w:vAlign w:val="center"/>
          </w:tcPr>
          <w:p w14:paraId="0FECEF53" w14:textId="77777777" w:rsidR="008822AC" w:rsidRPr="001009D9" w:rsidRDefault="008822AC" w:rsidP="008822AC">
            <w:pPr>
              <w:pStyle w:val="Tabletext"/>
              <w:keepNext/>
              <w:jc w:val="center"/>
            </w:pPr>
            <w:r>
              <w:t>117 (31.6)</w:t>
            </w:r>
          </w:p>
        </w:tc>
        <w:tc>
          <w:tcPr>
            <w:tcW w:w="760" w:type="pct"/>
            <w:gridSpan w:val="2"/>
            <w:vAlign w:val="center"/>
          </w:tcPr>
          <w:p w14:paraId="0FA5F6B5" w14:textId="77777777" w:rsidR="008822AC" w:rsidRPr="001009D9" w:rsidRDefault="008822AC" w:rsidP="008822AC">
            <w:pPr>
              <w:pStyle w:val="Tabletext"/>
              <w:keepNext/>
              <w:jc w:val="center"/>
            </w:pPr>
            <w:r>
              <w:t>97 (26.2)</w:t>
            </w:r>
          </w:p>
        </w:tc>
        <w:tc>
          <w:tcPr>
            <w:tcW w:w="954" w:type="pct"/>
            <w:vAlign w:val="bottom"/>
          </w:tcPr>
          <w:p w14:paraId="6CF63007" w14:textId="77777777" w:rsidR="008822AC" w:rsidRPr="008E5320" w:rsidRDefault="008822AC" w:rsidP="008822AC">
            <w:pPr>
              <w:pStyle w:val="TableText0"/>
              <w:spacing w:before="0" w:after="0"/>
              <w:jc w:val="center"/>
              <w:rPr>
                <w:iCs/>
              </w:rPr>
            </w:pPr>
            <w:r w:rsidRPr="008E5320">
              <w:rPr>
                <w:iCs/>
              </w:rPr>
              <w:t>0.05 (-0.01, 0.12)</w:t>
            </w:r>
          </w:p>
        </w:tc>
      </w:tr>
      <w:tr w:rsidR="008822AC" w:rsidRPr="001009D9" w14:paraId="4B7D5325" w14:textId="77777777" w:rsidTr="00433941">
        <w:tc>
          <w:tcPr>
            <w:tcW w:w="2442" w:type="pct"/>
          </w:tcPr>
          <w:p w14:paraId="23182519" w14:textId="77777777" w:rsidR="008822AC" w:rsidRPr="00C44B39" w:rsidRDefault="006F4FFA" w:rsidP="008822AC">
            <w:pPr>
              <w:pStyle w:val="Tabletext"/>
              <w:keepNext/>
            </w:pPr>
            <w:r>
              <w:t>D</w:t>
            </w:r>
            <w:r w:rsidR="008822AC" w:rsidRPr="00C44B39">
              <w:t>ied</w:t>
            </w:r>
          </w:p>
        </w:tc>
        <w:tc>
          <w:tcPr>
            <w:tcW w:w="844" w:type="pct"/>
            <w:vAlign w:val="center"/>
          </w:tcPr>
          <w:p w14:paraId="7054063F" w14:textId="77777777" w:rsidR="008822AC" w:rsidRPr="001009D9" w:rsidRDefault="008822AC" w:rsidP="008822AC">
            <w:pPr>
              <w:pStyle w:val="Tabletext"/>
              <w:keepNext/>
              <w:jc w:val="center"/>
            </w:pPr>
            <w:r>
              <w:t>28 (7.6)</w:t>
            </w:r>
          </w:p>
        </w:tc>
        <w:tc>
          <w:tcPr>
            <w:tcW w:w="760" w:type="pct"/>
            <w:gridSpan w:val="2"/>
            <w:vAlign w:val="center"/>
          </w:tcPr>
          <w:p w14:paraId="62809ABE" w14:textId="77777777" w:rsidR="008822AC" w:rsidRPr="001009D9" w:rsidRDefault="008822AC" w:rsidP="008822AC">
            <w:pPr>
              <w:pStyle w:val="Tabletext"/>
              <w:keepNext/>
              <w:jc w:val="center"/>
            </w:pPr>
            <w:r>
              <w:t>38 (10.3)</w:t>
            </w:r>
          </w:p>
        </w:tc>
        <w:tc>
          <w:tcPr>
            <w:tcW w:w="954" w:type="pct"/>
            <w:vAlign w:val="bottom"/>
          </w:tcPr>
          <w:p w14:paraId="7ABD4E9A" w14:textId="77777777" w:rsidR="008822AC" w:rsidRPr="008E5320" w:rsidRDefault="008822AC" w:rsidP="008822AC">
            <w:pPr>
              <w:pStyle w:val="TableText0"/>
              <w:spacing w:before="0" w:after="0"/>
              <w:jc w:val="center"/>
              <w:rPr>
                <w:iCs/>
              </w:rPr>
            </w:pPr>
            <w:r w:rsidRPr="008E5320">
              <w:rPr>
                <w:iCs/>
              </w:rPr>
              <w:t>-0.03 (-0.07, 0.01)</w:t>
            </w:r>
          </w:p>
        </w:tc>
      </w:tr>
      <w:tr w:rsidR="008822AC" w:rsidRPr="001009D9" w14:paraId="539CE5E8" w14:textId="77777777" w:rsidTr="00433941">
        <w:tc>
          <w:tcPr>
            <w:tcW w:w="2442" w:type="pct"/>
          </w:tcPr>
          <w:p w14:paraId="21EB8D2F" w14:textId="77777777" w:rsidR="008822AC" w:rsidRPr="00C44B39" w:rsidRDefault="006F4FFA" w:rsidP="008822AC">
            <w:pPr>
              <w:pStyle w:val="Tabletext"/>
              <w:keepNext/>
            </w:pPr>
            <w:r>
              <w:t>D</w:t>
            </w:r>
            <w:r w:rsidR="008822AC" w:rsidRPr="00C44B39">
              <w:t xml:space="preserve">ied due to a drug-related </w:t>
            </w:r>
            <w:r w:rsidR="000E4F5C">
              <w:t>AE</w:t>
            </w:r>
          </w:p>
        </w:tc>
        <w:tc>
          <w:tcPr>
            <w:tcW w:w="844" w:type="pct"/>
            <w:vAlign w:val="center"/>
          </w:tcPr>
          <w:p w14:paraId="6493F646" w14:textId="77777777" w:rsidR="008822AC" w:rsidRPr="001009D9" w:rsidRDefault="008822AC" w:rsidP="008822AC">
            <w:pPr>
              <w:pStyle w:val="Tabletext"/>
              <w:keepNext/>
              <w:jc w:val="center"/>
            </w:pPr>
            <w:r>
              <w:t>9 (2.4)</w:t>
            </w:r>
          </w:p>
        </w:tc>
        <w:tc>
          <w:tcPr>
            <w:tcW w:w="760" w:type="pct"/>
            <w:gridSpan w:val="2"/>
            <w:vAlign w:val="center"/>
          </w:tcPr>
          <w:p w14:paraId="1B5BD018" w14:textId="77777777" w:rsidR="008822AC" w:rsidRPr="001009D9" w:rsidRDefault="008822AC" w:rsidP="008822AC">
            <w:pPr>
              <w:pStyle w:val="Tabletext"/>
              <w:keepNext/>
              <w:jc w:val="center"/>
            </w:pPr>
            <w:r>
              <w:t>5 (1.4)</w:t>
            </w:r>
          </w:p>
        </w:tc>
        <w:tc>
          <w:tcPr>
            <w:tcW w:w="954" w:type="pct"/>
            <w:vAlign w:val="bottom"/>
          </w:tcPr>
          <w:p w14:paraId="2C4AFB71"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CD2298B" w14:textId="77777777" w:rsidTr="00433941">
        <w:tc>
          <w:tcPr>
            <w:tcW w:w="2442" w:type="pct"/>
          </w:tcPr>
          <w:p w14:paraId="452CD68A" w14:textId="77777777" w:rsidR="008822AC" w:rsidRPr="00C44B39" w:rsidRDefault="006F4FFA" w:rsidP="008822AC">
            <w:pPr>
              <w:pStyle w:val="Tabletext"/>
              <w:keepNext/>
            </w:pPr>
            <w:r>
              <w:t>D</w:t>
            </w:r>
            <w:r w:rsidR="008822AC" w:rsidRPr="00C44B39">
              <w:t xml:space="preserve">iscontinued drug due to an </w:t>
            </w:r>
            <w:r w:rsidR="000E4F5C">
              <w:t>AE</w:t>
            </w:r>
          </w:p>
        </w:tc>
        <w:tc>
          <w:tcPr>
            <w:tcW w:w="844" w:type="pct"/>
            <w:vAlign w:val="center"/>
          </w:tcPr>
          <w:p w14:paraId="642F3D21" w14:textId="77777777" w:rsidR="008822AC" w:rsidRPr="001009D9" w:rsidRDefault="008822AC" w:rsidP="008822AC">
            <w:pPr>
              <w:pStyle w:val="Tabletext"/>
              <w:keepNext/>
              <w:jc w:val="center"/>
            </w:pPr>
            <w:r>
              <w:t>90 (24.3)</w:t>
            </w:r>
          </w:p>
        </w:tc>
        <w:tc>
          <w:tcPr>
            <w:tcW w:w="760" w:type="pct"/>
            <w:gridSpan w:val="2"/>
            <w:vAlign w:val="center"/>
          </w:tcPr>
          <w:p w14:paraId="03490265" w14:textId="77777777" w:rsidR="008822AC" w:rsidRPr="001009D9" w:rsidRDefault="008822AC" w:rsidP="008822AC">
            <w:pPr>
              <w:pStyle w:val="Tabletext"/>
              <w:keepNext/>
              <w:jc w:val="center"/>
            </w:pPr>
            <w:r>
              <w:t>74 (20.0)</w:t>
            </w:r>
          </w:p>
        </w:tc>
        <w:tc>
          <w:tcPr>
            <w:tcW w:w="954" w:type="pct"/>
            <w:vAlign w:val="bottom"/>
          </w:tcPr>
          <w:p w14:paraId="22ED8348" w14:textId="77777777" w:rsidR="008822AC" w:rsidRPr="008E5320" w:rsidRDefault="008822AC" w:rsidP="008822AC">
            <w:pPr>
              <w:pStyle w:val="TableText0"/>
              <w:spacing w:before="0" w:after="0"/>
              <w:jc w:val="center"/>
              <w:rPr>
                <w:iCs/>
              </w:rPr>
            </w:pPr>
            <w:r w:rsidRPr="008E5320">
              <w:rPr>
                <w:iCs/>
              </w:rPr>
              <w:t>0.04 (-0.02, 0.1)</w:t>
            </w:r>
          </w:p>
        </w:tc>
      </w:tr>
      <w:tr w:rsidR="008822AC" w:rsidRPr="001009D9" w14:paraId="73B7A20C" w14:textId="77777777" w:rsidTr="00433941">
        <w:tc>
          <w:tcPr>
            <w:tcW w:w="2442" w:type="pct"/>
          </w:tcPr>
          <w:p w14:paraId="75906F71" w14:textId="77777777" w:rsidR="008822AC" w:rsidRPr="00C44B39" w:rsidRDefault="006F4FFA" w:rsidP="008822AC">
            <w:pPr>
              <w:pStyle w:val="Tabletext"/>
              <w:keepNext/>
            </w:pPr>
            <w:r>
              <w:t>D</w:t>
            </w:r>
            <w:r w:rsidR="008822AC" w:rsidRPr="00C44B39">
              <w:t xml:space="preserve">iscontinued drug due to a drug-related </w:t>
            </w:r>
            <w:r w:rsidR="000E4F5C">
              <w:t>AE</w:t>
            </w:r>
          </w:p>
        </w:tc>
        <w:tc>
          <w:tcPr>
            <w:tcW w:w="844" w:type="pct"/>
            <w:vAlign w:val="center"/>
          </w:tcPr>
          <w:p w14:paraId="411039DD" w14:textId="77777777" w:rsidR="008822AC" w:rsidRPr="001009D9" w:rsidRDefault="008822AC" w:rsidP="008822AC">
            <w:pPr>
              <w:pStyle w:val="Tabletext"/>
              <w:keepNext/>
              <w:jc w:val="center"/>
            </w:pPr>
            <w:r>
              <w:t>72 (19.5)</w:t>
            </w:r>
          </w:p>
        </w:tc>
        <w:tc>
          <w:tcPr>
            <w:tcW w:w="760" w:type="pct"/>
            <w:gridSpan w:val="2"/>
            <w:vAlign w:val="center"/>
          </w:tcPr>
          <w:p w14:paraId="268897D9" w14:textId="77777777" w:rsidR="008822AC" w:rsidRPr="001009D9" w:rsidRDefault="008822AC" w:rsidP="008822AC">
            <w:pPr>
              <w:pStyle w:val="Tabletext"/>
              <w:keepNext/>
              <w:jc w:val="center"/>
            </w:pPr>
            <w:r>
              <w:t>43 (11.6)</w:t>
            </w:r>
          </w:p>
        </w:tc>
        <w:tc>
          <w:tcPr>
            <w:tcW w:w="954" w:type="pct"/>
            <w:vAlign w:val="bottom"/>
          </w:tcPr>
          <w:p w14:paraId="61361B06" w14:textId="77777777" w:rsidR="008822AC" w:rsidRPr="008E5320" w:rsidRDefault="008822AC" w:rsidP="008822AC">
            <w:pPr>
              <w:pStyle w:val="TableText0"/>
              <w:spacing w:before="0" w:after="0"/>
              <w:jc w:val="center"/>
              <w:rPr>
                <w:iCs/>
              </w:rPr>
            </w:pPr>
            <w:r w:rsidRPr="008E5320">
              <w:rPr>
                <w:iCs/>
              </w:rPr>
              <w:t>0.08 (0.03, 0.13)</w:t>
            </w:r>
          </w:p>
        </w:tc>
      </w:tr>
      <w:tr w:rsidR="008822AC" w:rsidRPr="001009D9" w14:paraId="1B352A9D" w14:textId="77777777" w:rsidTr="00433941">
        <w:tc>
          <w:tcPr>
            <w:tcW w:w="2442" w:type="pct"/>
          </w:tcPr>
          <w:p w14:paraId="66D0A3A3" w14:textId="77777777" w:rsidR="008822AC" w:rsidRPr="00C44B39" w:rsidRDefault="006F4FFA" w:rsidP="008822AC">
            <w:pPr>
              <w:pStyle w:val="Tabletext"/>
              <w:keepNext/>
            </w:pPr>
            <w:r>
              <w:t>D</w:t>
            </w:r>
            <w:r w:rsidR="008822AC" w:rsidRPr="00C44B39">
              <w:t xml:space="preserve">iscontinued drug due to a serious </w:t>
            </w:r>
            <w:r w:rsidR="00433941">
              <w:t>A</w:t>
            </w:r>
            <w:r w:rsidR="000E4F5C">
              <w:t>E</w:t>
            </w:r>
          </w:p>
        </w:tc>
        <w:tc>
          <w:tcPr>
            <w:tcW w:w="844" w:type="pct"/>
            <w:vAlign w:val="center"/>
          </w:tcPr>
          <w:p w14:paraId="6D229907" w14:textId="77777777" w:rsidR="008822AC" w:rsidRPr="001009D9" w:rsidRDefault="008822AC" w:rsidP="008822AC">
            <w:pPr>
              <w:pStyle w:val="Tabletext"/>
              <w:keepNext/>
              <w:jc w:val="center"/>
            </w:pPr>
            <w:r>
              <w:t>58 (15.7)</w:t>
            </w:r>
          </w:p>
        </w:tc>
        <w:tc>
          <w:tcPr>
            <w:tcW w:w="760" w:type="pct"/>
            <w:gridSpan w:val="2"/>
            <w:vAlign w:val="center"/>
          </w:tcPr>
          <w:p w14:paraId="63558233" w14:textId="77777777" w:rsidR="008822AC" w:rsidRPr="001009D9" w:rsidRDefault="008822AC" w:rsidP="008822AC">
            <w:pPr>
              <w:pStyle w:val="Tabletext"/>
              <w:keepNext/>
              <w:jc w:val="center"/>
            </w:pPr>
            <w:r>
              <w:t>47 (12.7)</w:t>
            </w:r>
          </w:p>
        </w:tc>
        <w:tc>
          <w:tcPr>
            <w:tcW w:w="954" w:type="pct"/>
            <w:vAlign w:val="bottom"/>
          </w:tcPr>
          <w:p w14:paraId="6270C4A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68C282C1" w14:textId="77777777" w:rsidTr="00433941">
        <w:tc>
          <w:tcPr>
            <w:tcW w:w="2442" w:type="pct"/>
          </w:tcPr>
          <w:p w14:paraId="61B08ABF" w14:textId="77777777" w:rsidR="008822AC" w:rsidRPr="00C44B39" w:rsidRDefault="006F4FFA" w:rsidP="008822AC">
            <w:pPr>
              <w:pStyle w:val="Tabletext"/>
              <w:keepNext/>
            </w:pPr>
            <w:r>
              <w:t>D</w:t>
            </w:r>
            <w:r w:rsidR="008822AC" w:rsidRPr="00C44B39">
              <w:t xml:space="preserve">iscontinued drug due to a serious drug-related </w:t>
            </w:r>
            <w:r w:rsidR="00433941">
              <w:t>AEs</w:t>
            </w:r>
          </w:p>
        </w:tc>
        <w:tc>
          <w:tcPr>
            <w:tcW w:w="844" w:type="pct"/>
            <w:vAlign w:val="center"/>
          </w:tcPr>
          <w:p w14:paraId="4CC7A6B0" w14:textId="77777777" w:rsidR="008822AC" w:rsidRPr="001009D9" w:rsidRDefault="008822AC" w:rsidP="008822AC">
            <w:pPr>
              <w:pStyle w:val="Tabletext"/>
              <w:keepNext/>
              <w:jc w:val="center"/>
            </w:pPr>
            <w:r>
              <w:t>38 (10.3)</w:t>
            </w:r>
          </w:p>
        </w:tc>
        <w:tc>
          <w:tcPr>
            <w:tcW w:w="760" w:type="pct"/>
            <w:gridSpan w:val="2"/>
            <w:vAlign w:val="center"/>
          </w:tcPr>
          <w:p w14:paraId="22529DF5" w14:textId="77777777" w:rsidR="008822AC" w:rsidRPr="001009D9" w:rsidRDefault="008822AC" w:rsidP="008822AC">
            <w:pPr>
              <w:pStyle w:val="Tabletext"/>
              <w:keepNext/>
              <w:jc w:val="center"/>
            </w:pPr>
            <w:r>
              <w:t>17 (4.6)</w:t>
            </w:r>
          </w:p>
        </w:tc>
        <w:tc>
          <w:tcPr>
            <w:tcW w:w="954" w:type="pct"/>
            <w:vAlign w:val="bottom"/>
          </w:tcPr>
          <w:p w14:paraId="568288AF" w14:textId="77777777" w:rsidR="008822AC" w:rsidRPr="008E5320" w:rsidRDefault="008822AC" w:rsidP="008822AC">
            <w:pPr>
              <w:pStyle w:val="TableText0"/>
              <w:spacing w:before="0" w:after="0"/>
              <w:jc w:val="center"/>
              <w:rPr>
                <w:iCs/>
              </w:rPr>
            </w:pPr>
            <w:r w:rsidRPr="008E5320">
              <w:rPr>
                <w:iCs/>
              </w:rPr>
              <w:t>0.06 (0.02, 0.09)</w:t>
            </w:r>
          </w:p>
        </w:tc>
      </w:tr>
      <w:tr w:rsidR="008822AC" w:rsidRPr="001009D9" w14:paraId="2F3BAAF8" w14:textId="77777777" w:rsidTr="00433941">
        <w:trPr>
          <w:trHeight w:val="70"/>
        </w:trPr>
        <w:tc>
          <w:tcPr>
            <w:tcW w:w="2442" w:type="pct"/>
          </w:tcPr>
          <w:p w14:paraId="091F1682" w14:textId="77777777" w:rsidR="008822AC" w:rsidRPr="00C44B39" w:rsidRDefault="008822AC" w:rsidP="008822AC">
            <w:pPr>
              <w:pStyle w:val="Tabletext"/>
              <w:keepNext/>
            </w:pPr>
            <w:proofErr w:type="spellStart"/>
            <w:r>
              <w:t>AEOSI</w:t>
            </w:r>
            <w:r w:rsidR="00F75D5A" w:rsidRPr="00F75D5A">
              <w:rPr>
                <w:vertAlign w:val="superscript"/>
              </w:rPr>
              <w:t>a</w:t>
            </w:r>
            <w:proofErr w:type="spellEnd"/>
          </w:p>
        </w:tc>
        <w:tc>
          <w:tcPr>
            <w:tcW w:w="851" w:type="pct"/>
            <w:gridSpan w:val="2"/>
            <w:vAlign w:val="center"/>
          </w:tcPr>
          <w:p w14:paraId="08AF3E64" w14:textId="77777777" w:rsidR="008822AC" w:rsidRDefault="008822AC" w:rsidP="008822AC">
            <w:pPr>
              <w:pStyle w:val="Tabletext"/>
              <w:keepNext/>
              <w:jc w:val="center"/>
            </w:pPr>
            <w:r>
              <w:t>95 (25.7)</w:t>
            </w:r>
          </w:p>
        </w:tc>
        <w:tc>
          <w:tcPr>
            <w:tcW w:w="753" w:type="pct"/>
            <w:vAlign w:val="center"/>
          </w:tcPr>
          <w:p w14:paraId="45F9288B" w14:textId="77777777" w:rsidR="008822AC" w:rsidRDefault="008822AC" w:rsidP="008822AC">
            <w:pPr>
              <w:pStyle w:val="Tabletext"/>
              <w:keepNext/>
              <w:jc w:val="center"/>
            </w:pPr>
            <w:r>
              <w:t>43 (11.6)</w:t>
            </w:r>
          </w:p>
        </w:tc>
        <w:tc>
          <w:tcPr>
            <w:tcW w:w="954" w:type="pct"/>
            <w:vAlign w:val="bottom"/>
          </w:tcPr>
          <w:p w14:paraId="02952867" w14:textId="77777777" w:rsidR="008822AC" w:rsidRPr="008E5320" w:rsidRDefault="008822AC" w:rsidP="008822AC">
            <w:pPr>
              <w:pStyle w:val="TableText0"/>
              <w:spacing w:before="0" w:after="0"/>
              <w:jc w:val="center"/>
              <w:rPr>
                <w:iCs/>
              </w:rPr>
            </w:pPr>
            <w:r w:rsidRPr="008E5320">
              <w:rPr>
                <w:iCs/>
              </w:rPr>
              <w:t>0.14 (0.09, 0.20</w:t>
            </w:r>
          </w:p>
        </w:tc>
      </w:tr>
      <w:tr w:rsidR="008822AC" w:rsidRPr="001009D9" w14:paraId="72A9C83D" w14:textId="77777777" w:rsidTr="00433941">
        <w:tc>
          <w:tcPr>
            <w:tcW w:w="2442" w:type="pct"/>
          </w:tcPr>
          <w:p w14:paraId="1F1AC4BD" w14:textId="77777777" w:rsidR="008822AC" w:rsidRDefault="008822AC" w:rsidP="00F75D5A">
            <w:pPr>
              <w:pStyle w:val="Tabletext"/>
              <w:keepNext/>
              <w:ind w:left="247"/>
            </w:pPr>
            <w:r>
              <w:t>Hypoth</w:t>
            </w:r>
            <w:r w:rsidR="006F4FFA">
              <w:t>y</w:t>
            </w:r>
            <w:r>
              <w:t>roidism</w:t>
            </w:r>
          </w:p>
        </w:tc>
        <w:tc>
          <w:tcPr>
            <w:tcW w:w="851" w:type="pct"/>
            <w:gridSpan w:val="2"/>
            <w:vAlign w:val="center"/>
          </w:tcPr>
          <w:p w14:paraId="60FA4C91" w14:textId="77777777" w:rsidR="008822AC" w:rsidRDefault="008822AC" w:rsidP="008822AC">
            <w:pPr>
              <w:pStyle w:val="Tabletext"/>
              <w:keepNext/>
              <w:jc w:val="center"/>
            </w:pPr>
            <w:r>
              <w:t>38 (10.3)</w:t>
            </w:r>
          </w:p>
        </w:tc>
        <w:tc>
          <w:tcPr>
            <w:tcW w:w="753" w:type="pct"/>
            <w:vAlign w:val="center"/>
          </w:tcPr>
          <w:p w14:paraId="7D584292" w14:textId="77777777" w:rsidR="008822AC" w:rsidRDefault="008822AC" w:rsidP="008822AC">
            <w:pPr>
              <w:pStyle w:val="Tabletext"/>
              <w:keepNext/>
              <w:jc w:val="center"/>
            </w:pPr>
            <w:r>
              <w:t>22 (5.9</w:t>
            </w:r>
            <w:r w:rsidR="00811A2D">
              <w:t>)</w:t>
            </w:r>
          </w:p>
        </w:tc>
        <w:tc>
          <w:tcPr>
            <w:tcW w:w="954" w:type="pct"/>
            <w:vAlign w:val="bottom"/>
          </w:tcPr>
          <w:p w14:paraId="3DFECA75" w14:textId="77777777" w:rsidR="008822AC" w:rsidRPr="008E5320" w:rsidRDefault="008822AC" w:rsidP="008822AC">
            <w:pPr>
              <w:pStyle w:val="TableText0"/>
              <w:spacing w:before="0" w:after="0"/>
              <w:jc w:val="center"/>
              <w:rPr>
                <w:iCs/>
              </w:rPr>
            </w:pPr>
            <w:r w:rsidRPr="008E5320">
              <w:rPr>
                <w:iCs/>
              </w:rPr>
              <w:t>0.04 (0.00, 0.08)</w:t>
            </w:r>
          </w:p>
        </w:tc>
      </w:tr>
      <w:tr w:rsidR="008822AC" w:rsidRPr="001009D9" w14:paraId="262BFBE8" w14:textId="77777777" w:rsidTr="00433941">
        <w:tc>
          <w:tcPr>
            <w:tcW w:w="2442" w:type="pct"/>
          </w:tcPr>
          <w:p w14:paraId="7673AEEA" w14:textId="77777777" w:rsidR="008822AC" w:rsidRDefault="008822AC" w:rsidP="00F75D5A">
            <w:pPr>
              <w:pStyle w:val="Tabletext"/>
              <w:keepNext/>
              <w:ind w:left="247"/>
            </w:pPr>
            <w:r>
              <w:t>Hyperthyroidism</w:t>
            </w:r>
          </w:p>
        </w:tc>
        <w:tc>
          <w:tcPr>
            <w:tcW w:w="851" w:type="pct"/>
            <w:gridSpan w:val="2"/>
            <w:vAlign w:val="center"/>
          </w:tcPr>
          <w:p w14:paraId="4F0A306E" w14:textId="77777777" w:rsidR="008822AC" w:rsidRDefault="008822AC" w:rsidP="008822AC">
            <w:pPr>
              <w:pStyle w:val="Tabletext"/>
              <w:keepNext/>
              <w:jc w:val="center"/>
            </w:pPr>
            <w:r>
              <w:t xml:space="preserve">19 (5.1) </w:t>
            </w:r>
          </w:p>
        </w:tc>
        <w:tc>
          <w:tcPr>
            <w:tcW w:w="753" w:type="pct"/>
            <w:vAlign w:val="center"/>
          </w:tcPr>
          <w:p w14:paraId="54F0DBAE" w14:textId="77777777" w:rsidR="008822AC" w:rsidRDefault="008822AC" w:rsidP="008822AC">
            <w:pPr>
              <w:pStyle w:val="Tabletext"/>
              <w:keepNext/>
              <w:jc w:val="center"/>
            </w:pPr>
            <w:r>
              <w:t>2 (0.0.5)</w:t>
            </w:r>
          </w:p>
        </w:tc>
        <w:tc>
          <w:tcPr>
            <w:tcW w:w="954" w:type="pct"/>
            <w:vAlign w:val="bottom"/>
          </w:tcPr>
          <w:p w14:paraId="37287562" w14:textId="77777777" w:rsidR="008822AC" w:rsidRPr="008E5320" w:rsidRDefault="008822AC" w:rsidP="008822AC">
            <w:pPr>
              <w:pStyle w:val="TableText0"/>
              <w:spacing w:before="0" w:after="0"/>
              <w:jc w:val="center"/>
              <w:rPr>
                <w:iCs/>
              </w:rPr>
            </w:pPr>
            <w:r w:rsidRPr="008E5320">
              <w:rPr>
                <w:iCs/>
              </w:rPr>
              <w:t>0.05 (0.02, 0.07)</w:t>
            </w:r>
          </w:p>
        </w:tc>
      </w:tr>
      <w:tr w:rsidR="008822AC" w:rsidRPr="001009D9" w14:paraId="79D3B3FA" w14:textId="77777777" w:rsidTr="00433941">
        <w:tc>
          <w:tcPr>
            <w:tcW w:w="2442" w:type="pct"/>
          </w:tcPr>
          <w:p w14:paraId="006BBBD1" w14:textId="77777777" w:rsidR="008822AC" w:rsidRPr="00C44B39" w:rsidRDefault="008822AC" w:rsidP="00F75D5A">
            <w:pPr>
              <w:pStyle w:val="Tabletext"/>
              <w:keepNext/>
              <w:ind w:left="247"/>
            </w:pPr>
            <w:r>
              <w:t>Pneumonitis</w:t>
            </w:r>
          </w:p>
        </w:tc>
        <w:tc>
          <w:tcPr>
            <w:tcW w:w="851" w:type="pct"/>
            <w:gridSpan w:val="2"/>
            <w:vAlign w:val="center"/>
          </w:tcPr>
          <w:p w14:paraId="4010EDCF" w14:textId="77777777" w:rsidR="008822AC" w:rsidRDefault="008822AC" w:rsidP="008822AC">
            <w:pPr>
              <w:pStyle w:val="Tabletext"/>
              <w:keepNext/>
              <w:jc w:val="center"/>
            </w:pPr>
            <w:r>
              <w:t>20 (5.4)</w:t>
            </w:r>
          </w:p>
        </w:tc>
        <w:tc>
          <w:tcPr>
            <w:tcW w:w="753" w:type="pct"/>
            <w:vAlign w:val="center"/>
          </w:tcPr>
          <w:p w14:paraId="647FF078" w14:textId="77777777" w:rsidR="008822AC" w:rsidRDefault="008822AC" w:rsidP="008822AC">
            <w:pPr>
              <w:pStyle w:val="Tabletext"/>
              <w:keepNext/>
              <w:jc w:val="center"/>
            </w:pPr>
            <w:r>
              <w:t>0</w:t>
            </w:r>
          </w:p>
        </w:tc>
        <w:tc>
          <w:tcPr>
            <w:tcW w:w="954" w:type="pct"/>
            <w:vAlign w:val="bottom"/>
          </w:tcPr>
          <w:p w14:paraId="1B3921D5" w14:textId="77777777" w:rsidR="008822AC" w:rsidRPr="008E5320" w:rsidRDefault="008822AC" w:rsidP="008822AC">
            <w:pPr>
              <w:pStyle w:val="TableText0"/>
              <w:spacing w:before="0" w:after="0"/>
              <w:jc w:val="center"/>
              <w:rPr>
                <w:iCs/>
              </w:rPr>
            </w:pPr>
            <w:r w:rsidRPr="008E5320">
              <w:rPr>
                <w:iCs/>
              </w:rPr>
              <w:t>0.05 (0.03, 0.08)</w:t>
            </w:r>
          </w:p>
        </w:tc>
      </w:tr>
    </w:tbl>
    <w:p w14:paraId="49AC8896" w14:textId="77777777" w:rsidR="004E0DA6" w:rsidRPr="001009D9" w:rsidRDefault="004E0DA6" w:rsidP="008822AC">
      <w:pPr>
        <w:pStyle w:val="TableFooter"/>
        <w:keepNext/>
        <w:rPr>
          <w:sz w:val="20"/>
        </w:rPr>
      </w:pPr>
      <w:r w:rsidRPr="001009D9">
        <w:t xml:space="preserve">Source: </w:t>
      </w:r>
      <w:r>
        <w:t xml:space="preserve">Table 2.5-12, p41, Table 2.5.14, p43, and Table 2.5.17, p47 of the </w:t>
      </w:r>
      <w:r w:rsidR="00C7614F">
        <w:t>submission</w:t>
      </w:r>
    </w:p>
    <w:p w14:paraId="7B00CB9D" w14:textId="77777777" w:rsidR="004E0DA6" w:rsidRDefault="000E4F5C" w:rsidP="008822AC">
      <w:pPr>
        <w:pStyle w:val="TableFooter"/>
        <w:keepNext/>
        <w:rPr>
          <w:rFonts w:eastAsia="Calibri"/>
        </w:rPr>
      </w:pPr>
      <w:r>
        <w:rPr>
          <w:rFonts w:eastAsia="Calibri"/>
        </w:rPr>
        <w:t xml:space="preserve">AE = adverse event; </w:t>
      </w:r>
      <w:r w:rsidR="004E0DA6">
        <w:rPr>
          <w:rFonts w:eastAsia="Calibri"/>
        </w:rPr>
        <w:t xml:space="preserve">AEOSI </w:t>
      </w:r>
      <w:r w:rsidR="008822AC">
        <w:rPr>
          <w:rFonts w:eastAsia="Calibri"/>
        </w:rPr>
        <w:t>=</w:t>
      </w:r>
      <w:r w:rsidR="004E0DA6">
        <w:rPr>
          <w:rFonts w:eastAsia="Calibri"/>
        </w:rPr>
        <w:t xml:space="preserve"> adverse event of special interest</w:t>
      </w:r>
      <w:r w:rsidR="00C7614F">
        <w:rPr>
          <w:rFonts w:eastAsia="Calibri"/>
        </w:rPr>
        <w:t xml:space="preserve"> </w:t>
      </w:r>
      <w:r w:rsidR="004E0DA6" w:rsidRPr="001009D9">
        <w:rPr>
          <w:rFonts w:eastAsia="Calibri"/>
        </w:rPr>
        <w:t>CI = confidence interval; n = number of participants reporting data; N = total participants in group; RD = risk difference; RR = relative risk</w:t>
      </w:r>
    </w:p>
    <w:p w14:paraId="6890402B" w14:textId="77777777" w:rsidR="00F75D5A" w:rsidRDefault="00F75D5A" w:rsidP="00031534">
      <w:pPr>
        <w:pStyle w:val="TableFooter"/>
        <w:keepNext/>
        <w:tabs>
          <w:tab w:val="left" w:pos="284"/>
        </w:tabs>
        <w:ind w:left="284" w:hanging="284"/>
        <w:rPr>
          <w:rFonts w:eastAsia="Calibri"/>
        </w:rPr>
      </w:pPr>
      <w:r w:rsidRPr="00031534">
        <w:rPr>
          <w:rFonts w:eastAsia="Calibri"/>
          <w:vertAlign w:val="superscript"/>
        </w:rPr>
        <w:t>a</w:t>
      </w:r>
      <w:r w:rsidR="00031534">
        <w:rPr>
          <w:rFonts w:eastAsia="Calibri"/>
        </w:rPr>
        <w:tab/>
      </w:r>
      <w:r>
        <w:rPr>
          <w:rFonts w:eastAsia="Calibri"/>
        </w:rPr>
        <w:t xml:space="preserve">Comprises </w:t>
      </w:r>
      <w:r w:rsidRPr="00F75D5A">
        <w:rPr>
          <w:rFonts w:eastAsia="Calibri"/>
        </w:rPr>
        <w:t xml:space="preserve">adrenal insufficiency, colitis, hepatitis, hyperthyroidism, </w:t>
      </w:r>
      <w:proofErr w:type="spellStart"/>
      <w:r w:rsidRPr="00F75D5A">
        <w:rPr>
          <w:rFonts w:eastAsia="Calibri"/>
        </w:rPr>
        <w:t>hypophysitis</w:t>
      </w:r>
      <w:proofErr w:type="spellEnd"/>
      <w:r w:rsidRPr="00F75D5A">
        <w:rPr>
          <w:rFonts w:eastAsia="Calibri"/>
        </w:rPr>
        <w:t>, hypothyroidism, infusion reactions, myositis nephritis, pancreatitis, pneumonitis, severe skin reactions thyroiditis, and type 1 diabetes mellitus</w:t>
      </w:r>
      <w:r>
        <w:rPr>
          <w:rFonts w:eastAsia="Calibri"/>
        </w:rPr>
        <w:t>.</w:t>
      </w:r>
    </w:p>
    <w:p w14:paraId="2737FA5E" w14:textId="74069B1B" w:rsidR="004E0DA6" w:rsidRPr="00CB71F0" w:rsidRDefault="004E0DA6" w:rsidP="00CB71F0">
      <w:pPr>
        <w:pStyle w:val="TableFooter"/>
        <w:keepNext/>
        <w:spacing w:after="120"/>
        <w:rPr>
          <w:iCs/>
        </w:rPr>
      </w:pPr>
      <w:r w:rsidRPr="008E5320">
        <w:rPr>
          <w:rFonts w:eastAsia="Calibri"/>
          <w:iCs/>
        </w:rPr>
        <w:t>Risk difference calculated post-hoc during the evaluation.</w:t>
      </w:r>
    </w:p>
    <w:p w14:paraId="298CB627" w14:textId="77777777" w:rsidR="004E0DA6" w:rsidRPr="00197FE9" w:rsidRDefault="004E0DA6" w:rsidP="00863C38">
      <w:pPr>
        <w:pStyle w:val="ListParagraph"/>
        <w:widowControl/>
        <w:numPr>
          <w:ilvl w:val="1"/>
          <w:numId w:val="1"/>
        </w:numPr>
        <w:rPr>
          <w:rFonts w:cs="Calibri"/>
        </w:rPr>
      </w:pPr>
      <w:r w:rsidRPr="00197FE9">
        <w:rPr>
          <w:rFonts w:cs="Calibri"/>
        </w:rPr>
        <w:t xml:space="preserve">The submission noted that the most frequently reported </w:t>
      </w:r>
      <w:r w:rsidR="00DF36B9">
        <w:rPr>
          <w:rFonts w:cs="Calibri"/>
        </w:rPr>
        <w:t>AEs</w:t>
      </w:r>
      <w:r w:rsidRPr="00197FE9">
        <w:rPr>
          <w:rFonts w:cs="Calibri"/>
        </w:rPr>
        <w:t xml:space="preserve"> (defined as ≥40%) in the pembrolizumab + chemotherapy and in the </w:t>
      </w:r>
      <w:r w:rsidR="00D6389D">
        <w:rPr>
          <w:rFonts w:cs="Calibri"/>
        </w:rPr>
        <w:t xml:space="preserve">chemotherapy alone </w:t>
      </w:r>
      <w:r w:rsidRPr="00197FE9">
        <w:rPr>
          <w:rFonts w:cs="Calibri"/>
        </w:rPr>
        <w:t>arms were nausea, decreased appetite, fatigue, and constipation. These events were predominantly Grade 1 or 2 and manageable.</w:t>
      </w:r>
    </w:p>
    <w:p w14:paraId="1634B885" w14:textId="77777777" w:rsidR="004E0DA6" w:rsidRPr="00197FE9" w:rsidRDefault="004E0DA6" w:rsidP="00863C38">
      <w:pPr>
        <w:pStyle w:val="ListParagraph"/>
        <w:widowControl/>
        <w:numPr>
          <w:ilvl w:val="1"/>
          <w:numId w:val="1"/>
        </w:numPr>
        <w:rPr>
          <w:rFonts w:cs="Calibri"/>
        </w:rPr>
      </w:pPr>
      <w:r w:rsidRPr="00197FE9">
        <w:rPr>
          <w:rFonts w:cs="Calibri"/>
        </w:rPr>
        <w:t>The submission stated that the drug-related AEs observed for participants treated with pembrolizumab + chemotherapy was generally consistent with the known safety profiles of pembrolizumab monotherapy and 5-FU/cisplatin chemotherapy.</w:t>
      </w:r>
    </w:p>
    <w:p w14:paraId="7F9786F0" w14:textId="77777777" w:rsidR="004E0DA6" w:rsidRPr="008E5320" w:rsidRDefault="004E0DA6" w:rsidP="00863C38">
      <w:pPr>
        <w:pStyle w:val="ListParagraph"/>
        <w:widowControl/>
        <w:numPr>
          <w:ilvl w:val="1"/>
          <w:numId w:val="1"/>
        </w:numPr>
        <w:rPr>
          <w:rFonts w:cs="Calibri"/>
        </w:rPr>
      </w:pPr>
      <w:r w:rsidRPr="008E5320">
        <w:rPr>
          <w:rFonts w:cs="Calibri"/>
          <w:iCs/>
        </w:rPr>
        <w:t xml:space="preserve">The TGA Delegate considered that (p25-26 of </w:t>
      </w:r>
      <w:r w:rsidR="00FD58D5" w:rsidRPr="008E5320">
        <w:rPr>
          <w:rFonts w:cs="Calibri"/>
          <w:iCs/>
        </w:rPr>
        <w:t>Delegate’s Overview</w:t>
      </w:r>
      <w:r w:rsidRPr="008E5320">
        <w:rPr>
          <w:rFonts w:cs="Calibri"/>
          <w:iCs/>
        </w:rPr>
        <w:t>):</w:t>
      </w:r>
    </w:p>
    <w:p w14:paraId="7320ABB8" w14:textId="77777777" w:rsidR="00FD58D5" w:rsidRPr="008E5320" w:rsidRDefault="00FD58D5" w:rsidP="00863C38">
      <w:pPr>
        <w:pStyle w:val="ListParagraph"/>
        <w:numPr>
          <w:ilvl w:val="0"/>
          <w:numId w:val="8"/>
        </w:numPr>
        <w:ind w:left="993" w:hanging="284"/>
        <w:rPr>
          <w:iCs/>
        </w:rPr>
      </w:pPr>
      <w:r w:rsidRPr="008E5320">
        <w:rPr>
          <w:iCs/>
        </w:rPr>
        <w:t>“Safety results from KEYNOTE-590 demonstrate that pembrolizumab in combination with 5FU/cisplatin has a tolerable safety profile that reflects the adverse reaction profiles of the components, with no new safety concerns identified. The addition of pembrolizumab does not appear to significantly increase the toxicity of the chemotherapy backbone, taking into consideration the different lengths of treatment exposure.”</w:t>
      </w:r>
    </w:p>
    <w:p w14:paraId="4768A41C" w14:textId="77777777" w:rsidR="00FD58D5" w:rsidRPr="008E5320" w:rsidRDefault="00FD58D5" w:rsidP="00863C38">
      <w:pPr>
        <w:pStyle w:val="ListParagraph"/>
        <w:numPr>
          <w:ilvl w:val="0"/>
          <w:numId w:val="8"/>
        </w:numPr>
        <w:ind w:left="993" w:hanging="284"/>
        <w:rPr>
          <w:iCs/>
        </w:rPr>
      </w:pPr>
      <w:r w:rsidRPr="008E5320">
        <w:rPr>
          <w:iCs/>
        </w:rPr>
        <w:t>“Some patients can however experience severe and/or serious toxicity from pembrolizumab, generally due to immune related AEs.”</w:t>
      </w:r>
    </w:p>
    <w:p w14:paraId="146CA02A" w14:textId="77777777" w:rsidR="00FD58D5" w:rsidRPr="008E5320" w:rsidRDefault="00FD58D5" w:rsidP="00863C38">
      <w:pPr>
        <w:pStyle w:val="ListParagraph"/>
        <w:numPr>
          <w:ilvl w:val="1"/>
          <w:numId w:val="8"/>
        </w:numPr>
        <w:ind w:left="993" w:hanging="284"/>
        <w:rPr>
          <w:iCs/>
        </w:rPr>
      </w:pPr>
      <w:r w:rsidRPr="008E5320">
        <w:rPr>
          <w:iCs/>
        </w:rPr>
        <w:lastRenderedPageBreak/>
        <w:t>“Specifically, the incidence of death was similar in both treatment arms, (pneumonia being he commonest cause of death). The incidence of serious AEs was also similar in both arms, except for pneumonitis which was more common in combination arm (3.2% versus 0.3%); of note, pneumonitis is an expected immune related AE for pembrolizumab.”</w:t>
      </w:r>
    </w:p>
    <w:p w14:paraId="26492481" w14:textId="77777777" w:rsidR="00FD58D5" w:rsidRPr="008E5320" w:rsidRDefault="00FD58D5" w:rsidP="00863C38">
      <w:pPr>
        <w:pStyle w:val="ListParagraph"/>
        <w:numPr>
          <w:ilvl w:val="0"/>
          <w:numId w:val="8"/>
        </w:numPr>
        <w:ind w:left="993" w:hanging="284"/>
        <w:rPr>
          <w:iCs/>
        </w:rPr>
      </w:pPr>
      <w:r w:rsidRPr="008E5320">
        <w:rPr>
          <w:iCs/>
        </w:rPr>
        <w:t>“More serious drug-related AEs and discontinuations were seen for those in the pembrolizumab plus chemotherapy arm compared to the placebo plus chemotherapy arm. The incidence of AEOSI was higher in the pembrolizumab plus chemotherapy arm (compared to the placebo plus chemotherapy arm) as would be expected, with the AEOSI generally consistent with the known pembrolizumab safety profile.”</w:t>
      </w:r>
    </w:p>
    <w:p w14:paraId="5F0A3A02" w14:textId="77777777" w:rsidR="00FD58D5" w:rsidRPr="008E5320" w:rsidRDefault="00FD58D5" w:rsidP="00863C38">
      <w:pPr>
        <w:pStyle w:val="ListParagraph"/>
        <w:numPr>
          <w:ilvl w:val="0"/>
          <w:numId w:val="8"/>
        </w:numPr>
        <w:ind w:left="993" w:hanging="284"/>
        <w:rPr>
          <w:iCs/>
        </w:rPr>
      </w:pPr>
      <w:r w:rsidRPr="008E5320">
        <w:rPr>
          <w:iCs/>
        </w:rPr>
        <w:t>“The risks of pembrolizumab are therefore largely manageable with patient surveillance, treatment delays and supportive care in most patients, and are considered acceptable given the life-threatening nature of metastatic or locally advanced oesophageal carcinoma.”</w:t>
      </w:r>
    </w:p>
    <w:p w14:paraId="5885D4E2" w14:textId="3C795B63" w:rsidR="004E0DA6" w:rsidRPr="00CB71F0" w:rsidRDefault="004E0DA6" w:rsidP="00CB71F0">
      <w:pPr>
        <w:pStyle w:val="Heading2"/>
        <w:spacing w:after="120"/>
      </w:pPr>
      <w:bookmarkStart w:id="31" w:name="_Toc79761900"/>
      <w:r w:rsidRPr="00C9624D">
        <w:t>Benefits/harms</w:t>
      </w:r>
      <w:bookmarkEnd w:id="31"/>
    </w:p>
    <w:p w14:paraId="2144D199" w14:textId="77777777" w:rsidR="004E0DA6" w:rsidRPr="00151E96" w:rsidRDefault="004E0DA6" w:rsidP="00863C38">
      <w:pPr>
        <w:pStyle w:val="ListParagraph"/>
        <w:numPr>
          <w:ilvl w:val="1"/>
          <w:numId w:val="1"/>
        </w:numPr>
        <w:rPr>
          <w:rFonts w:asciiTheme="minorHAnsi" w:hAnsiTheme="minorHAnsi" w:cstheme="minorHAnsi"/>
          <w:snapToGrid/>
          <w:szCs w:val="24"/>
        </w:rPr>
      </w:pPr>
      <w:r w:rsidRPr="00197FE9">
        <w:rPr>
          <w:rFonts w:asciiTheme="minorHAnsi" w:hAnsiTheme="minorHAnsi" w:cstheme="minorHAnsi"/>
          <w:szCs w:val="24"/>
        </w:rPr>
        <w:t>A summary of the comparative benefits and harms for pembrolizumab plus chemotherapy versus chemotherapy is presented in</w:t>
      </w:r>
      <w:r w:rsidR="00151E96">
        <w:rPr>
          <w:rFonts w:asciiTheme="minorHAnsi" w:hAnsiTheme="minorHAnsi" w:cstheme="minorHAnsi"/>
          <w:szCs w:val="24"/>
        </w:rPr>
        <w:t xml:space="preserve"> Table 7.</w:t>
      </w:r>
    </w:p>
    <w:p w14:paraId="682998D8" w14:textId="77777777" w:rsidR="004E0DA6" w:rsidRPr="001B2A24" w:rsidRDefault="004E0DA6" w:rsidP="00067791">
      <w:pPr>
        <w:keepNext/>
        <w:rPr>
          <w:rStyle w:val="CommentReference"/>
          <w:rFonts w:ascii="Calibri" w:hAnsi="Calibri"/>
          <w:b w:val="0"/>
          <w:sz w:val="24"/>
          <w:szCs w:val="22"/>
        </w:rPr>
      </w:pPr>
      <w:bookmarkStart w:id="32" w:name="_Ref79503901"/>
      <w:r>
        <w:rPr>
          <w:rStyle w:val="CommentReference"/>
        </w:rPr>
        <w:lastRenderedPageBreak/>
        <w:t xml:space="preserve">Table </w:t>
      </w:r>
      <w:r w:rsidR="005051CB">
        <w:rPr>
          <w:rStyle w:val="CommentReference"/>
          <w:noProof/>
        </w:rPr>
        <w:t>7</w:t>
      </w:r>
      <w:bookmarkEnd w:id="32"/>
      <w:r>
        <w:rPr>
          <w:rStyle w:val="CommentReference"/>
        </w:rPr>
        <w:t xml:space="preserve">: </w:t>
      </w:r>
      <w:r w:rsidRPr="00D2155B">
        <w:rPr>
          <w:rStyle w:val="CommentReference"/>
          <w:szCs w:val="24"/>
        </w:rPr>
        <w:t xml:space="preserve">Summary of comparative benefits and </w:t>
      </w:r>
      <w:r w:rsidRPr="008822AC">
        <w:rPr>
          <w:rStyle w:val="CommentReference"/>
          <w:szCs w:val="24"/>
        </w:rPr>
        <w:t>harms for pembrolizumab</w:t>
      </w:r>
      <w:r>
        <w:rPr>
          <w:rStyle w:val="CommentReference"/>
          <w:szCs w:val="24"/>
        </w:rPr>
        <w:t xml:space="preserve"> plus chemotherapy versus chemotherapy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comparative benefits and harms for pembrolizumab plus chemotherapy versus chemotherapy"/>
      </w:tblPr>
      <w:tblGrid>
        <w:gridCol w:w="2552"/>
        <w:gridCol w:w="1630"/>
        <w:gridCol w:w="74"/>
        <w:gridCol w:w="1558"/>
        <w:gridCol w:w="850"/>
        <w:gridCol w:w="707"/>
        <w:gridCol w:w="1696"/>
      </w:tblGrid>
      <w:tr w:rsidR="004E0DA6" w:rsidRPr="00FE70C3" w14:paraId="6BCE56F2" w14:textId="77777777" w:rsidTr="00322E1B">
        <w:trPr>
          <w:cantSplit/>
          <w:tblHeader/>
        </w:trPr>
        <w:tc>
          <w:tcPr>
            <w:tcW w:w="1407" w:type="pct"/>
            <w:vAlign w:val="center"/>
          </w:tcPr>
          <w:p w14:paraId="1ED99480" w14:textId="77777777" w:rsidR="004E0DA6" w:rsidRPr="00FE70C3" w:rsidRDefault="004E0DA6" w:rsidP="00067791">
            <w:pPr>
              <w:pStyle w:val="In-tableHeading"/>
              <w:jc w:val="center"/>
            </w:pPr>
          </w:p>
        </w:tc>
        <w:tc>
          <w:tcPr>
            <w:tcW w:w="940" w:type="pct"/>
            <w:gridSpan w:val="2"/>
            <w:vAlign w:val="center"/>
          </w:tcPr>
          <w:p w14:paraId="1C22B9E9" w14:textId="77777777" w:rsidR="004E0DA6" w:rsidRDefault="004E0DA6" w:rsidP="00067791">
            <w:pPr>
              <w:pStyle w:val="In-tableHeading"/>
              <w:jc w:val="center"/>
            </w:pPr>
            <w:proofErr w:type="spellStart"/>
            <w:r>
              <w:t>Pembro</w:t>
            </w:r>
            <w:proofErr w:type="spellEnd"/>
            <w:r>
              <w:t xml:space="preserve"> plus chemo</w:t>
            </w:r>
            <w:r w:rsidRPr="00FE70C3">
              <w:t xml:space="preserve"> </w:t>
            </w:r>
          </w:p>
          <w:p w14:paraId="7B42D717" w14:textId="77777777" w:rsidR="004E0DA6" w:rsidRPr="009F4A18" w:rsidRDefault="004E0DA6" w:rsidP="00067791">
            <w:pPr>
              <w:pStyle w:val="In-tableHeading"/>
              <w:jc w:val="center"/>
              <w:rPr>
                <w:vertAlign w:val="superscript"/>
              </w:rPr>
            </w:pPr>
            <w:r w:rsidRPr="00FE70C3">
              <w:t>n/N (%)</w:t>
            </w:r>
          </w:p>
        </w:tc>
        <w:tc>
          <w:tcPr>
            <w:tcW w:w="859" w:type="pct"/>
            <w:vAlign w:val="center"/>
          </w:tcPr>
          <w:p w14:paraId="4E427714" w14:textId="77777777" w:rsidR="004E0DA6" w:rsidRDefault="004E0DA6" w:rsidP="00067791">
            <w:pPr>
              <w:pStyle w:val="In-tableHeading"/>
              <w:jc w:val="center"/>
            </w:pPr>
            <w:r>
              <w:t xml:space="preserve">Chemo alone </w:t>
            </w:r>
          </w:p>
          <w:p w14:paraId="66DF1F7E" w14:textId="77777777" w:rsidR="004E0DA6" w:rsidRPr="009F4A18" w:rsidRDefault="004E0DA6" w:rsidP="00067791">
            <w:pPr>
              <w:pStyle w:val="In-tableHeading"/>
              <w:jc w:val="center"/>
              <w:rPr>
                <w:vertAlign w:val="superscript"/>
              </w:rPr>
            </w:pPr>
            <w:r w:rsidRPr="00FE70C3">
              <w:t>n/N (%)</w:t>
            </w:r>
          </w:p>
        </w:tc>
        <w:tc>
          <w:tcPr>
            <w:tcW w:w="859" w:type="pct"/>
            <w:gridSpan w:val="2"/>
            <w:vAlign w:val="center"/>
          </w:tcPr>
          <w:p w14:paraId="18C80DD3" w14:textId="77777777" w:rsidR="004E0DA6" w:rsidRPr="009F4A18" w:rsidRDefault="004E0DA6" w:rsidP="00067791">
            <w:pPr>
              <w:pStyle w:val="In-tableHeading"/>
              <w:jc w:val="center"/>
              <w:rPr>
                <w:vertAlign w:val="superscript"/>
              </w:rPr>
            </w:pPr>
            <w:r w:rsidRPr="00FE70C3">
              <w:t>Absolute difference</w:t>
            </w:r>
            <w:r>
              <w:t xml:space="preserve"> </w:t>
            </w:r>
          </w:p>
        </w:tc>
        <w:tc>
          <w:tcPr>
            <w:tcW w:w="935" w:type="pct"/>
            <w:vAlign w:val="center"/>
          </w:tcPr>
          <w:p w14:paraId="4DC72474" w14:textId="77777777" w:rsidR="004E0DA6" w:rsidRPr="009F4A18" w:rsidRDefault="004E0DA6" w:rsidP="00067791">
            <w:pPr>
              <w:pStyle w:val="In-tableHeading"/>
              <w:jc w:val="center"/>
              <w:rPr>
                <w:vertAlign w:val="superscript"/>
              </w:rPr>
            </w:pPr>
            <w:r w:rsidRPr="00FE70C3">
              <w:t>HR (95% CI)</w:t>
            </w:r>
          </w:p>
        </w:tc>
      </w:tr>
      <w:tr w:rsidR="004E0DA6" w:rsidRPr="00FE70C3" w14:paraId="6EB71FDA" w14:textId="77777777" w:rsidTr="00322E1B">
        <w:trPr>
          <w:cantSplit/>
        </w:trPr>
        <w:tc>
          <w:tcPr>
            <w:tcW w:w="5000" w:type="pct"/>
            <w:gridSpan w:val="7"/>
            <w:vAlign w:val="center"/>
          </w:tcPr>
          <w:p w14:paraId="65EA75D3" w14:textId="77777777" w:rsidR="004E0DA6" w:rsidRPr="00FE70C3" w:rsidRDefault="004E0DA6" w:rsidP="00067791">
            <w:pPr>
              <w:pStyle w:val="In-tableHeading"/>
            </w:pPr>
            <w:r w:rsidRPr="00FE70C3">
              <w:t>Progression-free survival</w:t>
            </w:r>
          </w:p>
        </w:tc>
      </w:tr>
      <w:tr w:rsidR="004E0DA6" w:rsidRPr="00FE70C3" w14:paraId="19734B20" w14:textId="77777777" w:rsidTr="00322E1B">
        <w:trPr>
          <w:cantSplit/>
        </w:trPr>
        <w:tc>
          <w:tcPr>
            <w:tcW w:w="1407" w:type="pct"/>
            <w:vAlign w:val="center"/>
          </w:tcPr>
          <w:p w14:paraId="024DE63C" w14:textId="77777777" w:rsidR="004E0DA6" w:rsidRPr="00FE70C3" w:rsidRDefault="004E0DA6" w:rsidP="00067791">
            <w:pPr>
              <w:pStyle w:val="TableText0"/>
            </w:pPr>
            <w:r w:rsidRPr="007F5255">
              <w:t>Progressed, n (%)</w:t>
            </w:r>
          </w:p>
        </w:tc>
        <w:tc>
          <w:tcPr>
            <w:tcW w:w="940" w:type="pct"/>
            <w:gridSpan w:val="2"/>
            <w:vAlign w:val="center"/>
          </w:tcPr>
          <w:p w14:paraId="01863EFA" w14:textId="77777777" w:rsidR="004E0DA6" w:rsidRPr="00FE70C3" w:rsidRDefault="004E0DA6" w:rsidP="00067791">
            <w:pPr>
              <w:pStyle w:val="TableText0"/>
              <w:jc w:val="center"/>
            </w:pPr>
            <w:r>
              <w:t>297 (79.6)</w:t>
            </w:r>
          </w:p>
        </w:tc>
        <w:tc>
          <w:tcPr>
            <w:tcW w:w="859" w:type="pct"/>
            <w:vAlign w:val="center"/>
          </w:tcPr>
          <w:p w14:paraId="162AB2A0" w14:textId="77777777" w:rsidR="004E0DA6" w:rsidRPr="00FE70C3" w:rsidRDefault="004E0DA6" w:rsidP="00067791">
            <w:pPr>
              <w:pStyle w:val="TableText0"/>
              <w:jc w:val="center"/>
            </w:pPr>
            <w:r>
              <w:t>333 (88.6)</w:t>
            </w:r>
          </w:p>
        </w:tc>
        <w:tc>
          <w:tcPr>
            <w:tcW w:w="859" w:type="pct"/>
            <w:gridSpan w:val="2"/>
            <w:vAlign w:val="center"/>
          </w:tcPr>
          <w:p w14:paraId="7F135844" w14:textId="77777777" w:rsidR="004E0DA6" w:rsidRPr="00FE70C3" w:rsidRDefault="00811E7E" w:rsidP="00067791">
            <w:pPr>
              <w:pStyle w:val="TableText0"/>
              <w:jc w:val="center"/>
            </w:pPr>
            <w:r>
              <w:rPr>
                <w:i/>
                <w:iCs/>
              </w:rPr>
              <w:t>-</w:t>
            </w:r>
          </w:p>
        </w:tc>
        <w:tc>
          <w:tcPr>
            <w:tcW w:w="935" w:type="pct"/>
            <w:vAlign w:val="center"/>
          </w:tcPr>
          <w:p w14:paraId="242E25F7" w14:textId="77777777" w:rsidR="004E0DA6" w:rsidRPr="009F4A18" w:rsidRDefault="004E0DA6" w:rsidP="00067791">
            <w:pPr>
              <w:pStyle w:val="TableText0"/>
              <w:jc w:val="center"/>
              <w:rPr>
                <w:vertAlign w:val="superscript"/>
              </w:rPr>
            </w:pPr>
            <w:r w:rsidRPr="001009D9">
              <w:t>-</w:t>
            </w:r>
          </w:p>
        </w:tc>
      </w:tr>
      <w:tr w:rsidR="004E0DA6" w:rsidRPr="00FE70C3" w14:paraId="17014639" w14:textId="77777777" w:rsidTr="00322E1B">
        <w:trPr>
          <w:cantSplit/>
        </w:trPr>
        <w:tc>
          <w:tcPr>
            <w:tcW w:w="1407" w:type="pct"/>
            <w:vAlign w:val="center"/>
          </w:tcPr>
          <w:p w14:paraId="7715CEA8" w14:textId="77777777" w:rsidR="004E0DA6" w:rsidRPr="00FE70C3" w:rsidRDefault="004E0DA6" w:rsidP="00067791">
            <w:pPr>
              <w:pStyle w:val="TableText0"/>
            </w:pPr>
            <w:r w:rsidRPr="00FE70C3">
              <w:t>Median PFS</w:t>
            </w:r>
            <w:r>
              <w:t>,</w:t>
            </w:r>
            <w:r w:rsidRPr="00FE70C3">
              <w:t xml:space="preserve"> months (95% CI)</w:t>
            </w:r>
          </w:p>
        </w:tc>
        <w:tc>
          <w:tcPr>
            <w:tcW w:w="940" w:type="pct"/>
            <w:gridSpan w:val="2"/>
            <w:vAlign w:val="center"/>
          </w:tcPr>
          <w:p w14:paraId="1AA6008A" w14:textId="77777777" w:rsidR="004E0DA6" w:rsidRPr="00FE70C3" w:rsidRDefault="004E0DA6" w:rsidP="00067791">
            <w:pPr>
              <w:pStyle w:val="TableText0"/>
              <w:jc w:val="center"/>
            </w:pPr>
            <w:r>
              <w:t>6.3 (6.2, 6.9)</w:t>
            </w:r>
          </w:p>
        </w:tc>
        <w:tc>
          <w:tcPr>
            <w:tcW w:w="859" w:type="pct"/>
            <w:vAlign w:val="center"/>
          </w:tcPr>
          <w:p w14:paraId="6D6F6B32" w14:textId="77777777" w:rsidR="004E0DA6" w:rsidRPr="00FE70C3" w:rsidRDefault="004E0DA6" w:rsidP="00067791">
            <w:pPr>
              <w:pStyle w:val="TableText0"/>
              <w:jc w:val="center"/>
            </w:pPr>
            <w:r>
              <w:t>5.8 (5.0, 6.0)</w:t>
            </w:r>
          </w:p>
        </w:tc>
        <w:tc>
          <w:tcPr>
            <w:tcW w:w="859" w:type="pct"/>
            <w:gridSpan w:val="2"/>
            <w:vAlign w:val="center"/>
          </w:tcPr>
          <w:p w14:paraId="66705ECA" w14:textId="77777777" w:rsidR="004E0DA6" w:rsidRPr="002A5C87" w:rsidRDefault="004E0DA6" w:rsidP="00067791">
            <w:pPr>
              <w:pStyle w:val="TableText0"/>
              <w:jc w:val="center"/>
            </w:pPr>
            <w:r w:rsidRPr="002A5C87">
              <w:rPr>
                <w:iCs/>
              </w:rPr>
              <w:t>0.5 months</w:t>
            </w:r>
          </w:p>
        </w:tc>
        <w:tc>
          <w:tcPr>
            <w:tcW w:w="935" w:type="pct"/>
            <w:vAlign w:val="center"/>
          </w:tcPr>
          <w:p w14:paraId="7FF14E82" w14:textId="77777777" w:rsidR="004E0DA6" w:rsidRDefault="004E0DA6" w:rsidP="00067791">
            <w:pPr>
              <w:pStyle w:val="Tabletext"/>
              <w:keepNext/>
              <w:jc w:val="center"/>
              <w:rPr>
                <w:b/>
                <w:bCs/>
              </w:rPr>
            </w:pPr>
            <w:r w:rsidRPr="00F90F80">
              <w:rPr>
                <w:b/>
                <w:bCs/>
              </w:rPr>
              <w:t>0.65 (0.55, 0.76)</w:t>
            </w:r>
          </w:p>
          <w:p w14:paraId="675DDD57" w14:textId="77777777" w:rsidR="004E0DA6" w:rsidRPr="00FE70C3" w:rsidRDefault="004E0DA6" w:rsidP="00067791">
            <w:pPr>
              <w:pStyle w:val="TableText0"/>
              <w:jc w:val="center"/>
            </w:pPr>
            <w:r w:rsidRPr="00F90F80">
              <w:t>p-value &lt;0.0001</w:t>
            </w:r>
          </w:p>
        </w:tc>
      </w:tr>
      <w:tr w:rsidR="00A3016C" w:rsidRPr="00FE70C3" w14:paraId="32293483" w14:textId="77777777" w:rsidTr="00322E1B">
        <w:trPr>
          <w:cantSplit/>
        </w:trPr>
        <w:tc>
          <w:tcPr>
            <w:tcW w:w="1407" w:type="pct"/>
            <w:vAlign w:val="center"/>
          </w:tcPr>
          <w:p w14:paraId="26EFB69A" w14:textId="77777777" w:rsidR="00A3016C" w:rsidRPr="00FE70C3" w:rsidRDefault="00A3016C" w:rsidP="00322E1B">
            <w:pPr>
              <w:pStyle w:val="TableText0"/>
            </w:pPr>
            <w:r>
              <w:t>Proportion progression free at 12 months (95% CI)</w:t>
            </w:r>
          </w:p>
        </w:tc>
        <w:tc>
          <w:tcPr>
            <w:tcW w:w="940" w:type="pct"/>
            <w:gridSpan w:val="2"/>
            <w:vAlign w:val="center"/>
          </w:tcPr>
          <w:p w14:paraId="553CE6C5" w14:textId="77777777" w:rsidR="00A3016C" w:rsidRDefault="00A3016C" w:rsidP="00322E1B">
            <w:pPr>
              <w:pStyle w:val="TableText0"/>
              <w:jc w:val="center"/>
            </w:pPr>
            <w:r>
              <w:t>62.4 (57.1, 67.3)</w:t>
            </w:r>
          </w:p>
        </w:tc>
        <w:tc>
          <w:tcPr>
            <w:tcW w:w="859" w:type="pct"/>
            <w:vAlign w:val="center"/>
          </w:tcPr>
          <w:p w14:paraId="1C6DEF95" w14:textId="77777777" w:rsidR="00A3016C" w:rsidRDefault="00A3016C" w:rsidP="00322E1B">
            <w:pPr>
              <w:pStyle w:val="TableText0"/>
              <w:jc w:val="center"/>
            </w:pPr>
            <w:r>
              <w:t>48.7 (43.4, 53.7)</w:t>
            </w:r>
          </w:p>
        </w:tc>
        <w:tc>
          <w:tcPr>
            <w:tcW w:w="859" w:type="pct"/>
            <w:gridSpan w:val="2"/>
            <w:vAlign w:val="center"/>
          </w:tcPr>
          <w:p w14:paraId="408CDCB4" w14:textId="77777777" w:rsidR="00A3016C" w:rsidRPr="002A5C87" w:rsidRDefault="00A3016C" w:rsidP="00322E1B">
            <w:pPr>
              <w:pStyle w:val="TableText0"/>
              <w:jc w:val="center"/>
              <w:rPr>
                <w:iCs/>
              </w:rPr>
            </w:pPr>
            <w:r w:rsidRPr="002A5C87">
              <w:rPr>
                <w:iCs/>
              </w:rPr>
              <w:t>13.7%</w:t>
            </w:r>
          </w:p>
        </w:tc>
        <w:tc>
          <w:tcPr>
            <w:tcW w:w="935" w:type="pct"/>
            <w:vAlign w:val="center"/>
          </w:tcPr>
          <w:p w14:paraId="76FBBA5B" w14:textId="77777777" w:rsidR="00A3016C" w:rsidRPr="00F90F80" w:rsidRDefault="002E004A" w:rsidP="00322E1B">
            <w:pPr>
              <w:pStyle w:val="Tabletext"/>
              <w:jc w:val="center"/>
              <w:rPr>
                <w:b/>
                <w:bCs/>
              </w:rPr>
            </w:pPr>
            <w:r>
              <w:rPr>
                <w:b/>
                <w:bCs/>
              </w:rPr>
              <w:t>-</w:t>
            </w:r>
          </w:p>
        </w:tc>
      </w:tr>
      <w:tr w:rsidR="004E0DA6" w:rsidRPr="00FE70C3" w14:paraId="61C19271" w14:textId="77777777" w:rsidTr="00322E1B">
        <w:trPr>
          <w:cantSplit/>
        </w:trPr>
        <w:tc>
          <w:tcPr>
            <w:tcW w:w="5000" w:type="pct"/>
            <w:gridSpan w:val="7"/>
            <w:vAlign w:val="center"/>
          </w:tcPr>
          <w:p w14:paraId="71D05E61" w14:textId="77777777" w:rsidR="004E0DA6" w:rsidRPr="00330DAA" w:rsidRDefault="004E0DA6" w:rsidP="00322E1B">
            <w:pPr>
              <w:pStyle w:val="In-tableHeading"/>
            </w:pPr>
            <w:r w:rsidRPr="00330DAA">
              <w:t>Overall survival</w:t>
            </w:r>
          </w:p>
        </w:tc>
      </w:tr>
      <w:tr w:rsidR="004E0DA6" w:rsidRPr="00FE70C3" w14:paraId="25E8C845" w14:textId="77777777" w:rsidTr="00322E1B">
        <w:trPr>
          <w:cantSplit/>
        </w:trPr>
        <w:tc>
          <w:tcPr>
            <w:tcW w:w="1407" w:type="pct"/>
            <w:vAlign w:val="center"/>
          </w:tcPr>
          <w:p w14:paraId="5A1BE5C5" w14:textId="77777777" w:rsidR="004E0DA6" w:rsidRPr="00FE70C3" w:rsidRDefault="004E0DA6" w:rsidP="00322E1B">
            <w:pPr>
              <w:pStyle w:val="TableText0"/>
            </w:pPr>
            <w:r w:rsidRPr="007F5255">
              <w:t>Deaths, n/N (%)</w:t>
            </w:r>
          </w:p>
        </w:tc>
        <w:tc>
          <w:tcPr>
            <w:tcW w:w="940" w:type="pct"/>
            <w:gridSpan w:val="2"/>
            <w:vAlign w:val="center"/>
          </w:tcPr>
          <w:p w14:paraId="7B4AA5E8" w14:textId="77777777" w:rsidR="004E0DA6" w:rsidRPr="00FE70C3" w:rsidRDefault="004E0DA6" w:rsidP="00322E1B">
            <w:pPr>
              <w:pStyle w:val="TableText0"/>
              <w:jc w:val="center"/>
            </w:pPr>
            <w:r>
              <w:t>262 (70.2)</w:t>
            </w:r>
          </w:p>
        </w:tc>
        <w:tc>
          <w:tcPr>
            <w:tcW w:w="859" w:type="pct"/>
            <w:vAlign w:val="center"/>
          </w:tcPr>
          <w:p w14:paraId="79CBB255" w14:textId="77777777" w:rsidR="004E0DA6" w:rsidRPr="00FE70C3" w:rsidRDefault="004E0DA6" w:rsidP="00322E1B">
            <w:pPr>
              <w:pStyle w:val="TableText0"/>
              <w:jc w:val="center"/>
            </w:pPr>
            <w:r>
              <w:t>309 (82.2)</w:t>
            </w:r>
          </w:p>
        </w:tc>
        <w:tc>
          <w:tcPr>
            <w:tcW w:w="859" w:type="pct"/>
            <w:gridSpan w:val="2"/>
            <w:vAlign w:val="center"/>
          </w:tcPr>
          <w:p w14:paraId="16856D3A" w14:textId="77777777" w:rsidR="004E0DA6" w:rsidRPr="00FE70C3" w:rsidRDefault="00811E7E" w:rsidP="00322E1B">
            <w:pPr>
              <w:pStyle w:val="TableText0"/>
              <w:jc w:val="center"/>
            </w:pPr>
            <w:r>
              <w:rPr>
                <w:i/>
                <w:iCs/>
              </w:rPr>
              <w:t>-</w:t>
            </w:r>
          </w:p>
        </w:tc>
        <w:tc>
          <w:tcPr>
            <w:tcW w:w="935" w:type="pct"/>
            <w:vAlign w:val="center"/>
          </w:tcPr>
          <w:p w14:paraId="17BC17C6" w14:textId="77777777" w:rsidR="004E0DA6" w:rsidRPr="00FE70C3" w:rsidRDefault="004E0DA6" w:rsidP="00322E1B">
            <w:pPr>
              <w:pStyle w:val="TableText0"/>
              <w:jc w:val="center"/>
            </w:pPr>
            <w:r w:rsidRPr="001009D9">
              <w:t>-</w:t>
            </w:r>
          </w:p>
        </w:tc>
      </w:tr>
      <w:tr w:rsidR="004E0DA6" w:rsidRPr="00FE70C3" w14:paraId="6F233572" w14:textId="77777777" w:rsidTr="00322E1B">
        <w:trPr>
          <w:cantSplit/>
        </w:trPr>
        <w:tc>
          <w:tcPr>
            <w:tcW w:w="1407" w:type="pct"/>
            <w:vAlign w:val="center"/>
          </w:tcPr>
          <w:p w14:paraId="6E57C186" w14:textId="77777777" w:rsidR="004E0DA6" w:rsidRPr="00FE70C3" w:rsidRDefault="004E0DA6" w:rsidP="00322E1B">
            <w:pPr>
              <w:pStyle w:val="TableText0"/>
            </w:pPr>
            <w:r w:rsidRPr="00FE70C3">
              <w:t>Median months OS (95% CI)</w:t>
            </w:r>
          </w:p>
        </w:tc>
        <w:tc>
          <w:tcPr>
            <w:tcW w:w="940" w:type="pct"/>
            <w:gridSpan w:val="2"/>
            <w:vAlign w:val="center"/>
          </w:tcPr>
          <w:p w14:paraId="37A8364E" w14:textId="77777777" w:rsidR="004E0DA6" w:rsidRPr="00FE70C3" w:rsidRDefault="004E0DA6" w:rsidP="00322E1B">
            <w:pPr>
              <w:pStyle w:val="TableText0"/>
              <w:keepLines/>
              <w:jc w:val="center"/>
            </w:pPr>
            <w:r>
              <w:t>12.4 (10.5, 14.0)</w:t>
            </w:r>
          </w:p>
        </w:tc>
        <w:tc>
          <w:tcPr>
            <w:tcW w:w="859" w:type="pct"/>
            <w:vAlign w:val="center"/>
          </w:tcPr>
          <w:p w14:paraId="4B38154B" w14:textId="77777777" w:rsidR="004E0DA6" w:rsidRPr="00FE70C3" w:rsidRDefault="004E0DA6" w:rsidP="00322E1B">
            <w:pPr>
              <w:pStyle w:val="TableText0"/>
              <w:keepLines/>
              <w:jc w:val="center"/>
            </w:pPr>
            <w:r>
              <w:t>9.8 (8.8, 10.8)</w:t>
            </w:r>
          </w:p>
        </w:tc>
        <w:tc>
          <w:tcPr>
            <w:tcW w:w="859" w:type="pct"/>
            <w:gridSpan w:val="2"/>
            <w:vAlign w:val="center"/>
          </w:tcPr>
          <w:p w14:paraId="4195B89C" w14:textId="77777777" w:rsidR="004E0DA6" w:rsidRPr="00FE70C3" w:rsidRDefault="004E0DA6" w:rsidP="00322E1B">
            <w:pPr>
              <w:pStyle w:val="TableText0"/>
              <w:jc w:val="center"/>
            </w:pPr>
            <w:r>
              <w:t>2.6 months</w:t>
            </w:r>
          </w:p>
        </w:tc>
        <w:tc>
          <w:tcPr>
            <w:tcW w:w="935" w:type="pct"/>
            <w:vAlign w:val="center"/>
          </w:tcPr>
          <w:p w14:paraId="27D814C3" w14:textId="77777777" w:rsidR="004E0DA6" w:rsidRDefault="004E0DA6" w:rsidP="00322E1B">
            <w:pPr>
              <w:pStyle w:val="Tabletext"/>
              <w:jc w:val="center"/>
              <w:rPr>
                <w:b/>
                <w:bCs/>
              </w:rPr>
            </w:pPr>
            <w:r w:rsidRPr="00D92D2C">
              <w:rPr>
                <w:b/>
                <w:bCs/>
              </w:rPr>
              <w:t>0.73 (0.62, 0.86)</w:t>
            </w:r>
          </w:p>
          <w:p w14:paraId="27A13962" w14:textId="77777777" w:rsidR="004E0DA6" w:rsidRPr="00FE70C3" w:rsidRDefault="004E0DA6" w:rsidP="00322E1B">
            <w:pPr>
              <w:pStyle w:val="TableText0"/>
              <w:jc w:val="center"/>
            </w:pPr>
            <w:r w:rsidRPr="00D92D2C">
              <w:t>p-value &lt; 0.0001</w:t>
            </w:r>
          </w:p>
        </w:tc>
      </w:tr>
      <w:tr w:rsidR="00A3016C" w:rsidRPr="00FE70C3" w14:paraId="013C8D7D" w14:textId="77777777" w:rsidTr="00322E1B">
        <w:trPr>
          <w:cantSplit/>
        </w:trPr>
        <w:tc>
          <w:tcPr>
            <w:tcW w:w="1407" w:type="pct"/>
            <w:vAlign w:val="center"/>
          </w:tcPr>
          <w:p w14:paraId="34C6563E" w14:textId="77777777" w:rsidR="00A3016C" w:rsidRPr="00FE70C3" w:rsidRDefault="00A3016C" w:rsidP="00A3016C">
            <w:pPr>
              <w:pStyle w:val="TableText0"/>
            </w:pPr>
            <w:r>
              <w:t>Proportion alive at 12 months (95% CI)</w:t>
            </w:r>
          </w:p>
        </w:tc>
        <w:tc>
          <w:tcPr>
            <w:tcW w:w="940" w:type="pct"/>
            <w:gridSpan w:val="2"/>
            <w:vAlign w:val="center"/>
          </w:tcPr>
          <w:p w14:paraId="37E75DDE" w14:textId="77777777" w:rsidR="00A3016C" w:rsidRDefault="00A3016C" w:rsidP="00A3016C">
            <w:pPr>
              <w:pStyle w:val="TableText0"/>
              <w:keepLines/>
              <w:jc w:val="center"/>
            </w:pPr>
            <w:r>
              <w:t>50.6 (45.4, 55.6)</w:t>
            </w:r>
          </w:p>
        </w:tc>
        <w:tc>
          <w:tcPr>
            <w:tcW w:w="859" w:type="pct"/>
            <w:vAlign w:val="center"/>
          </w:tcPr>
          <w:p w14:paraId="4208E337" w14:textId="77777777" w:rsidR="00A3016C" w:rsidRDefault="00A3016C" w:rsidP="00A3016C">
            <w:pPr>
              <w:pStyle w:val="TableText0"/>
              <w:keepLines/>
              <w:jc w:val="center"/>
            </w:pPr>
            <w:r>
              <w:t>39.4 (34.4, 44.3)</w:t>
            </w:r>
          </w:p>
        </w:tc>
        <w:tc>
          <w:tcPr>
            <w:tcW w:w="859" w:type="pct"/>
            <w:gridSpan w:val="2"/>
            <w:vAlign w:val="center"/>
          </w:tcPr>
          <w:p w14:paraId="6A019F74" w14:textId="77777777" w:rsidR="00A3016C" w:rsidRPr="002A5C87" w:rsidRDefault="00A3016C" w:rsidP="00A3016C">
            <w:pPr>
              <w:pStyle w:val="TableText0"/>
              <w:jc w:val="center"/>
            </w:pPr>
            <w:r w:rsidRPr="002A5C87">
              <w:rPr>
                <w:iCs/>
              </w:rPr>
              <w:t>11.2%</w:t>
            </w:r>
          </w:p>
        </w:tc>
        <w:tc>
          <w:tcPr>
            <w:tcW w:w="935" w:type="pct"/>
            <w:vAlign w:val="center"/>
          </w:tcPr>
          <w:p w14:paraId="5B4F0340" w14:textId="77777777" w:rsidR="00A3016C" w:rsidRPr="00D92D2C" w:rsidRDefault="002E004A" w:rsidP="00A3016C">
            <w:pPr>
              <w:pStyle w:val="Tabletext"/>
              <w:jc w:val="center"/>
              <w:rPr>
                <w:b/>
                <w:bCs/>
              </w:rPr>
            </w:pPr>
            <w:r>
              <w:rPr>
                <w:b/>
                <w:bCs/>
              </w:rPr>
              <w:t>-</w:t>
            </w:r>
          </w:p>
        </w:tc>
      </w:tr>
      <w:tr w:rsidR="004E0DA6" w:rsidRPr="00E2771E" w14:paraId="7ECB2A0F"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B0CA2B8" w14:textId="77777777" w:rsidR="004E0DA6" w:rsidRPr="00E2771E" w:rsidRDefault="004E0DA6" w:rsidP="00322E1B">
            <w:pPr>
              <w:pStyle w:val="In-tableHeading"/>
            </w:pPr>
            <w:r w:rsidRPr="00E2771E">
              <w:t xml:space="preserve">Harms </w:t>
            </w:r>
          </w:p>
        </w:tc>
      </w:tr>
      <w:tr w:rsidR="004E0DA6" w:rsidRPr="0061000F" w14:paraId="27B0EE28"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53197626" w14:textId="77777777" w:rsidR="004E0DA6" w:rsidRPr="0061000F" w:rsidRDefault="004E0DA6" w:rsidP="00322E1B">
            <w:pPr>
              <w:pStyle w:val="Tabletext"/>
              <w:keepNext/>
              <w:keepLines/>
              <w:rPr>
                <w:b/>
                <w:bCs/>
                <w:color w:val="000000"/>
                <w:szCs w:val="18"/>
              </w:rPr>
            </w:pPr>
            <w:r w:rsidRPr="0061000F">
              <w:rPr>
                <w:b/>
                <w:bCs/>
                <w:color w:val="000000"/>
                <w:szCs w:val="18"/>
              </w:rPr>
              <w:t>Adverse event</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2D6793B" w14:textId="77777777" w:rsidR="004E0DA6" w:rsidRPr="0061000F" w:rsidRDefault="004E0DA6" w:rsidP="00322E1B">
            <w:pPr>
              <w:pStyle w:val="Tabletext"/>
              <w:keepNext/>
              <w:keepLines/>
              <w:jc w:val="center"/>
              <w:rPr>
                <w:b/>
                <w:bCs/>
              </w:rPr>
            </w:pPr>
            <w:r w:rsidRPr="0061000F">
              <w:rPr>
                <w:b/>
                <w:bCs/>
              </w:rPr>
              <w:t>Number of patients (%)</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48F595B7" w14:textId="77777777" w:rsidR="004E0DA6" w:rsidRPr="0061000F" w:rsidRDefault="004E0DA6" w:rsidP="00322E1B">
            <w:pPr>
              <w:pStyle w:val="Tabletext"/>
              <w:keepNext/>
              <w:keepLines/>
              <w:jc w:val="center"/>
              <w:rPr>
                <w:b/>
                <w:bCs/>
                <w:color w:val="000000"/>
                <w:szCs w:val="18"/>
              </w:rPr>
            </w:pPr>
            <w:r>
              <w:rPr>
                <w:b/>
                <w:bCs/>
                <w:color w:val="000000"/>
                <w:szCs w:val="18"/>
              </w:rPr>
              <w:t xml:space="preserve">Event rate/ 100 </w:t>
            </w:r>
            <w:proofErr w:type="spellStart"/>
            <w:r>
              <w:rPr>
                <w:b/>
                <w:bCs/>
                <w:color w:val="000000"/>
                <w:szCs w:val="18"/>
              </w:rPr>
              <w:t>patients</w:t>
            </w:r>
            <w:r w:rsidR="000F7E9B">
              <w:rPr>
                <w:b/>
                <w:bCs/>
                <w:color w:val="000000"/>
                <w:szCs w:val="18"/>
                <w:vertAlign w:val="superscript"/>
              </w:rPr>
              <w:t>a</w:t>
            </w:r>
            <w:proofErr w:type="spellEnd"/>
          </w:p>
        </w:tc>
        <w:tc>
          <w:tcPr>
            <w:tcW w:w="935" w:type="pct"/>
            <w:tcBorders>
              <w:top w:val="single" w:sz="4" w:space="0" w:color="auto"/>
              <w:left w:val="single" w:sz="4" w:space="0" w:color="auto"/>
              <w:bottom w:val="single" w:sz="4" w:space="0" w:color="auto"/>
              <w:right w:val="single" w:sz="4" w:space="0" w:color="auto"/>
            </w:tcBorders>
            <w:vAlign w:val="center"/>
          </w:tcPr>
          <w:p w14:paraId="107D59B0" w14:textId="77777777" w:rsidR="004E0DA6" w:rsidRPr="0061000F" w:rsidRDefault="004E0DA6" w:rsidP="00322E1B">
            <w:pPr>
              <w:pStyle w:val="Tabletext"/>
              <w:keepNext/>
              <w:keepLines/>
              <w:jc w:val="center"/>
              <w:rPr>
                <w:b/>
                <w:bCs/>
                <w:color w:val="000000"/>
                <w:szCs w:val="18"/>
              </w:rPr>
            </w:pPr>
            <w:r w:rsidRPr="0061000F">
              <w:rPr>
                <w:b/>
                <w:bCs/>
                <w:color w:val="000000"/>
                <w:szCs w:val="18"/>
              </w:rPr>
              <w:t>Risk difference</w:t>
            </w:r>
          </w:p>
          <w:p w14:paraId="33E65E00" w14:textId="77777777" w:rsidR="004E0DA6" w:rsidRPr="0061000F" w:rsidRDefault="004E0DA6" w:rsidP="00322E1B">
            <w:pPr>
              <w:pStyle w:val="Tabletext"/>
              <w:keepNext/>
              <w:keepLines/>
              <w:jc w:val="center"/>
              <w:rPr>
                <w:b/>
                <w:bCs/>
                <w:color w:val="000000"/>
                <w:szCs w:val="18"/>
              </w:rPr>
            </w:pPr>
            <w:r w:rsidRPr="0061000F">
              <w:rPr>
                <w:b/>
                <w:bCs/>
                <w:color w:val="000000"/>
                <w:szCs w:val="18"/>
              </w:rPr>
              <w:t>(95% CI)</w:t>
            </w:r>
          </w:p>
        </w:tc>
      </w:tr>
      <w:tr w:rsidR="004E0DA6" w:rsidRPr="0061000F" w14:paraId="62751930"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49AD4B4C" w14:textId="77777777" w:rsidR="004E0DA6" w:rsidRPr="006F6742" w:rsidRDefault="004E0DA6" w:rsidP="00322E1B">
            <w:pPr>
              <w:pStyle w:val="Tabletext"/>
              <w:keepNext/>
              <w:keepLines/>
              <w:rPr>
                <w:color w:val="000000"/>
                <w:szCs w:val="18"/>
              </w:rPr>
            </w:pPr>
          </w:p>
        </w:tc>
        <w:tc>
          <w:tcPr>
            <w:tcW w:w="899" w:type="pct"/>
            <w:tcBorders>
              <w:top w:val="single" w:sz="4" w:space="0" w:color="auto"/>
              <w:left w:val="single" w:sz="4" w:space="0" w:color="auto"/>
              <w:bottom w:val="single" w:sz="4" w:space="0" w:color="auto"/>
              <w:right w:val="single" w:sz="4" w:space="0" w:color="auto"/>
            </w:tcBorders>
            <w:vAlign w:val="center"/>
          </w:tcPr>
          <w:p w14:paraId="182E897D" w14:textId="77777777" w:rsidR="004E0DA6" w:rsidRPr="006F6742" w:rsidRDefault="004E0DA6" w:rsidP="00322E1B">
            <w:pPr>
              <w:pStyle w:val="Tabletext"/>
              <w:keepNext/>
              <w:keepLines/>
              <w:jc w:val="center"/>
            </w:pPr>
            <w:proofErr w:type="spellStart"/>
            <w:r>
              <w:rPr>
                <w:rFonts w:eastAsiaTheme="minorHAnsi"/>
                <w:b/>
                <w:bCs/>
              </w:rPr>
              <w:t>P</w:t>
            </w:r>
            <w:r w:rsidRPr="001B2A24">
              <w:rPr>
                <w:rFonts w:eastAsiaTheme="minorHAnsi"/>
                <w:b/>
              </w:rPr>
              <w:t>embro</w:t>
            </w:r>
            <w:proofErr w:type="spellEnd"/>
            <w:r>
              <w:rPr>
                <w:rFonts w:eastAsiaTheme="minorHAnsi"/>
                <w:b/>
                <w:bCs/>
              </w:rPr>
              <w:t xml:space="preserve"> plus chemo</w:t>
            </w:r>
            <w:r w:rsidRPr="00A5279F">
              <w:rPr>
                <w:rFonts w:eastAsiaTheme="minorHAnsi"/>
                <w:b/>
                <w:bCs/>
              </w:rPr>
              <w:br/>
              <w:t>(N=782)</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C5D42F2" w14:textId="77777777" w:rsidR="004E0DA6" w:rsidRPr="006F6742" w:rsidRDefault="004E0DA6" w:rsidP="00322E1B">
            <w:pPr>
              <w:pStyle w:val="Tabletext"/>
              <w:keepNext/>
              <w:keepLines/>
              <w:jc w:val="center"/>
            </w:pPr>
            <w:r>
              <w:rPr>
                <w:rFonts w:eastAsiaTheme="minorHAnsi"/>
                <w:b/>
                <w:bCs/>
              </w:rPr>
              <w:t>Chemo alone</w:t>
            </w:r>
            <w:r w:rsidRPr="00A5279F">
              <w:rPr>
                <w:rFonts w:eastAsiaTheme="minorHAnsi"/>
                <w:b/>
                <w:bCs/>
              </w:rPr>
              <w:br/>
              <w:t>(N=767)</w:t>
            </w:r>
          </w:p>
        </w:tc>
        <w:tc>
          <w:tcPr>
            <w:tcW w:w="469" w:type="pct"/>
            <w:tcBorders>
              <w:top w:val="single" w:sz="4" w:space="0" w:color="auto"/>
              <w:left w:val="single" w:sz="4" w:space="0" w:color="auto"/>
              <w:bottom w:val="single" w:sz="4" w:space="0" w:color="auto"/>
              <w:right w:val="single" w:sz="4" w:space="0" w:color="auto"/>
            </w:tcBorders>
            <w:vAlign w:val="center"/>
          </w:tcPr>
          <w:p w14:paraId="30DE2325" w14:textId="77777777" w:rsidR="004E0DA6" w:rsidRPr="006F6742" w:rsidRDefault="004E0DA6" w:rsidP="00322E1B">
            <w:pPr>
              <w:pStyle w:val="Tabletext"/>
              <w:keepNext/>
              <w:keepLines/>
              <w:jc w:val="center"/>
              <w:rPr>
                <w:color w:val="000000"/>
                <w:szCs w:val="18"/>
              </w:rPr>
            </w:pPr>
            <w:proofErr w:type="spellStart"/>
            <w:r>
              <w:rPr>
                <w:rFonts w:eastAsiaTheme="minorHAnsi"/>
                <w:b/>
                <w:bCs/>
              </w:rPr>
              <w:t>P</w:t>
            </w:r>
            <w:r w:rsidRPr="00DC2F19">
              <w:rPr>
                <w:rFonts w:eastAsiaTheme="minorHAnsi"/>
                <w:b/>
              </w:rPr>
              <w:t>embro</w:t>
            </w:r>
            <w:proofErr w:type="spellEnd"/>
            <w:r>
              <w:rPr>
                <w:rFonts w:eastAsiaTheme="minorHAnsi"/>
                <w:b/>
                <w:bCs/>
              </w:rPr>
              <w:t xml:space="preserve"> plus chemo</w:t>
            </w:r>
          </w:p>
        </w:tc>
        <w:tc>
          <w:tcPr>
            <w:tcW w:w="390" w:type="pct"/>
            <w:tcBorders>
              <w:top w:val="single" w:sz="4" w:space="0" w:color="auto"/>
              <w:left w:val="single" w:sz="4" w:space="0" w:color="auto"/>
              <w:bottom w:val="single" w:sz="4" w:space="0" w:color="auto"/>
              <w:right w:val="single" w:sz="4" w:space="0" w:color="auto"/>
            </w:tcBorders>
            <w:vAlign w:val="center"/>
          </w:tcPr>
          <w:p w14:paraId="54F70520" w14:textId="77777777" w:rsidR="004E0DA6" w:rsidRPr="006F6742" w:rsidRDefault="004E0DA6" w:rsidP="00322E1B">
            <w:pPr>
              <w:pStyle w:val="Tabletext"/>
              <w:keepNext/>
              <w:keepLines/>
              <w:jc w:val="center"/>
              <w:rPr>
                <w:color w:val="000000"/>
                <w:szCs w:val="18"/>
              </w:rPr>
            </w:pPr>
            <w:r>
              <w:rPr>
                <w:rFonts w:eastAsiaTheme="minorHAnsi"/>
                <w:b/>
                <w:bCs/>
              </w:rPr>
              <w:t>Chemo alone</w:t>
            </w:r>
          </w:p>
        </w:tc>
        <w:tc>
          <w:tcPr>
            <w:tcW w:w="935" w:type="pct"/>
            <w:tcBorders>
              <w:top w:val="single" w:sz="4" w:space="0" w:color="auto"/>
              <w:left w:val="single" w:sz="4" w:space="0" w:color="auto"/>
              <w:bottom w:val="single" w:sz="4" w:space="0" w:color="auto"/>
              <w:right w:val="single" w:sz="4" w:space="0" w:color="auto"/>
            </w:tcBorders>
            <w:vAlign w:val="center"/>
          </w:tcPr>
          <w:p w14:paraId="238C8FCB" w14:textId="77777777" w:rsidR="004E0DA6" w:rsidRPr="006F6742" w:rsidRDefault="004E0DA6" w:rsidP="00322E1B">
            <w:pPr>
              <w:pStyle w:val="Tabletext"/>
              <w:keepNext/>
              <w:keepLines/>
              <w:jc w:val="center"/>
              <w:rPr>
                <w:color w:val="000000"/>
                <w:szCs w:val="18"/>
              </w:rPr>
            </w:pPr>
          </w:p>
        </w:tc>
      </w:tr>
      <w:tr w:rsidR="004E0DA6" w:rsidRPr="0061000F" w14:paraId="105C14EF"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41543A5A" w14:textId="77777777" w:rsidR="004E0DA6" w:rsidRDefault="004E0DA6" w:rsidP="00322E1B">
            <w:pPr>
              <w:pStyle w:val="Tabletext"/>
              <w:keepNext/>
              <w:keepLines/>
            </w:pPr>
            <w:r>
              <w:t>S</w:t>
            </w:r>
            <w:r w:rsidRPr="00C44B39">
              <w:t xml:space="preserve">erious drug-related </w:t>
            </w:r>
            <w:r>
              <w:t>AEs</w:t>
            </w:r>
            <w:r w:rsidRPr="00C44B39">
              <w:t xml:space="preserve"> </w:t>
            </w:r>
          </w:p>
        </w:tc>
        <w:tc>
          <w:tcPr>
            <w:tcW w:w="899" w:type="pct"/>
            <w:tcBorders>
              <w:top w:val="single" w:sz="4" w:space="0" w:color="auto"/>
              <w:left w:val="single" w:sz="4" w:space="0" w:color="auto"/>
              <w:bottom w:val="single" w:sz="4" w:space="0" w:color="auto"/>
              <w:right w:val="single" w:sz="4" w:space="0" w:color="auto"/>
            </w:tcBorders>
            <w:vAlign w:val="center"/>
          </w:tcPr>
          <w:p w14:paraId="574F6875" w14:textId="77777777" w:rsidR="004E0DA6" w:rsidRDefault="004E0DA6" w:rsidP="00322E1B">
            <w:pPr>
              <w:pStyle w:val="Tabletext"/>
              <w:keepNext/>
              <w:keepLines/>
              <w:jc w:val="center"/>
            </w:pPr>
            <w:r>
              <w:t>117 (31.6)</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C674193" w14:textId="77777777" w:rsidR="004E0DA6" w:rsidRDefault="004E0DA6" w:rsidP="00322E1B">
            <w:pPr>
              <w:pStyle w:val="Tabletext"/>
              <w:keepNext/>
              <w:keepLines/>
              <w:jc w:val="center"/>
            </w:pPr>
            <w:r>
              <w:t>97 (26.2)</w:t>
            </w:r>
          </w:p>
        </w:tc>
        <w:tc>
          <w:tcPr>
            <w:tcW w:w="469" w:type="pct"/>
            <w:tcBorders>
              <w:top w:val="single" w:sz="4" w:space="0" w:color="auto"/>
              <w:left w:val="single" w:sz="4" w:space="0" w:color="auto"/>
              <w:bottom w:val="single" w:sz="4" w:space="0" w:color="auto"/>
              <w:right w:val="single" w:sz="4" w:space="0" w:color="auto"/>
            </w:tcBorders>
            <w:vAlign w:val="bottom"/>
          </w:tcPr>
          <w:p w14:paraId="404B5B8D" w14:textId="77777777" w:rsidR="004E0DA6" w:rsidRPr="006F6742" w:rsidRDefault="004E0DA6" w:rsidP="00322E1B">
            <w:pPr>
              <w:pStyle w:val="Tabletext"/>
              <w:keepNext/>
              <w:keepLines/>
              <w:jc w:val="center"/>
              <w:rPr>
                <w:color w:val="000000"/>
                <w:szCs w:val="18"/>
              </w:rPr>
            </w:pPr>
            <w:r>
              <w:rPr>
                <w:color w:val="000000"/>
                <w:szCs w:val="18"/>
              </w:rPr>
              <w:t>32</w:t>
            </w:r>
          </w:p>
        </w:tc>
        <w:tc>
          <w:tcPr>
            <w:tcW w:w="390" w:type="pct"/>
            <w:tcBorders>
              <w:top w:val="single" w:sz="4" w:space="0" w:color="auto"/>
              <w:left w:val="single" w:sz="4" w:space="0" w:color="auto"/>
              <w:bottom w:val="single" w:sz="4" w:space="0" w:color="auto"/>
              <w:right w:val="single" w:sz="4" w:space="0" w:color="auto"/>
            </w:tcBorders>
          </w:tcPr>
          <w:p w14:paraId="2603FE13" w14:textId="77777777" w:rsidR="004E0DA6" w:rsidRPr="006F6742" w:rsidRDefault="004E0DA6" w:rsidP="00322E1B">
            <w:pPr>
              <w:pStyle w:val="Tabletext"/>
              <w:keepNext/>
              <w:keepLines/>
              <w:jc w:val="center"/>
              <w:rPr>
                <w:color w:val="000000"/>
                <w:szCs w:val="18"/>
              </w:rPr>
            </w:pPr>
            <w:r>
              <w:rPr>
                <w:color w:val="000000"/>
                <w:szCs w:val="18"/>
              </w:rPr>
              <w:t>26</w:t>
            </w:r>
          </w:p>
        </w:tc>
        <w:tc>
          <w:tcPr>
            <w:tcW w:w="935" w:type="pct"/>
            <w:tcBorders>
              <w:top w:val="single" w:sz="4" w:space="0" w:color="auto"/>
              <w:left w:val="single" w:sz="4" w:space="0" w:color="auto"/>
              <w:bottom w:val="single" w:sz="4" w:space="0" w:color="auto"/>
              <w:right w:val="single" w:sz="4" w:space="0" w:color="auto"/>
            </w:tcBorders>
            <w:vAlign w:val="bottom"/>
          </w:tcPr>
          <w:p w14:paraId="0236EE2E" w14:textId="77777777" w:rsidR="004E0DA6" w:rsidRPr="003B481C" w:rsidRDefault="004E0DA6" w:rsidP="00322E1B">
            <w:pPr>
              <w:pStyle w:val="Tabletext"/>
              <w:keepNext/>
              <w:keepLines/>
              <w:jc w:val="center"/>
              <w:rPr>
                <w:iCs/>
              </w:rPr>
            </w:pPr>
            <w:r w:rsidRPr="003B481C">
              <w:rPr>
                <w:iCs/>
              </w:rPr>
              <w:t>0.05 (-0.01, 0.12)</w:t>
            </w:r>
          </w:p>
        </w:tc>
      </w:tr>
      <w:tr w:rsidR="004E0DA6" w:rsidRPr="0061000F" w14:paraId="1B4F7EE8" w14:textId="77777777" w:rsidTr="00DA2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9BCD79" w14:textId="77777777" w:rsidR="004E0DA6" w:rsidRDefault="004E0DA6" w:rsidP="00322E1B">
            <w:pPr>
              <w:pStyle w:val="Tabletext"/>
              <w:keepNext/>
              <w:keepLines/>
            </w:pPr>
            <w:r>
              <w:t xml:space="preserve">Discontinuation </w:t>
            </w:r>
            <w:r w:rsidRPr="00C44B39">
              <w:t xml:space="preserve">drug due to a serious drug-related </w:t>
            </w:r>
            <w:r>
              <w:t>AE</w:t>
            </w:r>
          </w:p>
        </w:tc>
        <w:tc>
          <w:tcPr>
            <w:tcW w:w="899" w:type="pct"/>
            <w:tcBorders>
              <w:top w:val="single" w:sz="4" w:space="0" w:color="auto"/>
              <w:left w:val="single" w:sz="4" w:space="0" w:color="auto"/>
              <w:bottom w:val="single" w:sz="4" w:space="0" w:color="auto"/>
              <w:right w:val="single" w:sz="4" w:space="0" w:color="auto"/>
            </w:tcBorders>
            <w:vAlign w:val="center"/>
          </w:tcPr>
          <w:p w14:paraId="6F2671B9"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0E5AD16" w14:textId="77777777" w:rsidR="004E0DA6" w:rsidRDefault="004E0DA6" w:rsidP="00322E1B">
            <w:pPr>
              <w:pStyle w:val="Tabletext"/>
              <w:keepNext/>
              <w:keepLines/>
              <w:jc w:val="center"/>
            </w:pPr>
            <w:r>
              <w:t>17 (4.6)</w:t>
            </w:r>
          </w:p>
        </w:tc>
        <w:tc>
          <w:tcPr>
            <w:tcW w:w="469" w:type="pct"/>
            <w:tcBorders>
              <w:top w:val="single" w:sz="4" w:space="0" w:color="auto"/>
              <w:left w:val="single" w:sz="4" w:space="0" w:color="auto"/>
              <w:bottom w:val="single" w:sz="4" w:space="0" w:color="auto"/>
              <w:right w:val="single" w:sz="4" w:space="0" w:color="auto"/>
            </w:tcBorders>
            <w:vAlign w:val="center"/>
          </w:tcPr>
          <w:p w14:paraId="762DE79A" w14:textId="77777777" w:rsidR="004E0DA6" w:rsidRPr="006F6742" w:rsidRDefault="004E0DA6" w:rsidP="00DA24D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A1AEB24" w14:textId="77777777" w:rsidR="004E0DA6" w:rsidRPr="006F6742" w:rsidRDefault="004E0DA6" w:rsidP="00DA24DB">
            <w:pPr>
              <w:pStyle w:val="Tabletext"/>
              <w:keepNext/>
              <w:keepLines/>
              <w:jc w:val="center"/>
              <w:rPr>
                <w:color w:val="000000"/>
                <w:szCs w:val="18"/>
              </w:rPr>
            </w:pPr>
            <w:r>
              <w:rPr>
                <w:color w:val="000000"/>
                <w:szCs w:val="18"/>
              </w:rPr>
              <w:t>5</w:t>
            </w:r>
          </w:p>
        </w:tc>
        <w:tc>
          <w:tcPr>
            <w:tcW w:w="935" w:type="pct"/>
            <w:tcBorders>
              <w:top w:val="single" w:sz="4" w:space="0" w:color="auto"/>
              <w:left w:val="single" w:sz="4" w:space="0" w:color="auto"/>
              <w:bottom w:val="single" w:sz="4" w:space="0" w:color="auto"/>
              <w:right w:val="single" w:sz="4" w:space="0" w:color="auto"/>
            </w:tcBorders>
            <w:vAlign w:val="center"/>
          </w:tcPr>
          <w:p w14:paraId="55BBA901" w14:textId="77777777" w:rsidR="004E0DA6" w:rsidRPr="003B481C" w:rsidRDefault="004E0DA6" w:rsidP="00DA24DB">
            <w:pPr>
              <w:pStyle w:val="Tabletext"/>
              <w:keepNext/>
              <w:keepLines/>
              <w:jc w:val="center"/>
              <w:rPr>
                <w:iCs/>
              </w:rPr>
            </w:pPr>
            <w:r w:rsidRPr="003B481C">
              <w:rPr>
                <w:iCs/>
              </w:rPr>
              <w:t>0.06 (0.02, 0.09)</w:t>
            </w:r>
          </w:p>
        </w:tc>
      </w:tr>
      <w:tr w:rsidR="004E0DA6" w:rsidRPr="0061000F" w14:paraId="17AF374C"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53C44134" w14:textId="77777777" w:rsidR="004E0DA6" w:rsidRDefault="004E0DA6" w:rsidP="00322E1B">
            <w:pPr>
              <w:pStyle w:val="Tabletext"/>
              <w:keepNext/>
              <w:keepLines/>
            </w:pPr>
            <w:r>
              <w:t>AEOSI</w:t>
            </w:r>
          </w:p>
        </w:tc>
        <w:tc>
          <w:tcPr>
            <w:tcW w:w="899" w:type="pct"/>
            <w:tcBorders>
              <w:top w:val="single" w:sz="4" w:space="0" w:color="auto"/>
              <w:left w:val="single" w:sz="4" w:space="0" w:color="auto"/>
              <w:bottom w:val="single" w:sz="4" w:space="0" w:color="auto"/>
              <w:right w:val="single" w:sz="4" w:space="0" w:color="auto"/>
            </w:tcBorders>
            <w:vAlign w:val="center"/>
          </w:tcPr>
          <w:p w14:paraId="2B064733" w14:textId="77777777" w:rsidR="004E0DA6" w:rsidRDefault="004E0DA6" w:rsidP="00322E1B">
            <w:pPr>
              <w:pStyle w:val="Tabletext"/>
              <w:keepNext/>
              <w:keepLines/>
              <w:jc w:val="center"/>
            </w:pPr>
            <w:r>
              <w:t>95 (25.7)</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2AE64B2B" w14:textId="77777777" w:rsidR="004E0DA6" w:rsidRDefault="004E0DA6" w:rsidP="00322E1B">
            <w:pPr>
              <w:pStyle w:val="Tabletext"/>
              <w:keepNext/>
              <w:keepLines/>
              <w:jc w:val="center"/>
            </w:pPr>
            <w:r>
              <w:t>43 (11.6)</w:t>
            </w:r>
          </w:p>
        </w:tc>
        <w:tc>
          <w:tcPr>
            <w:tcW w:w="469" w:type="pct"/>
            <w:tcBorders>
              <w:top w:val="single" w:sz="4" w:space="0" w:color="auto"/>
              <w:left w:val="single" w:sz="4" w:space="0" w:color="auto"/>
              <w:bottom w:val="single" w:sz="4" w:space="0" w:color="auto"/>
              <w:right w:val="single" w:sz="4" w:space="0" w:color="auto"/>
            </w:tcBorders>
            <w:vAlign w:val="bottom"/>
          </w:tcPr>
          <w:p w14:paraId="5FDE69B7" w14:textId="77777777" w:rsidR="004E0DA6" w:rsidRPr="006F6742" w:rsidRDefault="004E0DA6" w:rsidP="00322E1B">
            <w:pPr>
              <w:pStyle w:val="Tabletext"/>
              <w:keepNext/>
              <w:keepLines/>
              <w:jc w:val="center"/>
              <w:rPr>
                <w:color w:val="000000"/>
                <w:szCs w:val="18"/>
              </w:rPr>
            </w:pPr>
            <w:r>
              <w:rPr>
                <w:color w:val="000000"/>
                <w:szCs w:val="18"/>
              </w:rPr>
              <w:t>26</w:t>
            </w:r>
          </w:p>
        </w:tc>
        <w:tc>
          <w:tcPr>
            <w:tcW w:w="390" w:type="pct"/>
            <w:tcBorders>
              <w:top w:val="single" w:sz="4" w:space="0" w:color="auto"/>
              <w:left w:val="single" w:sz="4" w:space="0" w:color="auto"/>
              <w:bottom w:val="single" w:sz="4" w:space="0" w:color="auto"/>
              <w:right w:val="single" w:sz="4" w:space="0" w:color="auto"/>
            </w:tcBorders>
            <w:vAlign w:val="center"/>
          </w:tcPr>
          <w:p w14:paraId="728A7B0D" w14:textId="77777777" w:rsidR="004E0DA6" w:rsidRPr="006F6742" w:rsidRDefault="004E0DA6" w:rsidP="00322E1B">
            <w:pPr>
              <w:pStyle w:val="Tabletext"/>
              <w:keepNext/>
              <w:keepLines/>
              <w:jc w:val="center"/>
              <w:rPr>
                <w:color w:val="000000"/>
                <w:szCs w:val="18"/>
              </w:rPr>
            </w:pPr>
            <w:r>
              <w:rPr>
                <w:color w:val="000000"/>
                <w:szCs w:val="18"/>
              </w:rPr>
              <w:t>12</w:t>
            </w:r>
          </w:p>
        </w:tc>
        <w:tc>
          <w:tcPr>
            <w:tcW w:w="935" w:type="pct"/>
            <w:tcBorders>
              <w:top w:val="single" w:sz="4" w:space="0" w:color="auto"/>
              <w:left w:val="single" w:sz="4" w:space="0" w:color="auto"/>
              <w:bottom w:val="single" w:sz="4" w:space="0" w:color="auto"/>
              <w:right w:val="single" w:sz="4" w:space="0" w:color="auto"/>
            </w:tcBorders>
            <w:vAlign w:val="bottom"/>
          </w:tcPr>
          <w:p w14:paraId="459F9F4D" w14:textId="77777777" w:rsidR="004E0DA6" w:rsidRPr="003B481C" w:rsidRDefault="004E0DA6" w:rsidP="00322E1B">
            <w:pPr>
              <w:pStyle w:val="Tabletext"/>
              <w:keepNext/>
              <w:keepLines/>
              <w:jc w:val="center"/>
              <w:rPr>
                <w:iCs/>
              </w:rPr>
            </w:pPr>
            <w:r w:rsidRPr="003B481C">
              <w:rPr>
                <w:iCs/>
              </w:rPr>
              <w:t>0.14 (0.09, 0.20</w:t>
            </w:r>
            <w:r w:rsidR="009E046F" w:rsidRPr="003B481C">
              <w:rPr>
                <w:iCs/>
              </w:rPr>
              <w:t>)</w:t>
            </w:r>
          </w:p>
        </w:tc>
      </w:tr>
      <w:tr w:rsidR="004E0DA6" w:rsidRPr="0061000F" w14:paraId="11C1278E"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E92EC9" w14:textId="77777777" w:rsidR="004E0DA6" w:rsidRDefault="004E0DA6" w:rsidP="00F75D5A">
            <w:pPr>
              <w:pStyle w:val="Tabletext"/>
              <w:keepNext/>
              <w:keepLines/>
              <w:ind w:firstLine="247"/>
            </w:pPr>
            <w:r>
              <w:t>Hypoth</w:t>
            </w:r>
            <w:r w:rsidR="001F5C4E">
              <w:t>y</w:t>
            </w:r>
            <w:r>
              <w:t>roidism</w:t>
            </w:r>
          </w:p>
        </w:tc>
        <w:tc>
          <w:tcPr>
            <w:tcW w:w="899" w:type="pct"/>
            <w:tcBorders>
              <w:top w:val="single" w:sz="4" w:space="0" w:color="auto"/>
              <w:left w:val="single" w:sz="4" w:space="0" w:color="auto"/>
              <w:bottom w:val="single" w:sz="4" w:space="0" w:color="auto"/>
              <w:right w:val="single" w:sz="4" w:space="0" w:color="auto"/>
            </w:tcBorders>
            <w:vAlign w:val="center"/>
          </w:tcPr>
          <w:p w14:paraId="07B49623"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5F06A46" w14:textId="77777777" w:rsidR="004E0DA6" w:rsidRDefault="004E0DA6" w:rsidP="00322E1B">
            <w:pPr>
              <w:pStyle w:val="Tabletext"/>
              <w:keepNext/>
              <w:keepLines/>
              <w:jc w:val="center"/>
            </w:pPr>
            <w:r>
              <w:t>22 (5.9)</w:t>
            </w:r>
          </w:p>
        </w:tc>
        <w:tc>
          <w:tcPr>
            <w:tcW w:w="469" w:type="pct"/>
            <w:tcBorders>
              <w:top w:val="single" w:sz="4" w:space="0" w:color="auto"/>
              <w:left w:val="single" w:sz="4" w:space="0" w:color="auto"/>
              <w:bottom w:val="single" w:sz="4" w:space="0" w:color="auto"/>
              <w:right w:val="single" w:sz="4" w:space="0" w:color="auto"/>
            </w:tcBorders>
            <w:vAlign w:val="bottom"/>
          </w:tcPr>
          <w:p w14:paraId="6329C3B0" w14:textId="77777777" w:rsidR="004E0DA6" w:rsidRPr="006F6742" w:rsidRDefault="004E0DA6" w:rsidP="00322E1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44522FC" w14:textId="77777777" w:rsidR="004E0DA6" w:rsidRPr="006F6742" w:rsidRDefault="004E0DA6" w:rsidP="00322E1B">
            <w:pPr>
              <w:pStyle w:val="Tabletext"/>
              <w:keepNext/>
              <w:keepLines/>
              <w:jc w:val="center"/>
              <w:rPr>
                <w:color w:val="000000"/>
                <w:szCs w:val="18"/>
              </w:rPr>
            </w:pPr>
            <w:r>
              <w:rPr>
                <w:color w:val="000000"/>
                <w:szCs w:val="18"/>
              </w:rPr>
              <w:t>6</w:t>
            </w:r>
          </w:p>
        </w:tc>
        <w:tc>
          <w:tcPr>
            <w:tcW w:w="935" w:type="pct"/>
            <w:tcBorders>
              <w:top w:val="single" w:sz="4" w:space="0" w:color="auto"/>
              <w:left w:val="single" w:sz="4" w:space="0" w:color="auto"/>
              <w:bottom w:val="single" w:sz="4" w:space="0" w:color="auto"/>
              <w:right w:val="single" w:sz="4" w:space="0" w:color="auto"/>
            </w:tcBorders>
            <w:vAlign w:val="bottom"/>
          </w:tcPr>
          <w:p w14:paraId="7B5BF489" w14:textId="77777777" w:rsidR="004E0DA6" w:rsidRPr="003B481C" w:rsidRDefault="004E0DA6" w:rsidP="00322E1B">
            <w:pPr>
              <w:pStyle w:val="Tabletext"/>
              <w:keepNext/>
              <w:keepLines/>
              <w:jc w:val="center"/>
              <w:rPr>
                <w:iCs/>
              </w:rPr>
            </w:pPr>
            <w:r w:rsidRPr="003B481C">
              <w:rPr>
                <w:iCs/>
              </w:rPr>
              <w:t>0.04 (0.00, 0.08)</w:t>
            </w:r>
          </w:p>
        </w:tc>
      </w:tr>
      <w:tr w:rsidR="004E0DA6" w:rsidRPr="0061000F" w14:paraId="7C3DC55D"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A1728C3" w14:textId="77777777" w:rsidR="004E0DA6" w:rsidRPr="006F6742" w:rsidRDefault="004E0DA6" w:rsidP="00F75D5A">
            <w:pPr>
              <w:pStyle w:val="Tabletext"/>
              <w:keepNext/>
              <w:keepLines/>
              <w:ind w:firstLine="247"/>
              <w:rPr>
                <w:color w:val="000000"/>
                <w:szCs w:val="18"/>
              </w:rPr>
            </w:pPr>
            <w:r>
              <w:t>Hyperthyroidism</w:t>
            </w:r>
          </w:p>
        </w:tc>
        <w:tc>
          <w:tcPr>
            <w:tcW w:w="899" w:type="pct"/>
            <w:tcBorders>
              <w:top w:val="single" w:sz="4" w:space="0" w:color="auto"/>
              <w:left w:val="single" w:sz="4" w:space="0" w:color="auto"/>
              <w:bottom w:val="single" w:sz="4" w:space="0" w:color="auto"/>
              <w:right w:val="single" w:sz="4" w:space="0" w:color="auto"/>
            </w:tcBorders>
            <w:vAlign w:val="center"/>
          </w:tcPr>
          <w:p w14:paraId="258380D5" w14:textId="77777777" w:rsidR="004E0DA6" w:rsidRPr="006F6742" w:rsidRDefault="004E0DA6" w:rsidP="00322E1B">
            <w:pPr>
              <w:pStyle w:val="Tabletext"/>
              <w:keepNext/>
              <w:keepLines/>
              <w:jc w:val="center"/>
            </w:pPr>
            <w:r>
              <w:t xml:space="preserve">19 (5.1) </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0F22380" w14:textId="77777777" w:rsidR="004E0DA6" w:rsidRPr="006F6742" w:rsidRDefault="004E0DA6" w:rsidP="00322E1B">
            <w:pPr>
              <w:pStyle w:val="Tabletext"/>
              <w:keepNext/>
              <w:keepLines/>
              <w:jc w:val="center"/>
            </w:pPr>
            <w:r>
              <w:t>2 (0.5)</w:t>
            </w:r>
          </w:p>
        </w:tc>
        <w:tc>
          <w:tcPr>
            <w:tcW w:w="469" w:type="pct"/>
            <w:tcBorders>
              <w:top w:val="single" w:sz="4" w:space="0" w:color="auto"/>
              <w:left w:val="single" w:sz="4" w:space="0" w:color="auto"/>
              <w:bottom w:val="single" w:sz="4" w:space="0" w:color="auto"/>
              <w:right w:val="single" w:sz="4" w:space="0" w:color="auto"/>
            </w:tcBorders>
            <w:vAlign w:val="bottom"/>
          </w:tcPr>
          <w:p w14:paraId="2448C137"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6291B0C" w14:textId="77777777" w:rsidR="004E0DA6" w:rsidRPr="006F6742" w:rsidRDefault="004E0DA6" w:rsidP="00322E1B">
            <w:pPr>
              <w:pStyle w:val="Tabletext"/>
              <w:keepNext/>
              <w:keepLines/>
              <w:jc w:val="center"/>
              <w:rPr>
                <w:color w:val="000000"/>
                <w:szCs w:val="18"/>
              </w:rPr>
            </w:pPr>
            <w:r>
              <w:rPr>
                <w:color w:val="000000"/>
                <w:szCs w:val="18"/>
              </w:rPr>
              <w:t>1</w:t>
            </w:r>
          </w:p>
        </w:tc>
        <w:tc>
          <w:tcPr>
            <w:tcW w:w="935" w:type="pct"/>
            <w:tcBorders>
              <w:top w:val="single" w:sz="4" w:space="0" w:color="auto"/>
              <w:left w:val="single" w:sz="4" w:space="0" w:color="auto"/>
              <w:bottom w:val="single" w:sz="4" w:space="0" w:color="auto"/>
              <w:right w:val="single" w:sz="4" w:space="0" w:color="auto"/>
            </w:tcBorders>
            <w:vAlign w:val="bottom"/>
          </w:tcPr>
          <w:p w14:paraId="41FF5A73" w14:textId="77777777" w:rsidR="004E0DA6" w:rsidRPr="003B481C" w:rsidRDefault="004E0DA6" w:rsidP="00322E1B">
            <w:pPr>
              <w:pStyle w:val="Tabletext"/>
              <w:keepNext/>
              <w:keepLines/>
              <w:jc w:val="center"/>
              <w:rPr>
                <w:iCs/>
                <w:color w:val="000000"/>
                <w:szCs w:val="18"/>
              </w:rPr>
            </w:pPr>
            <w:r w:rsidRPr="003B481C">
              <w:rPr>
                <w:iCs/>
              </w:rPr>
              <w:t>0.05 (0.02, 0.07)</w:t>
            </w:r>
          </w:p>
        </w:tc>
      </w:tr>
      <w:tr w:rsidR="004E0DA6" w:rsidRPr="0061000F" w14:paraId="6CC50BAC"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68C98DF3" w14:textId="77777777" w:rsidR="004E0DA6" w:rsidRPr="006F6742" w:rsidRDefault="004E0DA6" w:rsidP="00F75D5A">
            <w:pPr>
              <w:pStyle w:val="Tabletext"/>
              <w:keepNext/>
              <w:keepLines/>
              <w:ind w:firstLine="247"/>
              <w:rPr>
                <w:color w:val="000000"/>
                <w:szCs w:val="18"/>
              </w:rPr>
            </w:pPr>
            <w:r>
              <w:t>Pneumonitis</w:t>
            </w:r>
          </w:p>
        </w:tc>
        <w:tc>
          <w:tcPr>
            <w:tcW w:w="899" w:type="pct"/>
            <w:tcBorders>
              <w:top w:val="single" w:sz="4" w:space="0" w:color="auto"/>
              <w:left w:val="single" w:sz="4" w:space="0" w:color="auto"/>
              <w:bottom w:val="single" w:sz="4" w:space="0" w:color="auto"/>
              <w:right w:val="single" w:sz="4" w:space="0" w:color="auto"/>
            </w:tcBorders>
            <w:vAlign w:val="center"/>
          </w:tcPr>
          <w:p w14:paraId="17578536" w14:textId="77777777" w:rsidR="004E0DA6" w:rsidRPr="006F6742" w:rsidRDefault="004E0DA6" w:rsidP="00322E1B">
            <w:pPr>
              <w:pStyle w:val="Tabletext"/>
              <w:keepNext/>
              <w:keepLines/>
              <w:jc w:val="center"/>
            </w:pPr>
            <w:r>
              <w:t>20 (5.4)</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39E2B9B" w14:textId="77777777" w:rsidR="004E0DA6" w:rsidRPr="006F6742" w:rsidRDefault="004E0DA6" w:rsidP="00322E1B">
            <w:pPr>
              <w:pStyle w:val="Tabletext"/>
              <w:keepNext/>
              <w:keepLines/>
              <w:jc w:val="center"/>
            </w:pPr>
            <w:r>
              <w:t>0</w:t>
            </w:r>
          </w:p>
        </w:tc>
        <w:tc>
          <w:tcPr>
            <w:tcW w:w="469" w:type="pct"/>
            <w:tcBorders>
              <w:top w:val="single" w:sz="4" w:space="0" w:color="auto"/>
              <w:left w:val="single" w:sz="4" w:space="0" w:color="auto"/>
              <w:bottom w:val="single" w:sz="4" w:space="0" w:color="auto"/>
              <w:right w:val="single" w:sz="4" w:space="0" w:color="auto"/>
            </w:tcBorders>
            <w:vAlign w:val="bottom"/>
          </w:tcPr>
          <w:p w14:paraId="35FB9B9F"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08DF317" w14:textId="77777777" w:rsidR="004E0DA6" w:rsidRPr="006F6742" w:rsidRDefault="004E0DA6" w:rsidP="00322E1B">
            <w:pPr>
              <w:pStyle w:val="Tabletext"/>
              <w:keepNext/>
              <w:keepLines/>
              <w:jc w:val="center"/>
              <w:rPr>
                <w:color w:val="000000"/>
                <w:szCs w:val="18"/>
              </w:rPr>
            </w:pPr>
            <w:r>
              <w:rPr>
                <w:color w:val="000000"/>
                <w:szCs w:val="18"/>
              </w:rPr>
              <w:t>0</w:t>
            </w:r>
          </w:p>
        </w:tc>
        <w:tc>
          <w:tcPr>
            <w:tcW w:w="935" w:type="pct"/>
            <w:tcBorders>
              <w:top w:val="single" w:sz="4" w:space="0" w:color="auto"/>
              <w:left w:val="single" w:sz="4" w:space="0" w:color="auto"/>
              <w:bottom w:val="single" w:sz="4" w:space="0" w:color="auto"/>
              <w:right w:val="single" w:sz="4" w:space="0" w:color="auto"/>
            </w:tcBorders>
            <w:vAlign w:val="bottom"/>
          </w:tcPr>
          <w:p w14:paraId="30B3620B" w14:textId="77777777" w:rsidR="004E0DA6" w:rsidRPr="003B481C" w:rsidRDefault="004E0DA6" w:rsidP="00322E1B">
            <w:pPr>
              <w:pStyle w:val="Tabletext"/>
              <w:keepNext/>
              <w:keepLines/>
              <w:jc w:val="center"/>
              <w:rPr>
                <w:iCs/>
                <w:color w:val="000000"/>
                <w:szCs w:val="18"/>
              </w:rPr>
            </w:pPr>
            <w:r w:rsidRPr="003B481C">
              <w:rPr>
                <w:iCs/>
              </w:rPr>
              <w:t>0.05 (0.03, 0.08)</w:t>
            </w:r>
          </w:p>
        </w:tc>
      </w:tr>
    </w:tbl>
    <w:p w14:paraId="5E5DB0DB" w14:textId="77777777" w:rsidR="004E0DA6" w:rsidRDefault="004E0DA6" w:rsidP="004E0DA6">
      <w:pPr>
        <w:pStyle w:val="TableFooter"/>
        <w:keepNext/>
        <w:keepLines/>
      </w:pPr>
      <w:r>
        <w:t>Source: Table 2.5.2, p30</w:t>
      </w:r>
      <w:r w:rsidR="00C7614F">
        <w:t xml:space="preserve">, </w:t>
      </w:r>
      <w:r>
        <w:t xml:space="preserve">Table 2.5.3, p32 </w:t>
      </w:r>
      <w:r w:rsidR="00C7614F" w:rsidRPr="00C7614F">
        <w:t xml:space="preserve">Table 2.5-12, p41, Table 2.5.14, p43, and Table 2.5.17, p47 </w:t>
      </w:r>
      <w:r>
        <w:t>of the submission</w:t>
      </w:r>
    </w:p>
    <w:p w14:paraId="4B56A6A3" w14:textId="77777777" w:rsidR="004E0DA6" w:rsidRDefault="004E0DA6" w:rsidP="004E0DA6">
      <w:pPr>
        <w:pStyle w:val="TableFooter"/>
        <w:keepNext/>
        <w:keepLines/>
        <w:rPr>
          <w:rFonts w:eastAsiaTheme="minorHAnsi"/>
        </w:rPr>
      </w:pPr>
      <w:r w:rsidRPr="004A1D4D">
        <w:rPr>
          <w:rFonts w:eastAsiaTheme="minorHAnsi"/>
        </w:rPr>
        <w:t xml:space="preserve">AE = adverse events; </w:t>
      </w:r>
      <w:r>
        <w:rPr>
          <w:rFonts w:eastAsiaTheme="minorHAnsi"/>
        </w:rPr>
        <w:t xml:space="preserve">AEOSI = adverse event of special interest; Chemo = chemotherapy, </w:t>
      </w:r>
      <w:r w:rsidRPr="004A1D4D">
        <w:rPr>
          <w:rFonts w:eastAsiaTheme="minorHAnsi"/>
        </w:rPr>
        <w:t>CI</w:t>
      </w:r>
      <w:r w:rsidR="00B736AA">
        <w:rPr>
          <w:rFonts w:eastAsiaTheme="minorHAnsi"/>
        </w:rPr>
        <w:t xml:space="preserve"> </w:t>
      </w:r>
      <w:r w:rsidRPr="004A1D4D">
        <w:rPr>
          <w:rFonts w:eastAsiaTheme="minorHAnsi"/>
        </w:rPr>
        <w:t>= confidence interval;</w:t>
      </w:r>
      <w:r>
        <w:rPr>
          <w:rFonts w:eastAsiaTheme="minorHAnsi"/>
        </w:rPr>
        <w:t xml:space="preserve"> HR = hazard ratio; </w:t>
      </w:r>
      <w:r w:rsidRPr="004A1D4D">
        <w:rPr>
          <w:rFonts w:eastAsiaTheme="minorHAnsi"/>
        </w:rPr>
        <w:t xml:space="preserve">N = total participants in group; </w:t>
      </w:r>
      <w:proofErr w:type="spellStart"/>
      <w:r w:rsidR="003C492F">
        <w:rPr>
          <w:rFonts w:eastAsiaTheme="minorHAnsi"/>
        </w:rPr>
        <w:t>Pembro</w:t>
      </w:r>
      <w:proofErr w:type="spellEnd"/>
      <w:r>
        <w:rPr>
          <w:rFonts w:eastAsiaTheme="minorHAnsi"/>
        </w:rPr>
        <w:t xml:space="preserve"> = </w:t>
      </w:r>
      <w:r w:rsidR="003C492F">
        <w:rPr>
          <w:rFonts w:eastAsiaTheme="minorHAnsi"/>
        </w:rPr>
        <w:t>pembrolizumab</w:t>
      </w:r>
      <w:r>
        <w:rPr>
          <w:rFonts w:eastAsiaTheme="minorHAnsi"/>
        </w:rPr>
        <w:t xml:space="preserve">, </w:t>
      </w:r>
      <w:r w:rsidRPr="004A1D4D">
        <w:rPr>
          <w:rFonts w:eastAsiaTheme="minorHAnsi"/>
        </w:rPr>
        <w:t>SAE = serious adverse events</w:t>
      </w:r>
    </w:p>
    <w:p w14:paraId="56439654" w14:textId="77777777" w:rsidR="004E0DA6" w:rsidRDefault="003C492F" w:rsidP="004E0DA6">
      <w:pPr>
        <w:pStyle w:val="TableFooter"/>
      </w:pPr>
      <w:r>
        <w:t>Note: Median survival</w:t>
      </w:r>
      <w:r w:rsidR="004E0DA6">
        <w:t xml:space="preserve"> was estimated through Kaplan Meier product-limit method of censored data </w:t>
      </w:r>
    </w:p>
    <w:p w14:paraId="79EAE98E" w14:textId="77777777" w:rsidR="004E0DA6" w:rsidRDefault="004E0DA6" w:rsidP="004E0DA6">
      <w:pPr>
        <w:pStyle w:val="TableFooter"/>
      </w:pPr>
      <w:r>
        <w:t>Note: Hazard ratio was b</w:t>
      </w:r>
      <w:r w:rsidRPr="00D92D2C">
        <w:t xml:space="preserve">ased on Cox regression model with </w:t>
      </w:r>
      <w:proofErr w:type="spellStart"/>
      <w:r w:rsidRPr="00D92D2C">
        <w:t>Efron’s</w:t>
      </w:r>
      <w:proofErr w:type="spellEnd"/>
      <w:r w:rsidRPr="00D92D2C">
        <w:t xml:space="preserve"> method of tie handling with treatment as a covariate stratified by geographic region (Asia versus Rest of the World) and ECOG performance status (0 versus 1).</w:t>
      </w:r>
    </w:p>
    <w:p w14:paraId="440EF302" w14:textId="3690E839" w:rsidR="004E0DA6" w:rsidRPr="0072416F" w:rsidRDefault="004E0DA6" w:rsidP="004E0DA6">
      <w:pPr>
        <w:pStyle w:val="TableFooter"/>
      </w:pPr>
      <w:r>
        <w:t>Note: The o</w:t>
      </w:r>
      <w:r w:rsidRPr="00D92D2C">
        <w:t>ne-sided p-value based on log-rank test stratified by geographic region (Asia versus Rest of the World) and ECOG performance status (0 versus 1)</w:t>
      </w:r>
    </w:p>
    <w:p w14:paraId="0C8D6879" w14:textId="77777777" w:rsidR="004E0DA6" w:rsidRDefault="00031534" w:rsidP="00031534">
      <w:pPr>
        <w:pStyle w:val="TableFigureFooter"/>
        <w:keepNext/>
        <w:keepLines/>
        <w:tabs>
          <w:tab w:val="left" w:pos="284"/>
        </w:tabs>
      </w:pPr>
      <w:r w:rsidRPr="000F7E9B">
        <w:rPr>
          <w:vertAlign w:val="superscript"/>
        </w:rPr>
        <w:t>a</w:t>
      </w:r>
      <w:r w:rsidRPr="000F7E9B">
        <w:rPr>
          <w:vertAlign w:val="superscript"/>
        </w:rPr>
        <w:tab/>
      </w:r>
      <w:r w:rsidR="004E0DA6" w:rsidRPr="000F7E9B">
        <w:t>Median duration of follow-up: of 12.6 months in pembrolizumab plus chemo arm and 9.8 months in chemotherapy alone arm.</w:t>
      </w:r>
    </w:p>
    <w:p w14:paraId="643E8028" w14:textId="06EB4AB0" w:rsidR="004E0DA6" w:rsidRPr="00B6701B" w:rsidRDefault="004E0DA6" w:rsidP="004E0DA6">
      <w:pPr>
        <w:pStyle w:val="TableFigureFooter"/>
        <w:keepNext/>
        <w:keepLines/>
      </w:pPr>
      <w:r>
        <w:t xml:space="preserve">Values in bold indicates statistically significant differences </w:t>
      </w:r>
    </w:p>
    <w:p w14:paraId="4CC759A5" w14:textId="77777777" w:rsidR="00E03C2F" w:rsidRDefault="004E0DA6" w:rsidP="00863C38">
      <w:pPr>
        <w:pStyle w:val="3-BodyText"/>
        <w:numPr>
          <w:ilvl w:val="1"/>
          <w:numId w:val="1"/>
        </w:numPr>
        <w:jc w:val="both"/>
        <w:rPr>
          <w:rFonts w:cstheme="minorHAnsi"/>
        </w:rPr>
      </w:pPr>
      <w:proofErr w:type="gramStart"/>
      <w:r w:rsidRPr="00197FE9">
        <w:rPr>
          <w:rFonts w:cstheme="minorHAnsi"/>
        </w:rPr>
        <w:t>On the basis of</w:t>
      </w:r>
      <w:proofErr w:type="gramEnd"/>
      <w:r w:rsidRPr="00197FE9">
        <w:rPr>
          <w:rFonts w:cstheme="minorHAnsi"/>
        </w:rPr>
        <w:t xml:space="preserve"> the KN590 trial presented by the submission, </w:t>
      </w:r>
      <w:r w:rsidR="00A3016C">
        <w:rPr>
          <w:rFonts w:cstheme="minorHAnsi"/>
        </w:rPr>
        <w:t xml:space="preserve">for every 100 patients </w:t>
      </w:r>
      <w:r w:rsidRPr="00197FE9">
        <w:rPr>
          <w:rFonts w:cstheme="minorHAnsi"/>
        </w:rPr>
        <w:t>treated with pembrolizumab plus chemotherapy (for a median duration of 12.6 months) instead of chemotherapy alone (for a median duration of 9.8 months)</w:t>
      </w:r>
      <w:r w:rsidR="00F24E5B">
        <w:rPr>
          <w:rFonts w:cstheme="minorHAnsi"/>
        </w:rPr>
        <w:t>:</w:t>
      </w:r>
    </w:p>
    <w:p w14:paraId="67251A9A" w14:textId="76F25B46" w:rsidR="00D555A0" w:rsidRPr="00CB71F0" w:rsidRDefault="00A3016C" w:rsidP="00CB71F0">
      <w:pPr>
        <w:pStyle w:val="3-BodyText"/>
        <w:numPr>
          <w:ilvl w:val="0"/>
          <w:numId w:val="13"/>
        </w:numPr>
        <w:jc w:val="both"/>
        <w:rPr>
          <w:rFonts w:cstheme="minorHAnsi"/>
        </w:rPr>
      </w:pPr>
      <w:r w:rsidRPr="00E03C2F">
        <w:rPr>
          <w:rFonts w:cstheme="minorHAnsi"/>
        </w:rPr>
        <w:t>1</w:t>
      </w:r>
      <w:r w:rsidR="009E45D7" w:rsidRPr="00E03C2F">
        <w:rPr>
          <w:rFonts w:cstheme="minorHAnsi"/>
        </w:rPr>
        <w:t>2</w:t>
      </w:r>
      <w:r w:rsidRPr="00E03C2F">
        <w:rPr>
          <w:rFonts w:cstheme="minorHAnsi"/>
        </w:rPr>
        <w:t xml:space="preserve"> more patients were alive at 12 months. </w:t>
      </w:r>
    </w:p>
    <w:p w14:paraId="157A80E8" w14:textId="77777777" w:rsidR="004E0DA6" w:rsidRPr="00197FE9" w:rsidRDefault="004E0DA6" w:rsidP="00863C38">
      <w:pPr>
        <w:pStyle w:val="3-BodyText"/>
        <w:numPr>
          <w:ilvl w:val="1"/>
          <w:numId w:val="1"/>
        </w:numPr>
        <w:jc w:val="both"/>
        <w:rPr>
          <w:rFonts w:cstheme="minorHAnsi"/>
        </w:rPr>
      </w:pPr>
      <w:proofErr w:type="gramStart"/>
      <w:r w:rsidRPr="00197FE9">
        <w:rPr>
          <w:rFonts w:cstheme="minorHAnsi"/>
        </w:rPr>
        <w:t>On the basis of</w:t>
      </w:r>
      <w:proofErr w:type="gramEnd"/>
      <w:r w:rsidRPr="00197FE9">
        <w:rPr>
          <w:rFonts w:cstheme="minorHAnsi"/>
        </w:rPr>
        <w:t xml:space="preserve"> the KN590 trial presented by the submission, for every 100 patients treated with pembrolizumab plus chemotherapy (for a median duration of 12.6 months) instead of chemotherapy alone (for a median duration of 9.8 months)</w:t>
      </w:r>
      <w:r w:rsidR="00F24E5B">
        <w:rPr>
          <w:rFonts w:cstheme="minorHAnsi"/>
        </w:rPr>
        <w:t>:</w:t>
      </w:r>
    </w:p>
    <w:p w14:paraId="17AFFA88" w14:textId="77777777" w:rsidR="004E0DA6" w:rsidRPr="00197FE9" w:rsidRDefault="004E0DA6" w:rsidP="008C0319">
      <w:pPr>
        <w:pStyle w:val="ListParagraph"/>
        <w:widowControl/>
        <w:numPr>
          <w:ilvl w:val="0"/>
          <w:numId w:val="3"/>
        </w:numPr>
        <w:spacing w:after="120"/>
        <w:ind w:left="993" w:hanging="284"/>
        <w:rPr>
          <w:rFonts w:asciiTheme="minorHAnsi" w:hAnsiTheme="minorHAnsi" w:cstheme="minorHAnsi"/>
        </w:rPr>
      </w:pPr>
      <w:r w:rsidRPr="00197FE9">
        <w:rPr>
          <w:rFonts w:asciiTheme="minorHAnsi" w:hAnsiTheme="minorHAnsi" w:cstheme="minorHAnsi"/>
        </w:rPr>
        <w:lastRenderedPageBreak/>
        <w:t xml:space="preserve">Approximately 5 additional patients would experience a serious drug related </w:t>
      </w:r>
      <w:proofErr w:type="gramStart"/>
      <w:r w:rsidR="00EE5652">
        <w:rPr>
          <w:rFonts w:asciiTheme="minorHAnsi" w:hAnsiTheme="minorHAnsi" w:cstheme="minorHAnsi"/>
        </w:rPr>
        <w:t>AE</w:t>
      </w:r>
      <w:r w:rsidRPr="00197FE9">
        <w:rPr>
          <w:rFonts w:asciiTheme="minorHAnsi" w:hAnsiTheme="minorHAnsi" w:cstheme="minorHAnsi"/>
        </w:rPr>
        <w:t>;</w:t>
      </w:r>
      <w:proofErr w:type="gramEnd"/>
    </w:p>
    <w:p w14:paraId="552AFA5D"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 xml:space="preserve">Approximately 4 additional patients would experience </w:t>
      </w:r>
      <w:proofErr w:type="gramStart"/>
      <w:r w:rsidRPr="00D555A0">
        <w:rPr>
          <w:rFonts w:asciiTheme="minorHAnsi" w:hAnsiTheme="minorHAnsi" w:cstheme="minorHAnsi"/>
          <w:szCs w:val="24"/>
        </w:rPr>
        <w:t>hypothyroidism;</w:t>
      </w:r>
      <w:proofErr w:type="gramEnd"/>
    </w:p>
    <w:p w14:paraId="6CD39C25"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 xml:space="preserve">Approximately 5 additional patients would experience </w:t>
      </w:r>
      <w:proofErr w:type="gramStart"/>
      <w:r w:rsidRPr="00D555A0">
        <w:rPr>
          <w:rFonts w:asciiTheme="minorHAnsi" w:hAnsiTheme="minorHAnsi" w:cstheme="minorHAnsi"/>
          <w:szCs w:val="24"/>
        </w:rPr>
        <w:t>hyperthyroidism;</w:t>
      </w:r>
      <w:proofErr w:type="gramEnd"/>
    </w:p>
    <w:p w14:paraId="0D1A39E5" w14:textId="77777777" w:rsidR="00F77BCD" w:rsidRPr="00197FE9"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 xml:space="preserve">Approximately 5 additional patients would experience </w:t>
      </w:r>
      <w:proofErr w:type="gramStart"/>
      <w:r w:rsidRPr="00D555A0">
        <w:rPr>
          <w:rFonts w:asciiTheme="minorHAnsi" w:hAnsiTheme="minorHAnsi" w:cstheme="minorHAnsi"/>
          <w:szCs w:val="24"/>
        </w:rPr>
        <w:t>pneumonitis</w:t>
      </w:r>
      <w:r>
        <w:rPr>
          <w:rFonts w:asciiTheme="minorHAnsi" w:hAnsiTheme="minorHAnsi" w:cstheme="minorHAnsi"/>
          <w:szCs w:val="24"/>
        </w:rPr>
        <w:t>;</w:t>
      </w:r>
      <w:proofErr w:type="gramEnd"/>
      <w:r w:rsidR="006A7771">
        <w:rPr>
          <w:rFonts w:asciiTheme="minorHAnsi" w:hAnsiTheme="minorHAnsi" w:cstheme="minorHAnsi"/>
          <w:szCs w:val="24"/>
        </w:rPr>
        <w:t xml:space="preserve"> and</w:t>
      </w:r>
    </w:p>
    <w:p w14:paraId="23DD5704" w14:textId="52CD8B8A" w:rsidR="004E0DA6" w:rsidRPr="00CB71F0" w:rsidRDefault="004E0DA6" w:rsidP="00CB71F0">
      <w:pPr>
        <w:pStyle w:val="ListBullet"/>
        <w:numPr>
          <w:ilvl w:val="0"/>
          <w:numId w:val="10"/>
        </w:numPr>
        <w:tabs>
          <w:tab w:val="clear" w:pos="360"/>
          <w:tab w:val="num" w:pos="720"/>
        </w:tabs>
        <w:spacing w:after="120" w:line="240" w:lineRule="auto"/>
        <w:ind w:left="993" w:hanging="284"/>
        <w:contextualSpacing/>
        <w:jc w:val="both"/>
        <w:rPr>
          <w:rFonts w:asciiTheme="minorHAnsi" w:hAnsiTheme="minorHAnsi" w:cstheme="minorHAnsi"/>
          <w:sz w:val="24"/>
          <w:szCs w:val="24"/>
        </w:rPr>
      </w:pPr>
      <w:r w:rsidRPr="00D555A0">
        <w:rPr>
          <w:rFonts w:asciiTheme="minorHAnsi" w:hAnsiTheme="minorHAnsi" w:cstheme="minorHAnsi"/>
          <w:sz w:val="24"/>
          <w:szCs w:val="24"/>
        </w:rPr>
        <w:t>Approximately 6 additional patients would experience discontinuation of treatment due to a serious</w:t>
      </w:r>
      <w:r w:rsidR="00F77BCD">
        <w:rPr>
          <w:rFonts w:asciiTheme="minorHAnsi" w:hAnsiTheme="minorHAnsi" w:cstheme="minorHAnsi"/>
          <w:sz w:val="24"/>
          <w:szCs w:val="24"/>
        </w:rPr>
        <w:t xml:space="preserve"> d</w:t>
      </w:r>
      <w:r w:rsidRPr="00F77BCD">
        <w:rPr>
          <w:rFonts w:asciiTheme="minorHAnsi" w:hAnsiTheme="minorHAnsi" w:cstheme="minorHAnsi"/>
          <w:sz w:val="24"/>
          <w:szCs w:val="24"/>
        </w:rPr>
        <w:t xml:space="preserve">rug related </w:t>
      </w:r>
      <w:r w:rsidR="005B4D56">
        <w:rPr>
          <w:rFonts w:asciiTheme="minorHAnsi" w:hAnsiTheme="minorHAnsi" w:cstheme="minorHAnsi"/>
          <w:sz w:val="24"/>
          <w:szCs w:val="24"/>
        </w:rPr>
        <w:t>AE</w:t>
      </w:r>
      <w:r w:rsidR="00F77BCD" w:rsidRPr="00F77BCD">
        <w:rPr>
          <w:rFonts w:asciiTheme="minorHAnsi" w:hAnsiTheme="minorHAnsi" w:cstheme="minorHAnsi"/>
          <w:sz w:val="24"/>
          <w:szCs w:val="24"/>
        </w:rPr>
        <w:t>.</w:t>
      </w:r>
    </w:p>
    <w:p w14:paraId="6864ACAD" w14:textId="326F1C1A" w:rsidR="004E0DA6" w:rsidRPr="00197FE9" w:rsidRDefault="004E0DA6" w:rsidP="00CB71F0">
      <w:pPr>
        <w:pStyle w:val="Heading2"/>
        <w:spacing w:after="120"/>
        <w:rPr>
          <w:rFonts w:asciiTheme="minorHAnsi" w:hAnsiTheme="minorHAnsi" w:cstheme="minorHAnsi"/>
        </w:rPr>
      </w:pPr>
      <w:bookmarkStart w:id="33" w:name="_Toc79761901"/>
      <w:r w:rsidRPr="00197FE9">
        <w:rPr>
          <w:rFonts w:asciiTheme="minorHAnsi" w:hAnsiTheme="minorHAnsi" w:cstheme="minorHAnsi"/>
        </w:rPr>
        <w:t>Clinical claim</w:t>
      </w:r>
      <w:bookmarkEnd w:id="33"/>
    </w:p>
    <w:p w14:paraId="79415378" w14:textId="702998D6" w:rsidR="009A5971" w:rsidRPr="009A5971" w:rsidRDefault="009A5971" w:rsidP="00863C38">
      <w:pPr>
        <w:pStyle w:val="ListParagraph"/>
        <w:widowControl/>
        <w:numPr>
          <w:ilvl w:val="1"/>
          <w:numId w:val="1"/>
        </w:numPr>
        <w:rPr>
          <w:rFonts w:asciiTheme="minorHAnsi" w:hAnsiTheme="minorHAnsi" w:cstheme="minorHAnsi"/>
        </w:rPr>
      </w:pPr>
      <w:r w:rsidRPr="001009D9">
        <w:t xml:space="preserve">The submission described </w:t>
      </w:r>
      <w:r>
        <w:t xml:space="preserve">pembrolizumab plus chemotherapy </w:t>
      </w:r>
      <w:r w:rsidRPr="001009D9">
        <w:t xml:space="preserve">as </w:t>
      </w:r>
      <w:r>
        <w:t>superior</w:t>
      </w:r>
      <w:r w:rsidRPr="001009D9">
        <w:t xml:space="preserve"> in terms of effectiveness compared with </w:t>
      </w:r>
      <w:r>
        <w:t xml:space="preserve">chemotherapy alone </w:t>
      </w:r>
      <w:r w:rsidRPr="001009D9">
        <w:t xml:space="preserve">and </w:t>
      </w:r>
      <w:r>
        <w:t xml:space="preserve">inferior </w:t>
      </w:r>
      <w:r w:rsidRPr="001009D9">
        <w:t xml:space="preserve">in terms of safety compared to </w:t>
      </w:r>
      <w:r>
        <w:t xml:space="preserve">chemotherapy alone. </w:t>
      </w:r>
    </w:p>
    <w:p w14:paraId="5A2C0EA4" w14:textId="77777777" w:rsidR="009A5971" w:rsidRPr="009A5971" w:rsidRDefault="009A5971" w:rsidP="00863C38">
      <w:pPr>
        <w:pStyle w:val="ListParagraph"/>
        <w:widowControl/>
        <w:numPr>
          <w:ilvl w:val="1"/>
          <w:numId w:val="1"/>
        </w:numPr>
        <w:rPr>
          <w:rFonts w:asciiTheme="minorHAnsi" w:hAnsiTheme="minorHAnsi" w:cstheme="minorHAnsi"/>
        </w:rPr>
      </w:pPr>
      <w:r>
        <w:t>The submission state</w:t>
      </w:r>
      <w:r w:rsidR="0070542F">
        <w:t>d</w:t>
      </w:r>
      <w:r>
        <w:t xml:space="preserve"> that the claim of superior effectiveness is supported by:</w:t>
      </w:r>
    </w:p>
    <w:p w14:paraId="673A80B8" w14:textId="77777777" w:rsidR="009A5971" w:rsidRDefault="009A5971" w:rsidP="00863C38">
      <w:pPr>
        <w:pStyle w:val="ListParagraph"/>
        <w:numPr>
          <w:ilvl w:val="0"/>
          <w:numId w:val="9"/>
        </w:numPr>
        <w:spacing w:after="120"/>
        <w:ind w:left="993" w:hanging="284"/>
      </w:pPr>
      <w:r>
        <w:t xml:space="preserve">A 27% reduction in the risk of death compared to treatment with a platinum- and </w:t>
      </w:r>
      <w:r w:rsidR="00821E4A">
        <w:t xml:space="preserve">5-FU </w:t>
      </w:r>
      <w:r>
        <w:t xml:space="preserve">based chemotherapy (OS HR=0.73 (0.62, 0.86)). </w:t>
      </w:r>
    </w:p>
    <w:p w14:paraId="4A68F633" w14:textId="77777777" w:rsidR="009A5971" w:rsidRDefault="009A5971" w:rsidP="00863C38">
      <w:pPr>
        <w:pStyle w:val="ListParagraph"/>
        <w:numPr>
          <w:ilvl w:val="0"/>
          <w:numId w:val="9"/>
        </w:numPr>
        <w:spacing w:after="120"/>
        <w:ind w:left="993" w:hanging="284"/>
      </w:pPr>
      <w:r>
        <w:t xml:space="preserve">A 35% reduction in the risk of death </w:t>
      </w:r>
      <w:r w:rsidR="00775053">
        <w:t xml:space="preserve">or </w:t>
      </w:r>
      <w:r>
        <w:t>disease progression compared to chemotherapy (PFS HR=0.65 (0.55, 0.76)).</w:t>
      </w:r>
    </w:p>
    <w:p w14:paraId="37B9D6D3" w14:textId="77777777" w:rsidR="009A5971" w:rsidRDefault="009A5971" w:rsidP="00863C38">
      <w:pPr>
        <w:pStyle w:val="ListParagraph"/>
        <w:numPr>
          <w:ilvl w:val="0"/>
          <w:numId w:val="9"/>
        </w:numPr>
        <w:spacing w:after="120"/>
        <w:ind w:left="993" w:hanging="284"/>
      </w:pPr>
      <w:r>
        <w:t xml:space="preserve">The maintenance of stable QoL in patients and manageable tolerability with AEs generally consistent and </w:t>
      </w:r>
      <w:proofErr w:type="gramStart"/>
      <w:r>
        <w:t>similar to</w:t>
      </w:r>
      <w:proofErr w:type="gramEnd"/>
      <w:r>
        <w:t xml:space="preserve"> those previously reported with either pembrolizumab or chemotherapy when used separately.</w:t>
      </w:r>
    </w:p>
    <w:p w14:paraId="6F731D63" w14:textId="77777777" w:rsidR="0037094B" w:rsidRDefault="00274F23" w:rsidP="00A80EA2">
      <w:pPr>
        <w:pStyle w:val="ListParagraph"/>
        <w:numPr>
          <w:ilvl w:val="1"/>
          <w:numId w:val="1"/>
        </w:numPr>
        <w:rPr>
          <w:rFonts w:asciiTheme="minorHAnsi" w:hAnsiTheme="minorHAnsi" w:cstheme="minorHAnsi"/>
        </w:rPr>
      </w:pPr>
      <w:bookmarkStart w:id="34" w:name="_Ref82167092"/>
      <w:r w:rsidRPr="00B32734">
        <w:rPr>
          <w:iCs/>
        </w:rPr>
        <w:t>The evaluation</w:t>
      </w:r>
      <w:r w:rsidR="00A80EA2">
        <w:rPr>
          <w:iCs/>
        </w:rPr>
        <w:t xml:space="preserve"> and the ESC</w:t>
      </w:r>
      <w:r w:rsidRPr="00B32734">
        <w:rPr>
          <w:iCs/>
        </w:rPr>
        <w:t xml:space="preserve"> considered that</w:t>
      </w:r>
      <w:r>
        <w:rPr>
          <w:iCs/>
        </w:rPr>
        <w:t xml:space="preserve"> </w:t>
      </w:r>
      <w:r w:rsidR="001231FE" w:rsidRPr="008E5320">
        <w:rPr>
          <w:iCs/>
        </w:rPr>
        <w:t>overall,</w:t>
      </w:r>
      <w:r w:rsidR="009A5971" w:rsidRPr="008E5320">
        <w:rPr>
          <w:iCs/>
        </w:rPr>
        <w:t xml:space="preserve"> </w:t>
      </w:r>
      <w:r w:rsidR="001231FE" w:rsidRPr="008E5320">
        <w:rPr>
          <w:iCs/>
        </w:rPr>
        <w:t>the claim of clinical superiority is reasonable</w:t>
      </w:r>
      <w:r w:rsidR="00127B8B">
        <w:rPr>
          <w:iCs/>
        </w:rPr>
        <w:t xml:space="preserve"> </w:t>
      </w:r>
      <w:r w:rsidR="00284D6B" w:rsidRPr="008E5320">
        <w:rPr>
          <w:iCs/>
        </w:rPr>
        <w:t>i</w:t>
      </w:r>
      <w:r w:rsidR="009A5971" w:rsidRPr="008E5320">
        <w:rPr>
          <w:iCs/>
        </w:rPr>
        <w:t xml:space="preserve">n specific subgroups (OSCC; </w:t>
      </w:r>
      <w:r w:rsidR="00EB7BC1">
        <w:rPr>
          <w:iCs/>
        </w:rPr>
        <w:t xml:space="preserve">PD-L1 </w:t>
      </w:r>
      <w:r w:rsidR="009A5971" w:rsidRPr="008E5320">
        <w:rPr>
          <w:iCs/>
        </w:rPr>
        <w:t xml:space="preserve">CPS </w:t>
      </w:r>
      <w:r w:rsidR="00811E7E" w:rsidRPr="008E5320">
        <w:rPr>
          <w:iCs/>
        </w:rPr>
        <w:t>≥</w:t>
      </w:r>
      <w:r w:rsidR="009A5971" w:rsidRPr="008E5320">
        <w:rPr>
          <w:iCs/>
        </w:rPr>
        <w:t xml:space="preserve">10), </w:t>
      </w:r>
      <w:bookmarkEnd w:id="34"/>
      <w:r w:rsidR="00A65F9D">
        <w:t>but i</w:t>
      </w:r>
      <w:r w:rsidR="007F6024" w:rsidRPr="00B32734">
        <w:t xml:space="preserve">t is likely that </w:t>
      </w:r>
      <w:r w:rsidR="007F6024">
        <w:rPr>
          <w:iCs/>
          <w:lang w:eastAsia="en-AU"/>
        </w:rPr>
        <w:t>t</w:t>
      </w:r>
      <w:r w:rsidR="007F6024" w:rsidRPr="008E5320">
        <w:rPr>
          <w:iCs/>
          <w:lang w:eastAsia="en-AU"/>
        </w:rPr>
        <w:t xml:space="preserve">he </w:t>
      </w:r>
      <w:r w:rsidR="007F6024" w:rsidRPr="00586BAA">
        <w:rPr>
          <w:iCs/>
          <w:lang w:eastAsia="en-AU"/>
        </w:rPr>
        <w:t xml:space="preserve">efficacy of pembrolizumab is reduced in </w:t>
      </w:r>
      <w:r w:rsidR="00A65F9D">
        <w:rPr>
          <w:iCs/>
          <w:lang w:eastAsia="en-AU"/>
        </w:rPr>
        <w:t xml:space="preserve">patients with PD-L1 </w:t>
      </w:r>
      <w:r w:rsidR="007F6024" w:rsidRPr="00586BAA">
        <w:rPr>
          <w:iCs/>
        </w:rPr>
        <w:t>CPS &lt;10</w:t>
      </w:r>
      <w:r w:rsidR="007F6024" w:rsidRPr="00586BAA">
        <w:rPr>
          <w:iCs/>
          <w:lang w:eastAsia="en-AU"/>
        </w:rPr>
        <w:t xml:space="preserve"> when compared to those whose tumours express CPS ≥10</w:t>
      </w:r>
      <w:r w:rsidR="007F6024" w:rsidRPr="00586BAA">
        <w:rPr>
          <w:iCs/>
        </w:rPr>
        <w:t xml:space="preserve">. </w:t>
      </w:r>
      <w:r w:rsidR="007F6024" w:rsidRPr="00586BAA">
        <w:t xml:space="preserve">The proportion of </w:t>
      </w:r>
      <w:r w:rsidR="007F6024" w:rsidRPr="00586BAA">
        <w:rPr>
          <w:rFonts w:asciiTheme="minorHAnsi" w:hAnsiTheme="minorHAnsi" w:cstheme="minorHAnsi"/>
          <w:lang w:eastAsia="en-AU"/>
        </w:rPr>
        <w:t>PD-L1</w:t>
      </w:r>
      <w:r w:rsidR="007F6024" w:rsidRPr="00586BAA">
        <w:t xml:space="preserve"> CPS &lt;10/≥10 is unknown for the Australian population</w:t>
      </w:r>
      <w:r w:rsidR="007F6024">
        <w:t>,</w:t>
      </w:r>
      <w:r w:rsidR="007F6024" w:rsidRPr="00586BAA">
        <w:t xml:space="preserve"> which may impact on the effectiveness of pembrolizumab in clinical practice.</w:t>
      </w:r>
    </w:p>
    <w:p w14:paraId="2E3B5CC5" w14:textId="06D94A8C" w:rsidR="00A80EA2" w:rsidRPr="00A80EA2" w:rsidRDefault="00CE20ED" w:rsidP="00A80EA2">
      <w:pPr>
        <w:pStyle w:val="ListParagraph"/>
        <w:numPr>
          <w:ilvl w:val="1"/>
          <w:numId w:val="1"/>
        </w:numPr>
        <w:rPr>
          <w:rFonts w:asciiTheme="minorHAnsi" w:hAnsiTheme="minorHAnsi" w:cstheme="minorHAnsi"/>
        </w:rPr>
      </w:pPr>
      <w:r w:rsidRPr="00586BAA">
        <w:rPr>
          <w:rFonts w:asciiTheme="minorHAnsi" w:hAnsiTheme="minorHAnsi" w:cstheme="minorHAnsi"/>
        </w:rPr>
        <w:t xml:space="preserve">The PSCR acknowledged that the proportion of </w:t>
      </w:r>
      <w:r w:rsidR="00A65F9D">
        <w:rPr>
          <w:rFonts w:asciiTheme="minorHAnsi" w:hAnsiTheme="minorHAnsi" w:cstheme="minorHAnsi"/>
        </w:rPr>
        <w:t xml:space="preserve">patients with </w:t>
      </w:r>
      <w:r w:rsidRPr="00586BAA">
        <w:rPr>
          <w:rFonts w:asciiTheme="minorHAnsi" w:hAnsiTheme="minorHAnsi" w:cstheme="minorHAnsi"/>
        </w:rPr>
        <w:t xml:space="preserve">PD-L1 CPS &lt;10/≥10 is currently unknown in the Australian population due to testing in this indication not being routine. The KN590 study was not designed and powered to compare the efficacy in participants with PD-L1 CPS &lt;10 and was not stratified by CPS score. The PSCR stated that it is possible that the same CPS distribution is apparent in the local population as in the KN590 trial, and as the CPS &lt;10 patients are encapsulated within the ITT population, the overall HR is representative of the potential effect and can ensure equity of access. </w:t>
      </w:r>
      <w:r>
        <w:rPr>
          <w:rFonts w:asciiTheme="minorHAnsi" w:hAnsiTheme="minorHAnsi" w:cstheme="minorHAnsi"/>
        </w:rPr>
        <w:t xml:space="preserve">The pre-PBAC response noted that the KN590 trial included 5 Australian sites, and maintained </w:t>
      </w:r>
      <w:r w:rsidRPr="003961C7">
        <w:rPr>
          <w:rFonts w:asciiTheme="minorHAnsi" w:hAnsiTheme="minorHAnsi" w:cstheme="minorHAnsi"/>
        </w:rPr>
        <w:t>the ITT results would be applicable to Australian practice</w:t>
      </w:r>
      <w:r>
        <w:rPr>
          <w:rFonts w:asciiTheme="minorHAnsi" w:hAnsiTheme="minorHAnsi" w:cstheme="minorHAnsi"/>
        </w:rPr>
        <w:t>.</w:t>
      </w:r>
      <w:r w:rsidR="00A80EA2">
        <w:rPr>
          <w:rFonts w:asciiTheme="minorHAnsi" w:hAnsiTheme="minorHAnsi" w:cstheme="minorHAnsi"/>
        </w:rPr>
        <w:t xml:space="preserve"> </w:t>
      </w:r>
    </w:p>
    <w:p w14:paraId="3662CA82" w14:textId="77777777" w:rsidR="00E158E0" w:rsidRPr="00586BAA" w:rsidRDefault="001231FE" w:rsidP="00863C38">
      <w:pPr>
        <w:pStyle w:val="ListParagraph"/>
        <w:numPr>
          <w:ilvl w:val="1"/>
          <w:numId w:val="1"/>
        </w:numPr>
        <w:rPr>
          <w:rFonts w:asciiTheme="minorHAnsi" w:hAnsiTheme="minorHAnsi" w:cstheme="minorHAnsi"/>
        </w:rPr>
      </w:pPr>
      <w:r>
        <w:t>The proportion of OAC/OSCC in the KN590 trial</w:t>
      </w:r>
      <w:r w:rsidR="00B32734">
        <w:t xml:space="preserve"> (</w:t>
      </w:r>
      <w:r w:rsidR="00B32734" w:rsidRPr="008E5320">
        <w:rPr>
          <w:rFonts w:asciiTheme="minorHAnsi" w:hAnsiTheme="minorHAnsi" w:cstheme="minorHAnsi"/>
          <w:iCs/>
          <w:color w:val="000000" w:themeColor="text1"/>
        </w:rPr>
        <w:t xml:space="preserve">OAC in </w:t>
      </w:r>
      <w:r w:rsidR="00C00912">
        <w:rPr>
          <w:rFonts w:asciiTheme="minorHAnsi" w:hAnsiTheme="minorHAnsi" w:cstheme="minorHAnsi"/>
          <w:iCs/>
          <w:color w:val="000000" w:themeColor="text1"/>
        </w:rPr>
        <w:t>15</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of OC cases</w:t>
      </w:r>
      <w:r w:rsidR="00B32734" w:rsidRPr="008E5320">
        <w:rPr>
          <w:rFonts w:asciiTheme="minorHAnsi" w:hAnsiTheme="minorHAnsi" w:cstheme="minorHAnsi"/>
          <w:iCs/>
          <w:color w:val="000000" w:themeColor="text1"/>
        </w:rPr>
        <w:t xml:space="preserve">, OSCC in </w:t>
      </w:r>
      <w:r w:rsidR="00C00912">
        <w:rPr>
          <w:rFonts w:asciiTheme="minorHAnsi" w:hAnsiTheme="minorHAnsi" w:cstheme="minorHAnsi"/>
          <w:iCs/>
          <w:color w:val="000000" w:themeColor="text1"/>
        </w:rPr>
        <w:t>73</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w:t>
      </w:r>
      <w:r w:rsidR="00B32734">
        <w:rPr>
          <w:rFonts w:asciiTheme="minorHAnsi" w:hAnsiTheme="minorHAnsi" w:cstheme="minorHAnsi"/>
          <w:iCs/>
          <w:color w:val="000000" w:themeColor="text1"/>
        </w:rPr>
        <w:lastRenderedPageBreak/>
        <w:t xml:space="preserve">of OC </w:t>
      </w:r>
      <w:r w:rsidR="00B32734" w:rsidRPr="00A4098B">
        <w:rPr>
          <w:rFonts w:asciiTheme="minorHAnsi" w:hAnsiTheme="minorHAnsi" w:cstheme="minorHAnsi"/>
          <w:iCs/>
          <w:color w:val="000000" w:themeColor="text1"/>
        </w:rPr>
        <w:t xml:space="preserve">cases, paragraph </w:t>
      </w:r>
      <w:r w:rsidR="00CB2351" w:rsidRPr="00A4098B">
        <w:rPr>
          <w:rFonts w:asciiTheme="minorHAnsi" w:hAnsiTheme="minorHAnsi" w:cstheme="minorHAnsi"/>
          <w:iCs/>
          <w:color w:val="000000" w:themeColor="text1"/>
        </w:rPr>
        <w:t>6.7</w:t>
      </w:r>
      <w:r w:rsidR="00B32734" w:rsidRPr="00A4098B">
        <w:t>)</w:t>
      </w:r>
      <w:r w:rsidRPr="00A4098B">
        <w:t xml:space="preserve"> is different to the Australian</w:t>
      </w:r>
      <w:r w:rsidR="00B26359" w:rsidRPr="00A4098B">
        <w:t xml:space="preserve"> target</w:t>
      </w:r>
      <w:r w:rsidRPr="00A4098B">
        <w:t xml:space="preserve"> population, with the OAC trial patients being substantially under-represented compared to Australian </w:t>
      </w:r>
      <w:r w:rsidR="00B26359" w:rsidRPr="00A4098B">
        <w:t>patients</w:t>
      </w:r>
      <w:r w:rsidR="00B32734" w:rsidRPr="00A4098B">
        <w:t xml:space="preserve"> (</w:t>
      </w:r>
      <w:r w:rsidR="00B32734" w:rsidRPr="00A4098B">
        <w:rPr>
          <w:rFonts w:asciiTheme="minorHAnsi" w:hAnsiTheme="minorHAnsi" w:cstheme="minorHAnsi"/>
          <w:iCs/>
          <w:color w:val="000000" w:themeColor="text1"/>
        </w:rPr>
        <w:t xml:space="preserve">OAC in 69.6% of OC cases, OSCC in 24.8% of OC cases, paragraph </w:t>
      </w:r>
      <w:r w:rsidR="00152EA2" w:rsidRPr="00A4098B">
        <w:rPr>
          <w:rFonts w:asciiTheme="minorHAnsi" w:hAnsiTheme="minorHAnsi" w:cstheme="minorHAnsi"/>
          <w:iCs/>
          <w:color w:val="000000" w:themeColor="text1"/>
        </w:rPr>
        <w:t>4.2</w:t>
      </w:r>
      <w:r w:rsidR="00B32734" w:rsidRPr="00A4098B">
        <w:rPr>
          <w:rFonts w:asciiTheme="minorHAnsi" w:hAnsiTheme="minorHAnsi" w:cstheme="minorHAnsi"/>
          <w:iCs/>
          <w:color w:val="000000" w:themeColor="text1"/>
        </w:rPr>
        <w:t>)</w:t>
      </w:r>
      <w:r w:rsidRPr="00A4098B">
        <w:t xml:space="preserve">. </w:t>
      </w:r>
      <w:r w:rsidRPr="00A4098B">
        <w:rPr>
          <w:iCs/>
          <w:color w:val="000000" w:themeColor="text1"/>
        </w:rPr>
        <w:t>The KN590 trial did not report pre-specified analyses for patients with OAC</w:t>
      </w:r>
      <w:r w:rsidR="00F53C83" w:rsidRPr="00A4098B">
        <w:rPr>
          <w:iCs/>
          <w:color w:val="000000" w:themeColor="text1"/>
        </w:rPr>
        <w:t>, and</w:t>
      </w:r>
      <w:r w:rsidRPr="00A4098B">
        <w:t xml:space="preserve"> </w:t>
      </w:r>
      <w:r w:rsidR="00F53C83" w:rsidRPr="00A4098B">
        <w:rPr>
          <w:snapToGrid/>
          <w:lang w:eastAsia="en-AU"/>
        </w:rPr>
        <w:t>i</w:t>
      </w:r>
      <w:r w:rsidRPr="00A4098B">
        <w:rPr>
          <w:snapToGrid/>
          <w:lang w:eastAsia="en-AU"/>
        </w:rPr>
        <w:t>n the exploratory analysis, the difference between arms for OS did not reach statistical</w:t>
      </w:r>
      <w:r w:rsidRPr="001231FE">
        <w:rPr>
          <w:snapToGrid/>
          <w:lang w:eastAsia="en-AU"/>
        </w:rPr>
        <w:t xml:space="preserve"> significance (HR = 0.74 (95% CI: 0.54, 1.02)</w:t>
      </w:r>
      <w:r w:rsidR="00DA24DB">
        <w:rPr>
          <w:snapToGrid/>
          <w:lang w:eastAsia="en-AU"/>
        </w:rPr>
        <w:t xml:space="preserve">; </w:t>
      </w:r>
      <w:r w:rsidRPr="001231FE">
        <w:rPr>
          <w:snapToGrid/>
          <w:lang w:eastAsia="en-AU"/>
        </w:rPr>
        <w:t xml:space="preserve">noting </w:t>
      </w:r>
      <w:r>
        <w:t>the trial</w:t>
      </w:r>
      <w:r w:rsidRPr="008822AC">
        <w:t xml:space="preserve"> was not powered to assess statistical significance</w:t>
      </w:r>
      <w:r>
        <w:t xml:space="preserve"> in this </w:t>
      </w:r>
      <w:r w:rsidRPr="00586BAA">
        <w:t>subgroup</w:t>
      </w:r>
      <w:r w:rsidRPr="00586BAA">
        <w:rPr>
          <w:snapToGrid/>
          <w:lang w:eastAsia="en-AU"/>
        </w:rPr>
        <w:t xml:space="preserve">). </w:t>
      </w:r>
      <w:r w:rsidR="009B0542" w:rsidRPr="00586BAA">
        <w:rPr>
          <w:rFonts w:asciiTheme="minorHAnsi" w:hAnsiTheme="minorHAnsi" w:cstheme="minorHAnsi"/>
        </w:rPr>
        <w:t>T</w:t>
      </w:r>
      <w:r w:rsidR="00E158E0" w:rsidRPr="00586BAA">
        <w:rPr>
          <w:rFonts w:asciiTheme="minorHAnsi" w:hAnsiTheme="minorHAnsi" w:cstheme="minorHAnsi"/>
        </w:rPr>
        <w:t xml:space="preserve">he ESC noted that the proportion of </w:t>
      </w:r>
      <w:r w:rsidR="009B0542" w:rsidRPr="00586BAA">
        <w:rPr>
          <w:rFonts w:asciiTheme="minorHAnsi" w:hAnsiTheme="minorHAnsi" w:cstheme="minorHAnsi"/>
        </w:rPr>
        <w:t xml:space="preserve">patients with </w:t>
      </w:r>
      <w:r w:rsidR="00E158E0" w:rsidRPr="00586BAA">
        <w:rPr>
          <w:rFonts w:asciiTheme="minorHAnsi" w:hAnsiTheme="minorHAnsi" w:cstheme="minorHAnsi"/>
        </w:rPr>
        <w:t>PD</w:t>
      </w:r>
      <w:r w:rsidR="009B0542" w:rsidRPr="00586BAA">
        <w:rPr>
          <w:rFonts w:asciiTheme="minorHAnsi" w:hAnsiTheme="minorHAnsi" w:cstheme="minorHAnsi"/>
        </w:rPr>
        <w:t>-</w:t>
      </w:r>
      <w:r w:rsidR="00E158E0" w:rsidRPr="00586BAA">
        <w:rPr>
          <w:rFonts w:asciiTheme="minorHAnsi" w:hAnsiTheme="minorHAnsi" w:cstheme="minorHAnsi"/>
        </w:rPr>
        <w:t xml:space="preserve">L1 CPS ≥10 did not differ significantly between OAC (48%) and OSCC (52%) patients, and the point estimates of benefit are similar between </w:t>
      </w:r>
      <w:proofErr w:type="spellStart"/>
      <w:r w:rsidR="00E158E0" w:rsidRPr="00586BAA">
        <w:rPr>
          <w:rFonts w:asciiTheme="minorHAnsi" w:hAnsiTheme="minorHAnsi" w:cstheme="minorHAnsi"/>
        </w:rPr>
        <w:t>histologies</w:t>
      </w:r>
      <w:proofErr w:type="spellEnd"/>
      <w:r w:rsidR="00FC40F1">
        <w:rPr>
          <w:rFonts w:asciiTheme="minorHAnsi" w:hAnsiTheme="minorHAnsi" w:cstheme="minorHAnsi"/>
        </w:rPr>
        <w:t>,</w:t>
      </w:r>
      <w:r w:rsidR="00E158E0" w:rsidRPr="00586BAA">
        <w:rPr>
          <w:rFonts w:asciiTheme="minorHAnsi" w:hAnsiTheme="minorHAnsi" w:cstheme="minorHAnsi"/>
        </w:rPr>
        <w:t xml:space="preserve"> albeit not powered for significance</w:t>
      </w:r>
      <w:r w:rsidR="00FC40F1">
        <w:rPr>
          <w:rFonts w:asciiTheme="minorHAnsi" w:hAnsiTheme="minorHAnsi" w:cstheme="minorHAnsi"/>
        </w:rPr>
        <w:t xml:space="preserve"> (Table 5: HR point estimate = 0.73 [ITT]; 0.72 [OSCC]; 0.74 [OAC])</w:t>
      </w:r>
      <w:r w:rsidR="00E158E0" w:rsidRPr="00586BAA">
        <w:rPr>
          <w:rFonts w:asciiTheme="minorHAnsi" w:hAnsiTheme="minorHAnsi" w:cstheme="minorHAnsi"/>
        </w:rPr>
        <w:t>. The</w:t>
      </w:r>
      <w:r w:rsidR="00B26359">
        <w:rPr>
          <w:rFonts w:asciiTheme="minorHAnsi" w:hAnsiTheme="minorHAnsi" w:cstheme="minorHAnsi"/>
        </w:rPr>
        <w:t xml:space="preserve"> PBAC agreed with the</w:t>
      </w:r>
      <w:r w:rsidR="00E158E0" w:rsidRPr="00586BAA">
        <w:rPr>
          <w:rFonts w:asciiTheme="minorHAnsi" w:hAnsiTheme="minorHAnsi" w:cstheme="minorHAnsi"/>
        </w:rPr>
        <w:t xml:space="preserve"> ESC</w:t>
      </w:r>
      <w:r w:rsidR="00DA24DB">
        <w:rPr>
          <w:rFonts w:asciiTheme="minorHAnsi" w:hAnsiTheme="minorHAnsi" w:cstheme="minorHAnsi"/>
        </w:rPr>
        <w:t xml:space="preserve"> </w:t>
      </w:r>
      <w:r w:rsidR="00E158E0" w:rsidRPr="00586BAA">
        <w:rPr>
          <w:rFonts w:asciiTheme="minorHAnsi" w:hAnsiTheme="minorHAnsi" w:cstheme="minorHAnsi"/>
        </w:rPr>
        <w:t>that differing proportion</w:t>
      </w:r>
      <w:r w:rsidR="00B32734">
        <w:rPr>
          <w:rFonts w:asciiTheme="minorHAnsi" w:hAnsiTheme="minorHAnsi" w:cstheme="minorHAnsi"/>
        </w:rPr>
        <w:t>s</w:t>
      </w:r>
      <w:r w:rsidR="00E158E0" w:rsidRPr="00586BAA">
        <w:rPr>
          <w:rFonts w:asciiTheme="minorHAnsi" w:hAnsiTheme="minorHAnsi" w:cstheme="minorHAnsi"/>
        </w:rPr>
        <w:t xml:space="preserve"> of </w:t>
      </w:r>
      <w:proofErr w:type="spellStart"/>
      <w:r w:rsidR="00E158E0" w:rsidRPr="00586BAA">
        <w:rPr>
          <w:rFonts w:asciiTheme="minorHAnsi" w:hAnsiTheme="minorHAnsi" w:cstheme="minorHAnsi"/>
        </w:rPr>
        <w:t>histologies</w:t>
      </w:r>
      <w:proofErr w:type="spellEnd"/>
      <w:r w:rsidR="00E158E0" w:rsidRPr="00586BAA">
        <w:rPr>
          <w:rFonts w:asciiTheme="minorHAnsi" w:hAnsiTheme="minorHAnsi" w:cstheme="minorHAnsi"/>
        </w:rPr>
        <w:t xml:space="preserve"> in the Australian population </w:t>
      </w:r>
      <w:r w:rsidR="00B32734">
        <w:rPr>
          <w:rFonts w:asciiTheme="minorHAnsi" w:hAnsiTheme="minorHAnsi" w:cstheme="minorHAnsi"/>
        </w:rPr>
        <w:t>are</w:t>
      </w:r>
      <w:r w:rsidR="00E158E0" w:rsidRPr="00586BAA">
        <w:rPr>
          <w:rFonts w:asciiTheme="minorHAnsi" w:hAnsiTheme="minorHAnsi" w:cstheme="minorHAnsi"/>
        </w:rPr>
        <w:t xml:space="preserve"> unlikely to make a </w:t>
      </w:r>
      <w:r w:rsidR="00DA24DB">
        <w:rPr>
          <w:rFonts w:asciiTheme="minorHAnsi" w:hAnsiTheme="minorHAnsi" w:cstheme="minorHAnsi"/>
        </w:rPr>
        <w:t>substantial</w:t>
      </w:r>
      <w:r w:rsidR="00DA24DB" w:rsidRPr="00586BAA">
        <w:rPr>
          <w:rFonts w:asciiTheme="minorHAnsi" w:hAnsiTheme="minorHAnsi" w:cstheme="minorHAnsi"/>
        </w:rPr>
        <w:t xml:space="preserve"> </w:t>
      </w:r>
      <w:r w:rsidR="00E158E0" w:rsidRPr="00586BAA">
        <w:rPr>
          <w:rFonts w:asciiTheme="minorHAnsi" w:hAnsiTheme="minorHAnsi" w:cstheme="minorHAnsi"/>
        </w:rPr>
        <w:t>difference to the magnitude of benefit.</w:t>
      </w:r>
    </w:p>
    <w:p w14:paraId="06FFA802" w14:textId="77777777" w:rsidR="00674AD4" w:rsidRDefault="00674AD4" w:rsidP="00F021CE">
      <w:pPr>
        <w:pStyle w:val="ListParagraph"/>
        <w:widowControl/>
        <w:numPr>
          <w:ilvl w:val="1"/>
          <w:numId w:val="1"/>
        </w:numPr>
        <w:rPr>
          <w:rFonts w:asciiTheme="minorHAnsi" w:hAnsiTheme="minorHAnsi" w:cstheme="minorHAnsi"/>
        </w:rPr>
      </w:pPr>
      <w:r w:rsidRPr="00CE20ED">
        <w:rPr>
          <w:rFonts w:asciiTheme="minorHAnsi" w:hAnsiTheme="minorHAnsi" w:cstheme="minorHAnsi"/>
        </w:rPr>
        <w:t xml:space="preserve">The PSCR stated that an increase in median </w:t>
      </w:r>
      <w:r w:rsidR="00C9701C" w:rsidRPr="00CE20ED">
        <w:rPr>
          <w:rFonts w:asciiTheme="minorHAnsi" w:hAnsiTheme="minorHAnsi" w:cstheme="minorHAnsi"/>
        </w:rPr>
        <w:t>OS</w:t>
      </w:r>
      <w:r w:rsidRPr="00CE20ED">
        <w:rPr>
          <w:rFonts w:asciiTheme="minorHAnsi" w:hAnsiTheme="minorHAnsi" w:cstheme="minorHAnsi"/>
        </w:rPr>
        <w:t xml:space="preserve"> in the ITT population of 2.6 months (12.4 months vs. 9.8 months) is a valuable extension for patients with such a poor prognosis. The ESC</w:t>
      </w:r>
      <w:r w:rsidR="00B26359">
        <w:rPr>
          <w:rFonts w:asciiTheme="minorHAnsi" w:hAnsiTheme="minorHAnsi" w:cstheme="minorHAnsi"/>
        </w:rPr>
        <w:t xml:space="preserve"> and the PBAC</w:t>
      </w:r>
      <w:r w:rsidRPr="00CE20ED">
        <w:rPr>
          <w:rFonts w:asciiTheme="minorHAnsi" w:hAnsiTheme="minorHAnsi" w:cstheme="minorHAnsi"/>
        </w:rPr>
        <w:t xml:space="preserve"> noted </w:t>
      </w:r>
      <w:r w:rsidR="007E7CC6" w:rsidRPr="00CE20ED">
        <w:rPr>
          <w:rFonts w:asciiTheme="minorHAnsi" w:hAnsiTheme="minorHAnsi" w:cstheme="minorHAnsi"/>
        </w:rPr>
        <w:t xml:space="preserve">the significant clinical benefit </w:t>
      </w:r>
      <w:r w:rsidR="00C9701C" w:rsidRPr="00CE20ED">
        <w:rPr>
          <w:rFonts w:asciiTheme="minorHAnsi" w:hAnsiTheme="minorHAnsi" w:cstheme="minorHAnsi"/>
        </w:rPr>
        <w:t>and</w:t>
      </w:r>
      <w:r w:rsidR="006109CE" w:rsidRPr="00CE20ED">
        <w:rPr>
          <w:rFonts w:asciiTheme="minorHAnsi" w:hAnsiTheme="minorHAnsi" w:cstheme="minorHAnsi"/>
        </w:rPr>
        <w:t xml:space="preserve"> agreed with the PSCR regarding the clinical significance of </w:t>
      </w:r>
      <w:r w:rsidR="00C9701C" w:rsidRPr="00CE20ED">
        <w:rPr>
          <w:rFonts w:asciiTheme="minorHAnsi" w:hAnsiTheme="minorHAnsi" w:cstheme="minorHAnsi"/>
        </w:rPr>
        <w:t>the increase in median OS.</w:t>
      </w:r>
    </w:p>
    <w:p w14:paraId="18DD12D8" w14:textId="77777777" w:rsidR="003A4556" w:rsidRPr="00CE20ED" w:rsidRDefault="003A4556" w:rsidP="002E32E3">
      <w:pPr>
        <w:pStyle w:val="ListParagraph"/>
        <w:widowControl/>
        <w:numPr>
          <w:ilvl w:val="1"/>
          <w:numId w:val="1"/>
        </w:numPr>
        <w:rPr>
          <w:rFonts w:asciiTheme="minorHAnsi" w:hAnsiTheme="minorHAnsi" w:cstheme="minorHAnsi"/>
        </w:rPr>
      </w:pPr>
      <w:bookmarkStart w:id="35" w:name="_Ref89757271"/>
      <w:r w:rsidRPr="009C2F63">
        <w:rPr>
          <w:rFonts w:asciiTheme="minorHAnsi" w:hAnsiTheme="minorHAnsi"/>
          <w:iCs/>
          <w:lang w:eastAsia="en-AU"/>
        </w:rPr>
        <w:t>The</w:t>
      </w:r>
      <w:r w:rsidRPr="009C2F63">
        <w:rPr>
          <w:rFonts w:asciiTheme="minorHAnsi" w:hAnsiTheme="minorHAnsi"/>
          <w:szCs w:val="20"/>
        </w:rPr>
        <w:t xml:space="preserve"> PBAC considered that the claim of superior comparative effectiveness was reasonable</w:t>
      </w:r>
      <w:r>
        <w:rPr>
          <w:rFonts w:asciiTheme="minorHAnsi" w:hAnsiTheme="minorHAnsi"/>
          <w:szCs w:val="20"/>
        </w:rPr>
        <w:t xml:space="preserve"> </w:t>
      </w:r>
      <w:r w:rsidR="0081074B">
        <w:rPr>
          <w:rFonts w:asciiTheme="minorHAnsi" w:hAnsiTheme="minorHAnsi"/>
          <w:szCs w:val="20"/>
        </w:rPr>
        <w:t>based on the statistically and clinically significant benefits of pembrolizumab with respect to OS and PFS in the KN590 trial</w:t>
      </w:r>
      <w:r w:rsidRPr="009C2F63">
        <w:rPr>
          <w:rFonts w:asciiTheme="minorHAnsi" w:hAnsiTheme="minorHAnsi"/>
          <w:szCs w:val="20"/>
        </w:rPr>
        <w:t>.</w:t>
      </w:r>
      <w:r w:rsidR="0081074B">
        <w:rPr>
          <w:rFonts w:asciiTheme="minorHAnsi" w:hAnsiTheme="minorHAnsi"/>
          <w:szCs w:val="20"/>
        </w:rPr>
        <w:t xml:space="preserve"> </w:t>
      </w:r>
      <w:r w:rsidR="002E32E3" w:rsidRPr="002E32E3">
        <w:rPr>
          <w:rFonts w:asciiTheme="minorHAnsi" w:hAnsiTheme="minorHAnsi"/>
          <w:szCs w:val="20"/>
        </w:rPr>
        <w:t>The PBAC noted that the treatment benefit of pembrolizumab was less in patients with PD-L1 CPS &lt;10 (HR 0.86) compared to patients with CPS≥10 (HR 0.62)</w:t>
      </w:r>
      <w:r w:rsidR="002E32E3">
        <w:rPr>
          <w:rFonts w:asciiTheme="minorHAnsi" w:hAnsiTheme="minorHAnsi"/>
          <w:szCs w:val="20"/>
        </w:rPr>
        <w:t xml:space="preserve"> and</w:t>
      </w:r>
      <w:r w:rsidR="00EB7BC1">
        <w:rPr>
          <w:rFonts w:asciiTheme="minorHAnsi" w:hAnsiTheme="minorHAnsi"/>
          <w:szCs w:val="20"/>
        </w:rPr>
        <w:t>, while the study was not powered for this comparison,</w:t>
      </w:r>
      <w:r w:rsidR="002E32E3">
        <w:rPr>
          <w:rFonts w:asciiTheme="minorHAnsi" w:hAnsiTheme="minorHAnsi"/>
          <w:szCs w:val="20"/>
        </w:rPr>
        <w:t xml:space="preserve"> there are biologically plausible reasons</w:t>
      </w:r>
      <w:r w:rsidR="00EB7BC1">
        <w:rPr>
          <w:rFonts w:asciiTheme="minorHAnsi" w:hAnsiTheme="minorHAnsi"/>
          <w:szCs w:val="20"/>
        </w:rPr>
        <w:t xml:space="preserve"> for this observation</w:t>
      </w:r>
      <w:r w:rsidR="002E32E3" w:rsidRPr="002E32E3">
        <w:rPr>
          <w:rFonts w:asciiTheme="minorHAnsi" w:hAnsiTheme="minorHAnsi"/>
          <w:szCs w:val="20"/>
        </w:rPr>
        <w:t>.</w:t>
      </w:r>
      <w:r w:rsidR="002E32E3">
        <w:rPr>
          <w:rFonts w:asciiTheme="minorHAnsi" w:hAnsiTheme="minorHAnsi"/>
          <w:szCs w:val="20"/>
        </w:rPr>
        <w:t xml:space="preserve"> </w:t>
      </w:r>
      <w:r w:rsidR="00EB7BC1">
        <w:rPr>
          <w:rFonts w:asciiTheme="minorHAnsi" w:hAnsiTheme="minorHAnsi"/>
          <w:szCs w:val="20"/>
        </w:rPr>
        <w:t>T</w:t>
      </w:r>
      <w:r w:rsidR="0081074B" w:rsidRPr="00010013">
        <w:rPr>
          <w:rFonts w:asciiTheme="minorHAnsi" w:hAnsiTheme="minorHAnsi" w:cstheme="minorHAnsi"/>
          <w:szCs w:val="24"/>
        </w:rPr>
        <w:t>he PBAC considered the magnitude of the clinical benefit in the Australian population that would be treated with pembrolizumab is uncertain</w:t>
      </w:r>
      <w:r w:rsidR="0081074B">
        <w:rPr>
          <w:rFonts w:asciiTheme="minorHAnsi" w:hAnsiTheme="minorHAnsi" w:cstheme="minorHAnsi"/>
          <w:szCs w:val="24"/>
        </w:rPr>
        <w:t xml:space="preserve"> due to </w:t>
      </w:r>
      <w:r w:rsidR="0081074B">
        <w:t>t</w:t>
      </w:r>
      <w:r w:rsidR="008D2B1B">
        <w:t>he proportion of</w:t>
      </w:r>
      <w:r w:rsidR="0081074B" w:rsidRPr="00586BAA">
        <w:t xml:space="preserve"> </w:t>
      </w:r>
      <w:r w:rsidR="00A65F9D">
        <w:t xml:space="preserve">patients with PD-L1 </w:t>
      </w:r>
      <w:r w:rsidR="0081074B" w:rsidRPr="00586BAA">
        <w:t>CPS &lt;10/</w:t>
      </w:r>
      <w:r w:rsidR="0081074B">
        <w:t>≥10 being</w:t>
      </w:r>
      <w:r w:rsidR="0081074B" w:rsidRPr="00586BAA">
        <w:t xml:space="preserve"> unknown for the Australian population</w:t>
      </w:r>
      <w:r w:rsidR="0081074B" w:rsidRPr="00010013">
        <w:rPr>
          <w:rFonts w:asciiTheme="minorHAnsi" w:hAnsiTheme="minorHAnsi" w:cstheme="minorHAnsi"/>
          <w:szCs w:val="24"/>
        </w:rPr>
        <w:t>.</w:t>
      </w:r>
      <w:bookmarkEnd w:id="35"/>
    </w:p>
    <w:p w14:paraId="7428B232" w14:textId="77777777" w:rsidR="009A5971" w:rsidRPr="001620B8" w:rsidRDefault="009A5971" w:rsidP="00863C38">
      <w:pPr>
        <w:pStyle w:val="ListParagraph"/>
        <w:widowControl/>
        <w:numPr>
          <w:ilvl w:val="1"/>
          <w:numId w:val="1"/>
        </w:numPr>
        <w:rPr>
          <w:rFonts w:asciiTheme="minorHAnsi" w:hAnsiTheme="minorHAnsi" w:cstheme="minorHAnsi"/>
        </w:rPr>
      </w:pPr>
      <w:r>
        <w:t>The submission stated that, i</w:t>
      </w:r>
      <w:r w:rsidRPr="00E06BED">
        <w:t>n terms of safety, analysis of the relative risk and risk difference has demonstrated that pembrolizumab in combination with chemotherapy has a higher</w:t>
      </w:r>
      <w:r w:rsidR="0096716B">
        <w:t xml:space="preserve"> </w:t>
      </w:r>
      <w:r w:rsidR="005F45AB">
        <w:t>incidence of grade 3</w:t>
      </w:r>
      <w:r w:rsidR="005F45AB">
        <w:noBreakHyphen/>
      </w:r>
      <w:r w:rsidRPr="00E06BED">
        <w:t xml:space="preserve">5 </w:t>
      </w:r>
      <w:r w:rsidR="00DF36B9">
        <w:t>AEs</w:t>
      </w:r>
      <w:r w:rsidRPr="00E06BED">
        <w:t xml:space="preserve"> than chemotherapy indicating that the safety profile is inferior to that of chemotherapy. </w:t>
      </w:r>
      <w:r>
        <w:t xml:space="preserve">The submission quoted the </w:t>
      </w:r>
      <w:r w:rsidRPr="00E06BED">
        <w:t>TGA Delegate’s Overview</w:t>
      </w:r>
      <w:r>
        <w:t>:</w:t>
      </w:r>
      <w:r w:rsidRPr="00E06BED">
        <w:t xml:space="preserve"> “The risks of pembrolizumab are therefore largely manageable with patient surveillance, treatment delays and supportive care in most patients, and are considered acceptable given the life-threatening nature of metastatic or locally a</w:t>
      </w:r>
      <w:r w:rsidR="003C492F">
        <w:t>dvanced oesophageal carcinoma.”</w:t>
      </w:r>
    </w:p>
    <w:p w14:paraId="58491E2D" w14:textId="77777777" w:rsidR="001620B8" w:rsidRPr="001620B8" w:rsidRDefault="009A5971" w:rsidP="001620B8">
      <w:pPr>
        <w:pStyle w:val="ListParagraph"/>
        <w:numPr>
          <w:ilvl w:val="1"/>
          <w:numId w:val="1"/>
        </w:numPr>
        <w:rPr>
          <w:rFonts w:asciiTheme="minorHAnsi" w:hAnsiTheme="minorHAnsi" w:cstheme="minorHAnsi"/>
        </w:rPr>
      </w:pPr>
      <w:r w:rsidRPr="00586BAA">
        <w:t>The</w:t>
      </w:r>
      <w:r w:rsidR="007D38EF">
        <w:t xml:space="preserve"> PBAC agreed with the</w:t>
      </w:r>
      <w:r w:rsidR="00703E0F" w:rsidRPr="00586BAA">
        <w:t xml:space="preserve"> ESC</w:t>
      </w:r>
      <w:r w:rsidR="007D38EF">
        <w:t>,</w:t>
      </w:r>
      <w:r w:rsidR="00703E0F" w:rsidRPr="00586BAA">
        <w:t xml:space="preserve"> </w:t>
      </w:r>
      <w:r w:rsidR="00D92F57">
        <w:t xml:space="preserve">that </w:t>
      </w:r>
      <w:r w:rsidR="00703E0F" w:rsidRPr="00586BAA">
        <w:t>the</w:t>
      </w:r>
      <w:r w:rsidRPr="00586BAA">
        <w:t xml:space="preserve"> claim of inferior safety was reasonable</w:t>
      </w:r>
      <w:r w:rsidR="00274F23" w:rsidRPr="00586BAA">
        <w:t xml:space="preserve"> and </w:t>
      </w:r>
      <w:r w:rsidR="00D92F57">
        <w:t>considered</w:t>
      </w:r>
      <w:r w:rsidR="00D92F57" w:rsidRPr="00586BAA">
        <w:t xml:space="preserve"> </w:t>
      </w:r>
      <w:r w:rsidR="00274F23" w:rsidRPr="00586BAA">
        <w:t>the additional toxicity (hyper</w:t>
      </w:r>
      <w:r w:rsidR="00BE0131">
        <w:t>-</w:t>
      </w:r>
      <w:r w:rsidR="00274F23" w:rsidRPr="00586BAA">
        <w:t>/hypothyroidism and pneumonitis)</w:t>
      </w:r>
      <w:r w:rsidR="000D6314">
        <w:t xml:space="preserve"> was manageable</w:t>
      </w:r>
      <w:r w:rsidRPr="00586BAA">
        <w:t>.</w:t>
      </w:r>
      <w:r w:rsidR="002E32E3">
        <w:t xml:space="preserve"> </w:t>
      </w:r>
    </w:p>
    <w:p w14:paraId="08CF436C" w14:textId="6B95EBA8" w:rsidR="004E0DA6" w:rsidRPr="00CB71F0" w:rsidRDefault="004E0DA6" w:rsidP="00CB71F0">
      <w:pPr>
        <w:pStyle w:val="Heading2"/>
        <w:spacing w:after="120"/>
        <w:rPr>
          <w:rFonts w:cs="Calibri"/>
        </w:rPr>
      </w:pPr>
      <w:bookmarkStart w:id="36" w:name="_Toc79761902"/>
      <w:r w:rsidRPr="00197FE9">
        <w:rPr>
          <w:rFonts w:cs="Calibri"/>
        </w:rPr>
        <w:lastRenderedPageBreak/>
        <w:t>Economic analysis</w:t>
      </w:r>
      <w:bookmarkEnd w:id="36"/>
      <w:r w:rsidRPr="00197FE9">
        <w:rPr>
          <w:rFonts w:cs="Calibri"/>
        </w:rPr>
        <w:t xml:space="preserve"> </w:t>
      </w:r>
    </w:p>
    <w:p w14:paraId="125A43C1" w14:textId="77777777" w:rsidR="004E0DA6" w:rsidRPr="00750525" w:rsidRDefault="004E0DA6" w:rsidP="00863C38">
      <w:pPr>
        <w:pStyle w:val="ListParagraph"/>
        <w:widowControl/>
        <w:numPr>
          <w:ilvl w:val="1"/>
          <w:numId w:val="1"/>
        </w:numPr>
        <w:rPr>
          <w:rFonts w:cs="Calibri"/>
        </w:rPr>
      </w:pPr>
      <w:r w:rsidRPr="00197FE9">
        <w:rPr>
          <w:rFonts w:cs="Calibri"/>
          <w:snapToGrid/>
          <w:color w:val="000000" w:themeColor="text1"/>
          <w:szCs w:val="24"/>
          <w:lang w:val="en-US" w:eastAsia="en-AU"/>
        </w:rPr>
        <w:t xml:space="preserve">The submission presented a cost-utility analysis comparing pembrolizumab plus chemotherapy versus </w:t>
      </w:r>
      <w:r w:rsidR="00A32712">
        <w:rPr>
          <w:rFonts w:cs="Calibri"/>
          <w:snapToGrid/>
          <w:color w:val="000000" w:themeColor="text1"/>
          <w:szCs w:val="24"/>
          <w:lang w:val="en-US" w:eastAsia="en-AU"/>
        </w:rPr>
        <w:t xml:space="preserve">chemotherapy alone </w:t>
      </w:r>
      <w:r w:rsidRPr="00197FE9">
        <w:rPr>
          <w:rFonts w:cs="Calibri"/>
          <w:snapToGrid/>
          <w:color w:val="000000" w:themeColor="text1"/>
          <w:szCs w:val="24"/>
          <w:lang w:val="en-US" w:eastAsia="en-AU"/>
        </w:rPr>
        <w:t xml:space="preserve">(cisplatin plus 5-FU). </w:t>
      </w:r>
      <w:r w:rsidRPr="008E5320">
        <w:rPr>
          <w:rFonts w:cs="Calibri"/>
          <w:iCs/>
          <w:snapToGrid/>
          <w:color w:val="000000" w:themeColor="text1"/>
          <w:szCs w:val="24"/>
          <w:lang w:val="en-US" w:eastAsia="en-AU"/>
        </w:rPr>
        <w:t>The submission did not present a stepped economic analysis</w:t>
      </w:r>
      <w:r w:rsidR="00281834" w:rsidRPr="008E5320">
        <w:rPr>
          <w:rFonts w:cs="Calibri"/>
          <w:iCs/>
          <w:snapToGrid/>
          <w:color w:val="000000" w:themeColor="text1"/>
          <w:szCs w:val="24"/>
          <w:lang w:val="en-US" w:eastAsia="en-AU"/>
        </w:rPr>
        <w:t xml:space="preserve"> and did</w:t>
      </w:r>
      <w:r w:rsidR="002E004A" w:rsidRPr="008E5320">
        <w:rPr>
          <w:rFonts w:cs="Calibri"/>
          <w:iCs/>
          <w:snapToGrid/>
          <w:color w:val="000000" w:themeColor="text1"/>
          <w:szCs w:val="24"/>
          <w:lang w:val="en-US" w:eastAsia="en-AU"/>
        </w:rPr>
        <w:t xml:space="preserve"> not</w:t>
      </w:r>
      <w:r w:rsidR="00281834" w:rsidRPr="008E5320">
        <w:rPr>
          <w:rFonts w:cs="Calibri"/>
          <w:iCs/>
          <w:snapToGrid/>
          <w:color w:val="000000" w:themeColor="text1"/>
          <w:szCs w:val="24"/>
          <w:lang w:val="en-US" w:eastAsia="en-AU"/>
        </w:rPr>
        <w:t xml:space="preserve"> justify this omission</w:t>
      </w:r>
      <w:r w:rsidRPr="008E5320">
        <w:rPr>
          <w:rFonts w:cs="Calibri"/>
          <w:iCs/>
          <w:snapToGrid/>
          <w:color w:val="000000" w:themeColor="text1"/>
          <w:szCs w:val="24"/>
          <w:lang w:val="en-US" w:eastAsia="en-AU"/>
        </w:rPr>
        <w:t>.</w:t>
      </w:r>
      <w:r w:rsidRPr="008E5320">
        <w:rPr>
          <w:rFonts w:cs="Calibri"/>
          <w:snapToGrid/>
          <w:color w:val="000000" w:themeColor="text1"/>
          <w:szCs w:val="24"/>
          <w:lang w:val="en-US" w:eastAsia="en-AU"/>
        </w:rPr>
        <w:t xml:space="preserve"> </w:t>
      </w:r>
      <w:r w:rsidRPr="00197FE9">
        <w:rPr>
          <w:rFonts w:cs="Calibri"/>
          <w:snapToGrid/>
          <w:szCs w:val="24"/>
          <w:lang w:val="en-US" w:eastAsia="en-AU"/>
        </w:rPr>
        <w:t>A summary of the model structure in the submission’s econ</w:t>
      </w:r>
      <w:r w:rsidR="001F5BAD">
        <w:rPr>
          <w:rFonts w:cs="Calibri"/>
          <w:snapToGrid/>
          <w:szCs w:val="24"/>
          <w:lang w:val="en-US" w:eastAsia="en-AU"/>
        </w:rPr>
        <w:t>omic evaluation is presented in Table 8.</w:t>
      </w:r>
    </w:p>
    <w:p w14:paraId="2BE5FB76" w14:textId="77777777" w:rsidR="004E0DA6" w:rsidRPr="001009D9" w:rsidRDefault="004E0DA6" w:rsidP="00870786">
      <w:pPr>
        <w:keepNext/>
        <w:keepLines/>
        <w:rPr>
          <w:rStyle w:val="CommentReference"/>
        </w:rPr>
      </w:pPr>
      <w:bookmarkStart w:id="37" w:name="_Ref79503974"/>
      <w:r>
        <w:rPr>
          <w:rStyle w:val="CommentReference"/>
        </w:rPr>
        <w:t xml:space="preserve">Table </w:t>
      </w:r>
      <w:r w:rsidR="005051CB">
        <w:rPr>
          <w:rStyle w:val="CommentReference"/>
          <w:noProof/>
        </w:rPr>
        <w:t>8</w:t>
      </w:r>
      <w:bookmarkEnd w:id="37"/>
      <w:r>
        <w:rPr>
          <w:rStyle w:val="CommentReference"/>
        </w:rPr>
        <w:t xml:space="preserve">: </w:t>
      </w:r>
      <w:r w:rsidRPr="001009D9">
        <w:rPr>
          <w:rStyle w:val="CommentReference"/>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940"/>
        <w:gridCol w:w="7077"/>
      </w:tblGrid>
      <w:tr w:rsidR="00A32712" w:rsidRPr="001009D9" w14:paraId="032661BC" w14:textId="77777777" w:rsidTr="00FA4AAF">
        <w:trPr>
          <w:tblHeader/>
        </w:trPr>
        <w:tc>
          <w:tcPr>
            <w:tcW w:w="1076" w:type="pct"/>
            <w:vAlign w:val="center"/>
          </w:tcPr>
          <w:p w14:paraId="30ECA81F" w14:textId="77777777" w:rsidR="00A32712" w:rsidRPr="001009D9" w:rsidRDefault="00A32712" w:rsidP="00870786">
            <w:pPr>
              <w:pStyle w:val="Tabletext"/>
              <w:keepNext/>
              <w:keepLines/>
              <w:rPr>
                <w:b/>
              </w:rPr>
            </w:pPr>
            <w:r w:rsidRPr="001009D9">
              <w:rPr>
                <w:b/>
              </w:rPr>
              <w:t>Component</w:t>
            </w:r>
          </w:p>
        </w:tc>
        <w:tc>
          <w:tcPr>
            <w:tcW w:w="3924" w:type="pct"/>
          </w:tcPr>
          <w:p w14:paraId="01FA8754" w14:textId="77777777" w:rsidR="00A32712" w:rsidRPr="001009D9" w:rsidRDefault="00A32712" w:rsidP="00870786">
            <w:pPr>
              <w:pStyle w:val="Tabletext"/>
              <w:keepNext/>
              <w:keepLines/>
              <w:jc w:val="center"/>
              <w:rPr>
                <w:b/>
              </w:rPr>
            </w:pPr>
            <w:r w:rsidRPr="001009D9">
              <w:rPr>
                <w:b/>
              </w:rPr>
              <w:t>Description</w:t>
            </w:r>
          </w:p>
        </w:tc>
      </w:tr>
      <w:tr w:rsidR="00A32712" w:rsidRPr="001009D9" w14:paraId="01CCE17A" w14:textId="77777777" w:rsidTr="00322E1B">
        <w:tc>
          <w:tcPr>
            <w:tcW w:w="1076" w:type="pct"/>
            <w:vAlign w:val="center"/>
          </w:tcPr>
          <w:p w14:paraId="72800FF6" w14:textId="77777777" w:rsidR="00A32712" w:rsidRPr="001009D9" w:rsidRDefault="00A32712" w:rsidP="00870786">
            <w:pPr>
              <w:pStyle w:val="Tabletext"/>
              <w:keepNext/>
              <w:keepLines/>
            </w:pPr>
            <w:r w:rsidRPr="001009D9">
              <w:t>Type of analysis</w:t>
            </w:r>
          </w:p>
        </w:tc>
        <w:tc>
          <w:tcPr>
            <w:tcW w:w="3924" w:type="pct"/>
            <w:vAlign w:val="center"/>
          </w:tcPr>
          <w:p w14:paraId="35F136B7" w14:textId="77777777" w:rsidR="00A32712" w:rsidRPr="001009D9" w:rsidRDefault="00A32712" w:rsidP="00C02982">
            <w:pPr>
              <w:pStyle w:val="Tabletext"/>
              <w:keepNext/>
              <w:keepLines/>
            </w:pPr>
            <w:r w:rsidRPr="001F4332">
              <w:t>Cost effectiveness analysis (Cost-utility analys</w:t>
            </w:r>
            <w:r w:rsidR="00C02982">
              <w:t>i</w:t>
            </w:r>
            <w:r w:rsidRPr="001F4332">
              <w:t>s base case)</w:t>
            </w:r>
          </w:p>
        </w:tc>
      </w:tr>
      <w:tr w:rsidR="00A32712" w:rsidRPr="001009D9" w14:paraId="7BCFF07F" w14:textId="77777777" w:rsidTr="00322E1B">
        <w:tc>
          <w:tcPr>
            <w:tcW w:w="1076" w:type="pct"/>
            <w:vAlign w:val="center"/>
          </w:tcPr>
          <w:p w14:paraId="2BF2B460" w14:textId="77777777" w:rsidR="00A32712" w:rsidRPr="001009D9" w:rsidRDefault="00A32712" w:rsidP="00870786">
            <w:pPr>
              <w:pStyle w:val="Tabletext"/>
              <w:keepNext/>
              <w:keepLines/>
            </w:pPr>
            <w:r w:rsidRPr="001009D9">
              <w:t>Outcomes</w:t>
            </w:r>
          </w:p>
        </w:tc>
        <w:tc>
          <w:tcPr>
            <w:tcW w:w="3924" w:type="pct"/>
            <w:vAlign w:val="center"/>
          </w:tcPr>
          <w:p w14:paraId="18FEA36B" w14:textId="77777777" w:rsidR="00A32712" w:rsidRPr="001009D9" w:rsidRDefault="00A32712" w:rsidP="00870786">
            <w:pPr>
              <w:pStyle w:val="Tabletext"/>
              <w:keepNext/>
              <w:keepLines/>
            </w:pPr>
            <w:r w:rsidRPr="001F4332">
              <w:t>Quality-adjusted life years (QALY; base case), Life-years (LY; sensitivity analysis) gained</w:t>
            </w:r>
          </w:p>
        </w:tc>
      </w:tr>
      <w:tr w:rsidR="00A32712" w:rsidRPr="001009D9" w14:paraId="78619CB5" w14:textId="77777777" w:rsidTr="00322E1B">
        <w:tc>
          <w:tcPr>
            <w:tcW w:w="1076" w:type="pct"/>
            <w:vAlign w:val="center"/>
          </w:tcPr>
          <w:p w14:paraId="734A33EA" w14:textId="77777777" w:rsidR="00A32712" w:rsidRPr="001009D9" w:rsidRDefault="00A32712" w:rsidP="00870786">
            <w:pPr>
              <w:pStyle w:val="Tabletext"/>
              <w:keepNext/>
              <w:keepLines/>
            </w:pPr>
            <w:r w:rsidRPr="001009D9">
              <w:t>Time horizon</w:t>
            </w:r>
          </w:p>
        </w:tc>
        <w:tc>
          <w:tcPr>
            <w:tcW w:w="3924" w:type="pct"/>
          </w:tcPr>
          <w:p w14:paraId="00B69AE9" w14:textId="77777777" w:rsidR="00A32712" w:rsidRPr="001009D9" w:rsidRDefault="00A32712" w:rsidP="00870786">
            <w:pPr>
              <w:pStyle w:val="Tabletext"/>
              <w:keepNext/>
              <w:keepLines/>
            </w:pPr>
            <w:r w:rsidRPr="00411152">
              <w:t>7.5 years in the model base</w:t>
            </w:r>
            <w:r>
              <w:t xml:space="preserve"> </w:t>
            </w:r>
            <w:r w:rsidRPr="00411152">
              <w:t>case</w:t>
            </w:r>
            <w:r>
              <w:t xml:space="preserve"> based on a median follow up of 9.8 and 12.6 months in the chemotherapy and pembrolizumab plus chemotherapy arms of the KN590 trial, respectively. </w:t>
            </w:r>
          </w:p>
        </w:tc>
      </w:tr>
      <w:tr w:rsidR="00A32712" w:rsidRPr="001009D9" w14:paraId="5209925A" w14:textId="77777777" w:rsidTr="00A32712">
        <w:tc>
          <w:tcPr>
            <w:tcW w:w="1076" w:type="pct"/>
            <w:vAlign w:val="center"/>
          </w:tcPr>
          <w:p w14:paraId="53C5B135" w14:textId="77777777" w:rsidR="00A32712" w:rsidRPr="001009D9" w:rsidRDefault="00A32712" w:rsidP="00870786">
            <w:pPr>
              <w:pStyle w:val="Tabletext"/>
              <w:keepNext/>
              <w:keepLines/>
            </w:pPr>
            <w:r w:rsidRPr="001009D9">
              <w:t>Methods used to generate results</w:t>
            </w:r>
          </w:p>
        </w:tc>
        <w:tc>
          <w:tcPr>
            <w:tcW w:w="3924" w:type="pct"/>
            <w:vAlign w:val="center"/>
          </w:tcPr>
          <w:p w14:paraId="622C2162" w14:textId="77777777" w:rsidR="00A32712" w:rsidRPr="001009D9" w:rsidRDefault="00A32712" w:rsidP="00870786">
            <w:pPr>
              <w:pStyle w:val="Tabletext"/>
              <w:keepNext/>
              <w:keepLines/>
            </w:pPr>
            <w:r w:rsidRPr="00411152">
              <w:t>Cohort analysis of partitioned survival (i.e.</w:t>
            </w:r>
            <w:r>
              <w:t>,</w:t>
            </w:r>
            <w:r w:rsidRPr="00411152">
              <w:t xml:space="preserve"> area under the curve)</w:t>
            </w:r>
          </w:p>
        </w:tc>
      </w:tr>
      <w:tr w:rsidR="00A32712" w:rsidRPr="001009D9" w14:paraId="08EDF40D" w14:textId="77777777" w:rsidTr="00322E1B">
        <w:tc>
          <w:tcPr>
            <w:tcW w:w="1076" w:type="pct"/>
            <w:vAlign w:val="center"/>
          </w:tcPr>
          <w:p w14:paraId="54407A29" w14:textId="77777777" w:rsidR="00A32712" w:rsidRPr="001009D9" w:rsidRDefault="00A32712" w:rsidP="00870786">
            <w:pPr>
              <w:pStyle w:val="Tabletext"/>
              <w:keepNext/>
              <w:keepLines/>
            </w:pPr>
            <w:r w:rsidRPr="001009D9">
              <w:t>Health states</w:t>
            </w:r>
          </w:p>
        </w:tc>
        <w:tc>
          <w:tcPr>
            <w:tcW w:w="3924" w:type="pct"/>
          </w:tcPr>
          <w:p w14:paraId="489B4D36" w14:textId="77777777" w:rsidR="00A32712" w:rsidRPr="001009D9" w:rsidRDefault="00A32712" w:rsidP="00870786">
            <w:pPr>
              <w:pStyle w:val="Tabletext"/>
              <w:keepNext/>
              <w:keepLines/>
            </w:pPr>
            <w:r w:rsidRPr="00882819">
              <w:t xml:space="preserve">Three health states are included in the model: </w:t>
            </w:r>
            <w:r w:rsidR="00CE1D05">
              <w:t>PFS</w:t>
            </w:r>
            <w:r w:rsidRPr="00882819">
              <w:t>, progressed disease and death</w:t>
            </w:r>
          </w:p>
        </w:tc>
      </w:tr>
      <w:tr w:rsidR="00A32712" w:rsidRPr="001009D9" w14:paraId="429551D7" w14:textId="77777777" w:rsidTr="00322E1B">
        <w:tc>
          <w:tcPr>
            <w:tcW w:w="1076" w:type="pct"/>
            <w:vAlign w:val="center"/>
          </w:tcPr>
          <w:p w14:paraId="2BB84BA0" w14:textId="77777777" w:rsidR="00A32712" w:rsidRPr="001009D9" w:rsidRDefault="00A32712" w:rsidP="00870786">
            <w:pPr>
              <w:pStyle w:val="Tabletext"/>
              <w:keepNext/>
              <w:keepLines/>
            </w:pPr>
            <w:r w:rsidRPr="001009D9">
              <w:t>Cycle length</w:t>
            </w:r>
          </w:p>
        </w:tc>
        <w:tc>
          <w:tcPr>
            <w:tcW w:w="3924" w:type="pct"/>
          </w:tcPr>
          <w:p w14:paraId="5839F5BE" w14:textId="77777777" w:rsidR="00A32712" w:rsidRPr="001009D9" w:rsidRDefault="00A32712" w:rsidP="00870786">
            <w:pPr>
              <w:pStyle w:val="Tabletext"/>
              <w:keepNext/>
              <w:keepLines/>
            </w:pPr>
            <w:r w:rsidRPr="00411152">
              <w:t>1 week</w:t>
            </w:r>
          </w:p>
        </w:tc>
      </w:tr>
      <w:tr w:rsidR="00A32712" w:rsidRPr="001009D9" w14:paraId="6EB71197" w14:textId="77777777" w:rsidTr="00322E1B">
        <w:tc>
          <w:tcPr>
            <w:tcW w:w="1076" w:type="pct"/>
            <w:vAlign w:val="center"/>
          </w:tcPr>
          <w:p w14:paraId="75717A72" w14:textId="77777777" w:rsidR="00A32712" w:rsidRPr="001009D9" w:rsidRDefault="00A32712" w:rsidP="00870786">
            <w:pPr>
              <w:pStyle w:val="Tabletext"/>
              <w:keepNext/>
              <w:keepLines/>
            </w:pPr>
            <w:r w:rsidRPr="001009D9">
              <w:t>Transition probabilities</w:t>
            </w:r>
          </w:p>
        </w:tc>
        <w:tc>
          <w:tcPr>
            <w:tcW w:w="3924" w:type="pct"/>
          </w:tcPr>
          <w:p w14:paraId="1D736359" w14:textId="77777777" w:rsidR="00A32712" w:rsidRPr="001009D9" w:rsidRDefault="00A32712" w:rsidP="00870786">
            <w:pPr>
              <w:pStyle w:val="Tabletext"/>
              <w:keepNext/>
              <w:keepLines/>
            </w:pPr>
            <w:r>
              <w:t xml:space="preserve">Health state allocation over time was determined by </w:t>
            </w:r>
            <w:r w:rsidR="00CE1D05">
              <w:t>PFS</w:t>
            </w:r>
            <w:r>
              <w:t xml:space="preserve"> and </w:t>
            </w:r>
            <w:r w:rsidR="00CE1D05">
              <w:t>OS</w:t>
            </w:r>
            <w:r>
              <w:t xml:space="preserve"> curves from the KN590 trial (partitioned survival analysis)</w:t>
            </w:r>
          </w:p>
        </w:tc>
      </w:tr>
      <w:tr w:rsidR="004E0DA6" w:rsidRPr="001009D9" w14:paraId="745D5C86" w14:textId="77777777" w:rsidTr="00322E1B">
        <w:tc>
          <w:tcPr>
            <w:tcW w:w="1076" w:type="pct"/>
            <w:vAlign w:val="center"/>
          </w:tcPr>
          <w:p w14:paraId="002AB9E8" w14:textId="77777777" w:rsidR="004E0DA6" w:rsidRPr="001009D9" w:rsidRDefault="004E0DA6" w:rsidP="00870786">
            <w:pPr>
              <w:pStyle w:val="Tabletext"/>
              <w:keepNext/>
              <w:keepLines/>
            </w:pPr>
            <w:r>
              <w:t>Extrapolation method</w:t>
            </w:r>
          </w:p>
        </w:tc>
        <w:tc>
          <w:tcPr>
            <w:tcW w:w="3924" w:type="pct"/>
          </w:tcPr>
          <w:p w14:paraId="022AAA10" w14:textId="77777777" w:rsidR="004E0DA6" w:rsidRDefault="004E0DA6" w:rsidP="00870786">
            <w:pPr>
              <w:pStyle w:val="Tabletext"/>
              <w:keepNext/>
              <w:keepLines/>
            </w:pPr>
            <w:r>
              <w:t>Piecewise (models for all extrapolations)</w:t>
            </w:r>
          </w:p>
          <w:p w14:paraId="39CAE4CE" w14:textId="77777777" w:rsidR="006C0319" w:rsidRDefault="006C0319" w:rsidP="00870786">
            <w:pPr>
              <w:pStyle w:val="Tabletext"/>
              <w:keepNext/>
              <w:keepLines/>
            </w:pPr>
          </w:p>
          <w:p w14:paraId="37B89581" w14:textId="77777777" w:rsidR="004E0DA6" w:rsidRDefault="006C0319" w:rsidP="00870786">
            <w:pPr>
              <w:pStyle w:val="Tabletext"/>
              <w:keepNext/>
              <w:keepLines/>
            </w:pPr>
            <w:r w:rsidRPr="00952E2D">
              <w:rPr>
                <w:i/>
              </w:rPr>
              <w:t>OS:</w:t>
            </w:r>
            <w:r>
              <w:t xml:space="preserve"> </w:t>
            </w:r>
            <w:r w:rsidR="003C492F">
              <w:t xml:space="preserve">KM data up to 40 </w:t>
            </w:r>
            <w:r w:rsidR="004E0DA6">
              <w:t xml:space="preserve">weeks, and then </w:t>
            </w:r>
            <w:r w:rsidR="00CE1D05">
              <w:t>l</w:t>
            </w:r>
            <w:r w:rsidR="004E0DA6">
              <w:t xml:space="preserve">og-logistic for pembrolizumab plus chemo arm and log-normal for </w:t>
            </w:r>
            <w:r w:rsidR="000A04C9">
              <w:t xml:space="preserve">chemotherapy alone </w:t>
            </w:r>
            <w:r w:rsidR="004E0DA6">
              <w:t>arm.</w:t>
            </w:r>
          </w:p>
          <w:p w14:paraId="3F4C583F" w14:textId="77777777" w:rsidR="006C0319" w:rsidRDefault="006C0319" w:rsidP="00870786">
            <w:pPr>
              <w:pStyle w:val="Tabletext"/>
              <w:keepNext/>
              <w:keepLines/>
            </w:pPr>
          </w:p>
          <w:p w14:paraId="6EE22F51" w14:textId="77777777" w:rsidR="004E0DA6" w:rsidRDefault="006C0319" w:rsidP="00870786">
            <w:pPr>
              <w:pStyle w:val="Tabletext"/>
              <w:keepNext/>
              <w:keepLines/>
            </w:pPr>
            <w:r w:rsidRPr="00952E2D">
              <w:rPr>
                <w:i/>
              </w:rPr>
              <w:t>PFS:</w:t>
            </w:r>
            <w:r>
              <w:t xml:space="preserve"> </w:t>
            </w:r>
            <w:r w:rsidR="004E0DA6">
              <w:t xml:space="preserve">KM data up to 37 weeks, then exponential for pembrolizumab plus chemo </w:t>
            </w:r>
            <w:r w:rsidR="00281834">
              <w:t xml:space="preserve">and </w:t>
            </w:r>
            <w:r w:rsidR="004E0DA6">
              <w:t xml:space="preserve">for </w:t>
            </w:r>
            <w:r w:rsidR="000A04C9">
              <w:t>chemotherapy alone</w:t>
            </w:r>
          </w:p>
          <w:p w14:paraId="763E2CBC" w14:textId="77777777" w:rsidR="006C0319" w:rsidRDefault="006C0319" w:rsidP="00870786">
            <w:pPr>
              <w:pStyle w:val="Tabletext"/>
              <w:keepNext/>
              <w:keepLines/>
            </w:pPr>
          </w:p>
          <w:p w14:paraId="4A47214E" w14:textId="77777777" w:rsidR="004E0DA6" w:rsidRDefault="004E0DA6" w:rsidP="00870786">
            <w:pPr>
              <w:pStyle w:val="Tabletext"/>
              <w:keepNext/>
              <w:keepLines/>
            </w:pPr>
            <w:r>
              <w:t>KM data only for time on treatment as all treatment curves reached zero before end of trial.</w:t>
            </w:r>
          </w:p>
          <w:p w14:paraId="25D594AA" w14:textId="77777777" w:rsidR="004E0DA6" w:rsidRDefault="004E0DA6" w:rsidP="00870786">
            <w:pPr>
              <w:pStyle w:val="Tabletext"/>
              <w:keepNext/>
              <w:keepLines/>
            </w:pPr>
          </w:p>
          <w:p w14:paraId="0DB503BF" w14:textId="77777777" w:rsidR="004E0DA6" w:rsidRPr="006C0319" w:rsidRDefault="004E0DA6" w:rsidP="00870786">
            <w:pPr>
              <w:pStyle w:val="Tabletext"/>
              <w:keepNext/>
              <w:keepLines/>
            </w:pPr>
            <w:r w:rsidRPr="006C0319">
              <w:rPr>
                <w:iCs/>
              </w:rPr>
              <w:t xml:space="preserve">The model is highly sensitive </w:t>
            </w:r>
            <w:proofErr w:type="gramStart"/>
            <w:r w:rsidRPr="006C0319">
              <w:rPr>
                <w:iCs/>
              </w:rPr>
              <w:t>to choice</w:t>
            </w:r>
            <w:proofErr w:type="gramEnd"/>
            <w:r w:rsidRPr="006C0319">
              <w:rPr>
                <w:iCs/>
              </w:rPr>
              <w:t xml:space="preserve"> of extrapolation. </w:t>
            </w:r>
          </w:p>
        </w:tc>
      </w:tr>
      <w:tr w:rsidR="004E0DA6" w:rsidRPr="001009D9" w14:paraId="68CC30D2" w14:textId="77777777" w:rsidTr="00031534">
        <w:tc>
          <w:tcPr>
            <w:tcW w:w="1076" w:type="pct"/>
            <w:vAlign w:val="center"/>
          </w:tcPr>
          <w:p w14:paraId="3CB36BFA" w14:textId="77777777" w:rsidR="004E0DA6" w:rsidRDefault="004E0DA6" w:rsidP="00870786">
            <w:pPr>
              <w:pStyle w:val="Tabletext"/>
              <w:keepNext/>
              <w:keepLines/>
            </w:pPr>
            <w:r>
              <w:t>Health related quality of life</w:t>
            </w:r>
          </w:p>
        </w:tc>
        <w:tc>
          <w:tcPr>
            <w:tcW w:w="3924" w:type="pct"/>
            <w:vAlign w:val="center"/>
          </w:tcPr>
          <w:p w14:paraId="4A4233DB" w14:textId="77777777" w:rsidR="004E0DA6" w:rsidRPr="001009D9" w:rsidRDefault="004E0DA6" w:rsidP="00870786">
            <w:pPr>
              <w:pStyle w:val="Tabletext"/>
              <w:keepNext/>
              <w:keepLines/>
            </w:pPr>
            <w:r>
              <w:t xml:space="preserve">Progression free (0.811) and progressed (0.696) based on KN590 trial based EQ-5D </w:t>
            </w:r>
            <w:proofErr w:type="spellStart"/>
            <w:proofErr w:type="gramStart"/>
            <w:r>
              <w:t>responses.</w:t>
            </w:r>
            <w:r w:rsidR="005C2193" w:rsidRPr="005C2193">
              <w:rPr>
                <w:vertAlign w:val="superscript"/>
              </w:rPr>
              <w:t>a</w:t>
            </w:r>
            <w:proofErr w:type="spellEnd"/>
            <w:proofErr w:type="gramEnd"/>
          </w:p>
        </w:tc>
      </w:tr>
      <w:tr w:rsidR="004E0DA6" w:rsidRPr="001009D9" w14:paraId="76595355" w14:textId="77777777" w:rsidTr="00322E1B">
        <w:tc>
          <w:tcPr>
            <w:tcW w:w="1076" w:type="pct"/>
            <w:vAlign w:val="center"/>
          </w:tcPr>
          <w:p w14:paraId="7C79E770" w14:textId="77777777" w:rsidR="004E0DA6" w:rsidRDefault="004E0DA6" w:rsidP="00870786">
            <w:pPr>
              <w:pStyle w:val="Tabletext"/>
              <w:keepNext/>
              <w:keepLines/>
            </w:pPr>
            <w:r>
              <w:t>Inclusion of terminal care costs</w:t>
            </w:r>
          </w:p>
        </w:tc>
        <w:tc>
          <w:tcPr>
            <w:tcW w:w="3924" w:type="pct"/>
          </w:tcPr>
          <w:p w14:paraId="6BB0BD41" w14:textId="58A08CE3" w:rsidR="004E0DA6" w:rsidRPr="001009D9" w:rsidRDefault="004E0DA6" w:rsidP="00CA68FB">
            <w:pPr>
              <w:pStyle w:val="Tabletext"/>
              <w:keepNext/>
              <w:keepLines/>
            </w:pPr>
            <w:r>
              <w:t xml:space="preserve">$77,018.71 based on </w:t>
            </w:r>
            <w:proofErr w:type="spellStart"/>
            <w:r>
              <w:t>Goldsbury</w:t>
            </w:r>
            <w:proofErr w:type="spellEnd"/>
            <w:r>
              <w:t xml:space="preserve"> (2018) and adjusted for 2020 prices. </w:t>
            </w:r>
            <w:r w:rsidRPr="006F6884">
              <w:t xml:space="preserve">May not be reflective of requested population, highly linked to extrapolation of </w:t>
            </w:r>
            <w:r w:rsidR="0088267D">
              <w:t>OS</w:t>
            </w:r>
            <w:r w:rsidRPr="006F6884">
              <w:t xml:space="preserve"> benefit. May not be reasonable to include terminal care costs where survival is not expected to surpass the modelled time horizon.</w:t>
            </w:r>
            <w:r w:rsidR="00D27D0E">
              <w:t xml:space="preserve"> </w:t>
            </w:r>
            <w:r w:rsidR="00D27D0E" w:rsidRPr="00521E1C">
              <w:t xml:space="preserve">The PSCR provided a revised terminal care cost of </w:t>
            </w:r>
            <w:r w:rsidR="008469AD" w:rsidRPr="00521E1C">
              <w:t>$38,057</w:t>
            </w:r>
            <w:r w:rsidR="007C0761">
              <w:t xml:space="preserve">. </w:t>
            </w:r>
          </w:p>
        </w:tc>
      </w:tr>
    </w:tbl>
    <w:p w14:paraId="5BDED34C" w14:textId="77777777" w:rsidR="005C2193" w:rsidRDefault="004E0DA6" w:rsidP="00870786">
      <w:pPr>
        <w:pStyle w:val="TableFooter"/>
        <w:keepNext/>
        <w:keepLines/>
      </w:pPr>
      <w:r w:rsidRPr="001009D9">
        <w:t xml:space="preserve">Source: </w:t>
      </w:r>
      <w:r>
        <w:t xml:space="preserve">Table 3.1-1, p 61 of </w:t>
      </w:r>
      <w:r w:rsidRPr="001009D9">
        <w:t>the submission.</w:t>
      </w:r>
    </w:p>
    <w:p w14:paraId="0E5CE859" w14:textId="77777777" w:rsidR="00A32712" w:rsidRDefault="004E0DA6" w:rsidP="00870786">
      <w:pPr>
        <w:pStyle w:val="TableFooter"/>
        <w:keepNext/>
        <w:keepLines/>
      </w:pPr>
      <w:r>
        <w:t xml:space="preserve">LY life year; OS = overall survival; PFS = progression free survival; QALY </w:t>
      </w:r>
      <w:r w:rsidR="005C2193">
        <w:t>=</w:t>
      </w:r>
      <w:r>
        <w:t xml:space="preserve"> quality-adjusted life year</w:t>
      </w:r>
    </w:p>
    <w:p w14:paraId="4887547B" w14:textId="35249ED6" w:rsidR="00A32712" w:rsidRPr="00CB71F0" w:rsidRDefault="005C2193" w:rsidP="00CB71F0">
      <w:pPr>
        <w:pStyle w:val="TableFooter"/>
        <w:keepNext/>
        <w:keepLines/>
        <w:spacing w:after="120"/>
      </w:pPr>
      <w:proofErr w:type="spellStart"/>
      <w:r w:rsidRPr="002A5C87">
        <w:rPr>
          <w:vertAlign w:val="superscript"/>
        </w:rPr>
        <w:t>a</w:t>
      </w:r>
      <w:proofErr w:type="spellEnd"/>
      <w:r w:rsidR="00067791" w:rsidRPr="002A5C87">
        <w:rPr>
          <w:vertAlign w:val="superscript"/>
        </w:rPr>
        <w:t xml:space="preserve"> </w:t>
      </w:r>
      <w:r w:rsidRPr="002A5C87">
        <w:t xml:space="preserve">The </w:t>
      </w:r>
      <w:r w:rsidR="007C0761">
        <w:t>Pre-Sub-Committee Response (</w:t>
      </w:r>
      <w:r w:rsidRPr="002A5C87">
        <w:t>PSCR</w:t>
      </w:r>
      <w:r w:rsidR="007C0761">
        <w:t>)</w:t>
      </w:r>
      <w:r w:rsidRPr="002A5C87">
        <w:t xml:space="preserve"> provided additional information on the derivation of the health utilities. The utilities were first cross walked to EQ-5D-3L and then mapped to Australia specific utilities.</w:t>
      </w:r>
    </w:p>
    <w:p w14:paraId="0AC0D465" w14:textId="77777777" w:rsidR="004E0DA6" w:rsidRPr="006147E1" w:rsidRDefault="00BF479B" w:rsidP="00863C38">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ESC noted a </w:t>
      </w:r>
      <w:r w:rsidR="004E0DA6" w:rsidRPr="00586BAA">
        <w:rPr>
          <w:rFonts w:asciiTheme="minorHAnsi" w:hAnsiTheme="minorHAnsi" w:cstheme="minorHAnsi"/>
          <w:iCs/>
          <w:color w:val="000000" w:themeColor="text1"/>
          <w:szCs w:val="24"/>
        </w:rPr>
        <w:t>key limitation</w:t>
      </w:r>
      <w:r w:rsidR="004E0DA6" w:rsidRPr="008E5320">
        <w:rPr>
          <w:rFonts w:asciiTheme="minorHAnsi" w:hAnsiTheme="minorHAnsi" w:cstheme="minorHAnsi"/>
          <w:iCs/>
          <w:color w:val="000000" w:themeColor="text1"/>
          <w:szCs w:val="24"/>
        </w:rPr>
        <w:t xml:space="preserve"> of the model is the applicability of the KN590 data on which it is based</w:t>
      </w:r>
      <w:r w:rsidR="00421B01" w:rsidRPr="008E5320">
        <w:rPr>
          <w:rFonts w:asciiTheme="minorHAnsi" w:hAnsiTheme="minorHAnsi" w:cstheme="minorHAnsi"/>
          <w:iCs/>
          <w:color w:val="000000" w:themeColor="text1"/>
          <w:szCs w:val="24"/>
        </w:rPr>
        <w:t>, as it was unclear how applicable the trial was to the Australian population</w:t>
      </w:r>
      <w:r w:rsidR="00213E38" w:rsidRPr="008E5320">
        <w:rPr>
          <w:rFonts w:asciiTheme="minorHAnsi" w:hAnsiTheme="minorHAnsi" w:cstheme="minorHAnsi"/>
          <w:iCs/>
          <w:color w:val="000000" w:themeColor="text1"/>
          <w:szCs w:val="24"/>
        </w:rPr>
        <w:t xml:space="preserve"> (as disc</w:t>
      </w:r>
      <w:r w:rsidR="00213E38" w:rsidRPr="00A4098B">
        <w:rPr>
          <w:rFonts w:asciiTheme="minorHAnsi" w:hAnsiTheme="minorHAnsi" w:cstheme="minorHAnsi"/>
          <w:iCs/>
          <w:color w:val="000000" w:themeColor="text1"/>
          <w:szCs w:val="24"/>
        </w:rPr>
        <w:t xml:space="preserve">ussed in paragraph </w:t>
      </w:r>
      <w:r w:rsidR="00875FDA" w:rsidRPr="00A4098B">
        <w:rPr>
          <w:rFonts w:asciiTheme="minorHAnsi" w:hAnsiTheme="minorHAnsi" w:cstheme="minorHAnsi"/>
          <w:iCs/>
          <w:color w:val="000000" w:themeColor="text1"/>
          <w:szCs w:val="24"/>
        </w:rPr>
        <w:t>6.33).</w:t>
      </w:r>
    </w:p>
    <w:p w14:paraId="22A0D4C6" w14:textId="7031D526" w:rsidR="004E0DA6" w:rsidRPr="00EC6D2C" w:rsidRDefault="004E0DA6" w:rsidP="00863C38">
      <w:pPr>
        <w:pStyle w:val="ListParagraph"/>
        <w:widowControl/>
        <w:numPr>
          <w:ilvl w:val="1"/>
          <w:numId w:val="1"/>
        </w:numPr>
        <w:rPr>
          <w:rFonts w:asciiTheme="minorHAnsi" w:hAnsiTheme="minorHAnsi" w:cstheme="minorHAnsi"/>
          <w:i/>
          <w:iCs/>
          <w:color w:val="000000" w:themeColor="text1"/>
          <w:szCs w:val="24"/>
        </w:rPr>
      </w:pPr>
      <w:r w:rsidRPr="0060004D">
        <w:rPr>
          <w:rFonts w:asciiTheme="minorHAnsi" w:hAnsiTheme="minorHAnsi" w:cstheme="minorHAnsi"/>
          <w:color w:val="000000" w:themeColor="text1"/>
          <w:szCs w:val="24"/>
        </w:rPr>
        <w:t xml:space="preserve">The model’s </w:t>
      </w:r>
      <w:r w:rsidRPr="00C02982">
        <w:rPr>
          <w:rFonts w:asciiTheme="minorHAnsi" w:hAnsiTheme="minorHAnsi" w:cstheme="minorHAnsi"/>
          <w:color w:val="000000" w:themeColor="text1"/>
          <w:szCs w:val="24"/>
        </w:rPr>
        <w:t>extrapolation method was explicitly selected</w:t>
      </w:r>
      <w:r w:rsidRPr="0060004D">
        <w:rPr>
          <w:rFonts w:asciiTheme="minorHAnsi" w:hAnsiTheme="minorHAnsi" w:cstheme="minorHAnsi"/>
          <w:color w:val="000000" w:themeColor="text1"/>
          <w:szCs w:val="24"/>
        </w:rPr>
        <w:t xml:space="preserve"> to </w:t>
      </w:r>
      <w:r w:rsidR="00C02982">
        <w:rPr>
          <w:rFonts w:asciiTheme="minorHAnsi" w:hAnsiTheme="minorHAnsi" w:cstheme="minorHAnsi"/>
          <w:color w:val="000000" w:themeColor="text1"/>
          <w:szCs w:val="24"/>
        </w:rPr>
        <w:t>demonstrate</w:t>
      </w:r>
      <w:r w:rsidRPr="0060004D">
        <w:rPr>
          <w:rFonts w:asciiTheme="minorHAnsi" w:hAnsiTheme="minorHAnsi" w:cstheme="minorHAnsi"/>
          <w:color w:val="000000" w:themeColor="text1"/>
          <w:szCs w:val="24"/>
        </w:rPr>
        <w:t xml:space="preserve"> a survival plateau effect of pembrolizumab.</w:t>
      </w:r>
      <w:r w:rsidR="00F71CAB">
        <w:rPr>
          <w:rFonts w:asciiTheme="minorHAnsi" w:hAnsiTheme="minorHAnsi" w:cstheme="minorHAnsi"/>
          <w:color w:val="000000" w:themeColor="text1"/>
          <w:szCs w:val="24"/>
        </w:rPr>
        <w:t xml:space="preserve"> </w:t>
      </w:r>
      <w:r w:rsidR="00F71CAB" w:rsidRPr="008E5320">
        <w:rPr>
          <w:rFonts w:asciiTheme="minorHAnsi" w:hAnsiTheme="minorHAnsi" w:cstheme="minorHAnsi"/>
          <w:color w:val="000000" w:themeColor="text1"/>
          <w:szCs w:val="24"/>
        </w:rPr>
        <w:t xml:space="preserve">The evaluation noted </w:t>
      </w:r>
      <w:r w:rsidR="00F71CAB" w:rsidRPr="008E5320">
        <w:rPr>
          <w:rFonts w:asciiTheme="minorHAnsi" w:hAnsiTheme="minorHAnsi" w:cstheme="minorHAnsi"/>
          <w:iCs/>
          <w:color w:val="000000" w:themeColor="text1"/>
          <w:szCs w:val="24"/>
        </w:rPr>
        <w:t>t</w:t>
      </w:r>
      <w:r w:rsidR="001154B4" w:rsidRPr="008E5320">
        <w:rPr>
          <w:rFonts w:asciiTheme="minorHAnsi" w:hAnsiTheme="minorHAnsi" w:cstheme="minorHAnsi"/>
          <w:iCs/>
          <w:color w:val="000000" w:themeColor="text1"/>
          <w:szCs w:val="24"/>
        </w:rPr>
        <w:t xml:space="preserve">he </w:t>
      </w:r>
      <w:r w:rsidR="006D03E2">
        <w:rPr>
          <w:rFonts w:asciiTheme="minorHAnsi" w:hAnsiTheme="minorHAnsi" w:cstheme="minorHAnsi"/>
          <w:iCs/>
          <w:color w:val="000000" w:themeColor="text1"/>
          <w:szCs w:val="24"/>
        </w:rPr>
        <w:t>Advisory Committee Medicines (</w:t>
      </w:r>
      <w:r w:rsidR="001154B4" w:rsidRPr="008E5320">
        <w:rPr>
          <w:rFonts w:asciiTheme="minorHAnsi" w:hAnsiTheme="minorHAnsi" w:cstheme="minorHAnsi"/>
          <w:iCs/>
          <w:color w:val="000000" w:themeColor="text1"/>
          <w:szCs w:val="24"/>
        </w:rPr>
        <w:t>ACM</w:t>
      </w:r>
      <w:r w:rsidR="006D03E2">
        <w:rPr>
          <w:rFonts w:asciiTheme="minorHAnsi" w:hAnsiTheme="minorHAnsi" w:cstheme="minorHAnsi"/>
          <w:iCs/>
          <w:color w:val="000000" w:themeColor="text1"/>
          <w:szCs w:val="24"/>
        </w:rPr>
        <w:t>)</w:t>
      </w:r>
      <w:r w:rsidR="001154B4" w:rsidRPr="008E5320">
        <w:rPr>
          <w:rFonts w:asciiTheme="minorHAnsi" w:hAnsiTheme="minorHAnsi" w:cstheme="minorHAnsi"/>
          <w:iCs/>
          <w:color w:val="000000" w:themeColor="text1"/>
          <w:szCs w:val="24"/>
        </w:rPr>
        <w:t xml:space="preserve"> spoke positively of the long tail in survival for a subset of patient</w:t>
      </w:r>
      <w:r w:rsidR="00CB71C3" w:rsidRPr="008E5320">
        <w:rPr>
          <w:rFonts w:asciiTheme="minorHAnsi" w:hAnsiTheme="minorHAnsi" w:cstheme="minorHAnsi"/>
          <w:iCs/>
          <w:color w:val="000000" w:themeColor="text1"/>
          <w:szCs w:val="24"/>
        </w:rPr>
        <w:t>s</w:t>
      </w:r>
      <w:r w:rsidR="001154B4" w:rsidRPr="008E5320">
        <w:rPr>
          <w:rFonts w:asciiTheme="minorHAnsi" w:hAnsiTheme="minorHAnsi" w:cstheme="minorHAnsi"/>
          <w:iCs/>
          <w:color w:val="000000" w:themeColor="text1"/>
          <w:szCs w:val="24"/>
        </w:rPr>
        <w:t xml:space="preserve"> (ACM Minutes).</w:t>
      </w:r>
      <w:r w:rsidR="001154B4" w:rsidRPr="001154B4">
        <w:rPr>
          <w:rFonts w:asciiTheme="minorHAnsi" w:hAnsiTheme="minorHAnsi" w:cstheme="minorHAnsi"/>
          <w:i/>
          <w:iCs/>
          <w:color w:val="000000" w:themeColor="text1"/>
          <w:szCs w:val="24"/>
        </w:rPr>
        <w:t xml:space="preserve"> </w:t>
      </w:r>
      <w:r w:rsidRPr="001154B4">
        <w:rPr>
          <w:rFonts w:asciiTheme="minorHAnsi" w:hAnsiTheme="minorHAnsi" w:cstheme="minorHAnsi"/>
          <w:color w:val="000000" w:themeColor="text1"/>
          <w:szCs w:val="24"/>
        </w:rPr>
        <w:t xml:space="preserve">The submission stated that single-piece models generated poorly </w:t>
      </w:r>
      <w:r w:rsidRPr="001154B4">
        <w:rPr>
          <w:rFonts w:asciiTheme="minorHAnsi" w:hAnsiTheme="minorHAnsi" w:cstheme="minorHAnsi"/>
          <w:color w:val="000000" w:themeColor="text1"/>
          <w:szCs w:val="24"/>
        </w:rPr>
        <w:lastRenderedPageBreak/>
        <w:t>fitting extrapolations of the data and that this is consistent with the findings of previous independent immuno-oncology (IO) validation studies that have shown that single-piece parametric functions underesti</w:t>
      </w:r>
      <w:r w:rsidRPr="00EC6D2C">
        <w:rPr>
          <w:rFonts w:asciiTheme="minorHAnsi" w:hAnsiTheme="minorHAnsi" w:cstheme="minorHAnsi"/>
          <w:color w:val="000000" w:themeColor="text1"/>
          <w:szCs w:val="24"/>
        </w:rPr>
        <w:t>mate empirically measured survival data for these therapies (</w:t>
      </w:r>
      <w:proofErr w:type="spellStart"/>
      <w:r w:rsidRPr="00EC6D2C">
        <w:rPr>
          <w:rFonts w:asciiTheme="minorHAnsi" w:hAnsiTheme="minorHAnsi" w:cstheme="minorHAnsi"/>
          <w:color w:val="000000" w:themeColor="text1"/>
          <w:szCs w:val="24"/>
        </w:rPr>
        <w:t>Bullement</w:t>
      </w:r>
      <w:proofErr w:type="spellEnd"/>
      <w:r w:rsidRPr="00EC6D2C">
        <w:rPr>
          <w:rFonts w:asciiTheme="minorHAnsi" w:hAnsiTheme="minorHAnsi" w:cstheme="minorHAnsi"/>
          <w:color w:val="000000" w:themeColor="text1"/>
          <w:szCs w:val="24"/>
        </w:rPr>
        <w:t xml:space="preserve"> 2019; Phan 2020; </w:t>
      </w:r>
      <w:proofErr w:type="spellStart"/>
      <w:r w:rsidRPr="00EC6D2C">
        <w:rPr>
          <w:rFonts w:asciiTheme="minorHAnsi" w:hAnsiTheme="minorHAnsi" w:cstheme="minorHAnsi"/>
          <w:color w:val="000000" w:themeColor="text1"/>
          <w:szCs w:val="24"/>
        </w:rPr>
        <w:t>Ouwens</w:t>
      </w:r>
      <w:proofErr w:type="spellEnd"/>
      <w:r w:rsidRPr="00EC6D2C">
        <w:rPr>
          <w:rFonts w:asciiTheme="minorHAnsi" w:hAnsiTheme="minorHAnsi" w:cstheme="minorHAnsi"/>
          <w:color w:val="000000" w:themeColor="text1"/>
          <w:szCs w:val="24"/>
        </w:rPr>
        <w:t xml:space="preserve"> 2019) as they inadequately represent the complex pattern of hazard functions or underlying mechanism of action of IO treatments (</w:t>
      </w:r>
      <w:proofErr w:type="spellStart"/>
      <w:r w:rsidRPr="00EC6D2C">
        <w:rPr>
          <w:rFonts w:asciiTheme="minorHAnsi" w:hAnsiTheme="minorHAnsi" w:cstheme="minorHAnsi"/>
          <w:color w:val="000000" w:themeColor="text1"/>
          <w:szCs w:val="24"/>
        </w:rPr>
        <w:t>Ouwens</w:t>
      </w:r>
      <w:proofErr w:type="spellEnd"/>
      <w:r w:rsidRPr="00EC6D2C">
        <w:rPr>
          <w:rFonts w:asciiTheme="minorHAnsi" w:hAnsiTheme="minorHAnsi" w:cstheme="minorHAnsi"/>
          <w:color w:val="000000" w:themeColor="text1"/>
          <w:szCs w:val="24"/>
        </w:rPr>
        <w:t xml:space="preserve"> 2019). </w:t>
      </w:r>
    </w:p>
    <w:p w14:paraId="0F0F7E9C" w14:textId="77777777" w:rsidR="0039591D" w:rsidRPr="00586BAA" w:rsidRDefault="004E0DA6" w:rsidP="00863C38">
      <w:pPr>
        <w:pStyle w:val="ListParagraph"/>
        <w:numPr>
          <w:ilvl w:val="1"/>
          <w:numId w:val="1"/>
        </w:numPr>
        <w:rPr>
          <w:rFonts w:asciiTheme="minorHAnsi" w:hAnsiTheme="minorHAnsi" w:cstheme="minorHAnsi"/>
          <w:color w:val="000000" w:themeColor="text1"/>
          <w:szCs w:val="24"/>
        </w:rPr>
      </w:pPr>
      <w:r w:rsidRPr="00EC6D2C">
        <w:rPr>
          <w:rFonts w:asciiTheme="minorHAnsi" w:hAnsiTheme="minorHAnsi" w:cstheme="minorHAnsi"/>
          <w:color w:val="000000" w:themeColor="text1"/>
          <w:szCs w:val="24"/>
        </w:rPr>
        <w:t xml:space="preserve">The submission considered that the use of more flexible approaches to extrapolation is in line with current academic thinking both in analogous HTA markets (NICE DSU paper 21 2020) and Australian </w:t>
      </w:r>
      <w:r w:rsidRPr="00586BAA">
        <w:rPr>
          <w:rFonts w:asciiTheme="minorHAnsi" w:hAnsiTheme="minorHAnsi" w:cstheme="minorHAnsi"/>
          <w:color w:val="000000" w:themeColor="text1"/>
          <w:szCs w:val="24"/>
        </w:rPr>
        <w:t>academics (Gray J, Sullivan T, Latimer NR et al 2021). It has also been suggested by the ESC in recent appraisals (</w:t>
      </w:r>
      <w:proofErr w:type="spellStart"/>
      <w:r w:rsidR="00946541" w:rsidRPr="00586BAA">
        <w:rPr>
          <w:rFonts w:asciiTheme="minorHAnsi" w:hAnsiTheme="minorHAnsi" w:cstheme="minorHAnsi"/>
          <w:color w:val="000000" w:themeColor="text1"/>
          <w:szCs w:val="24"/>
        </w:rPr>
        <w:t>d</w:t>
      </w:r>
      <w:r w:rsidRPr="00586BAA">
        <w:rPr>
          <w:rFonts w:asciiTheme="minorHAnsi" w:hAnsiTheme="minorHAnsi" w:cstheme="minorHAnsi"/>
          <w:color w:val="000000" w:themeColor="text1"/>
          <w:szCs w:val="24"/>
        </w:rPr>
        <w:t>arolutamide</w:t>
      </w:r>
      <w:proofErr w:type="spellEnd"/>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Jul</w:t>
      </w:r>
      <w:r w:rsidR="006D5C7E" w:rsidRPr="00586BAA">
        <w:rPr>
          <w:rFonts w:asciiTheme="minorHAnsi" w:hAnsiTheme="minorHAnsi" w:cstheme="minorHAnsi"/>
          <w:color w:val="000000" w:themeColor="text1"/>
          <w:szCs w:val="24"/>
        </w:rPr>
        <w:t xml:space="preserve">y </w:t>
      </w:r>
      <w:r w:rsidRPr="00586BAA">
        <w:rPr>
          <w:rFonts w:asciiTheme="minorHAnsi" w:hAnsiTheme="minorHAnsi" w:cstheme="minorHAnsi"/>
          <w:color w:val="000000" w:themeColor="text1"/>
          <w:szCs w:val="24"/>
        </w:rPr>
        <w:t xml:space="preserve">2020; </w:t>
      </w:r>
      <w:r w:rsidR="00946541" w:rsidRPr="00586BAA">
        <w:rPr>
          <w:rFonts w:asciiTheme="minorHAnsi" w:hAnsiTheme="minorHAnsi" w:cstheme="minorHAnsi"/>
          <w:color w:val="000000" w:themeColor="text1"/>
          <w:szCs w:val="24"/>
        </w:rPr>
        <w:t>p</w:t>
      </w:r>
      <w:r w:rsidRPr="00586BAA">
        <w:rPr>
          <w:rFonts w:asciiTheme="minorHAnsi" w:hAnsiTheme="minorHAnsi" w:cstheme="minorHAnsi"/>
          <w:color w:val="000000" w:themeColor="text1"/>
          <w:szCs w:val="24"/>
        </w:rPr>
        <w:t>embrolizumab</w:t>
      </w:r>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Nov</w:t>
      </w:r>
      <w:r w:rsidR="006D5C7E" w:rsidRPr="00586BAA">
        <w:rPr>
          <w:rFonts w:asciiTheme="minorHAnsi" w:hAnsiTheme="minorHAnsi" w:cstheme="minorHAnsi"/>
          <w:color w:val="000000" w:themeColor="text1"/>
          <w:szCs w:val="24"/>
        </w:rPr>
        <w:t xml:space="preserve">ember </w:t>
      </w:r>
      <w:r w:rsidRPr="00586BAA">
        <w:rPr>
          <w:rFonts w:asciiTheme="minorHAnsi" w:hAnsiTheme="minorHAnsi" w:cstheme="minorHAnsi"/>
          <w:color w:val="000000" w:themeColor="text1"/>
          <w:szCs w:val="24"/>
        </w:rPr>
        <w:t>2020).</w:t>
      </w:r>
      <w:r w:rsidR="0039591D" w:rsidRPr="00586BAA">
        <w:t xml:space="preserve"> </w:t>
      </w:r>
      <w:r w:rsidR="0039591D" w:rsidRPr="00586BAA">
        <w:rPr>
          <w:rFonts w:asciiTheme="minorHAnsi" w:hAnsiTheme="minorHAnsi" w:cstheme="minorHAnsi"/>
          <w:color w:val="000000" w:themeColor="text1"/>
          <w:szCs w:val="24"/>
        </w:rPr>
        <w:t>The ESC noted that the sources</w:t>
      </w:r>
      <w:r w:rsidR="00BA078A" w:rsidRPr="00586BAA">
        <w:rPr>
          <w:rFonts w:asciiTheme="minorHAnsi" w:hAnsiTheme="minorHAnsi" w:cstheme="minorHAnsi"/>
          <w:color w:val="000000" w:themeColor="text1"/>
          <w:szCs w:val="24"/>
        </w:rPr>
        <w:t xml:space="preserve"> referenced </w:t>
      </w:r>
      <w:r w:rsidR="009D1FA2" w:rsidRPr="00586BAA">
        <w:rPr>
          <w:rFonts w:asciiTheme="minorHAnsi" w:hAnsiTheme="minorHAnsi" w:cstheme="minorHAnsi"/>
          <w:color w:val="000000" w:themeColor="text1"/>
          <w:szCs w:val="24"/>
        </w:rPr>
        <w:t>specifically</w:t>
      </w:r>
      <w:r w:rsidR="0039591D" w:rsidRPr="00586BAA">
        <w:rPr>
          <w:rFonts w:asciiTheme="minorHAnsi" w:hAnsiTheme="minorHAnsi" w:cstheme="minorHAnsi"/>
          <w:color w:val="000000" w:themeColor="text1"/>
          <w:szCs w:val="24"/>
        </w:rPr>
        <w:t xml:space="preserve"> refer</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to the use of flexible parametric models</w:t>
      </w:r>
      <w:r w:rsidR="00D27D0E"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and cure models</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where an assumption of a meaningful cured proportion is supported</w:t>
      </w:r>
      <w:r w:rsidR="00A3323B" w:rsidRPr="00586BAA">
        <w:rPr>
          <w:rFonts w:asciiTheme="minorHAnsi" w:hAnsiTheme="minorHAnsi" w:cstheme="minorHAnsi"/>
          <w:color w:val="000000" w:themeColor="text1"/>
          <w:szCs w:val="24"/>
        </w:rPr>
        <w:t xml:space="preserve"> by the clinical evidence</w:t>
      </w:r>
      <w:r w:rsidR="00BA078A" w:rsidRPr="00586BAA">
        <w:rPr>
          <w:rFonts w:asciiTheme="minorHAnsi" w:hAnsiTheme="minorHAnsi" w:cstheme="minorHAnsi"/>
          <w:color w:val="000000" w:themeColor="text1"/>
          <w:szCs w:val="24"/>
        </w:rPr>
        <w:t>)</w:t>
      </w:r>
      <w:r w:rsidR="0039591D" w:rsidRPr="00586BAA">
        <w:rPr>
          <w:rFonts w:asciiTheme="minorHAnsi" w:hAnsiTheme="minorHAnsi" w:cstheme="minorHAnsi"/>
          <w:color w:val="000000" w:themeColor="text1"/>
          <w:szCs w:val="24"/>
        </w:rPr>
        <w:t xml:space="preserve">. </w:t>
      </w:r>
      <w:r w:rsidR="00B64FF4" w:rsidRPr="00586BAA">
        <w:rPr>
          <w:rFonts w:asciiTheme="minorHAnsi" w:hAnsiTheme="minorHAnsi" w:cstheme="minorHAnsi"/>
          <w:color w:val="000000" w:themeColor="text1"/>
          <w:szCs w:val="24"/>
        </w:rPr>
        <w:t>The ESC noted an assumption underpinning the use of piecewise models is that</w:t>
      </w:r>
      <w:r w:rsidR="00736A8A" w:rsidRPr="00586BAA">
        <w:rPr>
          <w:rFonts w:asciiTheme="minorHAnsi" w:hAnsiTheme="minorHAnsi" w:cstheme="minorHAnsi"/>
          <w:color w:val="000000" w:themeColor="text1"/>
          <w:szCs w:val="24"/>
        </w:rPr>
        <w:t xml:space="preserve"> the</w:t>
      </w:r>
      <w:r w:rsidR="00B64FF4" w:rsidRPr="00586BAA">
        <w:rPr>
          <w:rFonts w:asciiTheme="minorHAnsi" w:hAnsiTheme="minorHAnsi" w:cstheme="minorHAnsi"/>
          <w:color w:val="000000" w:themeColor="text1"/>
          <w:szCs w:val="24"/>
        </w:rPr>
        <w:t xml:space="preserve"> data within each section is sufficient for robust survival modelling</w:t>
      </w:r>
      <w:r w:rsidR="00736A8A" w:rsidRPr="00586BAA">
        <w:rPr>
          <w:rFonts w:asciiTheme="minorHAnsi" w:hAnsiTheme="minorHAnsi" w:cstheme="minorHAnsi"/>
          <w:color w:val="000000" w:themeColor="text1"/>
          <w:szCs w:val="24"/>
        </w:rPr>
        <w:t xml:space="preserve"> (NICE DSU paper 21, 2020)</w:t>
      </w:r>
      <w:r w:rsidR="00B64FF4" w:rsidRPr="00586BAA">
        <w:rPr>
          <w:rFonts w:asciiTheme="minorHAnsi" w:hAnsiTheme="minorHAnsi" w:cstheme="minorHAnsi"/>
          <w:color w:val="000000" w:themeColor="text1"/>
          <w:szCs w:val="24"/>
        </w:rPr>
        <w:t xml:space="preserve">. </w:t>
      </w:r>
      <w:r w:rsidR="00736A8A" w:rsidRPr="00586BAA">
        <w:rPr>
          <w:rFonts w:asciiTheme="minorHAnsi" w:hAnsiTheme="minorHAnsi" w:cstheme="minorHAnsi"/>
          <w:color w:val="000000" w:themeColor="text1"/>
          <w:szCs w:val="24"/>
        </w:rPr>
        <w:t xml:space="preserve">The ESC noted that a piecewise extrapolation with a </w:t>
      </w:r>
      <w:proofErr w:type="gramStart"/>
      <w:r w:rsidR="00736A8A" w:rsidRPr="00586BAA">
        <w:rPr>
          <w:rFonts w:asciiTheme="minorHAnsi" w:hAnsiTheme="minorHAnsi" w:cstheme="minorHAnsi"/>
          <w:color w:val="000000" w:themeColor="text1"/>
          <w:szCs w:val="24"/>
        </w:rPr>
        <w:t>40 week</w:t>
      </w:r>
      <w:proofErr w:type="gramEnd"/>
      <w:r w:rsidR="00736A8A" w:rsidRPr="00586BAA">
        <w:rPr>
          <w:rFonts w:asciiTheme="minorHAnsi" w:hAnsiTheme="minorHAnsi" w:cstheme="minorHAnsi"/>
          <w:color w:val="000000" w:themeColor="text1"/>
          <w:szCs w:val="24"/>
        </w:rPr>
        <w:t xml:space="preserve"> </w:t>
      </w:r>
      <w:r w:rsidR="00067791" w:rsidRPr="00586BAA">
        <w:rPr>
          <w:rFonts w:asciiTheme="minorHAnsi" w:hAnsiTheme="minorHAnsi" w:cstheme="minorHAnsi"/>
          <w:color w:val="000000" w:themeColor="text1"/>
          <w:szCs w:val="24"/>
        </w:rPr>
        <w:t>cut-off</w:t>
      </w:r>
      <w:r w:rsidR="00736A8A" w:rsidRPr="00586BAA">
        <w:rPr>
          <w:rFonts w:asciiTheme="minorHAnsi" w:hAnsiTheme="minorHAnsi" w:cstheme="minorHAnsi"/>
          <w:color w:val="000000" w:themeColor="text1"/>
          <w:szCs w:val="24"/>
        </w:rPr>
        <w:t xml:space="preserve"> results in </w:t>
      </w:r>
      <w:r w:rsidR="0039591D" w:rsidRPr="00586BAA">
        <w:rPr>
          <w:rFonts w:asciiTheme="minorHAnsi" w:hAnsiTheme="minorHAnsi" w:cstheme="minorHAnsi"/>
          <w:color w:val="000000" w:themeColor="text1"/>
          <w:szCs w:val="24"/>
        </w:rPr>
        <w:t xml:space="preserve">additional weight </w:t>
      </w:r>
      <w:r w:rsidR="00736A8A" w:rsidRPr="00586BAA">
        <w:rPr>
          <w:rFonts w:asciiTheme="minorHAnsi" w:hAnsiTheme="minorHAnsi" w:cstheme="minorHAnsi"/>
          <w:color w:val="000000" w:themeColor="text1"/>
          <w:szCs w:val="24"/>
        </w:rPr>
        <w:t xml:space="preserve">being </w:t>
      </w:r>
      <w:r w:rsidR="0039591D" w:rsidRPr="00586BAA">
        <w:rPr>
          <w:rFonts w:asciiTheme="minorHAnsi" w:hAnsiTheme="minorHAnsi" w:cstheme="minorHAnsi"/>
          <w:color w:val="000000" w:themeColor="text1"/>
          <w:szCs w:val="24"/>
        </w:rPr>
        <w:t>attached to the ta</w:t>
      </w:r>
      <w:r w:rsidR="00946541" w:rsidRPr="00586BAA">
        <w:rPr>
          <w:rFonts w:asciiTheme="minorHAnsi" w:hAnsiTheme="minorHAnsi" w:cstheme="minorHAnsi"/>
          <w:color w:val="000000" w:themeColor="text1"/>
          <w:szCs w:val="24"/>
        </w:rPr>
        <w:t xml:space="preserve">il of the Kaplan-Meier data </w:t>
      </w:r>
      <w:r w:rsidR="0039591D" w:rsidRPr="00586BAA">
        <w:rPr>
          <w:rFonts w:asciiTheme="minorHAnsi" w:hAnsiTheme="minorHAnsi" w:cstheme="minorHAnsi"/>
          <w:color w:val="000000" w:themeColor="text1"/>
          <w:szCs w:val="24"/>
        </w:rPr>
        <w:t xml:space="preserve">i.e., the extrapolation is more sensitive to survival data informed by low patient numbers. </w:t>
      </w:r>
    </w:p>
    <w:p w14:paraId="6078CF82" w14:textId="440D167F" w:rsidR="002315F9" w:rsidRPr="002315F9" w:rsidRDefault="00682CD2" w:rsidP="002315F9">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w:t>
      </w:r>
      <w:r w:rsidR="00BF479B" w:rsidRPr="00586BAA">
        <w:rPr>
          <w:rFonts w:asciiTheme="minorHAnsi" w:hAnsiTheme="minorHAnsi" w:cstheme="minorHAnsi"/>
          <w:iCs/>
          <w:color w:val="000000" w:themeColor="text1"/>
          <w:szCs w:val="24"/>
        </w:rPr>
        <w:t xml:space="preserve">submission stated a </w:t>
      </w:r>
      <w:r w:rsidRPr="00586BAA">
        <w:rPr>
          <w:rFonts w:asciiTheme="minorHAnsi" w:hAnsiTheme="minorHAnsi" w:cstheme="minorHAnsi"/>
          <w:iCs/>
          <w:color w:val="000000" w:themeColor="text1"/>
          <w:szCs w:val="24"/>
        </w:rPr>
        <w:t xml:space="preserve">piecewise approach was selected to represent an assumed plateau in survival. </w:t>
      </w:r>
      <w:r w:rsidR="004E0DA6" w:rsidRPr="00586BAA">
        <w:rPr>
          <w:rFonts w:asciiTheme="minorHAnsi" w:hAnsiTheme="minorHAnsi" w:cstheme="minorHAnsi"/>
          <w:iCs/>
          <w:color w:val="000000" w:themeColor="text1"/>
          <w:szCs w:val="24"/>
        </w:rPr>
        <w:t>However</w:t>
      </w:r>
      <w:r w:rsidR="004E0DA6" w:rsidRPr="00586BAA">
        <w:rPr>
          <w:rFonts w:asciiTheme="minorHAnsi" w:hAnsiTheme="minorHAnsi" w:cstheme="minorHAnsi"/>
          <w:color w:val="000000" w:themeColor="text1"/>
          <w:szCs w:val="24"/>
        </w:rPr>
        <w:t xml:space="preserve">, </w:t>
      </w:r>
      <w:r w:rsidR="00946541" w:rsidRPr="00586BAA">
        <w:rPr>
          <w:rFonts w:asciiTheme="minorHAnsi" w:hAnsiTheme="minorHAnsi" w:cstheme="minorHAnsi"/>
          <w:color w:val="000000" w:themeColor="text1"/>
          <w:szCs w:val="24"/>
        </w:rPr>
        <w:t xml:space="preserve">ESC considered </w:t>
      </w:r>
      <w:r w:rsidR="004E0DA6" w:rsidRPr="00586BAA">
        <w:rPr>
          <w:rFonts w:asciiTheme="minorHAnsi" w:hAnsiTheme="minorHAnsi" w:cstheme="minorHAnsi"/>
          <w:iCs/>
          <w:color w:val="000000" w:themeColor="text1"/>
          <w:szCs w:val="24"/>
        </w:rPr>
        <w:t xml:space="preserve">modelling a survival plateau </w:t>
      </w:r>
      <w:r w:rsidR="00946541" w:rsidRPr="00586BAA">
        <w:rPr>
          <w:rFonts w:asciiTheme="minorHAnsi" w:hAnsiTheme="minorHAnsi" w:cstheme="minorHAnsi"/>
          <w:iCs/>
          <w:color w:val="000000" w:themeColor="text1"/>
          <w:szCs w:val="24"/>
        </w:rPr>
        <w:t xml:space="preserve">may </w:t>
      </w:r>
      <w:r w:rsidR="004E0DA6" w:rsidRPr="00586BAA">
        <w:rPr>
          <w:rFonts w:asciiTheme="minorHAnsi" w:hAnsiTheme="minorHAnsi" w:cstheme="minorHAnsi"/>
          <w:iCs/>
          <w:color w:val="000000" w:themeColor="text1"/>
          <w:szCs w:val="24"/>
        </w:rPr>
        <w:t xml:space="preserve">not </w:t>
      </w:r>
      <w:r w:rsidR="00C2150C" w:rsidRPr="00586BAA">
        <w:rPr>
          <w:rFonts w:asciiTheme="minorHAnsi" w:hAnsiTheme="minorHAnsi" w:cstheme="minorHAnsi"/>
          <w:iCs/>
          <w:color w:val="000000" w:themeColor="text1"/>
          <w:szCs w:val="24"/>
        </w:rPr>
        <w:t xml:space="preserve">be </w:t>
      </w:r>
      <w:r w:rsidR="004E0DA6" w:rsidRPr="00586BAA">
        <w:rPr>
          <w:rFonts w:asciiTheme="minorHAnsi" w:hAnsiTheme="minorHAnsi" w:cstheme="minorHAnsi"/>
          <w:iCs/>
          <w:color w:val="000000" w:themeColor="text1"/>
          <w:szCs w:val="24"/>
        </w:rPr>
        <w:t>supported by the clinical evidence presented in the submission.</w:t>
      </w:r>
      <w:r w:rsidR="001154B4"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The ESC noted the assumption of a plateau in survival was based on observation of the KM curve (</w:t>
      </w:r>
      <w:r w:rsidR="005051CB" w:rsidRPr="00586BAA">
        <w:rPr>
          <w:rFonts w:asciiTheme="minorHAnsi" w:hAnsiTheme="minorHAnsi" w:cstheme="minorHAnsi"/>
          <w:iCs/>
          <w:color w:val="000000" w:themeColor="text1"/>
          <w:szCs w:val="24"/>
        </w:rPr>
        <w:t>Figure 2</w:t>
      </w:r>
      <w:r w:rsidR="00F54553" w:rsidRPr="00586BAA">
        <w:rPr>
          <w:rFonts w:asciiTheme="minorHAnsi" w:hAnsiTheme="minorHAnsi" w:cstheme="minorHAnsi"/>
          <w:iCs/>
          <w:color w:val="000000" w:themeColor="text1"/>
          <w:szCs w:val="24"/>
        </w:rPr>
        <w:t>)</w:t>
      </w:r>
      <w:r w:rsidR="00F54553" w:rsidRPr="00586BAA">
        <w:rPr>
          <w:rFonts w:asciiTheme="minorHAnsi" w:hAnsiTheme="minorHAnsi" w:cstheme="minorHAnsi"/>
          <w:b/>
          <w:iCs/>
          <w:color w:val="000000" w:themeColor="text1"/>
          <w:szCs w:val="24"/>
        </w:rPr>
        <w:t xml:space="preserve"> </w:t>
      </w:r>
      <w:r w:rsidR="00F54553" w:rsidRPr="00586BAA">
        <w:rPr>
          <w:rFonts w:asciiTheme="minorHAnsi" w:hAnsiTheme="minorHAnsi" w:cstheme="minorHAnsi"/>
          <w:iCs/>
          <w:color w:val="000000" w:themeColor="text1"/>
          <w:szCs w:val="24"/>
        </w:rPr>
        <w:t xml:space="preserve">when only a small number of patients remain at risk. </w:t>
      </w:r>
      <w:r w:rsidR="00486FBF" w:rsidRPr="00586BAA">
        <w:rPr>
          <w:rFonts w:asciiTheme="minorHAnsi" w:hAnsiTheme="minorHAnsi" w:cstheme="minorHAnsi"/>
          <w:iCs/>
          <w:color w:val="000000" w:themeColor="text1"/>
          <w:szCs w:val="24"/>
        </w:rPr>
        <w:t xml:space="preserve">The ESC considered </w:t>
      </w:r>
      <w:r w:rsidR="001154B4" w:rsidRPr="00586BAA">
        <w:rPr>
          <w:rFonts w:asciiTheme="minorHAnsi" w:hAnsiTheme="minorHAnsi" w:cstheme="minorHAnsi"/>
          <w:iCs/>
          <w:color w:val="000000" w:themeColor="text1"/>
          <w:szCs w:val="24"/>
        </w:rPr>
        <w:t xml:space="preserve">the piecewise approach </w:t>
      </w:r>
      <w:r w:rsidR="00BF479B" w:rsidRPr="00586BAA">
        <w:rPr>
          <w:rFonts w:asciiTheme="minorHAnsi" w:hAnsiTheme="minorHAnsi" w:cstheme="minorHAnsi"/>
          <w:iCs/>
          <w:color w:val="000000" w:themeColor="text1"/>
          <w:szCs w:val="24"/>
        </w:rPr>
        <w:t xml:space="preserve">may not be </w:t>
      </w:r>
      <w:r w:rsidR="001154B4" w:rsidRPr="00586BAA">
        <w:rPr>
          <w:rFonts w:asciiTheme="minorHAnsi" w:hAnsiTheme="minorHAnsi" w:cstheme="minorHAnsi"/>
          <w:iCs/>
          <w:color w:val="000000" w:themeColor="text1"/>
          <w:szCs w:val="24"/>
        </w:rPr>
        <w:t>reasonable</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as it </w:t>
      </w:r>
      <w:r w:rsidR="00EC6D2C" w:rsidRPr="00586BAA">
        <w:rPr>
          <w:rFonts w:asciiTheme="minorHAnsi" w:hAnsiTheme="minorHAnsi" w:cstheme="minorHAnsi"/>
          <w:iCs/>
          <w:color w:val="000000" w:themeColor="text1"/>
          <w:szCs w:val="24"/>
        </w:rPr>
        <w:t>modelled</w:t>
      </w:r>
      <w:r w:rsidR="00F54553" w:rsidRPr="00586BAA">
        <w:rPr>
          <w:rFonts w:asciiTheme="minorHAnsi" w:hAnsiTheme="minorHAnsi" w:cstheme="minorHAnsi"/>
          <w:iCs/>
          <w:color w:val="000000" w:themeColor="text1"/>
          <w:szCs w:val="24"/>
        </w:rPr>
        <w:t xml:space="preserve"> a survival plateau which may not be realised in clinical practice. </w:t>
      </w:r>
      <w:r w:rsidR="00510B13" w:rsidRPr="00586BAA">
        <w:rPr>
          <w:rFonts w:asciiTheme="minorHAnsi" w:hAnsiTheme="minorHAnsi" w:cstheme="minorHAnsi"/>
          <w:iCs/>
          <w:color w:val="000000" w:themeColor="text1"/>
          <w:szCs w:val="24"/>
        </w:rPr>
        <w:t>The</w:t>
      </w:r>
      <w:r w:rsidR="00BF479B" w:rsidRPr="00586BAA">
        <w:rPr>
          <w:rFonts w:asciiTheme="minorHAnsi" w:hAnsiTheme="minorHAnsi" w:cstheme="minorHAnsi"/>
          <w:iCs/>
          <w:color w:val="000000" w:themeColor="text1"/>
          <w:szCs w:val="24"/>
        </w:rPr>
        <w:t xml:space="preserve"> </w:t>
      </w:r>
      <w:r w:rsidR="00510B13" w:rsidRPr="00586BAA">
        <w:rPr>
          <w:rFonts w:asciiTheme="minorHAnsi" w:hAnsiTheme="minorHAnsi" w:cstheme="minorHAnsi"/>
          <w:iCs/>
          <w:color w:val="000000" w:themeColor="text1"/>
          <w:szCs w:val="24"/>
        </w:rPr>
        <w:t>piecewise approach in the base case (</w:t>
      </w:r>
      <w:proofErr w:type="gramStart"/>
      <w:r w:rsidR="00510B13" w:rsidRPr="00586BAA">
        <w:rPr>
          <w:rFonts w:asciiTheme="minorHAnsi" w:hAnsiTheme="minorHAnsi" w:cstheme="minorHAnsi"/>
          <w:iCs/>
          <w:color w:val="000000" w:themeColor="text1"/>
          <w:szCs w:val="24"/>
        </w:rPr>
        <w:t>40 week</w:t>
      </w:r>
      <w:proofErr w:type="gramEnd"/>
      <w:r w:rsidR="00510B13" w:rsidRPr="00586BAA">
        <w:rPr>
          <w:rFonts w:asciiTheme="minorHAnsi" w:hAnsiTheme="minorHAnsi" w:cstheme="minorHAnsi"/>
          <w:iCs/>
          <w:color w:val="000000" w:themeColor="text1"/>
          <w:szCs w:val="24"/>
        </w:rPr>
        <w:t xml:space="preserve"> cut-off) estimated a larger increment in overall survival</w:t>
      </w:r>
      <w:r w:rsidR="004D23D4" w:rsidRPr="00586BAA">
        <w:rPr>
          <w:rFonts w:asciiTheme="minorHAnsi" w:hAnsiTheme="minorHAnsi" w:cstheme="minorHAnsi"/>
          <w:iCs/>
          <w:color w:val="000000" w:themeColor="text1"/>
          <w:szCs w:val="24"/>
        </w:rPr>
        <w:t xml:space="preserve"> (0.57 life years, undiscounted) </w:t>
      </w:r>
      <w:r w:rsidR="00510B13" w:rsidRPr="00586BAA">
        <w:rPr>
          <w:rFonts w:asciiTheme="minorHAnsi" w:hAnsiTheme="minorHAnsi" w:cstheme="minorHAnsi"/>
          <w:iCs/>
          <w:color w:val="000000" w:themeColor="text1"/>
          <w:szCs w:val="24"/>
        </w:rPr>
        <w:t>compared to the one-piece approach</w:t>
      </w:r>
      <w:r w:rsidR="00BF479B" w:rsidRPr="00586BAA">
        <w:rPr>
          <w:rFonts w:asciiTheme="minorHAnsi" w:hAnsiTheme="minorHAnsi" w:cstheme="minorHAnsi"/>
          <w:iCs/>
          <w:color w:val="000000" w:themeColor="text1"/>
          <w:szCs w:val="24"/>
        </w:rPr>
        <w:t xml:space="preserve"> (0.46 life years, undiscounted). The ESC considered the one-piece approach, </w:t>
      </w:r>
      <w:r w:rsidR="00486FBF" w:rsidRPr="00586BAA">
        <w:rPr>
          <w:rFonts w:asciiTheme="minorHAnsi" w:hAnsiTheme="minorHAnsi" w:cstheme="minorHAnsi"/>
          <w:iCs/>
          <w:color w:val="000000" w:themeColor="text1"/>
          <w:szCs w:val="24"/>
        </w:rPr>
        <w:t xml:space="preserve">in which survival models are fitted to the full data and </w:t>
      </w:r>
      <w:r w:rsidR="00BF479B" w:rsidRPr="00586BAA">
        <w:rPr>
          <w:rFonts w:asciiTheme="minorHAnsi" w:hAnsiTheme="minorHAnsi" w:cstheme="minorHAnsi"/>
          <w:iCs/>
          <w:color w:val="000000" w:themeColor="text1"/>
          <w:szCs w:val="24"/>
        </w:rPr>
        <w:t xml:space="preserve">a parametric </w:t>
      </w:r>
      <w:r w:rsidR="00486FBF" w:rsidRPr="00586BAA">
        <w:rPr>
          <w:rFonts w:asciiTheme="minorHAnsi" w:hAnsiTheme="minorHAnsi" w:cstheme="minorHAnsi"/>
          <w:iCs/>
          <w:color w:val="000000" w:themeColor="text1"/>
          <w:szCs w:val="24"/>
        </w:rPr>
        <w:t xml:space="preserve">model </w:t>
      </w:r>
      <w:r w:rsidR="00BF479B" w:rsidRPr="00586BAA">
        <w:rPr>
          <w:rFonts w:asciiTheme="minorHAnsi" w:hAnsiTheme="minorHAnsi" w:cstheme="minorHAnsi"/>
          <w:iCs/>
          <w:color w:val="000000" w:themeColor="text1"/>
          <w:szCs w:val="24"/>
        </w:rPr>
        <w:t xml:space="preserve">is used </w:t>
      </w:r>
      <w:r w:rsidR="00486FBF" w:rsidRPr="00586BAA">
        <w:rPr>
          <w:rFonts w:asciiTheme="minorHAnsi" w:hAnsiTheme="minorHAnsi" w:cstheme="minorHAnsi"/>
          <w:iCs/>
          <w:color w:val="000000" w:themeColor="text1"/>
          <w:szCs w:val="24"/>
        </w:rPr>
        <w:t>to extrapolate from Week 98</w:t>
      </w:r>
      <w:r w:rsidR="00BF479B" w:rsidRPr="00586BAA">
        <w:rPr>
          <w:rFonts w:asciiTheme="minorHAnsi" w:hAnsiTheme="minorHAnsi" w:cstheme="minorHAnsi"/>
          <w:iCs/>
          <w:color w:val="000000" w:themeColor="text1"/>
          <w:szCs w:val="24"/>
        </w:rPr>
        <w:t xml:space="preserve">, </w:t>
      </w:r>
      <w:r w:rsidR="00A3323B" w:rsidRPr="00586BAA">
        <w:rPr>
          <w:rFonts w:asciiTheme="minorHAnsi" w:hAnsiTheme="minorHAnsi" w:cstheme="minorHAnsi"/>
          <w:iCs/>
          <w:color w:val="000000" w:themeColor="text1"/>
          <w:szCs w:val="24"/>
        </w:rPr>
        <w:t>was</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 more </w:t>
      </w:r>
      <w:r w:rsidR="00BF479B" w:rsidRPr="00586BAA">
        <w:rPr>
          <w:rFonts w:asciiTheme="minorHAnsi" w:hAnsiTheme="minorHAnsi" w:cstheme="minorHAnsi"/>
          <w:iCs/>
          <w:color w:val="000000" w:themeColor="text1"/>
          <w:szCs w:val="24"/>
        </w:rPr>
        <w:t>appropriate</w:t>
      </w:r>
      <w:r w:rsidR="00F54553" w:rsidRPr="00586BAA">
        <w:rPr>
          <w:rFonts w:asciiTheme="minorHAnsi" w:hAnsiTheme="minorHAnsi" w:cstheme="minorHAnsi"/>
          <w:iCs/>
          <w:color w:val="000000" w:themeColor="text1"/>
          <w:szCs w:val="24"/>
        </w:rPr>
        <w:t xml:space="preserve">, conservative </w:t>
      </w:r>
      <w:r w:rsidR="00BF479B" w:rsidRPr="00586BAA">
        <w:rPr>
          <w:rFonts w:asciiTheme="minorHAnsi" w:hAnsiTheme="minorHAnsi" w:cstheme="minorHAnsi"/>
          <w:iCs/>
          <w:color w:val="000000" w:themeColor="text1"/>
          <w:szCs w:val="24"/>
        </w:rPr>
        <w:t xml:space="preserve">method. </w:t>
      </w:r>
      <w:r w:rsidR="00F56AA7" w:rsidRPr="00586BAA">
        <w:rPr>
          <w:rFonts w:asciiTheme="minorHAnsi" w:hAnsiTheme="minorHAnsi" w:cstheme="minorHAnsi"/>
          <w:iCs/>
          <w:color w:val="000000" w:themeColor="text1"/>
          <w:szCs w:val="24"/>
        </w:rPr>
        <w:t>The ESC noted using a one-piece approach, extrapolating from Week 98 with the best fitting function (</w:t>
      </w:r>
      <w:r w:rsidR="00935EE9">
        <w:rPr>
          <w:rFonts w:asciiTheme="minorHAnsi" w:hAnsiTheme="minorHAnsi" w:cstheme="minorHAnsi"/>
          <w:iCs/>
          <w:color w:val="000000" w:themeColor="text1"/>
          <w:szCs w:val="24"/>
        </w:rPr>
        <w:t>log-logistic</w:t>
      </w:r>
      <w:r w:rsidR="00F56AA7" w:rsidRPr="00586BAA">
        <w:rPr>
          <w:rFonts w:asciiTheme="minorHAnsi" w:hAnsiTheme="minorHAnsi" w:cstheme="minorHAnsi"/>
          <w:iCs/>
          <w:color w:val="000000" w:themeColor="text1"/>
          <w:szCs w:val="24"/>
        </w:rPr>
        <w:t xml:space="preserve"> according to AIC and BIC for pembrolizumab + chemotherapy and chemotherapy alone for OS and progression free survival [PFS]), rather than the piecewise model, increased the ICER from $</w:t>
      </w:r>
      <w:r w:rsidR="000C740C">
        <w:rPr>
          <w:rFonts w:asciiTheme="minorHAnsi" w:hAnsiTheme="minorHAnsi" w:cstheme="minorHAnsi"/>
          <w:iCs/>
          <w:color w:val="000000" w:themeColor="text1"/>
          <w:szCs w:val="24"/>
        </w:rPr>
        <w:t>95,000 to &lt; $115,000</w:t>
      </w:r>
      <w:r w:rsidR="00F56AA7" w:rsidRPr="00586BAA">
        <w:rPr>
          <w:rFonts w:asciiTheme="minorHAnsi" w:hAnsiTheme="minorHAnsi" w:cstheme="minorHAnsi"/>
          <w:iCs/>
          <w:color w:val="000000" w:themeColor="text1"/>
          <w:szCs w:val="24"/>
        </w:rPr>
        <w:t>/QALY in the base case to $</w:t>
      </w:r>
      <w:r w:rsidR="000C740C">
        <w:rPr>
          <w:rFonts w:asciiTheme="minorHAnsi" w:hAnsiTheme="minorHAnsi" w:cstheme="minorHAnsi"/>
          <w:iCs/>
          <w:color w:val="000000" w:themeColor="text1"/>
          <w:szCs w:val="24"/>
        </w:rPr>
        <w:t>115,000 to &lt; $135,000</w:t>
      </w:r>
      <w:r w:rsidR="00F56AA7" w:rsidRPr="00586BAA">
        <w:rPr>
          <w:rFonts w:asciiTheme="minorHAnsi" w:hAnsiTheme="minorHAnsi" w:cstheme="minorHAnsi"/>
          <w:iCs/>
          <w:color w:val="000000" w:themeColor="text1"/>
          <w:szCs w:val="24"/>
        </w:rPr>
        <w:t>/QALY.</w:t>
      </w:r>
      <w:r w:rsidR="00883BA6" w:rsidRPr="00586BAA">
        <w:rPr>
          <w:rFonts w:asciiTheme="minorHAnsi" w:hAnsiTheme="minorHAnsi" w:cstheme="minorHAnsi"/>
          <w:iCs/>
          <w:color w:val="000000" w:themeColor="text1"/>
          <w:szCs w:val="24"/>
        </w:rPr>
        <w:t xml:space="preserve"> </w:t>
      </w:r>
      <w:r w:rsidR="00126237" w:rsidRPr="00586BAA">
        <w:rPr>
          <w:rFonts w:asciiTheme="minorHAnsi" w:hAnsiTheme="minorHAnsi" w:cstheme="minorHAnsi"/>
          <w:iCs/>
          <w:color w:val="000000" w:themeColor="text1"/>
          <w:szCs w:val="24"/>
        </w:rPr>
        <w:t>The ESC noted the revised extrapolation predicted survival differences at 7.5 years</w:t>
      </w:r>
      <w:r w:rsidR="002315F9">
        <w:rPr>
          <w:rFonts w:asciiTheme="minorHAnsi" w:hAnsiTheme="minorHAnsi" w:cstheme="minorHAnsi"/>
          <w:iCs/>
          <w:color w:val="000000" w:themeColor="text1"/>
          <w:szCs w:val="24"/>
        </w:rPr>
        <w:t>,</w:t>
      </w:r>
      <w:r w:rsidR="00126237" w:rsidRPr="00586BAA">
        <w:rPr>
          <w:rFonts w:asciiTheme="minorHAnsi" w:hAnsiTheme="minorHAnsi" w:cstheme="minorHAnsi"/>
          <w:iCs/>
          <w:color w:val="000000" w:themeColor="text1"/>
          <w:szCs w:val="24"/>
        </w:rPr>
        <w:t xml:space="preserve"> which may still be optimistic. </w:t>
      </w:r>
    </w:p>
    <w:p w14:paraId="15BD87D8" w14:textId="4524F089" w:rsidR="00875FDA" w:rsidRPr="00586BAA" w:rsidDel="00875FDA" w:rsidRDefault="00875FDA" w:rsidP="00875FDA">
      <w:pPr>
        <w:pStyle w:val="ListParagraph"/>
        <w:widowControl/>
        <w:numPr>
          <w:ilvl w:val="1"/>
          <w:numId w:val="1"/>
        </w:numPr>
        <w:rPr>
          <w:rFonts w:asciiTheme="minorHAnsi" w:hAnsiTheme="minorHAnsi" w:cstheme="minorHAnsi"/>
          <w:color w:val="000000" w:themeColor="text1"/>
          <w:szCs w:val="24"/>
        </w:rPr>
      </w:pPr>
      <w:r w:rsidRPr="00586BAA" w:rsidDel="00875FDA">
        <w:rPr>
          <w:rFonts w:asciiTheme="minorHAnsi" w:hAnsiTheme="minorHAnsi" w:cstheme="minorHAnsi"/>
          <w:iCs/>
          <w:color w:val="000000" w:themeColor="text1"/>
          <w:szCs w:val="24"/>
        </w:rPr>
        <w:t xml:space="preserve">The PSCR justified </w:t>
      </w:r>
      <w:r w:rsidRPr="00586BAA" w:rsidDel="00875FDA">
        <w:rPr>
          <w:rFonts w:asciiTheme="minorHAnsi" w:hAnsiTheme="minorHAnsi"/>
          <w:szCs w:val="24"/>
        </w:rPr>
        <w:t xml:space="preserve">using a cut-off point of 40 weeks for piecewise model fitting as being in line with the peak of the Chow test for OS in the pembrolizumab + chemotherapy arm. The PSCR stated that while the peak for the OS Chow test for the chemotherapy </w:t>
      </w:r>
      <w:r w:rsidRPr="00586BAA" w:rsidDel="00875FDA">
        <w:rPr>
          <w:rFonts w:asciiTheme="minorHAnsi" w:hAnsiTheme="minorHAnsi"/>
          <w:szCs w:val="24"/>
        </w:rPr>
        <w:lastRenderedPageBreak/>
        <w:t>arm occurs at a later time point (</w:t>
      </w:r>
      <w:proofErr w:type="gramStart"/>
      <w:r w:rsidRPr="00586BAA" w:rsidDel="00875FDA">
        <w:rPr>
          <w:rFonts w:asciiTheme="minorHAnsi" w:hAnsiTheme="minorHAnsi"/>
          <w:szCs w:val="24"/>
        </w:rPr>
        <w:t>i.e.</w:t>
      </w:r>
      <w:proofErr w:type="gramEnd"/>
      <w:r w:rsidRPr="00586BAA" w:rsidDel="00875FDA">
        <w:rPr>
          <w:rFonts w:asciiTheme="minorHAnsi" w:hAnsiTheme="minorHAnsi"/>
          <w:szCs w:val="24"/>
        </w:rPr>
        <w:t xml:space="preserve"> after week 100); the Kaplan-Meier event data after this time point are too sparse to be used for parametric fitting. </w:t>
      </w:r>
    </w:p>
    <w:p w14:paraId="2311263D" w14:textId="77777777" w:rsidR="00486FBF" w:rsidRPr="00586BAA" w:rsidRDefault="002315F9" w:rsidP="002315F9">
      <w:pPr>
        <w:pStyle w:val="ListParagraph"/>
        <w:widowControl/>
        <w:numPr>
          <w:ilvl w:val="1"/>
          <w:numId w:val="1"/>
        </w:numPr>
        <w:rPr>
          <w:rFonts w:asciiTheme="minorHAnsi" w:hAnsiTheme="minorHAnsi" w:cstheme="minorHAnsi"/>
          <w:color w:val="000000" w:themeColor="text1"/>
          <w:szCs w:val="24"/>
        </w:rPr>
      </w:pPr>
      <w:r>
        <w:rPr>
          <w:rFonts w:asciiTheme="minorHAnsi" w:hAnsiTheme="minorHAnsi" w:cstheme="minorHAnsi"/>
          <w:iCs/>
          <w:color w:val="000000" w:themeColor="text1"/>
          <w:szCs w:val="24"/>
        </w:rPr>
        <w:t xml:space="preserve">The pre-PBAC response </w:t>
      </w:r>
      <w:r w:rsidR="00E33DE2">
        <w:rPr>
          <w:rFonts w:asciiTheme="minorHAnsi" w:hAnsiTheme="minorHAnsi" w:cstheme="minorHAnsi"/>
          <w:iCs/>
          <w:color w:val="000000" w:themeColor="text1"/>
          <w:szCs w:val="24"/>
        </w:rPr>
        <w:t>acknowledged</w:t>
      </w:r>
      <w:r>
        <w:rPr>
          <w:rFonts w:asciiTheme="minorHAnsi" w:hAnsiTheme="minorHAnsi" w:cstheme="minorHAnsi"/>
          <w:iCs/>
          <w:color w:val="000000" w:themeColor="text1"/>
          <w:szCs w:val="24"/>
        </w:rPr>
        <w:t xml:space="preserve"> that while</w:t>
      </w:r>
      <w:r w:rsidR="00E33DE2">
        <w:rPr>
          <w:rFonts w:asciiTheme="minorHAnsi" w:hAnsiTheme="minorHAnsi" w:cstheme="minorHAnsi"/>
          <w:iCs/>
          <w:color w:val="000000" w:themeColor="text1"/>
          <w:szCs w:val="24"/>
        </w:rPr>
        <w:t xml:space="preserve"> the Sponsor considered</w:t>
      </w:r>
      <w:r>
        <w:rPr>
          <w:rFonts w:asciiTheme="minorHAnsi" w:hAnsiTheme="minorHAnsi" w:cstheme="minorHAnsi"/>
          <w:iCs/>
          <w:color w:val="000000" w:themeColor="text1"/>
          <w:szCs w:val="24"/>
        </w:rPr>
        <w:t xml:space="preserve"> the </w:t>
      </w:r>
      <w:r w:rsidRPr="002315F9">
        <w:rPr>
          <w:rFonts w:asciiTheme="minorHAnsi" w:hAnsiTheme="minorHAnsi" w:cstheme="minorHAnsi"/>
          <w:iCs/>
          <w:color w:val="000000" w:themeColor="text1"/>
          <w:szCs w:val="24"/>
        </w:rPr>
        <w:t>p</w:t>
      </w:r>
      <w:r w:rsidR="00E33DE2">
        <w:rPr>
          <w:rFonts w:asciiTheme="minorHAnsi" w:hAnsiTheme="minorHAnsi" w:cstheme="minorHAnsi"/>
          <w:iCs/>
          <w:color w:val="000000" w:themeColor="text1"/>
          <w:szCs w:val="24"/>
        </w:rPr>
        <w:t>iecewise extrapolation method to be</w:t>
      </w:r>
      <w:r w:rsidRPr="002315F9">
        <w:rPr>
          <w:rFonts w:asciiTheme="minorHAnsi" w:hAnsiTheme="minorHAnsi" w:cstheme="minorHAnsi"/>
          <w:iCs/>
          <w:color w:val="000000" w:themeColor="text1"/>
          <w:szCs w:val="24"/>
        </w:rPr>
        <w:t xml:space="preserve"> the most appropriate approach to accurately capture the long-t</w:t>
      </w:r>
      <w:r>
        <w:rPr>
          <w:rFonts w:asciiTheme="minorHAnsi" w:hAnsiTheme="minorHAnsi" w:cstheme="minorHAnsi"/>
          <w:iCs/>
          <w:color w:val="000000" w:themeColor="text1"/>
          <w:szCs w:val="24"/>
        </w:rPr>
        <w:t>erm benefits of immunotherapies,</w:t>
      </w:r>
      <w:r w:rsidRPr="002315F9">
        <w:rPr>
          <w:rFonts w:asciiTheme="minorHAnsi" w:hAnsiTheme="minorHAnsi" w:cstheme="minorHAnsi"/>
          <w:iCs/>
          <w:color w:val="000000" w:themeColor="text1"/>
          <w:szCs w:val="24"/>
        </w:rPr>
        <w:t xml:space="preserve"> other extrapolation methods such as a one-piece appro</w:t>
      </w:r>
      <w:r>
        <w:rPr>
          <w:rFonts w:asciiTheme="minorHAnsi" w:hAnsiTheme="minorHAnsi" w:cstheme="minorHAnsi"/>
          <w:iCs/>
          <w:color w:val="000000" w:themeColor="text1"/>
          <w:szCs w:val="24"/>
        </w:rPr>
        <w:t>ach</w:t>
      </w:r>
      <w:r w:rsidR="00E33DE2">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extrapolating from Week 98 with appropriate functions applied</w:t>
      </w:r>
      <w:r>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may also account for the survival plateau seen with immunotherapies.</w:t>
      </w:r>
    </w:p>
    <w:p w14:paraId="63F4B18C" w14:textId="0EA6AC5A" w:rsidR="004E0DA6" w:rsidRPr="00C26D7A" w:rsidRDefault="004E0DA6" w:rsidP="00537657">
      <w:pPr>
        <w:pStyle w:val="ListParagraph"/>
        <w:widowControl/>
        <w:numPr>
          <w:ilvl w:val="1"/>
          <w:numId w:val="1"/>
        </w:numPr>
        <w:rPr>
          <w:rFonts w:asciiTheme="minorHAnsi" w:hAnsiTheme="minorHAnsi" w:cstheme="minorHAnsi"/>
          <w:i/>
          <w:color w:val="000000" w:themeColor="text1"/>
          <w:szCs w:val="24"/>
        </w:rPr>
      </w:pPr>
      <w:bookmarkStart w:id="38" w:name="_Ref89330789"/>
      <w:r w:rsidRPr="008E5320">
        <w:rPr>
          <w:rFonts w:asciiTheme="minorHAnsi" w:hAnsiTheme="minorHAnsi" w:cstheme="minorHAnsi"/>
          <w:color w:val="000000" w:themeColor="text1"/>
          <w:szCs w:val="24"/>
        </w:rPr>
        <w:t xml:space="preserve">The submission applied terminal care costs of approximately $77,000 </w:t>
      </w:r>
      <w:r w:rsidR="00FA4AAF" w:rsidRPr="008E5320">
        <w:rPr>
          <w:rFonts w:asciiTheme="minorHAnsi" w:hAnsiTheme="minorHAnsi" w:cstheme="minorHAnsi"/>
          <w:color w:val="000000" w:themeColor="text1"/>
          <w:szCs w:val="24"/>
        </w:rPr>
        <w:t>(</w:t>
      </w:r>
      <w:proofErr w:type="spellStart"/>
      <w:r w:rsidR="00FA4AAF" w:rsidRPr="008E5320">
        <w:rPr>
          <w:rFonts w:asciiTheme="minorHAnsi" w:hAnsiTheme="minorHAnsi" w:cstheme="minorHAnsi"/>
          <w:color w:val="000000" w:themeColor="text1"/>
          <w:szCs w:val="24"/>
        </w:rPr>
        <w:t>Goldsbury</w:t>
      </w:r>
      <w:proofErr w:type="spellEnd"/>
      <w:r w:rsidR="00FA4AAF" w:rsidRPr="008E5320">
        <w:rPr>
          <w:rFonts w:asciiTheme="minorHAnsi" w:hAnsiTheme="minorHAnsi" w:cstheme="minorHAnsi"/>
          <w:color w:val="000000" w:themeColor="text1"/>
          <w:szCs w:val="24"/>
        </w:rPr>
        <w:t xml:space="preserve"> 2018) </w:t>
      </w:r>
      <w:r w:rsidRPr="008E5320">
        <w:rPr>
          <w:rFonts w:asciiTheme="minorHAnsi" w:hAnsiTheme="minorHAnsi" w:cstheme="minorHAnsi"/>
          <w:color w:val="000000" w:themeColor="text1"/>
          <w:szCs w:val="24"/>
        </w:rPr>
        <w:t xml:space="preserve">to the death state in the model. </w:t>
      </w:r>
      <w:r w:rsidRPr="008E5320">
        <w:rPr>
          <w:rFonts w:asciiTheme="minorHAnsi" w:hAnsiTheme="minorHAnsi" w:cstheme="minorHAnsi"/>
          <w:iCs/>
          <w:color w:val="000000" w:themeColor="text1"/>
          <w:szCs w:val="24"/>
        </w:rPr>
        <w:t>The estimate was specific to terminal phase of head and neck cancers, which</w:t>
      </w:r>
      <w:r w:rsidR="00A4338E" w:rsidRPr="008E5320">
        <w:rPr>
          <w:rFonts w:asciiTheme="minorHAnsi" w:hAnsiTheme="minorHAnsi" w:cstheme="minorHAnsi"/>
          <w:iCs/>
          <w:color w:val="000000" w:themeColor="text1"/>
          <w:szCs w:val="24"/>
        </w:rPr>
        <w:t xml:space="preserve"> </w:t>
      </w:r>
      <w:r w:rsidRPr="008E5320">
        <w:rPr>
          <w:rFonts w:asciiTheme="minorHAnsi" w:hAnsiTheme="minorHAnsi" w:cstheme="minorHAnsi"/>
          <w:iCs/>
          <w:color w:val="000000" w:themeColor="text1"/>
          <w:szCs w:val="24"/>
        </w:rPr>
        <w:t xml:space="preserve">was the highest of </w:t>
      </w:r>
      <w:proofErr w:type="gramStart"/>
      <w:r w:rsidRPr="008E5320">
        <w:rPr>
          <w:rFonts w:asciiTheme="minorHAnsi" w:hAnsiTheme="minorHAnsi" w:cstheme="minorHAnsi"/>
          <w:iCs/>
          <w:color w:val="000000" w:themeColor="text1"/>
          <w:szCs w:val="24"/>
        </w:rPr>
        <w:t>all of</w:t>
      </w:r>
      <w:proofErr w:type="gramEnd"/>
      <w:r w:rsidRPr="008E5320">
        <w:rPr>
          <w:rFonts w:asciiTheme="minorHAnsi" w:hAnsiTheme="minorHAnsi" w:cstheme="minorHAnsi"/>
          <w:iCs/>
          <w:color w:val="000000" w:themeColor="text1"/>
          <w:szCs w:val="24"/>
        </w:rPr>
        <w:t xml:space="preserve"> the 11 cancer type</w:t>
      </w:r>
      <w:r w:rsidRPr="008E5320">
        <w:rPr>
          <w:rFonts w:asciiTheme="minorHAnsi" w:hAnsiTheme="minorHAnsi" w:cstheme="minorHAnsi"/>
          <w:iCs/>
          <w:color w:val="000000" w:themeColor="text1"/>
        </w:rPr>
        <w:t xml:space="preserve">s of </w:t>
      </w:r>
      <w:r w:rsidRPr="008E5320">
        <w:rPr>
          <w:rFonts w:asciiTheme="minorHAnsi" w:hAnsiTheme="minorHAnsi" w:cstheme="minorHAnsi"/>
          <w:iCs/>
          <w:color w:val="000000" w:themeColor="text1"/>
          <w:szCs w:val="24"/>
        </w:rPr>
        <w:t>terminal care cost estimates. No costs were included specific to oesophageal cancer</w:t>
      </w:r>
      <w:r w:rsidRPr="008E5320">
        <w:rPr>
          <w:rFonts w:asciiTheme="minorHAnsi" w:hAnsiTheme="minorHAnsi" w:cstheme="minorHAnsi"/>
          <w:color w:val="000000" w:themeColor="text1"/>
          <w:szCs w:val="24"/>
        </w:rPr>
        <w:t xml:space="preserve">. </w:t>
      </w:r>
      <w:proofErr w:type="spellStart"/>
      <w:r w:rsidRPr="00DE76EA">
        <w:rPr>
          <w:rFonts w:asciiTheme="minorHAnsi" w:hAnsiTheme="minorHAnsi" w:cstheme="minorHAnsi"/>
          <w:iCs/>
          <w:color w:val="000000" w:themeColor="text1"/>
          <w:szCs w:val="24"/>
        </w:rPr>
        <w:t>Goldsbury</w:t>
      </w:r>
      <w:proofErr w:type="spellEnd"/>
      <w:r w:rsidRPr="00DE76EA">
        <w:rPr>
          <w:rFonts w:asciiTheme="minorHAnsi" w:hAnsiTheme="minorHAnsi" w:cstheme="minorHAnsi"/>
          <w:iCs/>
          <w:color w:val="000000" w:themeColor="text1"/>
          <w:szCs w:val="24"/>
        </w:rPr>
        <w:t xml:space="preserve"> </w:t>
      </w:r>
      <w:r w:rsidR="00FA4AAF" w:rsidRPr="00DE76EA">
        <w:rPr>
          <w:rFonts w:asciiTheme="minorHAnsi" w:hAnsiTheme="minorHAnsi" w:cstheme="minorHAnsi"/>
          <w:iCs/>
          <w:color w:val="000000" w:themeColor="text1"/>
          <w:szCs w:val="24"/>
        </w:rPr>
        <w:t xml:space="preserve">(2018) </w:t>
      </w:r>
      <w:r w:rsidRPr="00DE76EA">
        <w:rPr>
          <w:rFonts w:asciiTheme="minorHAnsi" w:hAnsiTheme="minorHAnsi" w:cstheme="minorHAnsi"/>
          <w:iCs/>
          <w:color w:val="000000" w:themeColor="text1"/>
          <w:szCs w:val="24"/>
        </w:rPr>
        <w:t>defined the cost of terminal phase care as all costs in the final year up to and including the death date. This, consequently, would likely constitute mostly double counted costs</w:t>
      </w:r>
      <w:r w:rsidR="0088267D" w:rsidRPr="00DE76EA">
        <w:rPr>
          <w:rFonts w:asciiTheme="minorHAnsi" w:hAnsiTheme="minorHAnsi" w:cstheme="minorHAnsi"/>
          <w:iCs/>
          <w:color w:val="000000" w:themeColor="text1"/>
          <w:szCs w:val="24"/>
        </w:rPr>
        <w:t>,</w:t>
      </w:r>
      <w:r w:rsidRPr="00DE76EA">
        <w:rPr>
          <w:rFonts w:asciiTheme="minorHAnsi" w:hAnsiTheme="minorHAnsi" w:cstheme="minorHAnsi"/>
          <w:iCs/>
          <w:color w:val="000000" w:themeColor="text1"/>
          <w:szCs w:val="24"/>
        </w:rPr>
        <w:t xml:space="preserve"> as median survival in KN590 ITT population was 12.4 months for pembrolizumab plus chemo</w:t>
      </w:r>
      <w:r w:rsidR="00FA4AAF" w:rsidRPr="00DE76EA">
        <w:rPr>
          <w:rFonts w:asciiTheme="minorHAnsi" w:hAnsiTheme="minorHAnsi" w:cstheme="minorHAnsi"/>
          <w:iCs/>
          <w:color w:val="000000" w:themeColor="text1"/>
          <w:szCs w:val="24"/>
        </w:rPr>
        <w:t>therapy</w:t>
      </w:r>
      <w:r w:rsidRPr="00DE76EA">
        <w:rPr>
          <w:rFonts w:asciiTheme="minorHAnsi" w:hAnsiTheme="minorHAnsi" w:cstheme="minorHAnsi"/>
          <w:iCs/>
          <w:color w:val="000000" w:themeColor="text1"/>
          <w:szCs w:val="24"/>
        </w:rPr>
        <w:t xml:space="preserve"> and 9.8 </w:t>
      </w:r>
      <w:r w:rsidR="00FA4AAF" w:rsidRPr="00DE76EA">
        <w:rPr>
          <w:rFonts w:asciiTheme="minorHAnsi" w:hAnsiTheme="minorHAnsi" w:cstheme="minorHAnsi"/>
          <w:iCs/>
          <w:color w:val="000000" w:themeColor="text1"/>
          <w:szCs w:val="24"/>
        </w:rPr>
        <w:t xml:space="preserve">months </w:t>
      </w:r>
      <w:r w:rsidRPr="00DE76EA">
        <w:rPr>
          <w:rFonts w:asciiTheme="minorHAnsi" w:hAnsiTheme="minorHAnsi" w:cstheme="minorHAnsi"/>
          <w:iCs/>
          <w:color w:val="000000" w:themeColor="text1"/>
          <w:szCs w:val="24"/>
        </w:rPr>
        <w:t xml:space="preserve">in the </w:t>
      </w:r>
      <w:r w:rsidR="000A04C9" w:rsidRPr="00DE76EA">
        <w:rPr>
          <w:rFonts w:asciiTheme="minorHAnsi" w:hAnsiTheme="minorHAnsi" w:cstheme="minorHAnsi"/>
          <w:iCs/>
          <w:color w:val="000000" w:themeColor="text1"/>
          <w:szCs w:val="24"/>
        </w:rPr>
        <w:t xml:space="preserve">chemotherapy alone </w:t>
      </w:r>
      <w:r w:rsidRPr="00DE76EA">
        <w:rPr>
          <w:rFonts w:asciiTheme="minorHAnsi" w:hAnsiTheme="minorHAnsi" w:cstheme="minorHAnsi"/>
          <w:iCs/>
          <w:color w:val="000000" w:themeColor="text1"/>
          <w:szCs w:val="24"/>
        </w:rPr>
        <w:t xml:space="preserve">arm. </w:t>
      </w:r>
      <w:r w:rsidR="00C26D7A" w:rsidRPr="00586BAA">
        <w:rPr>
          <w:rFonts w:asciiTheme="minorHAnsi" w:hAnsiTheme="minorHAnsi" w:cstheme="minorHAnsi"/>
          <w:iCs/>
          <w:color w:val="000000" w:themeColor="text1"/>
          <w:szCs w:val="24"/>
        </w:rPr>
        <w:t>The PSCR proposed a revised terminal care cost of $38,057 based on an estimate from Langton 2016 converted to 2021 prices. The ESC noted the Langton paper estimated that elderly patients with</w:t>
      </w:r>
      <w:r w:rsidR="00E50471" w:rsidRPr="00586BAA">
        <w:rPr>
          <w:rFonts w:asciiTheme="minorHAnsi" w:hAnsiTheme="minorHAnsi" w:cstheme="minorHAnsi"/>
          <w:iCs/>
          <w:color w:val="000000" w:themeColor="text1"/>
          <w:szCs w:val="24"/>
        </w:rPr>
        <w:t xml:space="preserve"> a variety of</w:t>
      </w:r>
      <w:r w:rsidR="00C26D7A" w:rsidRPr="00586BAA">
        <w:rPr>
          <w:rFonts w:asciiTheme="minorHAnsi" w:hAnsiTheme="minorHAnsi" w:cstheme="minorHAnsi"/>
          <w:iCs/>
          <w:color w:val="000000" w:themeColor="text1"/>
          <w:szCs w:val="24"/>
        </w:rPr>
        <w:t xml:space="preserve"> </w:t>
      </w:r>
      <w:r w:rsidR="00E50471" w:rsidRPr="00586BAA">
        <w:rPr>
          <w:rFonts w:asciiTheme="minorHAnsi" w:hAnsiTheme="minorHAnsi" w:cstheme="minorHAnsi"/>
          <w:iCs/>
          <w:color w:val="000000" w:themeColor="text1"/>
          <w:szCs w:val="24"/>
        </w:rPr>
        <w:t xml:space="preserve">different types of </w:t>
      </w:r>
      <w:r w:rsidR="00C26D7A" w:rsidRPr="00586BAA">
        <w:rPr>
          <w:rFonts w:asciiTheme="minorHAnsi" w:hAnsiTheme="minorHAnsi" w:cstheme="minorHAnsi"/>
          <w:iCs/>
          <w:color w:val="000000" w:themeColor="text1"/>
          <w:szCs w:val="24"/>
        </w:rPr>
        <w:t>cancer</w:t>
      </w:r>
      <w:r w:rsidR="00E50471" w:rsidRPr="00586BAA">
        <w:rPr>
          <w:rFonts w:asciiTheme="minorHAnsi" w:hAnsiTheme="minorHAnsi" w:cstheme="minorHAnsi"/>
          <w:iCs/>
          <w:color w:val="000000" w:themeColor="text1"/>
          <w:szCs w:val="24"/>
        </w:rPr>
        <w:t>s</w:t>
      </w:r>
      <w:r w:rsidR="00C26D7A" w:rsidRPr="00586BAA">
        <w:rPr>
          <w:rFonts w:asciiTheme="minorHAnsi" w:hAnsiTheme="minorHAnsi" w:cstheme="minorHAnsi"/>
          <w:iCs/>
          <w:color w:val="000000" w:themeColor="text1"/>
          <w:szCs w:val="24"/>
        </w:rPr>
        <w:t xml:space="preserve"> who died of cancer accrued $30,001 of costs in the last six months of life. The </w:t>
      </w:r>
      <w:r w:rsidR="00537657">
        <w:rPr>
          <w:rFonts w:asciiTheme="minorHAnsi" w:hAnsiTheme="minorHAnsi" w:cstheme="minorHAnsi"/>
          <w:iCs/>
          <w:color w:val="000000" w:themeColor="text1"/>
          <w:szCs w:val="24"/>
        </w:rPr>
        <w:t>PSCR</w:t>
      </w:r>
      <w:r w:rsidR="002E32E3">
        <w:rPr>
          <w:rFonts w:asciiTheme="minorHAnsi" w:hAnsiTheme="minorHAnsi" w:cstheme="minorHAnsi"/>
          <w:iCs/>
          <w:color w:val="000000" w:themeColor="text1"/>
          <w:szCs w:val="24"/>
        </w:rPr>
        <w:t xml:space="preserve"> </w:t>
      </w:r>
      <w:r w:rsidR="00537657">
        <w:rPr>
          <w:rFonts w:asciiTheme="minorHAnsi" w:hAnsiTheme="minorHAnsi" w:cstheme="minorHAnsi"/>
          <w:iCs/>
          <w:color w:val="000000" w:themeColor="text1"/>
          <w:szCs w:val="24"/>
        </w:rPr>
        <w:t xml:space="preserve">response </w:t>
      </w:r>
      <w:r w:rsidR="002E32E3">
        <w:rPr>
          <w:rFonts w:asciiTheme="minorHAnsi" w:hAnsiTheme="minorHAnsi" w:cstheme="minorHAnsi"/>
          <w:iCs/>
          <w:color w:val="000000" w:themeColor="text1"/>
          <w:szCs w:val="24"/>
        </w:rPr>
        <w:t xml:space="preserve">reduced the price of pembrolizumab (from </w:t>
      </w:r>
      <w:r w:rsidR="00537657" w:rsidRPr="00537657">
        <w:rPr>
          <w:rFonts w:asciiTheme="minorHAnsi" w:hAnsiTheme="minorHAnsi" w:cstheme="minorHAnsi"/>
          <w:iCs/>
          <w:color w:val="000000" w:themeColor="text1"/>
          <w:szCs w:val="24"/>
        </w:rPr>
        <w:t>$</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 to $</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w:t>
      </w:r>
      <w:r w:rsidR="002E32E3" w:rsidRPr="00AF45BB">
        <w:rPr>
          <w:rFonts w:asciiTheme="minorHAnsi" w:hAnsiTheme="minorHAnsi" w:cstheme="minorHAnsi"/>
          <w:iCs/>
          <w:color w:val="000000" w:themeColor="text1"/>
          <w:szCs w:val="24"/>
        </w:rPr>
        <w:t>)</w:t>
      </w:r>
      <w:r w:rsidR="002E32E3">
        <w:rPr>
          <w:rFonts w:asciiTheme="minorHAnsi" w:hAnsiTheme="minorHAnsi" w:cstheme="minorHAnsi"/>
          <w:iCs/>
          <w:color w:val="000000" w:themeColor="text1"/>
          <w:szCs w:val="24"/>
        </w:rPr>
        <w:t xml:space="preserve"> to maintain an ICER of $</w:t>
      </w:r>
      <w:r w:rsidR="00B35935">
        <w:rPr>
          <w:rFonts w:asciiTheme="minorHAnsi" w:hAnsiTheme="minorHAnsi" w:cstheme="minorHAnsi"/>
          <w:iCs/>
          <w:color w:val="000000" w:themeColor="text1"/>
          <w:szCs w:val="24"/>
        </w:rPr>
        <w:t>95,000 to &lt; $115,000</w:t>
      </w:r>
      <w:r w:rsidR="002E32E3">
        <w:rPr>
          <w:rFonts w:asciiTheme="minorHAnsi" w:hAnsiTheme="minorHAnsi" w:cstheme="minorHAnsi"/>
          <w:iCs/>
          <w:color w:val="000000" w:themeColor="text1"/>
          <w:szCs w:val="24"/>
        </w:rPr>
        <w:t xml:space="preserve">/ QALY using the revised terminal care cost. </w:t>
      </w:r>
      <w:bookmarkEnd w:id="38"/>
    </w:p>
    <w:p w14:paraId="3D4C3B53" w14:textId="77777777" w:rsidR="004E0DA6" w:rsidRPr="00586BAA" w:rsidRDefault="004E0DA6" w:rsidP="00863C38">
      <w:pPr>
        <w:pStyle w:val="ListParagraph"/>
        <w:widowControl/>
        <w:numPr>
          <w:ilvl w:val="1"/>
          <w:numId w:val="1"/>
        </w:numPr>
        <w:rPr>
          <w:rFonts w:asciiTheme="minorHAnsi" w:hAnsiTheme="minorHAnsi" w:cstheme="minorHAnsi"/>
          <w:color w:val="000000" w:themeColor="text1"/>
          <w:szCs w:val="24"/>
        </w:rPr>
      </w:pPr>
      <w:bookmarkStart w:id="39" w:name="_Ref89330792"/>
      <w:r w:rsidRPr="008E5320">
        <w:rPr>
          <w:rFonts w:asciiTheme="minorHAnsi" w:hAnsiTheme="minorHAnsi" w:cstheme="minorHAnsi"/>
          <w:iCs/>
          <w:color w:val="000000" w:themeColor="text1"/>
          <w:szCs w:val="24"/>
        </w:rPr>
        <w:t xml:space="preserve">Given that few patients would be expected to survive beyond 7.5 years, and there is no indication-specific clinical evidence to support that pembrolizumab plus chemotherapy would improve survival </w:t>
      </w:r>
      <w:r w:rsidR="009B0542">
        <w:rPr>
          <w:rFonts w:asciiTheme="minorHAnsi" w:hAnsiTheme="minorHAnsi" w:cstheme="minorHAnsi"/>
          <w:iCs/>
          <w:color w:val="000000" w:themeColor="text1"/>
          <w:szCs w:val="24"/>
        </w:rPr>
        <w:t xml:space="preserve">in the </w:t>
      </w:r>
      <w:r w:rsidRPr="008E5320">
        <w:rPr>
          <w:rFonts w:asciiTheme="minorHAnsi" w:hAnsiTheme="minorHAnsi" w:cstheme="minorHAnsi"/>
          <w:iCs/>
          <w:color w:val="000000" w:themeColor="text1"/>
          <w:szCs w:val="24"/>
        </w:rPr>
        <w:t xml:space="preserve">long term, and the issues with the cost estimate itself, it is likely more reasonable to assume that there would be no difference in terminal care costs between the treatment arms. Moreover, it is likely that treatment with pembrolizumab plus chemotherapy delays, rather than prevents, incurring terminal care costs in the proposed PBS population. </w:t>
      </w:r>
      <w:r w:rsidR="00FA4AAF" w:rsidRPr="008E5320">
        <w:rPr>
          <w:rFonts w:asciiTheme="minorHAnsi" w:hAnsiTheme="minorHAnsi" w:cstheme="minorHAnsi"/>
          <w:iCs/>
          <w:color w:val="000000" w:themeColor="text1"/>
          <w:szCs w:val="24"/>
        </w:rPr>
        <w:t>R</w:t>
      </w:r>
      <w:r w:rsidRPr="008E5320">
        <w:rPr>
          <w:rFonts w:asciiTheme="minorHAnsi" w:hAnsiTheme="minorHAnsi" w:cstheme="minorHAnsi"/>
          <w:iCs/>
          <w:color w:val="000000" w:themeColor="text1"/>
          <w:szCs w:val="24"/>
        </w:rPr>
        <w:t xml:space="preserve">emoving the cost of terminal care </w:t>
      </w:r>
      <w:r w:rsidRPr="00586BAA">
        <w:rPr>
          <w:rFonts w:asciiTheme="minorHAnsi" w:hAnsiTheme="minorHAnsi" w:cstheme="minorHAnsi"/>
          <w:iCs/>
          <w:color w:val="000000" w:themeColor="text1"/>
          <w:szCs w:val="24"/>
        </w:rPr>
        <w:t>increase</w:t>
      </w:r>
      <w:r w:rsidR="00A4338E" w:rsidRPr="00586BAA">
        <w:rPr>
          <w:rFonts w:asciiTheme="minorHAnsi" w:hAnsiTheme="minorHAnsi" w:cstheme="minorHAnsi"/>
          <w:iCs/>
          <w:color w:val="000000" w:themeColor="text1"/>
          <w:szCs w:val="24"/>
        </w:rPr>
        <w:t>d</w:t>
      </w:r>
      <w:r w:rsidRPr="00586BAA">
        <w:rPr>
          <w:rFonts w:asciiTheme="minorHAnsi" w:hAnsiTheme="minorHAnsi" w:cstheme="minorHAnsi"/>
          <w:iCs/>
          <w:color w:val="000000" w:themeColor="text1"/>
          <w:szCs w:val="24"/>
        </w:rPr>
        <w:t xml:space="preserve"> the ICER</w:t>
      </w:r>
      <w:r w:rsidR="00A3323B" w:rsidRPr="00586BAA">
        <w:rPr>
          <w:rFonts w:asciiTheme="minorHAnsi" w:hAnsiTheme="minorHAnsi" w:cstheme="minorHAnsi"/>
          <w:iCs/>
          <w:color w:val="000000" w:themeColor="text1"/>
          <w:szCs w:val="24"/>
        </w:rPr>
        <w:t xml:space="preserve"> substantially</w:t>
      </w:r>
      <w:r w:rsidRPr="00586BAA">
        <w:rPr>
          <w:rFonts w:asciiTheme="minorHAnsi" w:hAnsiTheme="minorHAnsi" w:cstheme="minorHAnsi"/>
          <w:iCs/>
          <w:color w:val="000000" w:themeColor="text1"/>
          <w:szCs w:val="24"/>
        </w:rPr>
        <w:t>.</w:t>
      </w:r>
      <w:r w:rsidR="00DE76EA" w:rsidRPr="00586BAA">
        <w:t xml:space="preserve"> </w:t>
      </w:r>
      <w:r w:rsidR="00F94F1C" w:rsidRPr="00586BAA">
        <w:t xml:space="preserve">The ESC noted the impact of including terminal care costs on the ICER is driven by the difference in surviving proportions at the end of the model time horizon but ultimately this cost should accrue to all patients in both treatment arms. </w:t>
      </w:r>
      <w:r w:rsidR="00F56AA7" w:rsidRPr="00586BAA">
        <w:t xml:space="preserve">Additionally, the ESC noted the terminal care cost was based on the 12 months prior to death and considered this may result in double counting as some of these costs would have accrued in the progressed health state. </w:t>
      </w:r>
      <w:r w:rsidR="00F94F1C" w:rsidRPr="00586BAA">
        <w:t>The ESC noted excluding terminal care costs increased the ICER from $</w:t>
      </w:r>
      <w:r w:rsidR="005A077F">
        <w:t>95,000 to &lt; $115,000</w:t>
      </w:r>
      <w:r w:rsidR="005E7549">
        <w:t>/QALY gained</w:t>
      </w:r>
      <w:r w:rsidR="00F94F1C" w:rsidRPr="00586BAA">
        <w:t xml:space="preserve"> to $</w:t>
      </w:r>
      <w:r w:rsidR="005A077F">
        <w:t>95,000 to &lt; $115,000</w:t>
      </w:r>
      <w:r w:rsidR="005E7549">
        <w:t>/QALY gained</w:t>
      </w:r>
      <w:r w:rsidR="00537657">
        <w:t xml:space="preserve"> (based on the price proposed in the submission)</w:t>
      </w:r>
      <w:r w:rsidR="00F94F1C" w:rsidRPr="00586BAA">
        <w:t>.</w:t>
      </w:r>
      <w:bookmarkEnd w:id="39"/>
    </w:p>
    <w:p w14:paraId="308CB579" w14:textId="77777777" w:rsidR="004E0DA6" w:rsidRPr="00D555A0" w:rsidRDefault="004E0DA6" w:rsidP="00863C38">
      <w:pPr>
        <w:pStyle w:val="ListParagraph"/>
        <w:widowControl/>
        <w:numPr>
          <w:ilvl w:val="1"/>
          <w:numId w:val="1"/>
        </w:numPr>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Key drivers of the model are presented in </w:t>
      </w:r>
      <w:r w:rsidR="005051CB" w:rsidRPr="005051CB">
        <w:rPr>
          <w:rStyle w:val="BodyTextChar"/>
          <w:rFonts w:asciiTheme="minorHAnsi" w:hAnsiTheme="minorHAnsi" w:cstheme="minorHAnsi"/>
          <w:sz w:val="24"/>
          <w:szCs w:val="24"/>
        </w:rPr>
        <w:t>Table 9</w:t>
      </w:r>
      <w:r w:rsidRPr="0060004D">
        <w:rPr>
          <w:rStyle w:val="BodyTextChar"/>
          <w:rFonts w:asciiTheme="minorHAnsi" w:hAnsiTheme="minorHAnsi" w:cstheme="minorHAnsi"/>
          <w:sz w:val="24"/>
          <w:szCs w:val="24"/>
        </w:rPr>
        <w:t>.</w:t>
      </w:r>
    </w:p>
    <w:p w14:paraId="211AA007" w14:textId="77777777" w:rsidR="004E0DA6" w:rsidRPr="00471670" w:rsidRDefault="004E0DA6" w:rsidP="00382E79">
      <w:pPr>
        <w:keepNext/>
        <w:keepLines/>
        <w:rPr>
          <w:rStyle w:val="CommentReference"/>
        </w:rPr>
      </w:pPr>
      <w:bookmarkStart w:id="40" w:name="_Ref79504009"/>
      <w:r>
        <w:rPr>
          <w:rStyle w:val="CommentReference"/>
        </w:rPr>
        <w:lastRenderedPageBreak/>
        <w:t xml:space="preserve">Table </w:t>
      </w:r>
      <w:r w:rsidR="005051CB">
        <w:rPr>
          <w:rStyle w:val="CommentReference"/>
          <w:noProof/>
        </w:rPr>
        <w:t>9</w:t>
      </w:r>
      <w:bookmarkEnd w:id="40"/>
      <w:r>
        <w:rPr>
          <w:rStyle w:val="CommentReference"/>
        </w:rPr>
        <w:t xml:space="preserve">: </w:t>
      </w:r>
      <w:r w:rsidRPr="00A56B6A">
        <w:rPr>
          <w:rStyle w:val="CommentReference"/>
        </w:rPr>
        <w:t xml:space="preserve">Key drivers of </w:t>
      </w:r>
      <w:r w:rsidRPr="00471670">
        <w:rPr>
          <w:rStyle w:val="CommentReference"/>
        </w:rPr>
        <w:t>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13"/>
        <w:gridCol w:w="3811"/>
        <w:gridCol w:w="3493"/>
      </w:tblGrid>
      <w:tr w:rsidR="004E0DA6" w:rsidRPr="008E5320" w14:paraId="175B778E" w14:textId="77777777" w:rsidTr="006E2D21">
        <w:trPr>
          <w:tblHeader/>
        </w:trPr>
        <w:tc>
          <w:tcPr>
            <w:tcW w:w="950" w:type="pct"/>
            <w:shd w:val="clear" w:color="auto" w:fill="auto"/>
            <w:vAlign w:val="center"/>
          </w:tcPr>
          <w:p w14:paraId="1579E172" w14:textId="77777777" w:rsidR="004E0DA6" w:rsidRPr="008E5320" w:rsidRDefault="004E0DA6" w:rsidP="00382E79">
            <w:pPr>
              <w:pStyle w:val="Tabletext"/>
              <w:keepNext/>
              <w:keepLines/>
              <w:rPr>
                <w:b/>
              </w:rPr>
            </w:pPr>
            <w:r w:rsidRPr="008E5320">
              <w:rPr>
                <w:b/>
              </w:rPr>
              <w:t>Description</w:t>
            </w:r>
          </w:p>
        </w:tc>
        <w:tc>
          <w:tcPr>
            <w:tcW w:w="2113" w:type="pct"/>
            <w:shd w:val="clear" w:color="auto" w:fill="auto"/>
            <w:vAlign w:val="center"/>
          </w:tcPr>
          <w:p w14:paraId="7FCA8F07" w14:textId="77777777" w:rsidR="004E0DA6" w:rsidRPr="008E5320" w:rsidRDefault="004E0DA6" w:rsidP="00382E79">
            <w:pPr>
              <w:pStyle w:val="Tabletext"/>
              <w:keepNext/>
              <w:keepLines/>
              <w:jc w:val="center"/>
              <w:rPr>
                <w:b/>
              </w:rPr>
            </w:pPr>
            <w:r w:rsidRPr="008E5320">
              <w:rPr>
                <w:b/>
              </w:rPr>
              <w:t>Method/Value</w:t>
            </w:r>
          </w:p>
        </w:tc>
        <w:tc>
          <w:tcPr>
            <w:tcW w:w="1937" w:type="pct"/>
            <w:shd w:val="clear" w:color="auto" w:fill="auto"/>
            <w:vAlign w:val="center"/>
          </w:tcPr>
          <w:p w14:paraId="18DDFDBA" w14:textId="77777777" w:rsidR="004E0DA6" w:rsidRPr="008E5320" w:rsidRDefault="004E0DA6" w:rsidP="00382E79">
            <w:pPr>
              <w:pStyle w:val="Tabletext"/>
              <w:keepNext/>
              <w:keepLines/>
              <w:jc w:val="center"/>
              <w:rPr>
                <w:b/>
              </w:rPr>
            </w:pPr>
            <w:r w:rsidRPr="008E5320">
              <w:rPr>
                <w:b/>
              </w:rPr>
              <w:t>Impact</w:t>
            </w:r>
            <w:r w:rsidR="00811E7E" w:rsidRPr="008E5320">
              <w:rPr>
                <w:b/>
              </w:rPr>
              <w:t xml:space="preserve"> (Base case ICER: </w:t>
            </w:r>
            <w:r w:rsidR="00D451EA">
              <w:rPr>
                <w:b/>
                <w:noProof/>
                <w:color w:val="000000"/>
                <w:highlight w:val="black"/>
              </w:rPr>
              <w:t>''''''''''''''''</w:t>
            </w:r>
            <w:r w:rsidR="005A077F" w:rsidRPr="005A077F">
              <w:rPr>
                <w:b/>
                <w:vertAlign w:val="superscript"/>
              </w:rPr>
              <w:t>1</w:t>
            </w:r>
            <w:r w:rsidR="00811E7E" w:rsidRPr="008E5320">
              <w:rPr>
                <w:b/>
              </w:rPr>
              <w:t>)</w:t>
            </w:r>
          </w:p>
        </w:tc>
      </w:tr>
      <w:tr w:rsidR="004E0DA6" w:rsidRPr="008E5320" w14:paraId="3691D60D" w14:textId="77777777" w:rsidTr="006E2D21">
        <w:tc>
          <w:tcPr>
            <w:tcW w:w="950" w:type="pct"/>
            <w:shd w:val="clear" w:color="auto" w:fill="auto"/>
            <w:vAlign w:val="center"/>
          </w:tcPr>
          <w:p w14:paraId="2B0631CB" w14:textId="77777777" w:rsidR="004E0DA6" w:rsidRPr="008E5320" w:rsidRDefault="004E0DA6" w:rsidP="00382E79">
            <w:pPr>
              <w:pStyle w:val="Tabletext"/>
              <w:keepNext/>
              <w:keepLines/>
            </w:pPr>
            <w:r w:rsidRPr="008E5320">
              <w:t>Extrapolation</w:t>
            </w:r>
          </w:p>
        </w:tc>
        <w:tc>
          <w:tcPr>
            <w:tcW w:w="2113" w:type="pct"/>
            <w:shd w:val="clear" w:color="auto" w:fill="auto"/>
            <w:vAlign w:val="center"/>
          </w:tcPr>
          <w:p w14:paraId="27B0FCDC" w14:textId="77777777" w:rsidR="00382E79" w:rsidRDefault="004E0DA6" w:rsidP="00382E79">
            <w:pPr>
              <w:pStyle w:val="Tabletext"/>
              <w:keepNext/>
              <w:keepLines/>
            </w:pPr>
            <w:r w:rsidRPr="008E5320">
              <w:t xml:space="preserve">Piecewise extrapolations. </w:t>
            </w:r>
          </w:p>
          <w:p w14:paraId="4BE13BAB" w14:textId="77777777" w:rsidR="00382E79" w:rsidRDefault="00382E79" w:rsidP="00382E79">
            <w:pPr>
              <w:pStyle w:val="Tabletext"/>
              <w:keepNext/>
              <w:keepLines/>
            </w:pPr>
          </w:p>
          <w:p w14:paraId="1ABAEE5C" w14:textId="77777777" w:rsidR="004E0DA6" w:rsidRPr="00325523" w:rsidRDefault="00382E79" w:rsidP="00382E79">
            <w:pPr>
              <w:pStyle w:val="Tabletext"/>
              <w:keepNext/>
              <w:keepLines/>
            </w:pPr>
            <w:r w:rsidRPr="00325523">
              <w:t xml:space="preserve">OS: </w:t>
            </w:r>
            <w:r w:rsidR="004E0DA6" w:rsidRPr="00325523">
              <w:t>KM data up to 40 week</w:t>
            </w:r>
            <w:r w:rsidR="003C492F" w:rsidRPr="00325523">
              <w:t xml:space="preserve">s, and then </w:t>
            </w:r>
            <w:r w:rsidR="00935EE9">
              <w:t>l</w:t>
            </w:r>
            <w:r w:rsidR="003C492F" w:rsidRPr="00325523">
              <w:t>og-logistic</w:t>
            </w:r>
            <w:r w:rsidR="004E0DA6" w:rsidRPr="00325523">
              <w:t xml:space="preserve"> for pembrolizumab plus chemo arm and log-normal for </w:t>
            </w:r>
            <w:r w:rsidR="000A04C9" w:rsidRPr="00325523">
              <w:t xml:space="preserve">chemotherapy alone </w:t>
            </w:r>
            <w:r w:rsidR="004E0DA6" w:rsidRPr="00325523">
              <w:t>arm.</w:t>
            </w:r>
          </w:p>
          <w:p w14:paraId="1056EDBB" w14:textId="77777777" w:rsidR="00382E79" w:rsidRPr="00325523" w:rsidRDefault="00382E79" w:rsidP="00382E79">
            <w:pPr>
              <w:pStyle w:val="Tabletext"/>
              <w:keepNext/>
              <w:keepLines/>
            </w:pPr>
          </w:p>
          <w:p w14:paraId="71EADC26" w14:textId="77777777" w:rsidR="004E0DA6" w:rsidRPr="008E5320" w:rsidRDefault="00382E79" w:rsidP="00382E79">
            <w:pPr>
              <w:pStyle w:val="Tabletext"/>
              <w:keepNext/>
              <w:keepLines/>
            </w:pPr>
            <w:r w:rsidRPr="00325523">
              <w:t xml:space="preserve">PFS: </w:t>
            </w:r>
            <w:r w:rsidR="004E0DA6" w:rsidRPr="00325523">
              <w:t>KM</w:t>
            </w:r>
            <w:r w:rsidR="004E0DA6" w:rsidRPr="008E5320">
              <w:t xml:space="preserve"> data up to 37 weeks, then exponential for pembrolizumab plus chemo and for </w:t>
            </w:r>
            <w:r w:rsidR="000A04C9" w:rsidRPr="008E5320">
              <w:t>chemotherapy alone</w:t>
            </w:r>
          </w:p>
          <w:p w14:paraId="5A0C8701" w14:textId="77777777" w:rsidR="004E0DA6" w:rsidRPr="008E5320" w:rsidRDefault="004E0DA6" w:rsidP="00E31495">
            <w:pPr>
              <w:pStyle w:val="Tabletext"/>
              <w:keepNext/>
              <w:keepLines/>
            </w:pPr>
          </w:p>
        </w:tc>
        <w:tc>
          <w:tcPr>
            <w:tcW w:w="1937" w:type="pct"/>
            <w:shd w:val="clear" w:color="auto" w:fill="auto"/>
            <w:vAlign w:val="center"/>
          </w:tcPr>
          <w:p w14:paraId="2DA40C1A" w14:textId="77777777" w:rsidR="004E0DA6" w:rsidRPr="008E5320" w:rsidRDefault="004E0DA6" w:rsidP="00382E79">
            <w:pPr>
              <w:pStyle w:val="Tabletext"/>
              <w:keepNext/>
              <w:keepLines/>
            </w:pPr>
            <w:r w:rsidRPr="008E5320">
              <w:t>High, favours pembrolizumab.</w:t>
            </w:r>
          </w:p>
          <w:p w14:paraId="09711A04" w14:textId="77777777" w:rsidR="004E0DA6" w:rsidRPr="008E5320" w:rsidRDefault="004E0DA6" w:rsidP="00382E79">
            <w:pPr>
              <w:pStyle w:val="Tabletext"/>
              <w:keepNext/>
              <w:keepLines/>
            </w:pPr>
          </w:p>
          <w:p w14:paraId="52FFB364" w14:textId="77777777" w:rsidR="004E0DA6" w:rsidRPr="008E5320" w:rsidRDefault="004E0DA6" w:rsidP="00F31302">
            <w:pPr>
              <w:pStyle w:val="Tabletext"/>
              <w:keepNext/>
              <w:keepLines/>
            </w:pPr>
            <w:r w:rsidRPr="008E5320">
              <w:t xml:space="preserve">Using </w:t>
            </w:r>
            <w:r w:rsidR="004D23D4" w:rsidRPr="008E5320">
              <w:t xml:space="preserve">KM data to </w:t>
            </w:r>
            <w:r w:rsidRPr="008E5320">
              <w:t>Week 98</w:t>
            </w:r>
            <w:r w:rsidR="004D23D4" w:rsidRPr="008E5320">
              <w:rPr>
                <w:rStyle w:val="CommentReference"/>
                <w:b w:val="0"/>
                <w:bCs/>
                <w:snapToGrid w:val="0"/>
              </w:rPr>
              <w:t>, then a o</w:t>
            </w:r>
            <w:r w:rsidRPr="008E5320">
              <w:t>ne-piece with the best fitting function (</w:t>
            </w:r>
            <w:r w:rsidR="00935EE9">
              <w:t>log-logistic</w:t>
            </w:r>
            <w:r w:rsidRPr="008E5320">
              <w:t xml:space="preserve"> according to AIC and BIC for pembrolizumab + chemotherapy and </w:t>
            </w:r>
            <w:r w:rsidR="000A04C9" w:rsidRPr="008E5320">
              <w:t xml:space="preserve">chemotherapy alone </w:t>
            </w:r>
            <w:r w:rsidRPr="008E5320">
              <w:t xml:space="preserve">for OS and PFS) rather than piecewise models, leads to an ICER of </w:t>
            </w:r>
            <w:r w:rsidR="00D451EA">
              <w:rPr>
                <w:noProof/>
                <w:color w:val="000000"/>
                <w:highlight w:val="black"/>
              </w:rPr>
              <w:t>'''''''''''''''''''''''</w:t>
            </w:r>
            <w:r w:rsidR="00B61526" w:rsidRPr="00B61526">
              <w:rPr>
                <w:vertAlign w:val="superscript"/>
              </w:rPr>
              <w:t>2</w:t>
            </w:r>
            <w:r w:rsidR="00F31302">
              <w:t>.</w:t>
            </w:r>
          </w:p>
        </w:tc>
      </w:tr>
      <w:tr w:rsidR="004E0DA6" w:rsidRPr="008E5320" w14:paraId="2A963FC0" w14:textId="77777777" w:rsidTr="006E2D21">
        <w:tc>
          <w:tcPr>
            <w:tcW w:w="950" w:type="pct"/>
            <w:shd w:val="clear" w:color="auto" w:fill="auto"/>
            <w:vAlign w:val="center"/>
          </w:tcPr>
          <w:p w14:paraId="13CD7895" w14:textId="77777777" w:rsidR="004E0DA6" w:rsidRPr="008E5320" w:rsidRDefault="004E0DA6" w:rsidP="00382E79">
            <w:pPr>
              <w:pStyle w:val="Tabletext"/>
              <w:keepNext/>
              <w:keepLines/>
            </w:pPr>
            <w:r w:rsidRPr="008E5320">
              <w:t>Time horizon</w:t>
            </w:r>
          </w:p>
        </w:tc>
        <w:tc>
          <w:tcPr>
            <w:tcW w:w="2113" w:type="pct"/>
            <w:shd w:val="clear" w:color="auto" w:fill="auto"/>
            <w:vAlign w:val="center"/>
          </w:tcPr>
          <w:p w14:paraId="4C97A706" w14:textId="77777777" w:rsidR="004E0DA6" w:rsidRPr="008E5320" w:rsidRDefault="004E0DA6" w:rsidP="00382E79">
            <w:pPr>
              <w:pStyle w:val="Tabletext"/>
              <w:keepNext/>
              <w:keepLines/>
            </w:pPr>
            <w:r w:rsidRPr="008E5320">
              <w:t xml:space="preserve">7.5 years </w:t>
            </w:r>
          </w:p>
        </w:tc>
        <w:tc>
          <w:tcPr>
            <w:tcW w:w="1937" w:type="pct"/>
            <w:shd w:val="clear" w:color="auto" w:fill="auto"/>
            <w:vAlign w:val="center"/>
          </w:tcPr>
          <w:p w14:paraId="70EF622D" w14:textId="3833E9CC" w:rsidR="004E0DA6" w:rsidRPr="00586BAA" w:rsidRDefault="004E0DA6" w:rsidP="00382E79">
            <w:pPr>
              <w:pStyle w:val="Tabletext"/>
              <w:keepNext/>
              <w:keepLines/>
            </w:pPr>
            <w:r w:rsidRPr="00586BAA">
              <w:t xml:space="preserve">High, likely favours pembrolizumab. Reducing time horizon to 5 years increases ICER to </w:t>
            </w:r>
            <w:r w:rsidR="00D451EA">
              <w:rPr>
                <w:noProof/>
                <w:color w:val="000000"/>
                <w:highlight w:val="black"/>
              </w:rPr>
              <w:t>''''''''''''''''''''''</w:t>
            </w:r>
            <w:r w:rsidR="00B61526">
              <w:rPr>
                <w:vertAlign w:val="superscript"/>
              </w:rPr>
              <w:t>2</w:t>
            </w:r>
            <w:r w:rsidRPr="00586BAA">
              <w:t xml:space="preserve">. </w:t>
            </w:r>
            <w:r w:rsidR="00126237" w:rsidRPr="00586BAA">
              <w:t xml:space="preserve">The ESC considered a </w:t>
            </w:r>
            <w:proofErr w:type="gramStart"/>
            <w:r w:rsidR="00126237" w:rsidRPr="00586BAA">
              <w:t>7.5 year</w:t>
            </w:r>
            <w:proofErr w:type="gramEnd"/>
            <w:r w:rsidR="00126237" w:rsidRPr="00586BAA">
              <w:t xml:space="preserve"> time horizon may be optimistic for this population. </w:t>
            </w:r>
          </w:p>
        </w:tc>
      </w:tr>
      <w:tr w:rsidR="004E0DA6" w:rsidRPr="008E5320" w14:paraId="60DCDDAD" w14:textId="77777777" w:rsidTr="006E2D21">
        <w:tc>
          <w:tcPr>
            <w:tcW w:w="950" w:type="pct"/>
            <w:shd w:val="clear" w:color="auto" w:fill="auto"/>
            <w:vAlign w:val="center"/>
          </w:tcPr>
          <w:p w14:paraId="611875B3" w14:textId="77777777" w:rsidR="004E0DA6" w:rsidRPr="008E5320" w:rsidRDefault="004E0DA6" w:rsidP="00382E79">
            <w:pPr>
              <w:pStyle w:val="Tabletext"/>
              <w:keepNext/>
              <w:keepLines/>
            </w:pPr>
            <w:r w:rsidRPr="008E5320">
              <w:t>Terminal care costs</w:t>
            </w:r>
          </w:p>
        </w:tc>
        <w:tc>
          <w:tcPr>
            <w:tcW w:w="2113" w:type="pct"/>
            <w:shd w:val="clear" w:color="auto" w:fill="auto"/>
            <w:vAlign w:val="center"/>
          </w:tcPr>
          <w:p w14:paraId="026842C7" w14:textId="77777777" w:rsidR="004E0DA6" w:rsidRPr="008E5320" w:rsidRDefault="004E0DA6" w:rsidP="00382E79">
            <w:pPr>
              <w:pStyle w:val="Tabletext"/>
              <w:keepNext/>
              <w:keepLines/>
            </w:pPr>
            <w:r w:rsidRPr="008E5320">
              <w:t>Cost of $77</w:t>
            </w:r>
            <w:r w:rsidRPr="00837AA2">
              <w:t>,01</w:t>
            </w:r>
            <w:r w:rsidR="00F056F6" w:rsidRPr="00837AA2">
              <w:t>9</w:t>
            </w:r>
            <w:r w:rsidRPr="00837AA2">
              <w:t xml:space="preserve"> added to death state based on </w:t>
            </w:r>
            <w:proofErr w:type="spellStart"/>
            <w:r w:rsidRPr="00837AA2">
              <w:t>Goldsbury</w:t>
            </w:r>
            <w:proofErr w:type="spellEnd"/>
            <w:r w:rsidRPr="00837AA2">
              <w:t xml:space="preserve"> (2018)</w:t>
            </w:r>
            <w:r w:rsidR="00D27D0E" w:rsidRPr="00837AA2">
              <w:t xml:space="preserve">. </w:t>
            </w:r>
            <w:r w:rsidR="00D27D0E" w:rsidRPr="000403A0">
              <w:t xml:space="preserve">The PSCR provided a revised terminal care cost of </w:t>
            </w:r>
            <w:r w:rsidR="00E50471" w:rsidRPr="000403A0">
              <w:rPr>
                <w:rFonts w:cstheme="minorHAnsi"/>
                <w:iCs/>
                <w:color w:val="000000" w:themeColor="text1"/>
                <w:szCs w:val="24"/>
              </w:rPr>
              <w:t>$38,057.</w:t>
            </w:r>
          </w:p>
        </w:tc>
        <w:tc>
          <w:tcPr>
            <w:tcW w:w="1937" w:type="pct"/>
            <w:shd w:val="clear" w:color="auto" w:fill="auto"/>
            <w:vAlign w:val="center"/>
          </w:tcPr>
          <w:p w14:paraId="74D66B3C" w14:textId="3A9CFAEC" w:rsidR="004E0DA6" w:rsidRPr="00586BAA" w:rsidRDefault="004E0DA6" w:rsidP="00D27D0E">
            <w:pPr>
              <w:pStyle w:val="Tabletext"/>
              <w:keepNext/>
              <w:keepLines/>
              <w:rPr>
                <w:iCs/>
              </w:rPr>
            </w:pPr>
            <w:r w:rsidRPr="00586BAA">
              <w:t xml:space="preserve">High, favours pembrolizumab. </w:t>
            </w:r>
            <w:r w:rsidRPr="00586BAA">
              <w:rPr>
                <w:iCs/>
              </w:rPr>
              <w:t xml:space="preserve">Removing terminal care costs increases the ICER to </w:t>
            </w:r>
            <w:r w:rsidR="00D451EA">
              <w:rPr>
                <w:iCs/>
                <w:noProof/>
                <w:color w:val="000000"/>
                <w:highlight w:val="black"/>
              </w:rPr>
              <w:t>'''''''''''''''''''''''</w:t>
            </w:r>
            <w:r w:rsidR="00B61526">
              <w:rPr>
                <w:vertAlign w:val="superscript"/>
              </w:rPr>
              <w:t>1</w:t>
            </w:r>
            <w:r w:rsidR="00D27D0E" w:rsidRPr="00586BAA">
              <w:rPr>
                <w:iCs/>
              </w:rPr>
              <w:t xml:space="preserve">. Using the revised terminal care cost resulted in an ICER of </w:t>
            </w:r>
            <w:r w:rsidR="00D451EA">
              <w:rPr>
                <w:iCs/>
                <w:noProof/>
                <w:color w:val="000000"/>
                <w:highlight w:val="black"/>
              </w:rPr>
              <w:t>''''''''''''''''''''''</w:t>
            </w:r>
            <w:r w:rsidR="00B61526">
              <w:rPr>
                <w:vertAlign w:val="superscript"/>
              </w:rPr>
              <w:t>1</w:t>
            </w:r>
            <w:r w:rsidR="00E50471" w:rsidRPr="00586BAA">
              <w:rPr>
                <w:iCs/>
              </w:rPr>
              <w:t>.</w:t>
            </w:r>
            <w:r w:rsidR="00D27D0E" w:rsidRPr="00586BAA">
              <w:rPr>
                <w:iCs/>
              </w:rPr>
              <w:t xml:space="preserve"> </w:t>
            </w:r>
          </w:p>
        </w:tc>
      </w:tr>
    </w:tbl>
    <w:p w14:paraId="14311097" w14:textId="77777777" w:rsidR="004E0DA6" w:rsidRDefault="004E0DA6" w:rsidP="004E0DA6">
      <w:pPr>
        <w:pStyle w:val="TableFooter"/>
      </w:pPr>
      <w:r>
        <w:t xml:space="preserve">Source: pp99-102 </w:t>
      </w:r>
      <w:r w:rsidRPr="00D13A3E">
        <w:t xml:space="preserve">of the </w:t>
      </w:r>
      <w:r>
        <w:t>submission.</w:t>
      </w:r>
    </w:p>
    <w:p w14:paraId="3956230F" w14:textId="19A10FAD" w:rsidR="00325523" w:rsidRDefault="00BE0131" w:rsidP="004E0DA6">
      <w:pPr>
        <w:pStyle w:val="TableFooter"/>
      </w:pPr>
      <w:r w:rsidRPr="00BE0131">
        <w:t>ICER</w:t>
      </w:r>
      <w:r>
        <w:t xml:space="preserve"> = incremental cost effectiveness ratio;</w:t>
      </w:r>
      <w:r w:rsidRPr="00BE0131">
        <w:t xml:space="preserve"> KM</w:t>
      </w:r>
      <w:r>
        <w:t xml:space="preserve"> = Kaplan-Meier;</w:t>
      </w:r>
      <w:r w:rsidRPr="00BE0131">
        <w:t xml:space="preserve"> OS = overall survival; PFS = progression free survival</w:t>
      </w:r>
      <w:r w:rsidR="007C0761">
        <w:t>; PSCR = Pre-Sub-Committee Response</w:t>
      </w:r>
      <w:r w:rsidRPr="00BE0131">
        <w:t xml:space="preserve">. </w:t>
      </w:r>
    </w:p>
    <w:p w14:paraId="388BC4C0" w14:textId="77777777" w:rsidR="005A077F" w:rsidRPr="00B61526" w:rsidRDefault="005A077F" w:rsidP="004E0DA6">
      <w:pPr>
        <w:pStyle w:val="TableFooter"/>
        <w:rPr>
          <w:i/>
        </w:rPr>
      </w:pPr>
      <w:r w:rsidRPr="00B61526">
        <w:rPr>
          <w:i/>
        </w:rPr>
        <w:t>The redacted values correspond to the following ranges:</w:t>
      </w:r>
    </w:p>
    <w:p w14:paraId="773C05CF" w14:textId="60206C5C" w:rsidR="004E0DA6" w:rsidRPr="00CB71F0" w:rsidRDefault="005A077F" w:rsidP="00CB71F0">
      <w:pPr>
        <w:pStyle w:val="TableFooter"/>
        <w:spacing w:after="120"/>
        <w:rPr>
          <w:i/>
        </w:rPr>
      </w:pPr>
      <w:r w:rsidRPr="00B61526">
        <w:rPr>
          <w:i/>
          <w:vertAlign w:val="superscript"/>
        </w:rPr>
        <w:t>1</w:t>
      </w:r>
      <w:r w:rsidRPr="00B61526">
        <w:rPr>
          <w:i/>
        </w:rPr>
        <w:t xml:space="preserve"> $95,000 to &lt; $115,000</w:t>
      </w:r>
      <w:r w:rsidR="00B61526" w:rsidRPr="00B61526">
        <w:rPr>
          <w:i/>
          <w:vertAlign w:val="superscript"/>
        </w:rPr>
        <w:t>2</w:t>
      </w:r>
      <w:r w:rsidR="00B61526" w:rsidRPr="00B61526">
        <w:rPr>
          <w:i/>
        </w:rPr>
        <w:t xml:space="preserve"> $115,000 to &lt; $135,000</w:t>
      </w:r>
    </w:p>
    <w:p w14:paraId="54B7DDD2" w14:textId="77777777" w:rsidR="004E0DA6" w:rsidRPr="0060004D" w:rsidRDefault="004E0DA6" w:rsidP="00863C38">
      <w:pPr>
        <w:pStyle w:val="ListParagraph"/>
        <w:widowControl/>
        <w:numPr>
          <w:ilvl w:val="1"/>
          <w:numId w:val="1"/>
        </w:numPr>
        <w:jc w:val="left"/>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Model results are presented in </w:t>
      </w:r>
      <w:r w:rsidR="005051CB" w:rsidRPr="005051CB">
        <w:rPr>
          <w:rStyle w:val="BodyTextChar"/>
          <w:rFonts w:asciiTheme="minorHAnsi" w:hAnsiTheme="minorHAnsi" w:cstheme="minorHAnsi"/>
          <w:sz w:val="24"/>
          <w:szCs w:val="24"/>
        </w:rPr>
        <w:t>Table 10</w:t>
      </w:r>
      <w:r w:rsidRPr="0060004D">
        <w:rPr>
          <w:rStyle w:val="BodyTextChar"/>
          <w:rFonts w:asciiTheme="minorHAnsi" w:hAnsiTheme="minorHAnsi" w:cstheme="minorHAnsi"/>
          <w:sz w:val="24"/>
          <w:szCs w:val="24"/>
        </w:rPr>
        <w:t>.</w:t>
      </w:r>
    </w:p>
    <w:p w14:paraId="2CC59270" w14:textId="77777777" w:rsidR="004E0DA6" w:rsidRDefault="004E0DA6" w:rsidP="00712293">
      <w:pPr>
        <w:keepNext/>
        <w:rPr>
          <w:rStyle w:val="CommentReference"/>
        </w:rPr>
      </w:pPr>
      <w:bookmarkStart w:id="41" w:name="_Ref79504050"/>
      <w:r>
        <w:rPr>
          <w:rStyle w:val="CommentReference"/>
        </w:rPr>
        <w:t xml:space="preserve">Table </w:t>
      </w:r>
      <w:r w:rsidR="00E87D72">
        <w:rPr>
          <w:rStyle w:val="CommentReference"/>
          <w:noProof/>
        </w:rPr>
        <w:t>10</w:t>
      </w:r>
      <w:bookmarkEnd w:id="41"/>
      <w:r>
        <w:rPr>
          <w:rStyle w:val="CommentReference"/>
        </w:rPr>
        <w:t xml:space="preserve">: </w:t>
      </w:r>
      <w:r w:rsidRPr="001009D9">
        <w:rPr>
          <w:rStyle w:val="CommentReference"/>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w:tblPr>
      <w:tblGrid>
        <w:gridCol w:w="2757"/>
        <w:gridCol w:w="2451"/>
        <w:gridCol w:w="2298"/>
        <w:gridCol w:w="1511"/>
      </w:tblGrid>
      <w:tr w:rsidR="004E0DA6" w:rsidRPr="001009D9" w14:paraId="71507D68"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28FA1AA" w14:textId="77777777" w:rsidR="004E0DA6" w:rsidRPr="001009D9" w:rsidRDefault="004E0DA6" w:rsidP="00712293">
            <w:pPr>
              <w:pStyle w:val="Tabletext"/>
              <w:keepNext/>
              <w:rPr>
                <w:b/>
              </w:rPr>
            </w:pPr>
            <w:r w:rsidRPr="001009D9">
              <w:rPr>
                <w:b/>
              </w:rPr>
              <w:t>Component</w:t>
            </w:r>
          </w:p>
        </w:tc>
        <w:tc>
          <w:tcPr>
            <w:tcW w:w="1359" w:type="pct"/>
            <w:tcBorders>
              <w:top w:val="single" w:sz="4" w:space="0" w:color="auto"/>
              <w:left w:val="single" w:sz="4" w:space="0" w:color="auto"/>
              <w:bottom w:val="single" w:sz="4" w:space="0" w:color="auto"/>
              <w:right w:val="single" w:sz="4" w:space="0" w:color="auto"/>
            </w:tcBorders>
            <w:vAlign w:val="center"/>
          </w:tcPr>
          <w:p w14:paraId="4B39BB77" w14:textId="77777777" w:rsidR="004E0DA6" w:rsidRPr="001009D9" w:rsidRDefault="004E0DA6" w:rsidP="00712293">
            <w:pPr>
              <w:pStyle w:val="Tabletext"/>
              <w:keepNext/>
              <w:jc w:val="center"/>
              <w:rPr>
                <w:b/>
              </w:rPr>
            </w:pPr>
            <w:r>
              <w:rPr>
                <w:b/>
              </w:rPr>
              <w:t>Pembrolizumab plus chemo</w:t>
            </w:r>
          </w:p>
        </w:tc>
        <w:tc>
          <w:tcPr>
            <w:tcW w:w="1274" w:type="pct"/>
            <w:tcBorders>
              <w:top w:val="single" w:sz="4" w:space="0" w:color="auto"/>
              <w:left w:val="single" w:sz="4" w:space="0" w:color="auto"/>
              <w:bottom w:val="single" w:sz="4" w:space="0" w:color="auto"/>
              <w:right w:val="single" w:sz="4" w:space="0" w:color="auto"/>
            </w:tcBorders>
            <w:vAlign w:val="center"/>
          </w:tcPr>
          <w:p w14:paraId="00D9B3BA" w14:textId="77777777" w:rsidR="004E0DA6" w:rsidRPr="001009D9" w:rsidRDefault="00A32712" w:rsidP="00712293">
            <w:pPr>
              <w:pStyle w:val="Tabletext"/>
              <w:keepNext/>
              <w:jc w:val="center"/>
              <w:rPr>
                <w:b/>
              </w:rPr>
            </w:pPr>
            <w:r>
              <w:rPr>
                <w:b/>
              </w:rPr>
              <w:t xml:space="preserve">Chemotherapy </w:t>
            </w:r>
            <w:r w:rsidR="000A04C9">
              <w:rPr>
                <w:b/>
              </w:rPr>
              <w:t>alone</w:t>
            </w:r>
          </w:p>
        </w:tc>
        <w:tc>
          <w:tcPr>
            <w:tcW w:w="838" w:type="pct"/>
            <w:tcBorders>
              <w:top w:val="single" w:sz="4" w:space="0" w:color="auto"/>
              <w:left w:val="single" w:sz="4" w:space="0" w:color="auto"/>
              <w:bottom w:val="single" w:sz="4" w:space="0" w:color="auto"/>
              <w:right w:val="single" w:sz="4" w:space="0" w:color="auto"/>
            </w:tcBorders>
            <w:vAlign w:val="center"/>
          </w:tcPr>
          <w:p w14:paraId="3AD0A4D6" w14:textId="77777777" w:rsidR="004E0DA6" w:rsidRPr="001009D9" w:rsidRDefault="004E0DA6" w:rsidP="00712293">
            <w:pPr>
              <w:pStyle w:val="Tabletext"/>
              <w:keepNext/>
              <w:jc w:val="center"/>
              <w:rPr>
                <w:b/>
              </w:rPr>
            </w:pPr>
            <w:r w:rsidRPr="001009D9">
              <w:rPr>
                <w:b/>
              </w:rPr>
              <w:t>Increment</w:t>
            </w:r>
          </w:p>
        </w:tc>
      </w:tr>
      <w:tr w:rsidR="004E0DA6" w:rsidRPr="001009D9" w14:paraId="37FD4186"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7E7F804" w14:textId="77777777" w:rsidR="004E0DA6" w:rsidRPr="007D5BA8" w:rsidRDefault="004E0DA6" w:rsidP="00712293">
            <w:pPr>
              <w:pStyle w:val="Tabletext"/>
              <w:keepNext/>
            </w:pPr>
            <w:r w:rsidRPr="007D5BA8">
              <w:t>Costs</w:t>
            </w:r>
            <w:r w:rsidR="004A3FA6">
              <w:t xml:space="preserve"> ($)</w:t>
            </w:r>
          </w:p>
        </w:tc>
        <w:tc>
          <w:tcPr>
            <w:tcW w:w="1359" w:type="pct"/>
            <w:tcBorders>
              <w:top w:val="single" w:sz="4" w:space="0" w:color="auto"/>
              <w:left w:val="single" w:sz="4" w:space="0" w:color="auto"/>
              <w:bottom w:val="single" w:sz="4" w:space="0" w:color="auto"/>
              <w:right w:val="single" w:sz="4" w:space="0" w:color="auto"/>
            </w:tcBorders>
            <w:vAlign w:val="center"/>
          </w:tcPr>
          <w:p w14:paraId="59228765" w14:textId="77777777" w:rsidR="004E0DA6" w:rsidRPr="00D451EA" w:rsidRDefault="00D451EA" w:rsidP="00712293">
            <w:pPr>
              <w:pStyle w:val="Tabletext"/>
              <w:keepNext/>
              <w:jc w:val="center"/>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14:paraId="1CB114A5" w14:textId="77777777" w:rsidR="004E0DA6" w:rsidRPr="007D5BA8" w:rsidRDefault="004E0DA6" w:rsidP="00712293">
            <w:pPr>
              <w:pStyle w:val="Tabletext"/>
              <w:keepNext/>
              <w:jc w:val="center"/>
            </w:pPr>
            <w:r w:rsidRPr="007D5BA8">
              <w:t>$79,71</w:t>
            </w:r>
            <w:r w:rsidR="001F5C1A">
              <w:t>2</w:t>
            </w:r>
          </w:p>
        </w:tc>
        <w:tc>
          <w:tcPr>
            <w:tcW w:w="838" w:type="pct"/>
            <w:tcBorders>
              <w:top w:val="single" w:sz="4" w:space="0" w:color="auto"/>
              <w:left w:val="single" w:sz="4" w:space="0" w:color="auto"/>
              <w:bottom w:val="single" w:sz="4" w:space="0" w:color="auto"/>
              <w:right w:val="single" w:sz="4" w:space="0" w:color="auto"/>
            </w:tcBorders>
            <w:vAlign w:val="center"/>
          </w:tcPr>
          <w:p w14:paraId="5071C772" w14:textId="77777777" w:rsidR="004E0DA6" w:rsidRPr="00D451EA" w:rsidRDefault="00D451EA" w:rsidP="00712293">
            <w:pPr>
              <w:pStyle w:val="Tabletext"/>
              <w:keepNext/>
              <w:jc w:val="center"/>
              <w:rPr>
                <w:highlight w:val="black"/>
              </w:rPr>
            </w:pPr>
            <w:r>
              <w:rPr>
                <w:noProof/>
                <w:color w:val="000000"/>
                <w:highlight w:val="black"/>
              </w:rPr>
              <w:t>''''''''''''''''''</w:t>
            </w:r>
          </w:p>
        </w:tc>
      </w:tr>
      <w:tr w:rsidR="004E0DA6" w:rsidRPr="001009D9" w14:paraId="317FF91B"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09C774BF" w14:textId="77777777" w:rsidR="004E0DA6" w:rsidRPr="007D5BA8" w:rsidRDefault="004E0DA6" w:rsidP="00712293">
            <w:pPr>
              <w:pStyle w:val="Tabletext"/>
              <w:keepNext/>
            </w:pPr>
            <w:r w:rsidRPr="007D5BA8">
              <w:t>L</w:t>
            </w:r>
            <w:r w:rsidR="004A3FA6" w:rsidRPr="007D5BA8">
              <w:t>y</w:t>
            </w:r>
            <w:r w:rsidRPr="007D5BA8">
              <w:t>s</w:t>
            </w:r>
          </w:p>
        </w:tc>
        <w:tc>
          <w:tcPr>
            <w:tcW w:w="1359" w:type="pct"/>
            <w:tcBorders>
              <w:top w:val="single" w:sz="4" w:space="0" w:color="auto"/>
              <w:left w:val="single" w:sz="4" w:space="0" w:color="auto"/>
              <w:bottom w:val="single" w:sz="4" w:space="0" w:color="auto"/>
              <w:right w:val="single" w:sz="4" w:space="0" w:color="auto"/>
            </w:tcBorders>
            <w:vAlign w:val="center"/>
          </w:tcPr>
          <w:p w14:paraId="43D6664E" w14:textId="77777777" w:rsidR="004E0DA6" w:rsidRPr="007D5BA8" w:rsidRDefault="004E0DA6" w:rsidP="00712293">
            <w:pPr>
              <w:pStyle w:val="Tabletext"/>
              <w:keepNext/>
              <w:jc w:val="center"/>
            </w:pPr>
            <w:r w:rsidRPr="007D5BA8">
              <w:t>1.7102</w:t>
            </w:r>
          </w:p>
        </w:tc>
        <w:tc>
          <w:tcPr>
            <w:tcW w:w="1274" w:type="pct"/>
            <w:tcBorders>
              <w:top w:val="single" w:sz="4" w:space="0" w:color="auto"/>
              <w:left w:val="single" w:sz="4" w:space="0" w:color="auto"/>
              <w:bottom w:val="single" w:sz="4" w:space="0" w:color="auto"/>
              <w:right w:val="single" w:sz="4" w:space="0" w:color="auto"/>
            </w:tcBorders>
            <w:vAlign w:val="center"/>
          </w:tcPr>
          <w:p w14:paraId="131F8A8B" w14:textId="77777777" w:rsidR="004E0DA6" w:rsidRPr="007D5BA8" w:rsidRDefault="004E0DA6" w:rsidP="00712293">
            <w:pPr>
              <w:pStyle w:val="Tabletext"/>
              <w:keepNext/>
              <w:jc w:val="center"/>
            </w:pPr>
            <w:r w:rsidRPr="007D5BA8">
              <w:t>1.2245</w:t>
            </w:r>
          </w:p>
        </w:tc>
        <w:tc>
          <w:tcPr>
            <w:tcW w:w="838" w:type="pct"/>
            <w:tcBorders>
              <w:top w:val="single" w:sz="4" w:space="0" w:color="auto"/>
              <w:left w:val="single" w:sz="4" w:space="0" w:color="auto"/>
              <w:bottom w:val="single" w:sz="4" w:space="0" w:color="auto"/>
              <w:right w:val="single" w:sz="4" w:space="0" w:color="auto"/>
            </w:tcBorders>
            <w:vAlign w:val="center"/>
          </w:tcPr>
          <w:p w14:paraId="3C129F8F" w14:textId="77777777" w:rsidR="004E0DA6" w:rsidRPr="007D5BA8" w:rsidRDefault="004E0DA6" w:rsidP="00712293">
            <w:pPr>
              <w:pStyle w:val="Tabletext"/>
              <w:keepNext/>
              <w:jc w:val="center"/>
            </w:pPr>
            <w:r w:rsidRPr="007D5BA8">
              <w:t>0.4857</w:t>
            </w:r>
          </w:p>
        </w:tc>
      </w:tr>
      <w:tr w:rsidR="004E0DA6" w:rsidRPr="001009D9" w14:paraId="19D89C18" w14:textId="77777777" w:rsidTr="00322E1B">
        <w:trPr>
          <w:trHeight w:val="78"/>
          <w:tblHeader/>
        </w:trPr>
        <w:tc>
          <w:tcPr>
            <w:tcW w:w="1529" w:type="pct"/>
            <w:tcBorders>
              <w:top w:val="single" w:sz="4" w:space="0" w:color="auto"/>
              <w:left w:val="single" w:sz="4" w:space="0" w:color="auto"/>
              <w:bottom w:val="single" w:sz="4" w:space="0" w:color="auto"/>
              <w:right w:val="single" w:sz="4" w:space="0" w:color="auto"/>
            </w:tcBorders>
            <w:vAlign w:val="center"/>
          </w:tcPr>
          <w:p w14:paraId="15845794" w14:textId="77777777" w:rsidR="004E0DA6" w:rsidRPr="007D5BA8" w:rsidRDefault="004E0DA6" w:rsidP="00712293">
            <w:pPr>
              <w:pStyle w:val="Tabletext"/>
              <w:keepNext/>
            </w:pPr>
            <w:r w:rsidRPr="007D5BA8">
              <w:t>QALYs</w:t>
            </w:r>
          </w:p>
        </w:tc>
        <w:tc>
          <w:tcPr>
            <w:tcW w:w="1359" w:type="pct"/>
            <w:tcBorders>
              <w:top w:val="single" w:sz="4" w:space="0" w:color="auto"/>
              <w:left w:val="single" w:sz="4" w:space="0" w:color="auto"/>
              <w:bottom w:val="single" w:sz="4" w:space="0" w:color="auto"/>
              <w:right w:val="single" w:sz="4" w:space="0" w:color="auto"/>
            </w:tcBorders>
            <w:vAlign w:val="center"/>
          </w:tcPr>
          <w:p w14:paraId="11208948" w14:textId="77777777" w:rsidR="004E0DA6" w:rsidRPr="007D5BA8" w:rsidRDefault="004E0DA6" w:rsidP="00712293">
            <w:pPr>
              <w:pStyle w:val="Tabletext"/>
              <w:keepNext/>
              <w:jc w:val="center"/>
            </w:pPr>
            <w:r w:rsidRPr="007D5BA8">
              <w:t>1.2858</w:t>
            </w:r>
          </w:p>
        </w:tc>
        <w:tc>
          <w:tcPr>
            <w:tcW w:w="1274" w:type="pct"/>
            <w:tcBorders>
              <w:top w:val="single" w:sz="4" w:space="0" w:color="auto"/>
              <w:left w:val="single" w:sz="4" w:space="0" w:color="auto"/>
              <w:bottom w:val="single" w:sz="4" w:space="0" w:color="auto"/>
              <w:right w:val="single" w:sz="4" w:space="0" w:color="auto"/>
            </w:tcBorders>
            <w:vAlign w:val="center"/>
          </w:tcPr>
          <w:p w14:paraId="283F51B2" w14:textId="77777777" w:rsidR="004E0DA6" w:rsidRPr="007D5BA8" w:rsidRDefault="004E0DA6" w:rsidP="00712293">
            <w:pPr>
              <w:pStyle w:val="Tabletext"/>
              <w:keepNext/>
              <w:jc w:val="center"/>
            </w:pPr>
            <w:r w:rsidRPr="007D5BA8">
              <w:t>0.9147</w:t>
            </w:r>
          </w:p>
        </w:tc>
        <w:tc>
          <w:tcPr>
            <w:tcW w:w="838" w:type="pct"/>
            <w:tcBorders>
              <w:top w:val="single" w:sz="4" w:space="0" w:color="auto"/>
              <w:left w:val="single" w:sz="4" w:space="0" w:color="auto"/>
              <w:bottom w:val="single" w:sz="4" w:space="0" w:color="auto"/>
              <w:right w:val="single" w:sz="4" w:space="0" w:color="auto"/>
            </w:tcBorders>
            <w:vAlign w:val="center"/>
          </w:tcPr>
          <w:p w14:paraId="202DD888" w14:textId="77777777" w:rsidR="004E0DA6" w:rsidRPr="007D5BA8" w:rsidRDefault="004E0DA6" w:rsidP="00712293">
            <w:pPr>
              <w:pStyle w:val="Tabletext"/>
              <w:keepNext/>
              <w:jc w:val="center"/>
            </w:pPr>
            <w:r w:rsidRPr="007D5BA8">
              <w:t>0.3711</w:t>
            </w:r>
          </w:p>
        </w:tc>
      </w:tr>
      <w:tr w:rsidR="004E0DA6" w:rsidRPr="007D5BA8" w14:paraId="5942252D" w14:textId="77777777" w:rsidTr="00322E1B">
        <w:tc>
          <w:tcPr>
            <w:tcW w:w="4162" w:type="pct"/>
            <w:gridSpan w:val="3"/>
            <w:vAlign w:val="center"/>
          </w:tcPr>
          <w:p w14:paraId="25E91186" w14:textId="77777777" w:rsidR="004E0DA6" w:rsidRPr="007D5BA8" w:rsidRDefault="004E0DA6" w:rsidP="00712293">
            <w:pPr>
              <w:pStyle w:val="Tabletext"/>
              <w:keepNext/>
              <w:rPr>
                <w:b/>
                <w:bCs/>
              </w:rPr>
            </w:pPr>
            <w:r>
              <w:rPr>
                <w:b/>
                <w:bCs/>
              </w:rPr>
              <w:t>Incremental cost/extra LY gained</w:t>
            </w:r>
          </w:p>
        </w:tc>
        <w:tc>
          <w:tcPr>
            <w:tcW w:w="838" w:type="pct"/>
            <w:vAlign w:val="center"/>
          </w:tcPr>
          <w:p w14:paraId="7951FC1F"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00252B">
              <w:rPr>
                <w:b/>
                <w:bCs/>
                <w:vertAlign w:val="superscript"/>
              </w:rPr>
              <w:t>1</w:t>
            </w:r>
          </w:p>
        </w:tc>
      </w:tr>
      <w:tr w:rsidR="004E0DA6" w:rsidRPr="007D5BA8" w14:paraId="7595338F" w14:textId="77777777" w:rsidTr="00322E1B">
        <w:tc>
          <w:tcPr>
            <w:tcW w:w="4162" w:type="pct"/>
            <w:gridSpan w:val="3"/>
            <w:vAlign w:val="center"/>
          </w:tcPr>
          <w:p w14:paraId="5999092F" w14:textId="77777777" w:rsidR="004E0DA6" w:rsidRPr="007D5BA8" w:rsidRDefault="004E0DA6" w:rsidP="00712293">
            <w:pPr>
              <w:pStyle w:val="Tabletext"/>
              <w:keepNext/>
              <w:rPr>
                <w:b/>
                <w:bCs/>
              </w:rPr>
            </w:pPr>
            <w:r w:rsidRPr="007D5BA8">
              <w:rPr>
                <w:b/>
                <w:bCs/>
              </w:rPr>
              <w:t xml:space="preserve">Incremental cost/extra </w:t>
            </w:r>
            <w:r>
              <w:rPr>
                <w:b/>
                <w:bCs/>
              </w:rPr>
              <w:t>QALY</w:t>
            </w:r>
            <w:r w:rsidRPr="007D5BA8">
              <w:rPr>
                <w:b/>
                <w:bCs/>
              </w:rPr>
              <w:t xml:space="preserve"> gained</w:t>
            </w:r>
          </w:p>
        </w:tc>
        <w:tc>
          <w:tcPr>
            <w:tcW w:w="838" w:type="pct"/>
            <w:vAlign w:val="center"/>
          </w:tcPr>
          <w:p w14:paraId="5F02481C"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4A3FA6">
              <w:rPr>
                <w:b/>
                <w:bCs/>
                <w:vertAlign w:val="superscript"/>
              </w:rPr>
              <w:t>2</w:t>
            </w:r>
          </w:p>
        </w:tc>
      </w:tr>
    </w:tbl>
    <w:p w14:paraId="77E7E989" w14:textId="3352F1F9" w:rsidR="00325523" w:rsidRDefault="004E0DA6" w:rsidP="00712293">
      <w:pPr>
        <w:pStyle w:val="TableFooter"/>
        <w:keepNext/>
      </w:pPr>
      <w:r w:rsidRPr="001009D9">
        <w:t xml:space="preserve">Source: </w:t>
      </w:r>
      <w:r w:rsidR="002101A9">
        <w:t xml:space="preserve">Table 3.8-3, p98 </w:t>
      </w:r>
      <w:r>
        <w:t xml:space="preserve">and table 3.8-4, p99 of the submission. </w:t>
      </w:r>
    </w:p>
    <w:p w14:paraId="16F71EE3" w14:textId="77777777" w:rsidR="004E0DA6" w:rsidRDefault="004E0DA6" w:rsidP="00712293">
      <w:pPr>
        <w:pStyle w:val="TableFooter"/>
        <w:keepNext/>
      </w:pPr>
      <w:r>
        <w:t xml:space="preserve">Chemo = chemotherapy; LY = life year; QALY = </w:t>
      </w:r>
      <w:r w:rsidR="002A5C87">
        <w:t>q</w:t>
      </w:r>
      <w:r>
        <w:t>uality adjusted life year</w:t>
      </w:r>
      <w:r w:rsidR="000A04C9">
        <w:t>.</w:t>
      </w:r>
    </w:p>
    <w:p w14:paraId="2168B685" w14:textId="77777777" w:rsidR="004A3FA6" w:rsidRPr="001E57AA" w:rsidRDefault="004A3FA6" w:rsidP="00712293">
      <w:pPr>
        <w:pStyle w:val="TableFooter"/>
        <w:keepNext/>
        <w:rPr>
          <w:i/>
        </w:rPr>
      </w:pPr>
      <w:r w:rsidRPr="001E57AA">
        <w:rPr>
          <w:i/>
        </w:rPr>
        <w:t>The redacted values correspond to the following ranges:</w:t>
      </w:r>
    </w:p>
    <w:p w14:paraId="492ECDCE" w14:textId="77777777" w:rsidR="004A3FA6" w:rsidRPr="001E57AA" w:rsidRDefault="004A3FA6" w:rsidP="00712293">
      <w:pPr>
        <w:pStyle w:val="TableFooter"/>
        <w:keepNext/>
        <w:rPr>
          <w:i/>
        </w:rPr>
      </w:pPr>
      <w:r w:rsidRPr="001E57AA">
        <w:rPr>
          <w:i/>
          <w:vertAlign w:val="superscript"/>
        </w:rPr>
        <w:t>1</w:t>
      </w:r>
      <w:r w:rsidRPr="001E57AA">
        <w:rPr>
          <w:i/>
        </w:rPr>
        <w:t xml:space="preserve"> $55,000 to &lt; $75,000</w:t>
      </w:r>
    </w:p>
    <w:p w14:paraId="6C065BD0" w14:textId="693A5010" w:rsidR="004E0DA6" w:rsidRPr="00CB71F0" w:rsidRDefault="004A3FA6" w:rsidP="00CB71F0">
      <w:pPr>
        <w:pStyle w:val="TableFooter"/>
        <w:keepNext/>
        <w:spacing w:after="120"/>
        <w:rPr>
          <w:i/>
        </w:rPr>
      </w:pPr>
      <w:r w:rsidRPr="001E57AA">
        <w:rPr>
          <w:i/>
          <w:vertAlign w:val="superscript"/>
        </w:rPr>
        <w:t>2</w:t>
      </w:r>
      <w:r w:rsidRPr="001E57AA">
        <w:rPr>
          <w:i/>
        </w:rPr>
        <w:t xml:space="preserve"> $95,000 to &lt; $115,000</w:t>
      </w:r>
    </w:p>
    <w:p w14:paraId="4AFD287B" w14:textId="77777777" w:rsidR="00D15E4E" w:rsidRPr="00D15E4E" w:rsidRDefault="004E0DA6" w:rsidP="00863C38">
      <w:pPr>
        <w:pStyle w:val="ListParagraph"/>
        <w:widowControl/>
        <w:numPr>
          <w:ilvl w:val="1"/>
          <w:numId w:val="1"/>
        </w:numPr>
        <w:rPr>
          <w:rFonts w:cs="Calibri"/>
          <w:color w:val="000000" w:themeColor="text1"/>
        </w:rPr>
      </w:pPr>
      <w:r w:rsidRPr="0060004D">
        <w:rPr>
          <w:rFonts w:cs="Calibri"/>
          <w:color w:val="000000" w:themeColor="text1"/>
        </w:rPr>
        <w:t xml:space="preserve">Sensitivity analyses for the economic evaluation are presented in </w:t>
      </w:r>
      <w:r w:rsidR="005051CB" w:rsidRPr="005051CB">
        <w:rPr>
          <w:rFonts w:cs="Calibri"/>
          <w:color w:val="000000" w:themeColor="text1"/>
        </w:rPr>
        <w:t>Table 11</w:t>
      </w:r>
      <w:r w:rsidR="00D555A0">
        <w:rPr>
          <w:rFonts w:cs="Calibri"/>
          <w:color w:val="000000" w:themeColor="text1"/>
        </w:rPr>
        <w:t>.</w:t>
      </w:r>
    </w:p>
    <w:p w14:paraId="6D06E281" w14:textId="77777777" w:rsidR="004E0DA6" w:rsidRDefault="00D555A0" w:rsidP="00067791">
      <w:pPr>
        <w:keepNext/>
        <w:rPr>
          <w:rStyle w:val="CommentReference"/>
        </w:rPr>
      </w:pPr>
      <w:bookmarkStart w:id="42" w:name="_Ref79762105"/>
      <w:r>
        <w:rPr>
          <w:rStyle w:val="CommentReference"/>
        </w:rPr>
        <w:lastRenderedPageBreak/>
        <w:t xml:space="preserve">Table </w:t>
      </w:r>
      <w:r w:rsidR="005051CB">
        <w:rPr>
          <w:rStyle w:val="CommentReference"/>
          <w:noProof/>
        </w:rPr>
        <w:t>11</w:t>
      </w:r>
      <w:bookmarkEnd w:id="42"/>
      <w:r>
        <w:rPr>
          <w:rStyle w:val="CommentReference"/>
        </w:rPr>
        <w:t xml:space="preserve">: </w:t>
      </w:r>
      <w:r w:rsidR="004E0DA6" w:rsidRPr="001009D9">
        <w:rPr>
          <w:rStyle w:val="CommentReference"/>
        </w:rPr>
        <w:t>Results of sensitivity analyses</w:t>
      </w:r>
      <w:r w:rsidR="00537657">
        <w:rPr>
          <w:rStyle w:val="CommentReference"/>
        </w:rPr>
        <w:t xml:space="preserve"> (based on pembrolizumab price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of sensitivity analyses (based on pembrolizumab price proposed in the submission)"/>
      </w:tblPr>
      <w:tblGrid>
        <w:gridCol w:w="2444"/>
        <w:gridCol w:w="245"/>
        <w:gridCol w:w="1230"/>
        <w:gridCol w:w="1387"/>
        <w:gridCol w:w="979"/>
        <w:gridCol w:w="981"/>
        <w:gridCol w:w="1751"/>
      </w:tblGrid>
      <w:tr w:rsidR="00A32712" w:rsidRPr="001009D9" w14:paraId="7558C302" w14:textId="77777777" w:rsidTr="006328D9">
        <w:trPr>
          <w:tblHeader/>
        </w:trPr>
        <w:tc>
          <w:tcPr>
            <w:tcW w:w="2942" w:type="pct"/>
            <w:gridSpan w:val="4"/>
            <w:vAlign w:val="center"/>
          </w:tcPr>
          <w:p w14:paraId="3C2C5750" w14:textId="77777777" w:rsidR="00A32712" w:rsidRPr="001009D9" w:rsidRDefault="00A32712" w:rsidP="00067791">
            <w:pPr>
              <w:pStyle w:val="Tabletext"/>
              <w:keepNext/>
              <w:tabs>
                <w:tab w:val="left" w:pos="142"/>
              </w:tabs>
              <w:rPr>
                <w:b/>
              </w:rPr>
            </w:pPr>
            <w:r w:rsidRPr="001009D9">
              <w:rPr>
                <w:b/>
              </w:rPr>
              <w:t>Analyses</w:t>
            </w:r>
          </w:p>
        </w:tc>
        <w:tc>
          <w:tcPr>
            <w:tcW w:w="543" w:type="pct"/>
            <w:vAlign w:val="center"/>
          </w:tcPr>
          <w:p w14:paraId="0C1E79FF" w14:textId="77777777" w:rsidR="00A32712" w:rsidRPr="001009D9" w:rsidRDefault="00A32712" w:rsidP="00067791">
            <w:pPr>
              <w:pStyle w:val="Tabletext"/>
              <w:keepNext/>
              <w:jc w:val="center"/>
              <w:rPr>
                <w:b/>
              </w:rPr>
            </w:pPr>
            <w:r w:rsidRPr="001009D9">
              <w:rPr>
                <w:b/>
              </w:rPr>
              <w:t>Incremental cost</w:t>
            </w:r>
            <w:r w:rsidR="00D22B19">
              <w:rPr>
                <w:b/>
              </w:rPr>
              <w:t xml:space="preserve"> ($)</w:t>
            </w:r>
          </w:p>
        </w:tc>
        <w:tc>
          <w:tcPr>
            <w:tcW w:w="544" w:type="pct"/>
            <w:vAlign w:val="center"/>
          </w:tcPr>
          <w:p w14:paraId="083AEEA0" w14:textId="77777777" w:rsidR="00A32712" w:rsidRPr="001009D9" w:rsidRDefault="00A32712" w:rsidP="00067791">
            <w:pPr>
              <w:pStyle w:val="Tabletext"/>
              <w:keepNext/>
              <w:jc w:val="center"/>
              <w:rPr>
                <w:b/>
              </w:rPr>
            </w:pPr>
            <w:r w:rsidRPr="001009D9">
              <w:rPr>
                <w:b/>
              </w:rPr>
              <w:t>Incremental QALY</w:t>
            </w:r>
          </w:p>
        </w:tc>
        <w:tc>
          <w:tcPr>
            <w:tcW w:w="971" w:type="pct"/>
            <w:vAlign w:val="center"/>
          </w:tcPr>
          <w:p w14:paraId="57E1326F" w14:textId="77777777" w:rsidR="00A32712" w:rsidRPr="001009D9" w:rsidRDefault="00A32712" w:rsidP="00067791">
            <w:pPr>
              <w:pStyle w:val="Tabletext"/>
              <w:keepNext/>
              <w:jc w:val="center"/>
              <w:rPr>
                <w:b/>
              </w:rPr>
            </w:pPr>
            <w:r w:rsidRPr="001009D9">
              <w:rPr>
                <w:b/>
              </w:rPr>
              <w:t>ICER</w:t>
            </w:r>
          </w:p>
        </w:tc>
      </w:tr>
      <w:tr w:rsidR="00A32712" w:rsidRPr="001009D9" w14:paraId="1A179113" w14:textId="77777777" w:rsidTr="006328D9">
        <w:tc>
          <w:tcPr>
            <w:tcW w:w="2942" w:type="pct"/>
            <w:gridSpan w:val="4"/>
          </w:tcPr>
          <w:p w14:paraId="693E1923" w14:textId="77777777" w:rsidR="00A32712" w:rsidRPr="00B451B8" w:rsidRDefault="00A32712" w:rsidP="00067791">
            <w:pPr>
              <w:pStyle w:val="Tabletext"/>
              <w:keepNext/>
            </w:pPr>
            <w:r w:rsidRPr="00B451B8">
              <w:t>Base case</w:t>
            </w:r>
          </w:p>
        </w:tc>
        <w:tc>
          <w:tcPr>
            <w:tcW w:w="543" w:type="pct"/>
            <w:vAlign w:val="center"/>
          </w:tcPr>
          <w:p w14:paraId="0E5745D6" w14:textId="77777777" w:rsidR="00A32712"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451EC85B" w14:textId="77777777" w:rsidR="00A32712" w:rsidRPr="00B451B8" w:rsidRDefault="00A32712" w:rsidP="00067791">
            <w:pPr>
              <w:pStyle w:val="Tabletext"/>
              <w:keepNext/>
              <w:jc w:val="center"/>
            </w:pPr>
            <w:r w:rsidRPr="00B451B8">
              <w:t>0.37</w:t>
            </w:r>
          </w:p>
        </w:tc>
        <w:tc>
          <w:tcPr>
            <w:tcW w:w="971" w:type="pct"/>
            <w:vAlign w:val="center"/>
          </w:tcPr>
          <w:p w14:paraId="48F92BF1" w14:textId="77777777" w:rsidR="00A32712" w:rsidRPr="00D451EA" w:rsidRDefault="00D451EA" w:rsidP="00067791">
            <w:pPr>
              <w:pStyle w:val="Tabletext"/>
              <w:keepNext/>
              <w:jc w:val="center"/>
            </w:pPr>
            <w:r>
              <w:rPr>
                <w:noProof/>
                <w:color w:val="000000"/>
                <w:highlight w:val="black"/>
              </w:rPr>
              <w:t>''''''''''''''''''''</w:t>
            </w:r>
            <w:r w:rsidR="00226565">
              <w:rPr>
                <w:vertAlign w:val="superscript"/>
              </w:rPr>
              <w:t>1</w:t>
            </w:r>
          </w:p>
        </w:tc>
      </w:tr>
      <w:tr w:rsidR="00621EBD" w:rsidRPr="001009D9" w14:paraId="1184BB82" w14:textId="77777777" w:rsidTr="006328D9">
        <w:tc>
          <w:tcPr>
            <w:tcW w:w="1355" w:type="pct"/>
          </w:tcPr>
          <w:p w14:paraId="1525352F" w14:textId="77777777" w:rsidR="00621EBD" w:rsidRDefault="00621EBD" w:rsidP="00067791">
            <w:pPr>
              <w:pStyle w:val="Tabletext"/>
              <w:keepNext/>
            </w:pPr>
            <w:r>
              <w:t>Trial population (ITT in BC)</w:t>
            </w:r>
          </w:p>
        </w:tc>
        <w:tc>
          <w:tcPr>
            <w:tcW w:w="1587" w:type="pct"/>
            <w:gridSpan w:val="3"/>
          </w:tcPr>
          <w:p w14:paraId="4F761727" w14:textId="77777777" w:rsidR="00621EBD" w:rsidRPr="00377FA3" w:rsidRDefault="00621EBD" w:rsidP="00067791">
            <w:pPr>
              <w:pStyle w:val="Tabletext"/>
              <w:keepNext/>
            </w:pPr>
            <w:r>
              <w:t>OSCC</w:t>
            </w:r>
          </w:p>
        </w:tc>
        <w:tc>
          <w:tcPr>
            <w:tcW w:w="543" w:type="pct"/>
            <w:vAlign w:val="center"/>
          </w:tcPr>
          <w:p w14:paraId="00630D29"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2FC9723" w14:textId="77777777" w:rsidR="00621EBD" w:rsidRPr="00377FA3" w:rsidRDefault="00621EBD" w:rsidP="00067791">
            <w:pPr>
              <w:pStyle w:val="Tabletext"/>
              <w:keepNext/>
              <w:jc w:val="center"/>
            </w:pPr>
            <w:r>
              <w:t>0.41</w:t>
            </w:r>
          </w:p>
        </w:tc>
        <w:tc>
          <w:tcPr>
            <w:tcW w:w="971" w:type="pct"/>
            <w:vAlign w:val="center"/>
          </w:tcPr>
          <w:p w14:paraId="5F3F113A" w14:textId="77777777" w:rsidR="00621EBD" w:rsidRPr="00D451EA" w:rsidRDefault="00D451EA" w:rsidP="00067791">
            <w:pPr>
              <w:pStyle w:val="Tabletext"/>
              <w:keepNext/>
              <w:jc w:val="center"/>
            </w:pPr>
            <w:r>
              <w:rPr>
                <w:noProof/>
                <w:color w:val="000000"/>
                <w:highlight w:val="black"/>
              </w:rPr>
              <w:t>'''''''''''''''''''''</w:t>
            </w:r>
            <w:r w:rsidR="00226565">
              <w:rPr>
                <w:vertAlign w:val="superscript"/>
              </w:rPr>
              <w:t>2</w:t>
            </w:r>
          </w:p>
        </w:tc>
      </w:tr>
      <w:tr w:rsidR="00621EBD" w:rsidRPr="001009D9" w14:paraId="032A354A" w14:textId="77777777" w:rsidTr="006328D9">
        <w:tc>
          <w:tcPr>
            <w:tcW w:w="1355" w:type="pct"/>
          </w:tcPr>
          <w:p w14:paraId="2C1A311C" w14:textId="77777777" w:rsidR="00621EBD" w:rsidRDefault="00621EBD" w:rsidP="00067791">
            <w:pPr>
              <w:pStyle w:val="Tabletext"/>
              <w:keepNext/>
            </w:pPr>
          </w:p>
        </w:tc>
        <w:tc>
          <w:tcPr>
            <w:tcW w:w="1587" w:type="pct"/>
            <w:gridSpan w:val="3"/>
          </w:tcPr>
          <w:p w14:paraId="03DAD292" w14:textId="77777777" w:rsidR="00621EBD" w:rsidRPr="00621EBD" w:rsidRDefault="00621EBD" w:rsidP="00067791">
            <w:pPr>
              <w:pStyle w:val="Tabletext"/>
              <w:keepNext/>
            </w:pPr>
            <w:r w:rsidRPr="00621EBD">
              <w:t>PD</w:t>
            </w:r>
            <w:r w:rsidR="002A5C87">
              <w:t>-</w:t>
            </w:r>
            <w:r w:rsidRPr="00621EBD">
              <w:t xml:space="preserve">L1+ </w:t>
            </w:r>
            <w:r w:rsidRPr="00621EBD">
              <w:rPr>
                <w:iCs/>
              </w:rPr>
              <w:t>(CPS ≥10)</w:t>
            </w:r>
          </w:p>
        </w:tc>
        <w:tc>
          <w:tcPr>
            <w:tcW w:w="543" w:type="pct"/>
            <w:vAlign w:val="center"/>
          </w:tcPr>
          <w:p w14:paraId="7CCCE4E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B7594A2" w14:textId="77777777" w:rsidR="00621EBD" w:rsidRPr="00377FA3" w:rsidRDefault="00621EBD" w:rsidP="00067791">
            <w:pPr>
              <w:pStyle w:val="Tabletext"/>
              <w:keepNext/>
              <w:jc w:val="center"/>
            </w:pPr>
            <w:r>
              <w:t>0.53</w:t>
            </w:r>
          </w:p>
        </w:tc>
        <w:tc>
          <w:tcPr>
            <w:tcW w:w="971" w:type="pct"/>
            <w:vAlign w:val="center"/>
          </w:tcPr>
          <w:p w14:paraId="48D3DF4C"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7DE0CDEE" w14:textId="77777777" w:rsidTr="006328D9">
        <w:tc>
          <w:tcPr>
            <w:tcW w:w="1355" w:type="pct"/>
          </w:tcPr>
          <w:p w14:paraId="054B00B9" w14:textId="77777777" w:rsidR="00621EBD" w:rsidRDefault="00621EBD" w:rsidP="00067791">
            <w:pPr>
              <w:pStyle w:val="Tabletext"/>
              <w:keepNext/>
            </w:pPr>
          </w:p>
        </w:tc>
        <w:tc>
          <w:tcPr>
            <w:tcW w:w="1587" w:type="pct"/>
            <w:gridSpan w:val="3"/>
          </w:tcPr>
          <w:p w14:paraId="29676C76" w14:textId="77777777" w:rsidR="00621EBD" w:rsidRPr="00621EBD" w:rsidRDefault="00621EBD" w:rsidP="00067791">
            <w:pPr>
              <w:pStyle w:val="Tabletext"/>
              <w:keepNext/>
            </w:pPr>
            <w:r w:rsidRPr="00621EBD">
              <w:t>OSCC and PD</w:t>
            </w:r>
            <w:r w:rsidR="002A5C87">
              <w:t>-</w:t>
            </w:r>
            <w:r w:rsidRPr="00621EBD">
              <w:t xml:space="preserve">L1+ </w:t>
            </w:r>
            <w:r w:rsidRPr="00621EBD">
              <w:rPr>
                <w:iCs/>
              </w:rPr>
              <w:t>(CPS ≥10)</w:t>
            </w:r>
          </w:p>
        </w:tc>
        <w:tc>
          <w:tcPr>
            <w:tcW w:w="543" w:type="pct"/>
            <w:vAlign w:val="center"/>
          </w:tcPr>
          <w:p w14:paraId="7FB8BEA0"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6D75F3ED" w14:textId="77777777" w:rsidR="00621EBD" w:rsidRPr="00377FA3" w:rsidRDefault="00621EBD" w:rsidP="00067791">
            <w:pPr>
              <w:pStyle w:val="Tabletext"/>
              <w:keepNext/>
              <w:jc w:val="center"/>
            </w:pPr>
            <w:r>
              <w:t>0.61</w:t>
            </w:r>
          </w:p>
        </w:tc>
        <w:tc>
          <w:tcPr>
            <w:tcW w:w="971" w:type="pct"/>
            <w:vAlign w:val="center"/>
          </w:tcPr>
          <w:p w14:paraId="611BADA0"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291862D9" w14:textId="77777777" w:rsidTr="006328D9">
        <w:tc>
          <w:tcPr>
            <w:tcW w:w="1355" w:type="pct"/>
            <w:vMerge w:val="restart"/>
          </w:tcPr>
          <w:p w14:paraId="34491880" w14:textId="77777777" w:rsidR="00621EBD" w:rsidRPr="00B451B8" w:rsidRDefault="00621EBD" w:rsidP="00067791">
            <w:pPr>
              <w:pStyle w:val="Tabletext"/>
              <w:keepNext/>
            </w:pPr>
            <w:r>
              <w:t>Discount rate (5% in BC)</w:t>
            </w:r>
          </w:p>
        </w:tc>
        <w:tc>
          <w:tcPr>
            <w:tcW w:w="1587" w:type="pct"/>
            <w:gridSpan w:val="3"/>
            <w:vAlign w:val="center"/>
          </w:tcPr>
          <w:p w14:paraId="733DB5D9" w14:textId="77777777" w:rsidR="00621EBD" w:rsidRPr="00B451B8" w:rsidRDefault="00621EBD" w:rsidP="00067791">
            <w:pPr>
              <w:pStyle w:val="Tabletext"/>
              <w:keepNext/>
            </w:pPr>
            <w:r w:rsidRPr="00377FA3">
              <w:t>0%</w:t>
            </w:r>
          </w:p>
        </w:tc>
        <w:tc>
          <w:tcPr>
            <w:tcW w:w="543" w:type="pct"/>
          </w:tcPr>
          <w:p w14:paraId="21762D6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tcPr>
          <w:p w14:paraId="4DB7E3A4" w14:textId="77777777" w:rsidR="00621EBD" w:rsidRPr="00B451B8" w:rsidRDefault="00621EBD" w:rsidP="00067791">
            <w:pPr>
              <w:pStyle w:val="Tabletext"/>
              <w:keepNext/>
              <w:jc w:val="center"/>
            </w:pPr>
            <w:r w:rsidRPr="00377FA3">
              <w:t>0.43</w:t>
            </w:r>
          </w:p>
        </w:tc>
        <w:tc>
          <w:tcPr>
            <w:tcW w:w="971" w:type="pct"/>
          </w:tcPr>
          <w:p w14:paraId="22A4D8A8"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3D9C220" w14:textId="77777777" w:rsidTr="006328D9">
        <w:tc>
          <w:tcPr>
            <w:tcW w:w="1355" w:type="pct"/>
            <w:vMerge/>
          </w:tcPr>
          <w:p w14:paraId="2794F30E" w14:textId="77777777" w:rsidR="00621EBD" w:rsidRPr="00B451B8" w:rsidRDefault="00621EBD" w:rsidP="00067791">
            <w:pPr>
              <w:pStyle w:val="Tabletext"/>
              <w:keepNext/>
            </w:pPr>
          </w:p>
        </w:tc>
        <w:tc>
          <w:tcPr>
            <w:tcW w:w="1587" w:type="pct"/>
            <w:gridSpan w:val="3"/>
            <w:vAlign w:val="center"/>
          </w:tcPr>
          <w:p w14:paraId="183D19DC" w14:textId="77777777" w:rsidR="00621EBD" w:rsidRPr="00B451B8" w:rsidRDefault="00621EBD" w:rsidP="00067791">
            <w:pPr>
              <w:pStyle w:val="Tabletext"/>
              <w:keepNext/>
            </w:pPr>
            <w:r w:rsidRPr="00377FA3">
              <w:t>3.5%</w:t>
            </w:r>
          </w:p>
        </w:tc>
        <w:tc>
          <w:tcPr>
            <w:tcW w:w="543" w:type="pct"/>
            <w:vAlign w:val="center"/>
          </w:tcPr>
          <w:p w14:paraId="7B15C21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0CC4F7C1" w14:textId="77777777" w:rsidR="00621EBD" w:rsidRPr="00B451B8" w:rsidRDefault="00621EBD" w:rsidP="00067791">
            <w:pPr>
              <w:pStyle w:val="Tabletext"/>
              <w:keepNext/>
              <w:jc w:val="center"/>
            </w:pPr>
            <w:r w:rsidRPr="00377FA3">
              <w:t>0.39</w:t>
            </w:r>
          </w:p>
        </w:tc>
        <w:tc>
          <w:tcPr>
            <w:tcW w:w="971" w:type="pct"/>
            <w:vAlign w:val="center"/>
          </w:tcPr>
          <w:p w14:paraId="7B616E8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AF14C3A" w14:textId="77777777" w:rsidTr="006328D9">
        <w:tc>
          <w:tcPr>
            <w:tcW w:w="1355" w:type="pct"/>
            <w:vMerge w:val="restart"/>
          </w:tcPr>
          <w:p w14:paraId="33F92F5A" w14:textId="77777777" w:rsidR="00621EBD" w:rsidRPr="00B451B8" w:rsidRDefault="00621EBD" w:rsidP="00067791">
            <w:pPr>
              <w:pStyle w:val="Tabletext"/>
              <w:keepNext/>
            </w:pPr>
            <w:r w:rsidRPr="00B451B8">
              <w:t>Time horizon</w:t>
            </w:r>
            <w:r>
              <w:t xml:space="preserve"> (7.5 years in BC)</w:t>
            </w:r>
          </w:p>
        </w:tc>
        <w:tc>
          <w:tcPr>
            <w:tcW w:w="1587" w:type="pct"/>
            <w:gridSpan w:val="3"/>
            <w:vAlign w:val="center"/>
          </w:tcPr>
          <w:p w14:paraId="799A4E7B" w14:textId="77777777" w:rsidR="00621EBD" w:rsidRPr="00B451B8" w:rsidRDefault="00621EBD" w:rsidP="00067791">
            <w:pPr>
              <w:pStyle w:val="Tabletext"/>
              <w:keepNext/>
            </w:pPr>
            <w:r w:rsidRPr="00B451B8">
              <w:t>5 years</w:t>
            </w:r>
          </w:p>
        </w:tc>
        <w:tc>
          <w:tcPr>
            <w:tcW w:w="543" w:type="pct"/>
            <w:vAlign w:val="center"/>
          </w:tcPr>
          <w:p w14:paraId="2FC1CD2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8E73BFD" w14:textId="77777777" w:rsidR="00621EBD" w:rsidRPr="00B451B8" w:rsidRDefault="00621EBD" w:rsidP="00067791">
            <w:pPr>
              <w:pStyle w:val="Tabletext"/>
              <w:keepNext/>
              <w:jc w:val="center"/>
            </w:pPr>
            <w:r w:rsidRPr="00B451B8">
              <w:t>0.30</w:t>
            </w:r>
          </w:p>
        </w:tc>
        <w:tc>
          <w:tcPr>
            <w:tcW w:w="971" w:type="pct"/>
            <w:vAlign w:val="center"/>
          </w:tcPr>
          <w:p w14:paraId="19F519F3"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22408448" w14:textId="77777777" w:rsidTr="006328D9">
        <w:tc>
          <w:tcPr>
            <w:tcW w:w="1355" w:type="pct"/>
            <w:vMerge/>
          </w:tcPr>
          <w:p w14:paraId="46063BD0" w14:textId="77777777" w:rsidR="00621EBD" w:rsidRPr="00B451B8" w:rsidRDefault="00621EBD" w:rsidP="00067791">
            <w:pPr>
              <w:pStyle w:val="Tabletext"/>
              <w:keepNext/>
            </w:pPr>
          </w:p>
        </w:tc>
        <w:tc>
          <w:tcPr>
            <w:tcW w:w="1587" w:type="pct"/>
            <w:gridSpan w:val="3"/>
            <w:vAlign w:val="center"/>
          </w:tcPr>
          <w:p w14:paraId="78318662" w14:textId="77777777" w:rsidR="00621EBD" w:rsidRPr="00B451B8" w:rsidRDefault="00621EBD" w:rsidP="00067791">
            <w:pPr>
              <w:pStyle w:val="Tabletext"/>
              <w:keepNext/>
            </w:pPr>
            <w:r w:rsidRPr="00B451B8">
              <w:t>10 years</w:t>
            </w:r>
          </w:p>
        </w:tc>
        <w:tc>
          <w:tcPr>
            <w:tcW w:w="543" w:type="pct"/>
            <w:vAlign w:val="center"/>
          </w:tcPr>
          <w:p w14:paraId="1EFD460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57542A7" w14:textId="77777777" w:rsidR="00621EBD" w:rsidRPr="00B451B8" w:rsidRDefault="00621EBD" w:rsidP="00067791">
            <w:pPr>
              <w:pStyle w:val="Tabletext"/>
              <w:keepNext/>
              <w:jc w:val="center"/>
            </w:pPr>
            <w:r w:rsidRPr="00B451B8">
              <w:t>0.42</w:t>
            </w:r>
          </w:p>
        </w:tc>
        <w:tc>
          <w:tcPr>
            <w:tcW w:w="971" w:type="pct"/>
            <w:vAlign w:val="center"/>
          </w:tcPr>
          <w:p w14:paraId="2E8AEA05"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F81705" w:rsidRPr="001009D9" w14:paraId="3F988B76" w14:textId="77777777" w:rsidTr="00F81705">
        <w:trPr>
          <w:trHeight w:val="179"/>
        </w:trPr>
        <w:tc>
          <w:tcPr>
            <w:tcW w:w="1355" w:type="pct"/>
            <w:vMerge w:val="restart"/>
          </w:tcPr>
          <w:p w14:paraId="201F760E" w14:textId="77777777" w:rsidR="00F81705" w:rsidRPr="00B451B8" w:rsidRDefault="00F81705" w:rsidP="00067791">
            <w:pPr>
              <w:pStyle w:val="Tabletext"/>
              <w:keepNext/>
            </w:pPr>
            <w:r>
              <w:t>Terminal care costs</w:t>
            </w:r>
          </w:p>
        </w:tc>
        <w:tc>
          <w:tcPr>
            <w:tcW w:w="1587" w:type="pct"/>
            <w:gridSpan w:val="3"/>
            <w:vAlign w:val="center"/>
          </w:tcPr>
          <w:p w14:paraId="7200BDE4" w14:textId="77777777" w:rsidR="00F81705" w:rsidRPr="00B451B8" w:rsidRDefault="00F81705" w:rsidP="00067791">
            <w:pPr>
              <w:pStyle w:val="Tabletext"/>
              <w:keepNext/>
            </w:pPr>
            <w:r w:rsidRPr="006328D9">
              <w:rPr>
                <w:iCs/>
              </w:rPr>
              <w:t>Removed</w:t>
            </w:r>
          </w:p>
        </w:tc>
        <w:tc>
          <w:tcPr>
            <w:tcW w:w="543" w:type="pct"/>
            <w:vAlign w:val="center"/>
          </w:tcPr>
          <w:p w14:paraId="2181C69F" w14:textId="77777777" w:rsidR="00F81705" w:rsidRPr="00D451EA" w:rsidRDefault="00D451EA" w:rsidP="00067791">
            <w:pPr>
              <w:pStyle w:val="Tabletext"/>
              <w:keepNext/>
              <w:jc w:val="center"/>
              <w:rPr>
                <w:highlight w:val="black"/>
              </w:rPr>
            </w:pPr>
            <w:r>
              <w:rPr>
                <w:iCs/>
                <w:noProof/>
                <w:color w:val="000000"/>
                <w:highlight w:val="black"/>
              </w:rPr>
              <w:t>''''''''''''''''''</w:t>
            </w:r>
          </w:p>
        </w:tc>
        <w:tc>
          <w:tcPr>
            <w:tcW w:w="544" w:type="pct"/>
            <w:vAlign w:val="center"/>
          </w:tcPr>
          <w:p w14:paraId="0AAD7FBB" w14:textId="77777777" w:rsidR="00F81705" w:rsidRPr="00B451B8" w:rsidRDefault="00F81705" w:rsidP="00067791">
            <w:pPr>
              <w:pStyle w:val="Tabletext"/>
              <w:keepNext/>
              <w:jc w:val="center"/>
            </w:pPr>
            <w:r w:rsidRPr="006328D9">
              <w:rPr>
                <w:iCs/>
              </w:rPr>
              <w:t>0.37</w:t>
            </w:r>
          </w:p>
        </w:tc>
        <w:tc>
          <w:tcPr>
            <w:tcW w:w="971" w:type="pct"/>
            <w:vAlign w:val="center"/>
          </w:tcPr>
          <w:p w14:paraId="3D09E4BA" w14:textId="77777777" w:rsidR="00F81705" w:rsidRPr="00D451EA" w:rsidRDefault="00D451EA" w:rsidP="00067791">
            <w:pPr>
              <w:pStyle w:val="Tabletext"/>
              <w:keepNext/>
              <w:jc w:val="center"/>
            </w:pPr>
            <w:r>
              <w:rPr>
                <w:iCs/>
                <w:noProof/>
                <w:color w:val="000000"/>
                <w:highlight w:val="black"/>
              </w:rPr>
              <w:t>''''''''''''''''''''</w:t>
            </w:r>
            <w:r w:rsidR="00C46395">
              <w:rPr>
                <w:vertAlign w:val="superscript"/>
              </w:rPr>
              <w:t>1</w:t>
            </w:r>
          </w:p>
        </w:tc>
      </w:tr>
      <w:tr w:rsidR="00C422A5" w:rsidRPr="001009D9" w14:paraId="780FA37B" w14:textId="77777777" w:rsidTr="006328D9">
        <w:tc>
          <w:tcPr>
            <w:tcW w:w="1355" w:type="pct"/>
            <w:vMerge/>
          </w:tcPr>
          <w:p w14:paraId="5A2B0A2D" w14:textId="77777777" w:rsidR="00C422A5" w:rsidRPr="00B451B8" w:rsidRDefault="00C422A5" w:rsidP="00067791">
            <w:pPr>
              <w:pStyle w:val="Tabletext"/>
              <w:keepNext/>
            </w:pPr>
          </w:p>
        </w:tc>
        <w:tc>
          <w:tcPr>
            <w:tcW w:w="1587" w:type="pct"/>
            <w:gridSpan w:val="3"/>
            <w:vAlign w:val="center"/>
          </w:tcPr>
          <w:p w14:paraId="40325829" w14:textId="77777777" w:rsidR="00C422A5" w:rsidRPr="004A3B97" w:rsidRDefault="00C422A5" w:rsidP="00067791">
            <w:pPr>
              <w:pStyle w:val="Tabletext"/>
              <w:keepNext/>
              <w:rPr>
                <w:iCs/>
              </w:rPr>
            </w:pPr>
            <w:r w:rsidRPr="004A3B97">
              <w:rPr>
                <w:iCs/>
              </w:rPr>
              <w:t>Revised cost provided in PSCR</w:t>
            </w:r>
          </w:p>
        </w:tc>
        <w:tc>
          <w:tcPr>
            <w:tcW w:w="543" w:type="pct"/>
            <w:vAlign w:val="center"/>
          </w:tcPr>
          <w:p w14:paraId="666CE161" w14:textId="77777777" w:rsidR="00C422A5"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7A0F20D3" w14:textId="77777777" w:rsidR="00C422A5" w:rsidRPr="004A3B97" w:rsidRDefault="00C422A5" w:rsidP="00067791">
            <w:pPr>
              <w:pStyle w:val="Tabletext"/>
              <w:keepNext/>
              <w:jc w:val="center"/>
              <w:rPr>
                <w:iCs/>
              </w:rPr>
            </w:pPr>
            <w:r w:rsidRPr="004A3B97">
              <w:rPr>
                <w:iCs/>
              </w:rPr>
              <w:t>0.37</w:t>
            </w:r>
          </w:p>
        </w:tc>
        <w:tc>
          <w:tcPr>
            <w:tcW w:w="971" w:type="pct"/>
            <w:vAlign w:val="center"/>
          </w:tcPr>
          <w:p w14:paraId="316B2FA5" w14:textId="77777777" w:rsidR="00C422A5" w:rsidRPr="00D451EA" w:rsidRDefault="00D451EA" w:rsidP="00067791">
            <w:pPr>
              <w:pStyle w:val="Tabletext"/>
              <w:keepNext/>
              <w:jc w:val="center"/>
              <w:rPr>
                <w:iCs/>
              </w:rPr>
            </w:pPr>
            <w:r>
              <w:rPr>
                <w:iCs/>
                <w:noProof/>
                <w:color w:val="000000"/>
                <w:highlight w:val="black"/>
              </w:rPr>
              <w:t>'''''''''''''''''''''</w:t>
            </w:r>
            <w:r w:rsidR="005757C2">
              <w:rPr>
                <w:vertAlign w:val="superscript"/>
              </w:rPr>
              <w:t>4</w:t>
            </w:r>
          </w:p>
        </w:tc>
      </w:tr>
      <w:tr w:rsidR="00621EBD" w:rsidRPr="001009D9" w14:paraId="3B495CAF" w14:textId="77777777" w:rsidTr="006328D9">
        <w:tc>
          <w:tcPr>
            <w:tcW w:w="2942" w:type="pct"/>
            <w:gridSpan w:val="4"/>
          </w:tcPr>
          <w:p w14:paraId="0AFF9E06" w14:textId="77777777" w:rsidR="00621EBD" w:rsidRPr="00B451B8" w:rsidRDefault="00621EBD" w:rsidP="00067791">
            <w:pPr>
              <w:pStyle w:val="Tabletext"/>
              <w:keepNext/>
            </w:pPr>
            <w:r w:rsidRPr="00B451B8">
              <w:t xml:space="preserve">No relative dose intensity applied for 1L treatments </w:t>
            </w:r>
          </w:p>
        </w:tc>
        <w:tc>
          <w:tcPr>
            <w:tcW w:w="543" w:type="pct"/>
            <w:vAlign w:val="center"/>
          </w:tcPr>
          <w:p w14:paraId="0B5DF4D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E87B454" w14:textId="77777777" w:rsidR="00621EBD" w:rsidRPr="00B451B8" w:rsidRDefault="00621EBD" w:rsidP="00067791">
            <w:pPr>
              <w:pStyle w:val="Tabletext"/>
              <w:keepNext/>
              <w:jc w:val="center"/>
            </w:pPr>
            <w:r w:rsidRPr="00B451B8">
              <w:t>0.37</w:t>
            </w:r>
          </w:p>
        </w:tc>
        <w:tc>
          <w:tcPr>
            <w:tcW w:w="971" w:type="pct"/>
            <w:vAlign w:val="center"/>
          </w:tcPr>
          <w:p w14:paraId="271DBF87"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69050A31" w14:textId="77777777" w:rsidTr="006328D9">
        <w:tc>
          <w:tcPr>
            <w:tcW w:w="2942" w:type="pct"/>
            <w:gridSpan w:val="4"/>
          </w:tcPr>
          <w:p w14:paraId="087579B9" w14:textId="77777777" w:rsidR="00621EBD" w:rsidRPr="00B451B8" w:rsidRDefault="00621EBD" w:rsidP="00067791">
            <w:pPr>
              <w:pStyle w:val="Tabletext"/>
              <w:keepNext/>
            </w:pPr>
            <w:r w:rsidRPr="00B451B8">
              <w:t>Time to death utility approach rather than progression based</w:t>
            </w:r>
          </w:p>
        </w:tc>
        <w:tc>
          <w:tcPr>
            <w:tcW w:w="543" w:type="pct"/>
            <w:vAlign w:val="center"/>
          </w:tcPr>
          <w:p w14:paraId="1DCB610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1E55696A" w14:textId="77777777" w:rsidR="00621EBD" w:rsidRPr="00B451B8" w:rsidRDefault="00621EBD" w:rsidP="00067791">
            <w:pPr>
              <w:pStyle w:val="Tabletext"/>
              <w:keepNext/>
              <w:jc w:val="center"/>
            </w:pPr>
            <w:r w:rsidRPr="00B451B8">
              <w:t>0.42</w:t>
            </w:r>
          </w:p>
        </w:tc>
        <w:tc>
          <w:tcPr>
            <w:tcW w:w="971" w:type="pct"/>
            <w:vAlign w:val="center"/>
          </w:tcPr>
          <w:p w14:paraId="4DB9B942"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2AB0374" w14:textId="77777777" w:rsidTr="006328D9">
        <w:tc>
          <w:tcPr>
            <w:tcW w:w="2942" w:type="pct"/>
            <w:gridSpan w:val="4"/>
          </w:tcPr>
          <w:p w14:paraId="0164E541" w14:textId="77777777" w:rsidR="00621EBD" w:rsidRPr="00B451B8" w:rsidRDefault="00621EBD" w:rsidP="00067791">
            <w:pPr>
              <w:pStyle w:val="Tabletext"/>
              <w:keepNext/>
            </w:pPr>
            <w:r w:rsidRPr="00B451B8">
              <w:t>Utility increment for treatment</w:t>
            </w:r>
          </w:p>
        </w:tc>
        <w:tc>
          <w:tcPr>
            <w:tcW w:w="543" w:type="pct"/>
            <w:vAlign w:val="center"/>
          </w:tcPr>
          <w:p w14:paraId="16BB8DD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43E00F3" w14:textId="77777777" w:rsidR="00621EBD" w:rsidRPr="00B451B8" w:rsidRDefault="00621EBD" w:rsidP="00067791">
            <w:pPr>
              <w:pStyle w:val="Tabletext"/>
              <w:keepNext/>
              <w:jc w:val="center"/>
            </w:pPr>
            <w:r w:rsidRPr="00B451B8">
              <w:t>0.40</w:t>
            </w:r>
          </w:p>
        </w:tc>
        <w:tc>
          <w:tcPr>
            <w:tcW w:w="971" w:type="pct"/>
            <w:vAlign w:val="center"/>
          </w:tcPr>
          <w:p w14:paraId="49B728F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231887CA" w14:textId="77777777" w:rsidTr="006328D9">
        <w:tc>
          <w:tcPr>
            <w:tcW w:w="1355" w:type="pct"/>
            <w:vMerge w:val="restart"/>
          </w:tcPr>
          <w:p w14:paraId="45B03D07" w14:textId="77777777" w:rsidR="00621EBD" w:rsidRPr="00B451B8" w:rsidRDefault="00621EBD" w:rsidP="00067791">
            <w:pPr>
              <w:pStyle w:val="Tabletext"/>
              <w:keepNext/>
            </w:pPr>
            <w:r>
              <w:t>Market share for blended comparator (100% 5-FU + cisplatin in BC)</w:t>
            </w:r>
          </w:p>
        </w:tc>
        <w:tc>
          <w:tcPr>
            <w:tcW w:w="1587" w:type="pct"/>
            <w:gridSpan w:val="3"/>
            <w:vAlign w:val="center"/>
          </w:tcPr>
          <w:p w14:paraId="1521FEC0" w14:textId="77777777" w:rsidR="00621EBD" w:rsidRPr="00B451B8" w:rsidRDefault="00621EBD" w:rsidP="00067791">
            <w:pPr>
              <w:pStyle w:val="Tabletext"/>
              <w:keepNext/>
            </w:pPr>
            <w:r w:rsidRPr="00B451B8">
              <w:t xml:space="preserve">Assumed equal market share (12.5%) across </w:t>
            </w:r>
            <w:r>
              <w:t>chemotherapy arm</w:t>
            </w:r>
            <w:r w:rsidRPr="00B451B8">
              <w:t xml:space="preserve"> and blended chemotherapy comparators </w:t>
            </w:r>
          </w:p>
        </w:tc>
        <w:tc>
          <w:tcPr>
            <w:tcW w:w="543" w:type="pct"/>
            <w:vAlign w:val="center"/>
          </w:tcPr>
          <w:p w14:paraId="5436D0F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5FC2717" w14:textId="77777777" w:rsidR="00621EBD" w:rsidRPr="00B451B8" w:rsidRDefault="00621EBD" w:rsidP="00067791">
            <w:pPr>
              <w:pStyle w:val="Tabletext"/>
              <w:keepNext/>
              <w:jc w:val="center"/>
            </w:pPr>
            <w:r w:rsidRPr="00B451B8">
              <w:t>0.37</w:t>
            </w:r>
          </w:p>
        </w:tc>
        <w:tc>
          <w:tcPr>
            <w:tcW w:w="971" w:type="pct"/>
            <w:vAlign w:val="center"/>
          </w:tcPr>
          <w:p w14:paraId="45748B80"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12AC0E0" w14:textId="77777777" w:rsidTr="006328D9">
        <w:tc>
          <w:tcPr>
            <w:tcW w:w="1355" w:type="pct"/>
            <w:vMerge/>
          </w:tcPr>
          <w:p w14:paraId="7F1E257F" w14:textId="77777777" w:rsidR="00621EBD" w:rsidRDefault="00621EBD" w:rsidP="00067791">
            <w:pPr>
              <w:pStyle w:val="Tabletext"/>
              <w:keepNext/>
            </w:pPr>
          </w:p>
        </w:tc>
        <w:tc>
          <w:tcPr>
            <w:tcW w:w="1587" w:type="pct"/>
            <w:gridSpan w:val="3"/>
            <w:vAlign w:val="center"/>
          </w:tcPr>
          <w:p w14:paraId="42918687" w14:textId="77777777" w:rsidR="00621EBD" w:rsidRPr="00007D89" w:rsidRDefault="00621EBD" w:rsidP="00067791">
            <w:pPr>
              <w:pStyle w:val="Tabletext"/>
              <w:keepNext/>
            </w:pPr>
            <w:r w:rsidRPr="00007D89">
              <w:t>Assumed 50%/50% CAPOX/FOLFOX</w:t>
            </w:r>
          </w:p>
        </w:tc>
        <w:tc>
          <w:tcPr>
            <w:tcW w:w="543" w:type="pct"/>
            <w:vAlign w:val="center"/>
          </w:tcPr>
          <w:p w14:paraId="63E2B997"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0BF6B9D0"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13431FE1"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144CA214" w14:textId="77777777" w:rsidTr="006328D9">
        <w:tc>
          <w:tcPr>
            <w:tcW w:w="1355" w:type="pct"/>
            <w:vMerge/>
          </w:tcPr>
          <w:p w14:paraId="30360574" w14:textId="77777777" w:rsidR="00621EBD" w:rsidRDefault="00621EBD" w:rsidP="00067791">
            <w:pPr>
              <w:pStyle w:val="Tabletext"/>
              <w:keepNext/>
            </w:pPr>
          </w:p>
        </w:tc>
        <w:tc>
          <w:tcPr>
            <w:tcW w:w="1587" w:type="pct"/>
            <w:gridSpan w:val="3"/>
            <w:vAlign w:val="center"/>
          </w:tcPr>
          <w:p w14:paraId="237BEFD6" w14:textId="77777777" w:rsidR="00621EBD" w:rsidRPr="00007D89" w:rsidRDefault="00621EBD" w:rsidP="00067791">
            <w:pPr>
              <w:pStyle w:val="Tabletext"/>
              <w:keepNext/>
            </w:pPr>
            <w:r w:rsidRPr="00007D89">
              <w:t>Assumed 80%/20% FOLFOX/ CAPOX</w:t>
            </w:r>
          </w:p>
        </w:tc>
        <w:tc>
          <w:tcPr>
            <w:tcW w:w="543" w:type="pct"/>
            <w:vAlign w:val="center"/>
          </w:tcPr>
          <w:p w14:paraId="64AC9D29"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4D16257B"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65A8B5A0"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5A70FE4C" w14:textId="77777777" w:rsidTr="006328D9">
        <w:tc>
          <w:tcPr>
            <w:tcW w:w="2942" w:type="pct"/>
            <w:gridSpan w:val="4"/>
          </w:tcPr>
          <w:p w14:paraId="5AF2A2C5" w14:textId="77777777" w:rsidR="00621EBD" w:rsidRPr="00B451B8" w:rsidRDefault="00621EBD" w:rsidP="00067791">
            <w:pPr>
              <w:pStyle w:val="Tabletext"/>
              <w:keepNext/>
            </w:pPr>
            <w:r w:rsidRPr="00B451B8">
              <w:t xml:space="preserve">Apply OS waning effect for pembrolizumab + chemotherapy </w:t>
            </w:r>
            <w:r>
              <w:t>(OS converges)</w:t>
            </w:r>
          </w:p>
        </w:tc>
        <w:tc>
          <w:tcPr>
            <w:tcW w:w="543" w:type="pct"/>
            <w:vAlign w:val="center"/>
          </w:tcPr>
          <w:p w14:paraId="295B40AD"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CCCEFE9" w14:textId="77777777" w:rsidR="00621EBD" w:rsidRPr="00B451B8" w:rsidRDefault="00621EBD" w:rsidP="00067791">
            <w:pPr>
              <w:pStyle w:val="Tabletext"/>
              <w:keepNext/>
              <w:jc w:val="center"/>
            </w:pPr>
            <w:r w:rsidRPr="00B451B8">
              <w:t>0.37</w:t>
            </w:r>
          </w:p>
        </w:tc>
        <w:tc>
          <w:tcPr>
            <w:tcW w:w="971" w:type="pct"/>
            <w:vAlign w:val="center"/>
          </w:tcPr>
          <w:p w14:paraId="4D1C86ED"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382E79" w:rsidRPr="001009D9" w14:paraId="0067D437" w14:textId="77777777" w:rsidTr="006328D9">
        <w:tc>
          <w:tcPr>
            <w:tcW w:w="5000" w:type="pct"/>
            <w:gridSpan w:val="7"/>
          </w:tcPr>
          <w:p w14:paraId="3BD89F66" w14:textId="77777777" w:rsidR="00382E79" w:rsidRPr="00E8283A" w:rsidRDefault="00382E79" w:rsidP="00067791">
            <w:pPr>
              <w:pStyle w:val="Tabletext"/>
              <w:keepNext/>
            </w:pPr>
            <w:r w:rsidRPr="00E8283A">
              <w:rPr>
                <w:b/>
              </w:rPr>
              <w:t>Extrapolation</w:t>
            </w:r>
          </w:p>
        </w:tc>
      </w:tr>
      <w:tr w:rsidR="00621EBD" w:rsidRPr="001009D9" w14:paraId="678FB318" w14:textId="77777777" w:rsidTr="006328D9">
        <w:tc>
          <w:tcPr>
            <w:tcW w:w="2942" w:type="pct"/>
            <w:gridSpan w:val="4"/>
          </w:tcPr>
          <w:p w14:paraId="2A44F263" w14:textId="77777777" w:rsidR="00621EBD" w:rsidRPr="007004B5" w:rsidRDefault="00621EBD" w:rsidP="00935EE9">
            <w:pPr>
              <w:pStyle w:val="Tabletext"/>
              <w:keepNext/>
            </w:pPr>
            <w:r w:rsidRPr="007004B5">
              <w:t>Pembrolizumab + chemotherapy and chemo alone: Use Week 32 piecewise with the best fitting function (</w:t>
            </w:r>
            <w:r w:rsidR="00935EE9">
              <w:t>log-logistic</w:t>
            </w:r>
            <w:r w:rsidRPr="007004B5">
              <w:t xml:space="preserve"> for pembrolizumab + chemotherapy and </w:t>
            </w:r>
            <w:proofErr w:type="spellStart"/>
            <w:r w:rsidRPr="007004B5">
              <w:t>Gompertz</w:t>
            </w:r>
            <w:proofErr w:type="spellEnd"/>
            <w:r w:rsidRPr="007004B5">
              <w:t xml:space="preserve"> for chemo alone according to AIC and BIC) for OS rather than Week 40 piecewise</w:t>
            </w:r>
          </w:p>
        </w:tc>
        <w:tc>
          <w:tcPr>
            <w:tcW w:w="543" w:type="pct"/>
            <w:vAlign w:val="center"/>
          </w:tcPr>
          <w:p w14:paraId="3213807B"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134BF9B" w14:textId="77777777" w:rsidR="00621EBD" w:rsidRPr="00B451B8" w:rsidRDefault="00621EBD" w:rsidP="00067791">
            <w:pPr>
              <w:pStyle w:val="Tabletext"/>
              <w:keepNext/>
              <w:jc w:val="center"/>
            </w:pPr>
            <w:r w:rsidRPr="00B451B8">
              <w:t>0.35</w:t>
            </w:r>
          </w:p>
        </w:tc>
        <w:tc>
          <w:tcPr>
            <w:tcW w:w="971" w:type="pct"/>
            <w:vAlign w:val="center"/>
          </w:tcPr>
          <w:p w14:paraId="4FA77DBE"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01DC988E" w14:textId="77777777" w:rsidTr="006328D9">
        <w:tc>
          <w:tcPr>
            <w:tcW w:w="2942" w:type="pct"/>
            <w:gridSpan w:val="4"/>
          </w:tcPr>
          <w:p w14:paraId="0ED68E17" w14:textId="77777777" w:rsidR="00621EBD" w:rsidRPr="00AC72F1" w:rsidRDefault="00621EBD" w:rsidP="00067791">
            <w:pPr>
              <w:pStyle w:val="Tabletext"/>
              <w:keepNext/>
            </w:pPr>
            <w:r w:rsidRPr="00AC72F1">
              <w:t>Pembrolizumab + chemotherapy and chemo alone for OS and PFS: Use Week 98 one-piece with the best fitting function (</w:t>
            </w:r>
            <w:r w:rsidR="00935EE9">
              <w:t>log-logistic</w:t>
            </w:r>
            <w:r w:rsidRPr="00AC72F1">
              <w:t xml:space="preserve"> according to AIC and BIC for pembrolizumab + chemotherapy and chemo alone for OS and PFS) rather than piecewise models</w:t>
            </w:r>
          </w:p>
        </w:tc>
        <w:tc>
          <w:tcPr>
            <w:tcW w:w="543" w:type="pct"/>
            <w:vAlign w:val="center"/>
          </w:tcPr>
          <w:p w14:paraId="5815D12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806E731" w14:textId="77777777" w:rsidR="00621EBD" w:rsidRPr="00AC72F1" w:rsidRDefault="00621EBD" w:rsidP="00067791">
            <w:pPr>
              <w:pStyle w:val="Tabletext"/>
              <w:keepNext/>
              <w:jc w:val="center"/>
            </w:pPr>
            <w:r w:rsidRPr="00AC72F1">
              <w:t>0.31</w:t>
            </w:r>
          </w:p>
        </w:tc>
        <w:tc>
          <w:tcPr>
            <w:tcW w:w="971" w:type="pct"/>
            <w:vAlign w:val="center"/>
          </w:tcPr>
          <w:p w14:paraId="1BE02AF4"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3909C189" w14:textId="77777777" w:rsidTr="00BB3594">
        <w:tc>
          <w:tcPr>
            <w:tcW w:w="5000" w:type="pct"/>
            <w:gridSpan w:val="7"/>
            <w:vAlign w:val="center"/>
          </w:tcPr>
          <w:p w14:paraId="06D51EC3" w14:textId="77777777" w:rsidR="00621EBD" w:rsidRPr="00382E79" w:rsidRDefault="00621EBD" w:rsidP="00067791">
            <w:pPr>
              <w:pStyle w:val="Tabletext"/>
              <w:keepNext/>
              <w:rPr>
                <w:b/>
              </w:rPr>
            </w:pPr>
            <w:r w:rsidRPr="00382E79">
              <w:rPr>
                <w:b/>
              </w:rPr>
              <w:t>Multivariate analyses</w:t>
            </w:r>
          </w:p>
        </w:tc>
      </w:tr>
      <w:tr w:rsidR="00621EBD" w:rsidRPr="001009D9" w14:paraId="5DB062B5" w14:textId="77777777" w:rsidTr="006328D9">
        <w:tc>
          <w:tcPr>
            <w:tcW w:w="2173" w:type="pct"/>
            <w:gridSpan w:val="3"/>
          </w:tcPr>
          <w:p w14:paraId="4652730F" w14:textId="77777777" w:rsidR="00621EBD" w:rsidRPr="008E5320" w:rsidRDefault="00621EBD" w:rsidP="00067791">
            <w:pPr>
              <w:pStyle w:val="Tabletext"/>
              <w:keepNext/>
              <w:rPr>
                <w:iCs/>
              </w:rPr>
            </w:pPr>
            <w:r w:rsidRPr="008E5320">
              <w:t>Use Week 98 one-piece with the best fitting function (</w:t>
            </w:r>
            <w:r w:rsidR="00935EE9">
              <w:t>log-logistic</w:t>
            </w:r>
            <w:r w:rsidRPr="008E5320">
              <w:t xml:space="preserve"> according to AIC and BIC for pembrolizumab + chemotherapy and chemo alone for OS and PFS)</w:t>
            </w:r>
          </w:p>
        </w:tc>
        <w:tc>
          <w:tcPr>
            <w:tcW w:w="769" w:type="pct"/>
          </w:tcPr>
          <w:p w14:paraId="6414F03F" w14:textId="77777777" w:rsidR="00621EBD" w:rsidRPr="008E5320" w:rsidRDefault="00621EBD" w:rsidP="00067791">
            <w:pPr>
              <w:pStyle w:val="Tabletext"/>
              <w:keepNext/>
              <w:rPr>
                <w:iCs/>
              </w:rPr>
            </w:pPr>
            <w:r w:rsidRPr="008E5320">
              <w:rPr>
                <w:iCs/>
              </w:rPr>
              <w:t>And remove terminal care costs</w:t>
            </w:r>
          </w:p>
        </w:tc>
        <w:tc>
          <w:tcPr>
            <w:tcW w:w="543" w:type="pct"/>
            <w:vAlign w:val="center"/>
          </w:tcPr>
          <w:p w14:paraId="12518D03"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5D9B63AF" w14:textId="77777777" w:rsidR="00621EBD" w:rsidRPr="008E5320" w:rsidRDefault="00621EBD" w:rsidP="00067791">
            <w:pPr>
              <w:pStyle w:val="Tabletext"/>
              <w:keepNext/>
              <w:jc w:val="center"/>
              <w:rPr>
                <w:iCs/>
              </w:rPr>
            </w:pPr>
            <w:r w:rsidRPr="008E5320">
              <w:rPr>
                <w:iCs/>
              </w:rPr>
              <w:t>0.31</w:t>
            </w:r>
          </w:p>
        </w:tc>
        <w:tc>
          <w:tcPr>
            <w:tcW w:w="971" w:type="pct"/>
            <w:vAlign w:val="center"/>
          </w:tcPr>
          <w:p w14:paraId="2D4C283C"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6328D9" w:rsidRPr="001009D9" w14:paraId="69C2957E" w14:textId="77777777" w:rsidTr="006328D9">
        <w:tc>
          <w:tcPr>
            <w:tcW w:w="2173" w:type="pct"/>
            <w:gridSpan w:val="3"/>
          </w:tcPr>
          <w:p w14:paraId="52C79C95" w14:textId="77777777" w:rsidR="006328D9" w:rsidRPr="00785D68" w:rsidRDefault="006328D9" w:rsidP="00067791">
            <w:pPr>
              <w:pStyle w:val="Tabletext"/>
              <w:keepNext/>
            </w:pPr>
            <w:r w:rsidRPr="00785D68">
              <w:t>Use Week 98 one-piece with the best fitting function (</w:t>
            </w:r>
            <w:r w:rsidR="00935EE9">
              <w:t>log-logistic</w:t>
            </w:r>
            <w:r w:rsidRPr="00785D68">
              <w:t xml:space="preserve"> according to AIC and BIC for pembrolizumab + chemotherapy and chemo alone for OS and PFS)</w:t>
            </w:r>
          </w:p>
        </w:tc>
        <w:tc>
          <w:tcPr>
            <w:tcW w:w="769" w:type="pct"/>
          </w:tcPr>
          <w:p w14:paraId="4ECEF05F" w14:textId="77777777" w:rsidR="006328D9" w:rsidRPr="00785D68" w:rsidRDefault="006328D9" w:rsidP="00067791">
            <w:pPr>
              <w:pStyle w:val="Tabletext"/>
              <w:keepNext/>
              <w:rPr>
                <w:iCs/>
              </w:rPr>
            </w:pPr>
            <w:r w:rsidRPr="00785D68">
              <w:rPr>
                <w:iCs/>
              </w:rPr>
              <w:t>Revised terminal care costs</w:t>
            </w:r>
            <w:r w:rsidR="002F2639" w:rsidRPr="00785D68">
              <w:rPr>
                <w:iCs/>
              </w:rPr>
              <w:t xml:space="preserve"> in PSCR</w:t>
            </w:r>
          </w:p>
        </w:tc>
        <w:tc>
          <w:tcPr>
            <w:tcW w:w="543" w:type="pct"/>
            <w:vAlign w:val="center"/>
          </w:tcPr>
          <w:p w14:paraId="73E84A18" w14:textId="77777777" w:rsidR="006328D9"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316F75E7" w14:textId="77777777" w:rsidR="006328D9" w:rsidRPr="00785D68" w:rsidRDefault="00C422A5" w:rsidP="00067791">
            <w:pPr>
              <w:pStyle w:val="Tabletext"/>
              <w:keepNext/>
              <w:jc w:val="center"/>
              <w:rPr>
                <w:iCs/>
              </w:rPr>
            </w:pPr>
            <w:r w:rsidRPr="00785D68">
              <w:rPr>
                <w:iCs/>
              </w:rPr>
              <w:t>0.31</w:t>
            </w:r>
          </w:p>
        </w:tc>
        <w:tc>
          <w:tcPr>
            <w:tcW w:w="971" w:type="pct"/>
            <w:vAlign w:val="center"/>
          </w:tcPr>
          <w:p w14:paraId="1C0AEA13" w14:textId="77777777" w:rsidR="006328D9"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9B0542" w:rsidRPr="001009D9" w14:paraId="2526F60F" w14:textId="77777777" w:rsidTr="009B0542">
        <w:tc>
          <w:tcPr>
            <w:tcW w:w="1491" w:type="pct"/>
            <w:gridSpan w:val="2"/>
          </w:tcPr>
          <w:p w14:paraId="68EE049F" w14:textId="77777777" w:rsidR="009B0542" w:rsidRPr="00770718" w:rsidRDefault="009B0542" w:rsidP="00067791">
            <w:pPr>
              <w:pStyle w:val="Tabletext"/>
              <w:keepNext/>
            </w:pPr>
            <w:r w:rsidRPr="00770718">
              <w:t>Use Week 98 one-piece with the best fitting function (</w:t>
            </w:r>
            <w:r w:rsidR="00935EE9">
              <w:t>log-logistic</w:t>
            </w:r>
            <w:r w:rsidRPr="00770718">
              <w:t xml:space="preserve"> according to AIC and BIC for pembrolizumab + chemotherapy and chemo alone for OS and PFS)</w:t>
            </w:r>
          </w:p>
        </w:tc>
        <w:tc>
          <w:tcPr>
            <w:tcW w:w="682" w:type="pct"/>
          </w:tcPr>
          <w:p w14:paraId="0E343FA6" w14:textId="77777777" w:rsidR="009B0542" w:rsidRPr="00770718" w:rsidRDefault="00770718" w:rsidP="00067791">
            <w:pPr>
              <w:pStyle w:val="Tabletext"/>
              <w:keepNext/>
              <w:rPr>
                <w:iCs/>
              </w:rPr>
            </w:pPr>
            <w:r w:rsidRPr="00770718">
              <w:rPr>
                <w:iCs/>
              </w:rPr>
              <w:t>And remove terminal care costs</w:t>
            </w:r>
          </w:p>
        </w:tc>
        <w:tc>
          <w:tcPr>
            <w:tcW w:w="769" w:type="pct"/>
          </w:tcPr>
          <w:p w14:paraId="057A8EC3" w14:textId="77777777" w:rsidR="009B0542" w:rsidRPr="00770718" w:rsidRDefault="009B0542" w:rsidP="00067791">
            <w:pPr>
              <w:pStyle w:val="Tabletext"/>
              <w:keepNext/>
              <w:rPr>
                <w:iCs/>
              </w:rPr>
            </w:pPr>
            <w:proofErr w:type="gramStart"/>
            <w:r w:rsidRPr="00770718">
              <w:rPr>
                <w:iCs/>
              </w:rPr>
              <w:t>5 year</w:t>
            </w:r>
            <w:proofErr w:type="gramEnd"/>
            <w:r w:rsidRPr="00770718">
              <w:rPr>
                <w:iCs/>
              </w:rPr>
              <w:t xml:space="preserve"> time horizon</w:t>
            </w:r>
          </w:p>
        </w:tc>
        <w:tc>
          <w:tcPr>
            <w:tcW w:w="543" w:type="pct"/>
            <w:vAlign w:val="center"/>
          </w:tcPr>
          <w:p w14:paraId="49C37EF2" w14:textId="77777777" w:rsidR="009B0542"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6BE9D4EA" w14:textId="77777777" w:rsidR="009B0542" w:rsidRPr="00770718" w:rsidRDefault="009B0542" w:rsidP="00067791">
            <w:pPr>
              <w:pStyle w:val="Tabletext"/>
              <w:keepNext/>
              <w:jc w:val="center"/>
              <w:rPr>
                <w:iCs/>
              </w:rPr>
            </w:pPr>
            <w:r w:rsidRPr="00770718">
              <w:rPr>
                <w:iCs/>
              </w:rPr>
              <w:t>0.27</w:t>
            </w:r>
          </w:p>
        </w:tc>
        <w:tc>
          <w:tcPr>
            <w:tcW w:w="971" w:type="pct"/>
            <w:vAlign w:val="center"/>
          </w:tcPr>
          <w:p w14:paraId="049A0E65" w14:textId="77777777" w:rsidR="009B0542" w:rsidRPr="00D451EA" w:rsidRDefault="00D451EA" w:rsidP="00067791">
            <w:pPr>
              <w:pStyle w:val="Tabletext"/>
              <w:keepNext/>
              <w:jc w:val="center"/>
              <w:rPr>
                <w:iCs/>
              </w:rPr>
            </w:pPr>
            <w:r>
              <w:rPr>
                <w:iCs/>
                <w:noProof/>
                <w:color w:val="000000"/>
                <w:highlight w:val="black"/>
              </w:rPr>
              <w:t>''''''''''''''''''''</w:t>
            </w:r>
            <w:r w:rsidR="005757C2">
              <w:rPr>
                <w:vertAlign w:val="superscript"/>
              </w:rPr>
              <w:t>6</w:t>
            </w:r>
          </w:p>
        </w:tc>
      </w:tr>
    </w:tbl>
    <w:p w14:paraId="62BA6E38" w14:textId="77777777" w:rsidR="002A5C87" w:rsidRDefault="004E0DA6" w:rsidP="004E0DA6">
      <w:pPr>
        <w:pStyle w:val="TableFooter"/>
      </w:pPr>
      <w:r w:rsidRPr="001009D9">
        <w:t xml:space="preserve">Source: </w:t>
      </w:r>
      <w:r>
        <w:t xml:space="preserve">3.9-1, pp101-102 of the submission. </w:t>
      </w:r>
    </w:p>
    <w:p w14:paraId="25235334" w14:textId="77777777" w:rsidR="004E0DA6" w:rsidRPr="005757C2" w:rsidRDefault="004E0DA6" w:rsidP="004E0DA6">
      <w:pPr>
        <w:pStyle w:val="TableFooter"/>
        <w:rPr>
          <w:i/>
        </w:rPr>
      </w:pPr>
      <w:r>
        <w:t xml:space="preserve">AIC = Akaike Information Criteria; </w:t>
      </w:r>
      <w:r w:rsidR="002A5C87">
        <w:t xml:space="preserve">BC = base case; </w:t>
      </w:r>
      <w:r>
        <w:t xml:space="preserve">BIC = Bayesian Information Criteria; </w:t>
      </w:r>
      <w:r w:rsidR="002A5C87">
        <w:t xml:space="preserve">CPS = </w:t>
      </w:r>
      <w:r w:rsidR="002A5C87" w:rsidRPr="00ED037C">
        <w:rPr>
          <w:szCs w:val="18"/>
        </w:rPr>
        <w:t>combined positive score</w:t>
      </w:r>
      <w:r w:rsidR="002A5C87">
        <w:rPr>
          <w:szCs w:val="18"/>
        </w:rPr>
        <w:t>;</w:t>
      </w:r>
      <w:r w:rsidR="002A5C87">
        <w:t xml:space="preserve"> </w:t>
      </w:r>
      <w:r w:rsidR="005945BC">
        <w:t>5-FU = 5</w:t>
      </w:r>
      <w:r w:rsidR="005945BC">
        <w:noBreakHyphen/>
        <w:t xml:space="preserve">fluorouracil; </w:t>
      </w:r>
      <w:r>
        <w:t xml:space="preserve">ICER = incremental cost effectiveness ratio; </w:t>
      </w:r>
      <w:r w:rsidR="002A5C87">
        <w:t xml:space="preserve">ITT = intention-to-treat; OSCC = </w:t>
      </w:r>
      <w:r w:rsidR="002A5C87" w:rsidRPr="008E5320">
        <w:t>oesophageal squamous cell carcinoma</w:t>
      </w:r>
      <w:r w:rsidR="002A5C87">
        <w:t xml:space="preserve">; </w:t>
      </w:r>
      <w:r>
        <w:t xml:space="preserve">OS = overall survival; </w:t>
      </w:r>
      <w:r w:rsidR="002A5C87">
        <w:t>PD-L1 = p</w:t>
      </w:r>
      <w:r w:rsidR="002A5C87" w:rsidRPr="00DF55C8">
        <w:t>rogrammed death-ligand 1</w:t>
      </w:r>
      <w:r w:rsidR="002A5C87">
        <w:t xml:space="preserve">; </w:t>
      </w:r>
      <w:r>
        <w:t>PFS = progression free survival</w:t>
      </w:r>
      <w:r w:rsidR="002A5C87">
        <w:t xml:space="preserve">; PSCR = pre-sub-committee response; QALY = </w:t>
      </w:r>
      <w:r w:rsidR="002A5C87" w:rsidRPr="005757C2">
        <w:rPr>
          <w:i/>
        </w:rPr>
        <w:t>quality adjusted life year</w:t>
      </w:r>
      <w:r w:rsidR="000A04C9" w:rsidRPr="005757C2">
        <w:rPr>
          <w:i/>
        </w:rPr>
        <w:t>.</w:t>
      </w:r>
    </w:p>
    <w:p w14:paraId="573BCB34" w14:textId="77777777" w:rsidR="00AC2E07" w:rsidRPr="005757C2" w:rsidRDefault="00AC2E07" w:rsidP="004E0DA6">
      <w:pPr>
        <w:pStyle w:val="TableFooter"/>
        <w:rPr>
          <w:i/>
        </w:rPr>
      </w:pPr>
      <w:r w:rsidRPr="005757C2">
        <w:rPr>
          <w:i/>
        </w:rPr>
        <w:t>The redacted values correspond to the following ranges:</w:t>
      </w:r>
    </w:p>
    <w:p w14:paraId="2BEF7783" w14:textId="77777777" w:rsidR="00AC2E07" w:rsidRPr="005757C2" w:rsidRDefault="00AC2E07" w:rsidP="004E0DA6">
      <w:pPr>
        <w:pStyle w:val="TableFooter"/>
        <w:rPr>
          <w:i/>
        </w:rPr>
      </w:pPr>
      <w:r w:rsidRPr="005757C2">
        <w:rPr>
          <w:i/>
          <w:vertAlign w:val="superscript"/>
        </w:rPr>
        <w:lastRenderedPageBreak/>
        <w:t>1</w:t>
      </w:r>
      <w:r w:rsidRPr="005757C2">
        <w:rPr>
          <w:i/>
        </w:rPr>
        <w:t xml:space="preserve"> </w:t>
      </w:r>
      <w:r w:rsidR="00226565" w:rsidRPr="005757C2">
        <w:rPr>
          <w:i/>
        </w:rPr>
        <w:t>$95,000 to &lt; $115,000</w:t>
      </w:r>
    </w:p>
    <w:p w14:paraId="1CC8AC77" w14:textId="77777777" w:rsidR="00226565" w:rsidRPr="005757C2" w:rsidRDefault="00226565" w:rsidP="004E0DA6">
      <w:pPr>
        <w:pStyle w:val="TableFooter"/>
        <w:rPr>
          <w:i/>
        </w:rPr>
      </w:pPr>
      <w:r w:rsidRPr="005757C2">
        <w:rPr>
          <w:i/>
          <w:vertAlign w:val="superscript"/>
        </w:rPr>
        <w:t>2</w:t>
      </w:r>
      <w:r w:rsidRPr="005757C2">
        <w:rPr>
          <w:i/>
        </w:rPr>
        <w:t xml:space="preserve"> $75,000 to &lt; $95,000</w:t>
      </w:r>
    </w:p>
    <w:p w14:paraId="598D1CD5" w14:textId="77777777" w:rsidR="00226565" w:rsidRPr="005757C2" w:rsidRDefault="00226565" w:rsidP="004E0DA6">
      <w:pPr>
        <w:pStyle w:val="TableFooter"/>
        <w:rPr>
          <w:i/>
        </w:rPr>
      </w:pPr>
      <w:r w:rsidRPr="005757C2">
        <w:rPr>
          <w:i/>
          <w:vertAlign w:val="superscript"/>
        </w:rPr>
        <w:t>3</w:t>
      </w:r>
      <w:r w:rsidRPr="005757C2">
        <w:rPr>
          <w:i/>
        </w:rPr>
        <w:t xml:space="preserve"> $55,000 to &lt; $75,000</w:t>
      </w:r>
    </w:p>
    <w:p w14:paraId="1597FBC9" w14:textId="77777777" w:rsidR="005757C2" w:rsidRPr="005757C2" w:rsidRDefault="005757C2" w:rsidP="004E0DA6">
      <w:pPr>
        <w:pStyle w:val="TableFooter"/>
        <w:rPr>
          <w:i/>
        </w:rPr>
      </w:pPr>
      <w:r w:rsidRPr="005757C2">
        <w:rPr>
          <w:i/>
          <w:vertAlign w:val="superscript"/>
        </w:rPr>
        <w:t>4</w:t>
      </w:r>
      <w:r w:rsidRPr="005757C2">
        <w:rPr>
          <w:i/>
        </w:rPr>
        <w:t xml:space="preserve"> $95,000 to &lt; $115,000</w:t>
      </w:r>
    </w:p>
    <w:p w14:paraId="02A310C9" w14:textId="77777777" w:rsidR="005757C2" w:rsidRPr="005757C2" w:rsidRDefault="005757C2" w:rsidP="004E0DA6">
      <w:pPr>
        <w:pStyle w:val="TableFooter"/>
        <w:rPr>
          <w:i/>
        </w:rPr>
      </w:pPr>
      <w:r w:rsidRPr="005757C2">
        <w:rPr>
          <w:i/>
          <w:vertAlign w:val="superscript"/>
        </w:rPr>
        <w:t>5</w:t>
      </w:r>
      <w:r w:rsidRPr="005757C2">
        <w:rPr>
          <w:i/>
        </w:rPr>
        <w:t xml:space="preserve"> $115,000 to &lt; $135,000</w:t>
      </w:r>
    </w:p>
    <w:p w14:paraId="38C8DE49" w14:textId="1499A984" w:rsidR="004E0DA6" w:rsidRPr="00CB71F0" w:rsidRDefault="005757C2" w:rsidP="00CB71F0">
      <w:pPr>
        <w:pStyle w:val="TableFooter"/>
        <w:spacing w:after="120"/>
        <w:rPr>
          <w:i/>
          <w:sz w:val="20"/>
        </w:rPr>
      </w:pPr>
      <w:r w:rsidRPr="005757C2">
        <w:rPr>
          <w:i/>
          <w:vertAlign w:val="superscript"/>
        </w:rPr>
        <w:t>6</w:t>
      </w:r>
      <w:r w:rsidRPr="005757C2">
        <w:rPr>
          <w:i/>
        </w:rPr>
        <w:t xml:space="preserve"> $135,000 to &lt; $155,000</w:t>
      </w:r>
    </w:p>
    <w:p w14:paraId="0D047B74" w14:textId="0993C251" w:rsidR="000403A0" w:rsidRDefault="00134C9D" w:rsidP="000403A0">
      <w:pPr>
        <w:pStyle w:val="ListParagraph"/>
        <w:numPr>
          <w:ilvl w:val="1"/>
          <w:numId w:val="1"/>
        </w:numPr>
        <w:rPr>
          <w:rFonts w:cs="Calibri"/>
          <w:color w:val="000000" w:themeColor="text1"/>
        </w:rPr>
      </w:pPr>
      <w:r w:rsidRPr="00586BAA">
        <w:rPr>
          <w:rFonts w:cs="Calibri"/>
          <w:color w:val="000000" w:themeColor="text1"/>
        </w:rPr>
        <w:t xml:space="preserve">The ESC </w:t>
      </w:r>
      <w:r w:rsidR="00B6162F" w:rsidRPr="00586BAA">
        <w:rPr>
          <w:rFonts w:cs="Calibri"/>
          <w:color w:val="000000" w:themeColor="text1"/>
        </w:rPr>
        <w:t xml:space="preserve">noted </w:t>
      </w:r>
      <w:r w:rsidRPr="00586BAA">
        <w:rPr>
          <w:rFonts w:cs="Calibri"/>
          <w:color w:val="000000" w:themeColor="text1"/>
        </w:rPr>
        <w:t>the multivariate analysis</w:t>
      </w:r>
      <w:r w:rsidR="001F2CD0" w:rsidRPr="00586BAA">
        <w:rPr>
          <w:rFonts w:cs="Calibri"/>
          <w:color w:val="000000" w:themeColor="text1"/>
        </w:rPr>
        <w:t xml:space="preserve"> </w:t>
      </w:r>
      <w:r w:rsidR="00B6162F" w:rsidRPr="00586BAA">
        <w:rPr>
          <w:rFonts w:cs="Calibri"/>
          <w:color w:val="000000" w:themeColor="text1"/>
        </w:rPr>
        <w:t>that (</w:t>
      </w:r>
      <w:proofErr w:type="spellStart"/>
      <w:r w:rsidR="00B6162F" w:rsidRPr="00586BAA">
        <w:rPr>
          <w:rFonts w:cs="Calibri"/>
          <w:color w:val="000000" w:themeColor="text1"/>
        </w:rPr>
        <w:t>i</w:t>
      </w:r>
      <w:proofErr w:type="spellEnd"/>
      <w:r w:rsidR="00B6162F" w:rsidRPr="00586BAA">
        <w:rPr>
          <w:rFonts w:cs="Calibri"/>
          <w:color w:val="000000" w:themeColor="text1"/>
        </w:rPr>
        <w:t>) used the Week 98 one-piece with the best fitting function (</w:t>
      </w:r>
      <w:r w:rsidR="00935EE9">
        <w:rPr>
          <w:rFonts w:cs="Calibri"/>
          <w:color w:val="000000" w:themeColor="text1"/>
        </w:rPr>
        <w:t>log-logistic</w:t>
      </w:r>
      <w:r w:rsidR="00B6162F" w:rsidRPr="00586BAA">
        <w:rPr>
          <w:rFonts w:cs="Calibri"/>
          <w:color w:val="000000" w:themeColor="text1"/>
        </w:rPr>
        <w:t xml:space="preserve"> according to AIC and BIC for pembrolizumab + chemotherapy and chemo alone for OS and PFS) and (ii) removed the terminal care costs resulted in an ICER of $</w:t>
      </w:r>
      <w:r w:rsidR="007A5662">
        <w:rPr>
          <w:rFonts w:cs="Calibri"/>
          <w:color w:val="000000" w:themeColor="text1"/>
        </w:rPr>
        <w:t>115,000 to &lt; $135,000</w:t>
      </w:r>
      <w:r w:rsidR="005E7549">
        <w:rPr>
          <w:rFonts w:cs="Calibri"/>
          <w:color w:val="000000" w:themeColor="text1"/>
        </w:rPr>
        <w:t>/QALY gained</w:t>
      </w:r>
      <w:r w:rsidR="00B6162F" w:rsidRPr="00586BAA">
        <w:rPr>
          <w:rFonts w:cs="Calibri"/>
          <w:color w:val="000000" w:themeColor="text1"/>
        </w:rPr>
        <w:t>. The ESC considered this scenario may provide a more reasonable base case</w:t>
      </w:r>
      <w:r w:rsidR="00CA5DCA" w:rsidRPr="00586BAA">
        <w:rPr>
          <w:rFonts w:asciiTheme="minorHAnsi" w:hAnsiTheme="minorHAnsi" w:cstheme="minorHAnsi"/>
          <w:iCs/>
          <w:color w:val="000000" w:themeColor="text1"/>
          <w:szCs w:val="24"/>
        </w:rPr>
        <w:t xml:space="preserve">, noting the </w:t>
      </w:r>
      <w:r w:rsidR="007725A0" w:rsidRPr="00586BAA">
        <w:rPr>
          <w:rFonts w:asciiTheme="minorHAnsi" w:hAnsiTheme="minorHAnsi" w:cstheme="minorHAnsi"/>
          <w:iCs/>
          <w:color w:val="000000" w:themeColor="text1"/>
          <w:szCs w:val="24"/>
        </w:rPr>
        <w:t>predicted survival differences at 7.5 years may still be optimistic</w:t>
      </w:r>
      <w:r w:rsidR="00B6162F" w:rsidRPr="00586BAA">
        <w:rPr>
          <w:rFonts w:cs="Calibri"/>
          <w:color w:val="000000" w:themeColor="text1"/>
        </w:rPr>
        <w:t xml:space="preserve">. </w:t>
      </w:r>
      <w:r w:rsidR="009B0542" w:rsidRPr="00586BAA">
        <w:rPr>
          <w:rFonts w:cs="Calibri"/>
          <w:color w:val="000000" w:themeColor="text1"/>
        </w:rPr>
        <w:t xml:space="preserve">The ESC noted applying a </w:t>
      </w:r>
      <w:proofErr w:type="gramStart"/>
      <w:r w:rsidR="009B0542" w:rsidRPr="00586BAA">
        <w:rPr>
          <w:rFonts w:cs="Calibri"/>
          <w:color w:val="000000" w:themeColor="text1"/>
        </w:rPr>
        <w:t>5 year</w:t>
      </w:r>
      <w:proofErr w:type="gramEnd"/>
      <w:r w:rsidR="009B0542" w:rsidRPr="00586BAA">
        <w:rPr>
          <w:rFonts w:cs="Calibri"/>
          <w:color w:val="000000" w:themeColor="text1"/>
        </w:rPr>
        <w:t xml:space="preserve"> time horizon increased the ICER from $</w:t>
      </w:r>
      <w:r w:rsidR="007A5662">
        <w:rPr>
          <w:rFonts w:cs="Calibri"/>
          <w:color w:val="000000" w:themeColor="text1"/>
        </w:rPr>
        <w:t>115,000 to &lt; $135,000</w:t>
      </w:r>
      <w:r w:rsidR="009B0542" w:rsidRPr="00586BAA">
        <w:rPr>
          <w:rFonts w:cs="Calibri"/>
          <w:color w:val="000000" w:themeColor="text1"/>
        </w:rPr>
        <w:t>/QALY to $</w:t>
      </w:r>
      <w:r w:rsidR="007A5662">
        <w:rPr>
          <w:rFonts w:cs="Calibri"/>
          <w:color w:val="000000" w:themeColor="text1"/>
        </w:rPr>
        <w:t>135,000 to &lt; $155,000</w:t>
      </w:r>
      <w:r w:rsidR="009B0542" w:rsidRPr="00586BAA">
        <w:rPr>
          <w:rFonts w:cs="Calibri"/>
          <w:color w:val="000000" w:themeColor="text1"/>
        </w:rPr>
        <w:t xml:space="preserve">/QALY. </w:t>
      </w:r>
      <w:r w:rsidR="00770718">
        <w:rPr>
          <w:rFonts w:cs="Calibri"/>
          <w:color w:val="000000" w:themeColor="text1"/>
        </w:rPr>
        <w:t>The PBAC noted that applying the revised price proposed in the PSCR resulted in ICERs of $</w:t>
      </w:r>
      <w:r w:rsidR="007A5662">
        <w:rPr>
          <w:rFonts w:cs="Calibri"/>
          <w:color w:val="000000" w:themeColor="text1"/>
        </w:rPr>
        <w:t>115,000 to &lt; $135,000</w:t>
      </w:r>
      <w:r w:rsidR="007C0761">
        <w:rPr>
          <w:rFonts w:cs="Calibri"/>
          <w:color w:val="000000" w:themeColor="text1"/>
        </w:rPr>
        <w:t>/</w:t>
      </w:r>
      <w:r w:rsidR="00770718">
        <w:rPr>
          <w:rFonts w:cs="Calibri"/>
          <w:color w:val="000000" w:themeColor="text1"/>
        </w:rPr>
        <w:t>QALY</w:t>
      </w:r>
      <w:r w:rsidR="002D55ED">
        <w:rPr>
          <w:rFonts w:cs="Calibri"/>
          <w:color w:val="000000" w:themeColor="text1"/>
        </w:rPr>
        <w:t xml:space="preserve"> (</w:t>
      </w:r>
      <w:proofErr w:type="gramStart"/>
      <w:r w:rsidR="002D55ED">
        <w:rPr>
          <w:rFonts w:cs="Calibri"/>
          <w:color w:val="000000" w:themeColor="text1"/>
        </w:rPr>
        <w:t>7.5 year</w:t>
      </w:r>
      <w:proofErr w:type="gramEnd"/>
      <w:r w:rsidR="002D55ED">
        <w:rPr>
          <w:rFonts w:cs="Calibri"/>
          <w:color w:val="000000" w:themeColor="text1"/>
        </w:rPr>
        <w:t xml:space="preserve"> time horizon)</w:t>
      </w:r>
      <w:r w:rsidR="00770718">
        <w:rPr>
          <w:rFonts w:cs="Calibri"/>
          <w:color w:val="000000" w:themeColor="text1"/>
        </w:rPr>
        <w:t xml:space="preserve"> and $</w:t>
      </w:r>
      <w:r w:rsidR="007A5662">
        <w:rPr>
          <w:rFonts w:cs="Calibri"/>
          <w:color w:val="000000" w:themeColor="text1"/>
        </w:rPr>
        <w:t>135,000 to &lt; $155,000</w:t>
      </w:r>
      <w:r w:rsidR="00770718">
        <w:rPr>
          <w:rFonts w:cs="Calibri"/>
          <w:color w:val="000000" w:themeColor="text1"/>
        </w:rPr>
        <w:t>/QALY</w:t>
      </w:r>
      <w:r w:rsidR="002D55ED">
        <w:rPr>
          <w:rFonts w:cs="Calibri"/>
          <w:color w:val="000000" w:themeColor="text1"/>
        </w:rPr>
        <w:t xml:space="preserve"> (5 year time horizon)</w:t>
      </w:r>
      <w:r w:rsidR="00770718">
        <w:rPr>
          <w:rFonts w:cs="Calibri"/>
          <w:color w:val="000000" w:themeColor="text1"/>
        </w:rPr>
        <w:t xml:space="preserve">. </w:t>
      </w:r>
    </w:p>
    <w:p w14:paraId="0000B7F5" w14:textId="77777777" w:rsidR="00532CA6" w:rsidRPr="00987D1A" w:rsidRDefault="000403A0" w:rsidP="00B4517F">
      <w:pPr>
        <w:pStyle w:val="ListParagraph"/>
        <w:numPr>
          <w:ilvl w:val="1"/>
          <w:numId w:val="1"/>
        </w:numPr>
        <w:rPr>
          <w:rFonts w:asciiTheme="minorHAnsi" w:hAnsiTheme="minorHAnsi" w:cstheme="minorHAnsi"/>
          <w:color w:val="000000" w:themeColor="text1"/>
          <w:szCs w:val="24"/>
        </w:rPr>
      </w:pPr>
      <w:r>
        <w:rPr>
          <w:rFonts w:cs="Calibri"/>
          <w:color w:val="000000" w:themeColor="text1"/>
        </w:rPr>
        <w:t>The pre-PBAC response stated</w:t>
      </w:r>
      <w:r w:rsidR="00532CA6">
        <w:rPr>
          <w:rFonts w:cs="Calibri"/>
          <w:color w:val="000000" w:themeColor="text1"/>
        </w:rPr>
        <w:t xml:space="preserve"> that:</w:t>
      </w:r>
    </w:p>
    <w:p w14:paraId="369DE8ED" w14:textId="77777777"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The</w:t>
      </w:r>
      <w:r w:rsidRPr="000403A0">
        <w:rPr>
          <w:rFonts w:cs="Calibri"/>
          <w:color w:val="000000" w:themeColor="text1"/>
        </w:rPr>
        <w:t xml:space="preserve"> </w:t>
      </w:r>
      <w:proofErr w:type="gramStart"/>
      <w:r w:rsidRPr="000403A0">
        <w:rPr>
          <w:rFonts w:cs="Calibri"/>
          <w:color w:val="000000" w:themeColor="text1"/>
        </w:rPr>
        <w:t>7.5</w:t>
      </w:r>
      <w:r>
        <w:rPr>
          <w:rFonts w:cs="Calibri"/>
          <w:color w:val="000000" w:themeColor="text1"/>
        </w:rPr>
        <w:t xml:space="preserve"> </w:t>
      </w:r>
      <w:r w:rsidRPr="000403A0">
        <w:rPr>
          <w:rFonts w:cs="Calibri"/>
          <w:color w:val="000000" w:themeColor="text1"/>
        </w:rPr>
        <w:t>y</w:t>
      </w:r>
      <w:r>
        <w:rPr>
          <w:rFonts w:cs="Calibri"/>
          <w:color w:val="000000" w:themeColor="text1"/>
        </w:rPr>
        <w:t>ea</w:t>
      </w:r>
      <w:r w:rsidRPr="000403A0">
        <w:rPr>
          <w:rFonts w:cs="Calibri"/>
          <w:color w:val="000000" w:themeColor="text1"/>
        </w:rPr>
        <w:t>r</w:t>
      </w:r>
      <w:proofErr w:type="gramEnd"/>
      <w:r w:rsidRPr="000403A0">
        <w:rPr>
          <w:rFonts w:cs="Calibri"/>
          <w:color w:val="000000" w:themeColor="text1"/>
        </w:rPr>
        <w:t xml:space="preserve"> time horizon within the alternative ESC base ca</w:t>
      </w:r>
      <w:r>
        <w:rPr>
          <w:rFonts w:cs="Calibri"/>
          <w:color w:val="000000" w:themeColor="text1"/>
        </w:rPr>
        <w:t xml:space="preserve">se </w:t>
      </w:r>
      <w:r w:rsidRPr="000403A0">
        <w:rPr>
          <w:rFonts w:cs="Calibri"/>
          <w:color w:val="000000" w:themeColor="text1"/>
        </w:rPr>
        <w:t>adequately captures the benefits in those patients who have a complete response</w:t>
      </w:r>
      <w:r>
        <w:rPr>
          <w:rFonts w:cs="Calibri"/>
          <w:color w:val="000000" w:themeColor="text1"/>
        </w:rPr>
        <w:t xml:space="preserve"> and who have a longer-term benefit. </w:t>
      </w:r>
    </w:p>
    <w:p w14:paraId="62FDAB68" w14:textId="77777777"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 xml:space="preserve">The terminal care costs should not be </w:t>
      </w:r>
      <w:proofErr w:type="gramStart"/>
      <w:r>
        <w:rPr>
          <w:rFonts w:cs="Calibri"/>
          <w:color w:val="000000" w:themeColor="text1"/>
        </w:rPr>
        <w:t>excluded .</w:t>
      </w:r>
      <w:proofErr w:type="gramEnd"/>
      <w:r>
        <w:rPr>
          <w:rFonts w:cs="Calibri"/>
          <w:color w:val="000000" w:themeColor="text1"/>
        </w:rPr>
        <w:t xml:space="preserve"> The Sponsor maintained</w:t>
      </w:r>
      <w:r w:rsidRPr="006E4414">
        <w:rPr>
          <w:rFonts w:cs="Calibri"/>
          <w:color w:val="000000" w:themeColor="text1"/>
        </w:rPr>
        <w:t xml:space="preserve"> that the revised costs based on the publication by Langton et al. 2016 should be </w:t>
      </w:r>
      <w:r>
        <w:rPr>
          <w:rFonts w:cs="Calibri"/>
          <w:color w:val="000000" w:themeColor="text1"/>
        </w:rPr>
        <w:t>used in the economic model</w:t>
      </w:r>
      <w:r w:rsidRPr="006E4414">
        <w:rPr>
          <w:rFonts w:cs="Calibri"/>
          <w:color w:val="000000" w:themeColor="text1"/>
        </w:rPr>
        <w:t>.</w:t>
      </w:r>
      <w:r>
        <w:rPr>
          <w:rFonts w:cs="Calibri"/>
          <w:color w:val="000000" w:themeColor="text1"/>
        </w:rPr>
        <w:t xml:space="preserve"> </w:t>
      </w:r>
    </w:p>
    <w:p w14:paraId="44B32089" w14:textId="7F58BDC2" w:rsidR="00987D1A" w:rsidRPr="00CB71F0" w:rsidRDefault="00987D1A" w:rsidP="00987D1A">
      <w:pPr>
        <w:pStyle w:val="ListParagraph"/>
        <w:numPr>
          <w:ilvl w:val="0"/>
          <w:numId w:val="13"/>
        </w:numPr>
        <w:rPr>
          <w:rFonts w:asciiTheme="minorHAnsi" w:hAnsiTheme="minorHAnsi" w:cstheme="minorHAnsi"/>
          <w:color w:val="000000" w:themeColor="text1"/>
          <w:szCs w:val="24"/>
        </w:rPr>
      </w:pPr>
      <w:r>
        <w:rPr>
          <w:rFonts w:asciiTheme="minorHAnsi" w:hAnsiTheme="minorHAnsi" w:cstheme="minorHAnsi"/>
          <w:szCs w:val="24"/>
        </w:rPr>
        <w:t>The application of a W</w:t>
      </w:r>
      <w:r w:rsidRPr="00B4517F">
        <w:rPr>
          <w:rFonts w:asciiTheme="minorHAnsi" w:hAnsiTheme="minorHAnsi" w:cstheme="minorHAnsi"/>
          <w:szCs w:val="24"/>
        </w:rPr>
        <w:t>eek 98 one-piece curve may be appropriate</w:t>
      </w:r>
      <w:r>
        <w:rPr>
          <w:rFonts w:asciiTheme="minorHAnsi" w:hAnsiTheme="minorHAnsi" w:cstheme="minorHAnsi"/>
          <w:szCs w:val="24"/>
        </w:rPr>
        <w:t xml:space="preserve"> as a more conservative method,</w:t>
      </w:r>
      <w:r w:rsidRPr="00B4517F">
        <w:rPr>
          <w:rFonts w:asciiTheme="minorHAnsi" w:hAnsiTheme="minorHAnsi" w:cstheme="minorHAnsi"/>
          <w:szCs w:val="24"/>
        </w:rPr>
        <w:t xml:space="preserve"> provided the appropriate survival functions are applied to each </w:t>
      </w:r>
      <w:proofErr w:type="gramStart"/>
      <w:r w:rsidRPr="00B4517F">
        <w:rPr>
          <w:rFonts w:asciiTheme="minorHAnsi" w:hAnsiTheme="minorHAnsi" w:cstheme="minorHAnsi"/>
          <w:szCs w:val="24"/>
        </w:rPr>
        <w:t>arm</w:t>
      </w:r>
      <w:r>
        <w:rPr>
          <w:rFonts w:asciiTheme="minorHAnsi" w:hAnsiTheme="minorHAnsi" w:cstheme="minorHAnsi"/>
          <w:szCs w:val="24"/>
        </w:rPr>
        <w:t xml:space="preserve"> </w:t>
      </w:r>
      <w:r w:rsidRPr="00B4517F">
        <w:rPr>
          <w:rFonts w:asciiTheme="minorHAnsi" w:hAnsiTheme="minorHAnsi" w:cstheme="minorHAnsi"/>
          <w:szCs w:val="24"/>
        </w:rPr>
        <w:t>.</w:t>
      </w:r>
      <w:proofErr w:type="gramEnd"/>
      <w:r w:rsidRPr="00B4517F">
        <w:rPr>
          <w:rFonts w:asciiTheme="minorHAnsi" w:hAnsiTheme="minorHAnsi" w:cstheme="minorHAnsi"/>
          <w:szCs w:val="24"/>
        </w:rPr>
        <w:t xml:space="preserve"> </w:t>
      </w:r>
      <w:r>
        <w:rPr>
          <w:rFonts w:asciiTheme="minorHAnsi" w:hAnsiTheme="minorHAnsi" w:cstheme="minorHAnsi"/>
          <w:szCs w:val="24"/>
        </w:rPr>
        <w:t xml:space="preserve">The Sponsor agreed with the </w:t>
      </w:r>
      <w:r w:rsidRPr="00842675">
        <w:rPr>
          <w:rFonts w:asciiTheme="minorHAnsi" w:hAnsiTheme="minorHAnsi" w:cstheme="minorHAnsi"/>
          <w:szCs w:val="24"/>
        </w:rPr>
        <w:t xml:space="preserve">ESC advice of applying a </w:t>
      </w:r>
      <w:r w:rsidR="00935EE9">
        <w:rPr>
          <w:rFonts w:asciiTheme="minorHAnsi" w:hAnsiTheme="minorHAnsi" w:cstheme="minorHAnsi"/>
          <w:szCs w:val="24"/>
        </w:rPr>
        <w:t>log-logistic</w:t>
      </w:r>
      <w:r w:rsidRPr="00842675">
        <w:rPr>
          <w:rFonts w:asciiTheme="minorHAnsi" w:hAnsiTheme="minorHAnsi" w:cstheme="minorHAnsi"/>
          <w:szCs w:val="24"/>
        </w:rPr>
        <w:t xml:space="preserve"> function to the pembrolizumab + chemotherapy arm</w:t>
      </w:r>
      <w:r>
        <w:rPr>
          <w:rFonts w:asciiTheme="minorHAnsi" w:hAnsiTheme="minorHAnsi" w:cstheme="minorHAnsi"/>
          <w:szCs w:val="24"/>
        </w:rPr>
        <w:t>,</w:t>
      </w:r>
      <w:r w:rsidRPr="00842675">
        <w:rPr>
          <w:rFonts w:asciiTheme="minorHAnsi" w:hAnsiTheme="minorHAnsi" w:cstheme="minorHAnsi"/>
          <w:szCs w:val="24"/>
        </w:rPr>
        <w:t xml:space="preserve"> as it is representative of the survival plateau seen with immunotherapies in oesophagea</w:t>
      </w:r>
      <w:r>
        <w:rPr>
          <w:rFonts w:asciiTheme="minorHAnsi" w:hAnsiTheme="minorHAnsi" w:cstheme="minorHAnsi"/>
          <w:szCs w:val="24"/>
        </w:rPr>
        <w:t xml:space="preserve">l cancer and other cancer </w:t>
      </w:r>
      <w:proofErr w:type="gramStart"/>
      <w:r>
        <w:rPr>
          <w:rFonts w:asciiTheme="minorHAnsi" w:hAnsiTheme="minorHAnsi" w:cstheme="minorHAnsi"/>
          <w:szCs w:val="24"/>
        </w:rPr>
        <w:t>types, but</w:t>
      </w:r>
      <w:proofErr w:type="gramEnd"/>
      <w:r>
        <w:rPr>
          <w:rFonts w:asciiTheme="minorHAnsi" w:hAnsiTheme="minorHAnsi" w:cstheme="minorHAnsi"/>
          <w:szCs w:val="24"/>
        </w:rPr>
        <w:t xml:space="preserve"> commented</w:t>
      </w:r>
      <w:r w:rsidRPr="00B4517F">
        <w:rPr>
          <w:rFonts w:asciiTheme="minorHAnsi" w:hAnsiTheme="minorHAnsi" w:cstheme="minorHAnsi"/>
          <w:szCs w:val="24"/>
        </w:rPr>
        <w:t xml:space="preserve"> that the application of a </w:t>
      </w:r>
      <w:r w:rsidR="00935EE9">
        <w:rPr>
          <w:rFonts w:asciiTheme="minorHAnsi" w:hAnsiTheme="minorHAnsi" w:cstheme="minorHAnsi"/>
          <w:szCs w:val="24"/>
        </w:rPr>
        <w:t>log-logistic</w:t>
      </w:r>
      <w:r>
        <w:rPr>
          <w:rFonts w:asciiTheme="minorHAnsi" w:hAnsiTheme="minorHAnsi" w:cstheme="minorHAnsi"/>
          <w:szCs w:val="24"/>
        </w:rPr>
        <w:t xml:space="preserve"> function</w:t>
      </w:r>
      <w:r w:rsidRPr="00B4517F">
        <w:rPr>
          <w:rFonts w:asciiTheme="minorHAnsi" w:hAnsiTheme="minorHAnsi" w:cstheme="minorHAnsi"/>
          <w:szCs w:val="24"/>
        </w:rPr>
        <w:t xml:space="preserve"> to the standard of care arm would result in </w:t>
      </w:r>
      <w:r w:rsidRPr="00842675">
        <w:rPr>
          <w:rFonts w:asciiTheme="minorHAnsi" w:hAnsiTheme="minorHAnsi" w:cstheme="minorHAnsi"/>
          <w:szCs w:val="24"/>
        </w:rPr>
        <w:t>a greater proportion of patients alive than is clinically plausible.</w:t>
      </w:r>
      <w:r>
        <w:rPr>
          <w:rFonts w:asciiTheme="minorHAnsi" w:hAnsiTheme="minorHAnsi" w:cstheme="minorHAnsi"/>
          <w:szCs w:val="24"/>
        </w:rPr>
        <w:t xml:space="preserve"> The Sponsor noted that </w:t>
      </w:r>
      <w:r w:rsidRPr="00842675">
        <w:rPr>
          <w:rFonts w:asciiTheme="minorHAnsi" w:hAnsiTheme="minorHAnsi" w:cstheme="minorHAnsi"/>
          <w:szCs w:val="24"/>
        </w:rPr>
        <w:t>only a very small number of patients receiving chemotherapy would typically be alive at 2-3 years</w:t>
      </w:r>
      <w:r>
        <w:rPr>
          <w:rFonts w:asciiTheme="minorHAnsi" w:hAnsiTheme="minorHAnsi" w:cstheme="minorHAnsi"/>
          <w:szCs w:val="24"/>
        </w:rPr>
        <w:t>,</w:t>
      </w:r>
      <w:r w:rsidRPr="00842675">
        <w:rPr>
          <w:rFonts w:asciiTheme="minorHAnsi" w:hAnsiTheme="minorHAnsi" w:cstheme="minorHAnsi"/>
          <w:szCs w:val="24"/>
        </w:rPr>
        <w:t xml:space="preserve"> with none surviving greater than 5 years.</w:t>
      </w:r>
    </w:p>
    <w:p w14:paraId="77E366E1" w14:textId="0A74BBE8" w:rsidR="004E0DA6" w:rsidRPr="00CB71F0" w:rsidRDefault="004E0DA6" w:rsidP="00CB71F0">
      <w:pPr>
        <w:pStyle w:val="Heading2"/>
        <w:spacing w:after="120"/>
        <w:rPr>
          <w:rFonts w:asciiTheme="minorHAnsi" w:hAnsiTheme="minorHAnsi" w:cstheme="minorHAnsi"/>
        </w:rPr>
      </w:pPr>
      <w:bookmarkStart w:id="43" w:name="_Toc79761903"/>
      <w:bookmarkStart w:id="44" w:name="_Toc22897646"/>
      <w:bookmarkStart w:id="45" w:name="_Toc69567427"/>
      <w:r w:rsidRPr="0060004D">
        <w:rPr>
          <w:rFonts w:asciiTheme="minorHAnsi" w:hAnsiTheme="minorHAnsi" w:cstheme="minorHAnsi"/>
        </w:rPr>
        <w:t>Drug cost/patient/course $</w:t>
      </w:r>
      <w:r w:rsidR="00D451EA">
        <w:rPr>
          <w:rFonts w:asciiTheme="minorHAnsi" w:hAnsiTheme="minorHAnsi" w:cstheme="minorHAnsi"/>
          <w:noProof/>
          <w:color w:val="000000"/>
          <w:highlight w:val="black"/>
        </w:rPr>
        <w:t>'''''''''''''</w:t>
      </w:r>
      <w:r w:rsidRPr="0060004D">
        <w:rPr>
          <w:rFonts w:asciiTheme="minorHAnsi" w:hAnsiTheme="minorHAnsi" w:cstheme="minorHAnsi"/>
        </w:rPr>
        <w:t xml:space="preserve"> to $</w:t>
      </w:r>
      <w:bookmarkEnd w:id="43"/>
      <w:r w:rsidR="00D451EA">
        <w:rPr>
          <w:rFonts w:asciiTheme="minorHAnsi" w:hAnsiTheme="minorHAnsi" w:cstheme="minorHAnsi"/>
          <w:noProof/>
          <w:color w:val="000000"/>
          <w:highlight w:val="black"/>
        </w:rPr>
        <w:t>''''''''''''''</w:t>
      </w:r>
      <w:bookmarkEnd w:id="44"/>
      <w:bookmarkEnd w:id="45"/>
    </w:p>
    <w:p w14:paraId="69EEB441" w14:textId="77777777" w:rsidR="004E0DA6" w:rsidRPr="008E5320" w:rsidRDefault="004E0DA6" w:rsidP="00863C38">
      <w:pPr>
        <w:pStyle w:val="ListParagraph"/>
        <w:widowControl/>
        <w:numPr>
          <w:ilvl w:val="1"/>
          <w:numId w:val="1"/>
        </w:numPr>
        <w:spacing w:after="120"/>
        <w:rPr>
          <w:rFonts w:asciiTheme="minorHAnsi" w:hAnsiTheme="minorHAnsi" w:cstheme="minorHAnsi"/>
          <w:color w:val="000000" w:themeColor="text1"/>
          <w:szCs w:val="24"/>
          <w:lang w:eastAsia="en-AU"/>
        </w:rPr>
      </w:pPr>
      <w:r w:rsidRPr="0060004D">
        <w:rPr>
          <w:rFonts w:asciiTheme="minorHAnsi" w:hAnsiTheme="minorHAnsi" w:cstheme="minorHAnsi"/>
          <w:color w:val="000000" w:themeColor="text1"/>
          <w:szCs w:val="24"/>
        </w:rPr>
        <w:t>The submission calculated the average cost per patient of pembrolizumab accrued in the economic evaluation. This was calculated by multiplying the DPMQ of pembrolizumab times the KN</w:t>
      </w:r>
      <w:r w:rsidR="00FA4AAF">
        <w:rPr>
          <w:rFonts w:asciiTheme="minorHAnsi" w:hAnsiTheme="minorHAnsi" w:cstheme="minorHAnsi"/>
          <w:color w:val="000000" w:themeColor="text1"/>
          <w:szCs w:val="24"/>
        </w:rPr>
        <w:t>5</w:t>
      </w:r>
      <w:r w:rsidRPr="0060004D">
        <w:rPr>
          <w:rFonts w:asciiTheme="minorHAnsi" w:hAnsiTheme="minorHAnsi" w:cstheme="minorHAnsi"/>
          <w:color w:val="000000" w:themeColor="text1"/>
          <w:szCs w:val="24"/>
        </w:rPr>
        <w:t xml:space="preserve">90 relative dose intensity and estimating the total cost per treatment using the time on treatment survival analysis. </w:t>
      </w:r>
      <w:r w:rsidRPr="008E5320">
        <w:rPr>
          <w:rFonts w:asciiTheme="minorHAnsi" w:hAnsiTheme="minorHAnsi" w:cstheme="minorHAnsi"/>
          <w:iCs/>
          <w:color w:val="000000" w:themeColor="text1"/>
          <w:szCs w:val="24"/>
        </w:rPr>
        <w:t xml:space="preserve">During the evaluation, this method of calculating treatment cost was applied to the chemotherapy </w:t>
      </w:r>
      <w:r w:rsidRPr="008E5320">
        <w:rPr>
          <w:rFonts w:asciiTheme="minorHAnsi" w:hAnsiTheme="minorHAnsi" w:cstheme="minorHAnsi"/>
          <w:iCs/>
          <w:color w:val="000000" w:themeColor="text1"/>
          <w:szCs w:val="24"/>
        </w:rPr>
        <w:lastRenderedPageBreak/>
        <w:t xml:space="preserve">components of the proposed regimen, cisplatin </w:t>
      </w:r>
      <w:r w:rsidR="00BB3594" w:rsidRPr="008E5320">
        <w:rPr>
          <w:rFonts w:asciiTheme="minorHAnsi" w:hAnsiTheme="minorHAnsi" w:cstheme="minorHAnsi"/>
          <w:iCs/>
          <w:color w:val="000000" w:themeColor="text1"/>
          <w:szCs w:val="24"/>
        </w:rPr>
        <w:t xml:space="preserve">plus </w:t>
      </w:r>
      <w:r w:rsidRPr="008E5320">
        <w:rPr>
          <w:rFonts w:asciiTheme="minorHAnsi" w:hAnsiTheme="minorHAnsi" w:cstheme="minorHAnsi"/>
          <w:iCs/>
          <w:color w:val="000000" w:themeColor="text1"/>
          <w:szCs w:val="24"/>
        </w:rPr>
        <w:t>5-FU and that of the comparator as well.</w:t>
      </w:r>
    </w:p>
    <w:p w14:paraId="05861ED3" w14:textId="77777777" w:rsidR="004E0DA6" w:rsidRPr="0060004D" w:rsidRDefault="004E0DA6" w:rsidP="00863C38">
      <w:pPr>
        <w:pStyle w:val="ListParagraph"/>
        <w:keepNext/>
        <w:widowControl/>
        <w:numPr>
          <w:ilvl w:val="1"/>
          <w:numId w:val="1"/>
        </w:numPr>
        <w:spacing w:after="120"/>
        <w:jc w:val="left"/>
        <w:rPr>
          <w:rFonts w:asciiTheme="minorHAnsi" w:hAnsiTheme="minorHAnsi" w:cstheme="minorHAnsi"/>
          <w:color w:val="000000" w:themeColor="text1"/>
          <w:lang w:eastAsia="en-AU"/>
        </w:rPr>
      </w:pPr>
      <w:r w:rsidRPr="0060004D">
        <w:rPr>
          <w:rFonts w:asciiTheme="minorHAnsi" w:hAnsiTheme="minorHAnsi" w:cstheme="minorHAnsi"/>
          <w:color w:val="000000" w:themeColor="text1"/>
          <w:szCs w:val="24"/>
          <w:lang w:eastAsia="en-AU"/>
        </w:rPr>
        <w:t xml:space="preserve">Drug costs per patient are presented in </w:t>
      </w:r>
      <w:r w:rsidR="005051CB" w:rsidRPr="005051CB">
        <w:rPr>
          <w:rStyle w:val="BodyTextChar"/>
          <w:rFonts w:asciiTheme="minorHAnsi" w:hAnsiTheme="minorHAnsi" w:cstheme="minorHAnsi"/>
          <w:sz w:val="24"/>
          <w:szCs w:val="24"/>
        </w:rPr>
        <w:t>Table 12</w:t>
      </w:r>
      <w:r w:rsidRPr="0060004D">
        <w:rPr>
          <w:rStyle w:val="BodyTextChar"/>
          <w:rFonts w:asciiTheme="minorHAnsi" w:hAnsiTheme="minorHAnsi" w:cstheme="minorHAnsi"/>
          <w:sz w:val="24"/>
          <w:szCs w:val="24"/>
        </w:rPr>
        <w:t>.</w:t>
      </w:r>
    </w:p>
    <w:p w14:paraId="055925C6" w14:textId="77777777" w:rsidR="004E0DA6" w:rsidRPr="00546FE8" w:rsidRDefault="004E0DA6" w:rsidP="004E0DA6">
      <w:pPr>
        <w:keepNext/>
        <w:widowControl/>
        <w:rPr>
          <w:rFonts w:ascii="Arial Narrow" w:hAnsi="Arial Narrow"/>
          <w:b/>
          <w:sz w:val="20"/>
          <w:szCs w:val="16"/>
        </w:rPr>
      </w:pPr>
      <w:bookmarkStart w:id="46" w:name="_Ref79505835"/>
      <w:r>
        <w:rPr>
          <w:rStyle w:val="CommentReference"/>
        </w:rPr>
        <w:t xml:space="preserve">Table </w:t>
      </w:r>
      <w:r w:rsidR="005051CB">
        <w:rPr>
          <w:rStyle w:val="CommentReference"/>
          <w:noProof/>
        </w:rPr>
        <w:t>12</w:t>
      </w:r>
      <w:bookmarkEnd w:id="46"/>
      <w:r>
        <w:rPr>
          <w:rStyle w:val="CommentReference"/>
        </w:rPr>
        <w:t>: Drug cost per patient for pembrolizumab and chemotherapy</w:t>
      </w:r>
    </w:p>
    <w:tbl>
      <w:tblPr>
        <w:tblW w:w="5000" w:type="pct"/>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2: Drug cost per patient for pembrolizumab and chemotherapy"/>
      </w:tblPr>
      <w:tblGrid>
        <w:gridCol w:w="1199"/>
        <w:gridCol w:w="838"/>
        <w:gridCol w:w="840"/>
        <w:gridCol w:w="910"/>
        <w:gridCol w:w="660"/>
        <w:gridCol w:w="971"/>
        <w:gridCol w:w="827"/>
        <w:gridCol w:w="925"/>
        <w:gridCol w:w="925"/>
        <w:gridCol w:w="917"/>
      </w:tblGrid>
      <w:tr w:rsidR="004E0DA6" w:rsidRPr="003F6B31" w14:paraId="13BD1F7B" w14:textId="77777777" w:rsidTr="00D043F2">
        <w:trPr>
          <w:trHeight w:val="20"/>
        </w:trPr>
        <w:tc>
          <w:tcPr>
            <w:tcW w:w="665" w:type="pct"/>
            <w:vMerge w:val="restart"/>
            <w:shd w:val="clear" w:color="auto" w:fill="auto"/>
            <w:vAlign w:val="center"/>
          </w:tcPr>
          <w:p w14:paraId="480ADB58"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Drug and dose</w:t>
            </w:r>
          </w:p>
        </w:tc>
        <w:tc>
          <w:tcPr>
            <w:tcW w:w="1436" w:type="pct"/>
            <w:gridSpan w:val="3"/>
            <w:shd w:val="clear" w:color="auto" w:fill="auto"/>
            <w:vAlign w:val="center"/>
          </w:tcPr>
          <w:p w14:paraId="638DA492"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 xml:space="preserve">Cost per cycle </w:t>
            </w:r>
          </w:p>
        </w:tc>
        <w:tc>
          <w:tcPr>
            <w:tcW w:w="1364" w:type="pct"/>
            <w:gridSpan w:val="3"/>
            <w:shd w:val="clear" w:color="auto" w:fill="auto"/>
            <w:vAlign w:val="center"/>
            <w:hideMark/>
          </w:tcPr>
          <w:p w14:paraId="4BEF5A91"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Number of cycles</w:t>
            </w:r>
          </w:p>
        </w:tc>
        <w:tc>
          <w:tcPr>
            <w:tcW w:w="1535" w:type="pct"/>
            <w:gridSpan w:val="3"/>
            <w:shd w:val="clear" w:color="auto" w:fill="auto"/>
            <w:vAlign w:val="center"/>
            <w:hideMark/>
          </w:tcPr>
          <w:p w14:paraId="38724B3C"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Total cost per course</w:t>
            </w:r>
          </w:p>
        </w:tc>
      </w:tr>
      <w:tr w:rsidR="004E0DA6" w:rsidRPr="003F6B31" w14:paraId="0E89FD5A" w14:textId="77777777" w:rsidTr="00D043F2">
        <w:trPr>
          <w:trHeight w:val="20"/>
        </w:trPr>
        <w:tc>
          <w:tcPr>
            <w:tcW w:w="665" w:type="pct"/>
            <w:vMerge/>
            <w:shd w:val="clear" w:color="auto" w:fill="auto"/>
            <w:vAlign w:val="center"/>
            <w:hideMark/>
          </w:tcPr>
          <w:p w14:paraId="596D6DA0" w14:textId="77777777" w:rsidR="004E0DA6" w:rsidRPr="003F6B31" w:rsidRDefault="004E0DA6" w:rsidP="00FA4AAF">
            <w:pPr>
              <w:keepNext/>
              <w:keepLines/>
              <w:jc w:val="center"/>
              <w:rPr>
                <w:rFonts w:ascii="Arial Narrow" w:hAnsi="Arial Narrow" w:cs="Calibri"/>
                <w:b/>
                <w:bCs/>
                <w:color w:val="008080"/>
                <w:sz w:val="20"/>
                <w:szCs w:val="20"/>
                <w:u w:val="single"/>
                <w:lang w:val="en-US"/>
              </w:rPr>
            </w:pPr>
          </w:p>
        </w:tc>
        <w:tc>
          <w:tcPr>
            <w:tcW w:w="465" w:type="pct"/>
            <w:shd w:val="clear" w:color="auto" w:fill="auto"/>
            <w:vAlign w:val="center"/>
            <w:hideMark/>
          </w:tcPr>
          <w:p w14:paraId="561378F4" w14:textId="77777777" w:rsidR="004E0DA6" w:rsidRPr="003F6B31" w:rsidRDefault="004E0DA6" w:rsidP="00FA4AAF">
            <w:pPr>
              <w:keepNext/>
              <w:keepLines/>
              <w:jc w:val="center"/>
              <w:rPr>
                <w:rFonts w:ascii="Arial Narrow" w:hAnsi="Arial Narrow" w:cs="Calibri"/>
                <w:b/>
                <w:bCs/>
                <w:color w:val="000000"/>
                <w:sz w:val="20"/>
                <w:szCs w:val="20"/>
                <w:lang w:val="en-US"/>
              </w:rPr>
            </w:pPr>
            <w:proofErr w:type="spellStart"/>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a</w:t>
            </w:r>
            <w:proofErr w:type="spellEnd"/>
          </w:p>
        </w:tc>
        <w:tc>
          <w:tcPr>
            <w:tcW w:w="466" w:type="pct"/>
            <w:shd w:val="clear" w:color="auto" w:fill="auto"/>
            <w:vAlign w:val="center"/>
            <w:hideMark/>
          </w:tcPr>
          <w:p w14:paraId="4413FCB6" w14:textId="77777777" w:rsidR="004E0DA6" w:rsidRPr="00056D7F" w:rsidRDefault="004E0DA6" w:rsidP="00FA4AAF">
            <w:pPr>
              <w:keepNext/>
              <w:keepLines/>
              <w:jc w:val="center"/>
              <w:rPr>
                <w:rFonts w:ascii="Arial Narrow" w:hAnsi="Arial Narrow" w:cs="Calibri"/>
                <w:b/>
                <w:bCs/>
                <w:color w:val="000000"/>
                <w:sz w:val="20"/>
                <w:szCs w:val="20"/>
                <w:vertAlign w:val="superscript"/>
                <w:lang w:val="en-US"/>
              </w:rPr>
            </w:pPr>
            <w:r>
              <w:rPr>
                <w:rFonts w:ascii="Arial Narrow" w:hAnsi="Arial Narrow" w:cs="Calibri"/>
                <w:b/>
                <w:bCs/>
                <w:color w:val="000000"/>
                <w:sz w:val="20"/>
                <w:szCs w:val="20"/>
                <w:lang w:val="en-US"/>
              </w:rPr>
              <w:t>KN590</w:t>
            </w:r>
            <w:r w:rsidR="00056D7F">
              <w:rPr>
                <w:rFonts w:ascii="Arial Narrow" w:hAnsi="Arial Narrow" w:cs="Calibri"/>
                <w:b/>
                <w:bCs/>
                <w:color w:val="000000"/>
                <w:sz w:val="20"/>
                <w:szCs w:val="20"/>
                <w:vertAlign w:val="superscript"/>
                <w:lang w:val="en-US"/>
              </w:rPr>
              <w:t>a</w:t>
            </w:r>
          </w:p>
        </w:tc>
        <w:tc>
          <w:tcPr>
            <w:tcW w:w="505" w:type="pct"/>
            <w:shd w:val="clear" w:color="auto" w:fill="auto"/>
            <w:vAlign w:val="center"/>
            <w:hideMark/>
          </w:tcPr>
          <w:p w14:paraId="4DD2A450"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Financials </w:t>
            </w:r>
          </w:p>
        </w:tc>
        <w:tc>
          <w:tcPr>
            <w:tcW w:w="366" w:type="pct"/>
            <w:shd w:val="clear" w:color="auto" w:fill="auto"/>
            <w:vAlign w:val="center"/>
            <w:hideMark/>
          </w:tcPr>
          <w:p w14:paraId="24F674DE" w14:textId="77777777" w:rsidR="004E0DA6" w:rsidRPr="003F6B31" w:rsidRDefault="004E0DA6" w:rsidP="00FA4AAF">
            <w:pPr>
              <w:keepNext/>
              <w:keepLines/>
              <w:jc w:val="center"/>
              <w:rPr>
                <w:rFonts w:ascii="Arial Narrow" w:hAnsi="Arial Narrow" w:cs="Calibri"/>
                <w:b/>
                <w:bCs/>
                <w:color w:val="000000"/>
                <w:sz w:val="20"/>
                <w:szCs w:val="20"/>
                <w:lang w:val="en-US"/>
              </w:rPr>
            </w:pPr>
            <w:proofErr w:type="spellStart"/>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b</w:t>
            </w:r>
            <w:proofErr w:type="spellEnd"/>
          </w:p>
        </w:tc>
        <w:tc>
          <w:tcPr>
            <w:tcW w:w="539" w:type="pct"/>
            <w:shd w:val="clear" w:color="auto" w:fill="auto"/>
            <w:vAlign w:val="center"/>
            <w:hideMark/>
          </w:tcPr>
          <w:p w14:paraId="1DEE4064"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459" w:type="pct"/>
            <w:shd w:val="clear" w:color="auto" w:fill="auto"/>
            <w:vAlign w:val="center"/>
            <w:hideMark/>
          </w:tcPr>
          <w:p w14:paraId="58290AB4"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 </w:t>
            </w:r>
          </w:p>
        </w:tc>
        <w:tc>
          <w:tcPr>
            <w:tcW w:w="513" w:type="pct"/>
            <w:shd w:val="clear" w:color="auto" w:fill="auto"/>
            <w:vAlign w:val="center"/>
            <w:hideMark/>
          </w:tcPr>
          <w:p w14:paraId="398C7515"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p>
        </w:tc>
        <w:tc>
          <w:tcPr>
            <w:tcW w:w="513" w:type="pct"/>
            <w:shd w:val="clear" w:color="auto" w:fill="auto"/>
            <w:vAlign w:val="center"/>
            <w:hideMark/>
          </w:tcPr>
          <w:p w14:paraId="5C746A5D"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509" w:type="pct"/>
            <w:shd w:val="clear" w:color="auto" w:fill="auto"/>
            <w:vAlign w:val="center"/>
            <w:hideMark/>
          </w:tcPr>
          <w:p w14:paraId="7921536A"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Financials</w:t>
            </w:r>
          </w:p>
        </w:tc>
      </w:tr>
      <w:tr w:rsidR="004E0DA6" w:rsidRPr="003F6B31" w14:paraId="62CF0A8D" w14:textId="77777777" w:rsidTr="00D043F2">
        <w:trPr>
          <w:trHeight w:val="20"/>
        </w:trPr>
        <w:tc>
          <w:tcPr>
            <w:tcW w:w="5000" w:type="pct"/>
            <w:gridSpan w:val="10"/>
            <w:shd w:val="clear" w:color="auto" w:fill="auto"/>
            <w:vAlign w:val="center"/>
            <w:hideMark/>
          </w:tcPr>
          <w:p w14:paraId="5EC91247" w14:textId="43214CBC" w:rsidR="004E0DA6" w:rsidRPr="00A30B7B" w:rsidRDefault="004E0DA6" w:rsidP="00FA4AAF">
            <w:pPr>
              <w:keepNext/>
              <w:keepLines/>
              <w:jc w:val="left"/>
              <w:rPr>
                <w:rFonts w:ascii="Arial Narrow" w:hAnsi="Arial Narrow" w:cs="Calibri"/>
                <w:b/>
                <w:color w:val="000000"/>
                <w:sz w:val="20"/>
                <w:szCs w:val="20"/>
                <w:lang w:val="en-US"/>
              </w:rPr>
            </w:pPr>
            <w:r w:rsidRPr="00A30B7B">
              <w:rPr>
                <w:rFonts w:ascii="Arial Narrow" w:hAnsi="Arial Narrow" w:cs="Calibri"/>
                <w:b/>
                <w:color w:val="000000"/>
                <w:sz w:val="20"/>
                <w:szCs w:val="20"/>
                <w:lang w:val="en-US"/>
              </w:rPr>
              <w:t>Pembrolizumab plus cisplatin plus 5-FU</w:t>
            </w:r>
          </w:p>
        </w:tc>
      </w:tr>
      <w:tr w:rsidR="004E0DA6" w:rsidRPr="003F6B31" w14:paraId="31E381AD" w14:textId="77777777" w:rsidTr="00B957D6">
        <w:trPr>
          <w:trHeight w:val="20"/>
        </w:trPr>
        <w:tc>
          <w:tcPr>
            <w:tcW w:w="665" w:type="pct"/>
            <w:shd w:val="clear" w:color="auto" w:fill="auto"/>
            <w:vAlign w:val="center"/>
            <w:hideMark/>
          </w:tcPr>
          <w:p w14:paraId="3BD4BE7B" w14:textId="77777777" w:rsidR="004E0DA6" w:rsidRPr="003F6B31"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lang w:val="en-US"/>
              </w:rPr>
              <w:t>Pembrolizumab</w:t>
            </w:r>
          </w:p>
        </w:tc>
        <w:tc>
          <w:tcPr>
            <w:tcW w:w="931" w:type="pct"/>
            <w:gridSpan w:val="2"/>
            <w:shd w:val="clear" w:color="auto" w:fill="auto"/>
            <w:vAlign w:val="center"/>
          </w:tcPr>
          <w:p w14:paraId="6B9C46C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5" w:type="pct"/>
            <w:shd w:val="clear" w:color="auto" w:fill="auto"/>
            <w:vAlign w:val="center"/>
          </w:tcPr>
          <w:p w14:paraId="655529A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c>
          <w:tcPr>
            <w:tcW w:w="366" w:type="pct"/>
            <w:shd w:val="clear" w:color="auto" w:fill="auto"/>
            <w:vAlign w:val="center"/>
          </w:tcPr>
          <w:p w14:paraId="0F2C876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11.7</w:t>
            </w:r>
          </w:p>
        </w:tc>
        <w:tc>
          <w:tcPr>
            <w:tcW w:w="539" w:type="pct"/>
            <w:shd w:val="clear" w:color="auto" w:fill="auto"/>
            <w:vAlign w:val="center"/>
          </w:tcPr>
          <w:p w14:paraId="3A540F34"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11.0</w:t>
            </w:r>
          </w:p>
        </w:tc>
        <w:tc>
          <w:tcPr>
            <w:tcW w:w="459" w:type="pct"/>
            <w:shd w:val="clear" w:color="auto" w:fill="auto"/>
            <w:vAlign w:val="center"/>
          </w:tcPr>
          <w:p w14:paraId="45D816FB" w14:textId="77777777" w:rsidR="004E0DA6" w:rsidRPr="003F6B31" w:rsidRDefault="004E0DA6" w:rsidP="00FB0C85">
            <w:pPr>
              <w:keepNext/>
              <w:keepLines/>
              <w:jc w:val="center"/>
              <w:rPr>
                <w:rFonts w:ascii="Arial Narrow" w:hAnsi="Arial Narrow" w:cs="Calibri"/>
                <w:color w:val="000000"/>
                <w:sz w:val="20"/>
                <w:szCs w:val="20"/>
                <w:lang w:val="en-US"/>
              </w:rPr>
            </w:pPr>
            <w:r w:rsidRPr="00A94CDE">
              <w:rPr>
                <w:rFonts w:ascii="Arial Narrow" w:hAnsi="Arial Narrow" w:cs="Calibri"/>
                <w:color w:val="000000"/>
                <w:sz w:val="20"/>
                <w:szCs w:val="20"/>
              </w:rPr>
              <w:t>10.96</w:t>
            </w:r>
          </w:p>
        </w:tc>
        <w:tc>
          <w:tcPr>
            <w:tcW w:w="513" w:type="pct"/>
            <w:shd w:val="clear" w:color="auto" w:fill="auto"/>
            <w:vAlign w:val="center"/>
          </w:tcPr>
          <w:p w14:paraId="0DF673E7" w14:textId="77777777" w:rsidR="004E0DA6" w:rsidRPr="003F6B31" w:rsidRDefault="004E0DA6" w:rsidP="00FA4AAF">
            <w:pPr>
              <w:keepNext/>
              <w:keepLines/>
              <w:jc w:val="center"/>
              <w:rPr>
                <w:rFonts w:ascii="Arial Narrow" w:hAnsi="Arial Narrow" w:cs="Calibri"/>
                <w:color w:val="000000"/>
                <w:sz w:val="20"/>
                <w:szCs w:val="20"/>
                <w:lang w:val="en-US"/>
              </w:rPr>
            </w:pPr>
            <w:r w:rsidRPr="00A30B7B">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13" w:type="pct"/>
            <w:shd w:val="clear" w:color="auto" w:fill="auto"/>
            <w:vAlign w:val="center"/>
          </w:tcPr>
          <w:p w14:paraId="42C91ACB"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9" w:type="pct"/>
            <w:shd w:val="clear" w:color="auto" w:fill="auto"/>
            <w:vAlign w:val="center"/>
          </w:tcPr>
          <w:p w14:paraId="3815A83A"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33B36CEA" w14:textId="77777777" w:rsidTr="00B957D6">
        <w:trPr>
          <w:trHeight w:val="20"/>
        </w:trPr>
        <w:tc>
          <w:tcPr>
            <w:tcW w:w="665" w:type="pct"/>
            <w:shd w:val="clear" w:color="auto" w:fill="auto"/>
            <w:vAlign w:val="center"/>
          </w:tcPr>
          <w:p w14:paraId="7FF2A40F" w14:textId="77777777" w:rsidR="004E0DA6" w:rsidRDefault="004E0DA6" w:rsidP="00FA4AAF">
            <w:pPr>
              <w:keepNext/>
              <w:keepLines/>
              <w:jc w:val="left"/>
              <w:rPr>
                <w:rFonts w:ascii="Arial Narrow" w:hAnsi="Arial Narrow" w:cs="Calibri"/>
                <w:bCs/>
                <w:color w:val="000000"/>
                <w:sz w:val="20"/>
                <w:szCs w:val="20"/>
                <w:lang w:val="en-US"/>
              </w:rPr>
            </w:pPr>
            <w:r>
              <w:rPr>
                <w:rFonts w:ascii="Arial Narrow" w:hAnsi="Arial Narrow" w:cs="Calibri"/>
                <w:bCs/>
                <w:color w:val="000000"/>
                <w:sz w:val="20"/>
                <w:szCs w:val="20"/>
                <w:lang w:val="en-US"/>
              </w:rPr>
              <w:t>Cisplatin</w:t>
            </w:r>
          </w:p>
        </w:tc>
        <w:tc>
          <w:tcPr>
            <w:tcW w:w="931" w:type="pct"/>
            <w:gridSpan w:val="2"/>
            <w:shd w:val="clear" w:color="auto" w:fill="auto"/>
            <w:vAlign w:val="center"/>
          </w:tcPr>
          <w:p w14:paraId="1A8CC7F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$83.62</w:t>
            </w:r>
          </w:p>
        </w:tc>
        <w:tc>
          <w:tcPr>
            <w:tcW w:w="505" w:type="pct"/>
            <w:vMerge w:val="restart"/>
            <w:shd w:val="clear" w:color="auto" w:fill="auto"/>
            <w:vAlign w:val="center"/>
          </w:tcPr>
          <w:p w14:paraId="25E0139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205C5EE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4.79</w:t>
            </w:r>
          </w:p>
        </w:tc>
        <w:tc>
          <w:tcPr>
            <w:tcW w:w="539" w:type="pct"/>
            <w:shd w:val="clear" w:color="auto" w:fill="auto"/>
            <w:vAlign w:val="center"/>
          </w:tcPr>
          <w:p w14:paraId="12B2602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601E5DA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07FC9C94" w14:textId="77777777" w:rsidR="004E0DA6" w:rsidRPr="003F6B31" w:rsidRDefault="004E0DA6" w:rsidP="00FA4AAF">
            <w:pPr>
              <w:pStyle w:val="TableText0"/>
              <w:spacing w:before="0" w:after="0"/>
              <w:jc w:val="center"/>
              <w:rPr>
                <w:rFonts w:cs="Calibri"/>
                <w:color w:val="000000"/>
                <w:szCs w:val="20"/>
                <w:lang w:val="en-US"/>
              </w:rPr>
            </w:pPr>
            <w:r>
              <w:t>$400.63</w:t>
            </w:r>
          </w:p>
        </w:tc>
        <w:tc>
          <w:tcPr>
            <w:tcW w:w="513" w:type="pct"/>
            <w:shd w:val="clear" w:color="auto" w:fill="auto"/>
            <w:vAlign w:val="center"/>
          </w:tcPr>
          <w:p w14:paraId="010F8E5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$393.01</w:t>
            </w:r>
          </w:p>
        </w:tc>
        <w:tc>
          <w:tcPr>
            <w:tcW w:w="509" w:type="pct"/>
            <w:vMerge w:val="restart"/>
            <w:shd w:val="clear" w:color="auto" w:fill="auto"/>
            <w:vAlign w:val="center"/>
          </w:tcPr>
          <w:p w14:paraId="4CD57341"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50D07356" w14:textId="77777777" w:rsidTr="009961C9">
        <w:trPr>
          <w:trHeight w:val="20"/>
        </w:trPr>
        <w:tc>
          <w:tcPr>
            <w:tcW w:w="665" w:type="pct"/>
            <w:shd w:val="clear" w:color="auto" w:fill="auto"/>
            <w:vAlign w:val="center"/>
            <w:hideMark/>
          </w:tcPr>
          <w:p w14:paraId="05662C52" w14:textId="77777777" w:rsidR="004E0DA6" w:rsidRPr="003F6B31" w:rsidRDefault="004E0DA6" w:rsidP="00D043F2">
            <w:pPr>
              <w:keepNext/>
              <w:keepLines/>
              <w:jc w:val="left"/>
              <w:rPr>
                <w:rFonts w:ascii="Arial Narrow" w:hAnsi="Arial Narrow" w:cs="Calibri"/>
                <w:color w:val="000000"/>
                <w:sz w:val="20"/>
                <w:szCs w:val="20"/>
                <w:lang w:val="en-US"/>
              </w:rPr>
            </w:pPr>
            <w:r>
              <w:rPr>
                <w:rFonts w:ascii="Arial Narrow" w:hAnsi="Arial Narrow" w:cs="Calibri"/>
                <w:bCs/>
                <w:color w:val="000000"/>
                <w:sz w:val="20"/>
                <w:szCs w:val="20"/>
                <w:lang w:val="en-US"/>
              </w:rPr>
              <w:t>5-F</w:t>
            </w:r>
            <w:r w:rsidR="00D043F2">
              <w:rPr>
                <w:rFonts w:ascii="Arial Narrow" w:hAnsi="Arial Narrow" w:cs="Calibri"/>
                <w:bCs/>
                <w:color w:val="000000"/>
                <w:sz w:val="20"/>
                <w:szCs w:val="20"/>
                <w:lang w:val="en-US"/>
              </w:rPr>
              <w:t>U</w:t>
            </w:r>
            <w:r w:rsidRPr="003F6B31">
              <w:rPr>
                <w:rFonts w:ascii="Arial Narrow" w:hAnsi="Arial Narrow" w:cs="Calibri"/>
                <w:bCs/>
                <w:color w:val="000000"/>
                <w:sz w:val="20"/>
                <w:szCs w:val="20"/>
                <w:lang w:val="en-US"/>
              </w:rPr>
              <w:t xml:space="preserve"> </w:t>
            </w:r>
          </w:p>
        </w:tc>
        <w:tc>
          <w:tcPr>
            <w:tcW w:w="931" w:type="pct"/>
            <w:gridSpan w:val="2"/>
            <w:shd w:val="clear" w:color="auto" w:fill="auto"/>
            <w:vAlign w:val="center"/>
          </w:tcPr>
          <w:p w14:paraId="3BBEFB1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$115.41</w:t>
            </w:r>
          </w:p>
        </w:tc>
        <w:tc>
          <w:tcPr>
            <w:tcW w:w="505" w:type="pct"/>
            <w:vMerge/>
            <w:shd w:val="clear" w:color="auto" w:fill="auto"/>
            <w:vAlign w:val="center"/>
          </w:tcPr>
          <w:p w14:paraId="28B27446"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612364A3"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8.73</w:t>
            </w:r>
          </w:p>
        </w:tc>
        <w:tc>
          <w:tcPr>
            <w:tcW w:w="539" w:type="pct"/>
            <w:shd w:val="clear" w:color="auto" w:fill="auto"/>
            <w:vAlign w:val="center"/>
          </w:tcPr>
          <w:p w14:paraId="25D8BEC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8.0</w:t>
            </w:r>
          </w:p>
        </w:tc>
        <w:tc>
          <w:tcPr>
            <w:tcW w:w="459" w:type="pct"/>
            <w:vMerge/>
            <w:shd w:val="clear" w:color="auto" w:fill="auto"/>
            <w:vAlign w:val="center"/>
          </w:tcPr>
          <w:p w14:paraId="071C5C13"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6604EEB6" w14:textId="77777777" w:rsidR="004E0DA6" w:rsidRPr="003F6B31" w:rsidRDefault="004E0DA6" w:rsidP="00FA4AAF">
            <w:pPr>
              <w:pStyle w:val="TableText0"/>
              <w:spacing w:before="0" w:after="0"/>
              <w:jc w:val="center"/>
              <w:rPr>
                <w:rFonts w:cs="Calibri"/>
                <w:color w:val="000000"/>
                <w:szCs w:val="20"/>
                <w:lang w:val="en-US"/>
              </w:rPr>
            </w:pPr>
            <w:r>
              <w:rPr>
                <w:rFonts w:cs="Calibri"/>
                <w:color w:val="000000"/>
                <w:szCs w:val="20"/>
                <w:lang w:val="en-US"/>
              </w:rPr>
              <w:t>$1,007.99</w:t>
            </w:r>
          </w:p>
        </w:tc>
        <w:tc>
          <w:tcPr>
            <w:tcW w:w="513" w:type="pct"/>
            <w:shd w:val="clear" w:color="auto" w:fill="auto"/>
            <w:vAlign w:val="center"/>
          </w:tcPr>
          <w:p w14:paraId="6646A397" w14:textId="77777777" w:rsidR="004E0DA6" w:rsidRPr="003F6B31" w:rsidRDefault="004E0DA6" w:rsidP="009961C9">
            <w:pPr>
              <w:pStyle w:val="Tabletext"/>
              <w:jc w:val="center"/>
              <w:rPr>
                <w:rFonts w:cs="Calibri"/>
                <w:color w:val="000000"/>
                <w:szCs w:val="20"/>
                <w:lang w:val="en-US"/>
              </w:rPr>
            </w:pPr>
            <w:r>
              <w:t>$923.28</w:t>
            </w:r>
          </w:p>
        </w:tc>
        <w:tc>
          <w:tcPr>
            <w:tcW w:w="509" w:type="pct"/>
            <w:vMerge/>
            <w:shd w:val="clear" w:color="auto" w:fill="auto"/>
            <w:vAlign w:val="center"/>
          </w:tcPr>
          <w:p w14:paraId="3EFED224"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1AA60596" w14:textId="77777777" w:rsidTr="00D043F2">
        <w:trPr>
          <w:trHeight w:val="20"/>
        </w:trPr>
        <w:tc>
          <w:tcPr>
            <w:tcW w:w="3465" w:type="pct"/>
            <w:gridSpan w:val="7"/>
            <w:shd w:val="clear" w:color="auto" w:fill="auto"/>
            <w:vAlign w:val="center"/>
          </w:tcPr>
          <w:p w14:paraId="67E59649" w14:textId="77777777" w:rsidR="004E0DA6" w:rsidRPr="00546FE8" w:rsidRDefault="004E0DA6" w:rsidP="00FA4AAF">
            <w:pPr>
              <w:keepNext/>
              <w:keepLines/>
              <w:jc w:val="left"/>
              <w:rPr>
                <w:rFonts w:ascii="Arial Narrow" w:hAnsi="Arial Narrow" w:cs="Calibri"/>
                <w:b/>
                <w:color w:val="000000"/>
                <w:sz w:val="20"/>
                <w:szCs w:val="20"/>
                <w:lang w:val="en-US"/>
              </w:rPr>
            </w:pPr>
            <w:r w:rsidRPr="00546FE8">
              <w:rPr>
                <w:rFonts w:ascii="Arial Narrow" w:hAnsi="Arial Narrow" w:cs="Calibri"/>
                <w:b/>
                <w:color w:val="000000"/>
                <w:sz w:val="20"/>
                <w:szCs w:val="20"/>
                <w:lang w:val="en-US"/>
              </w:rPr>
              <w:t>Total</w:t>
            </w:r>
          </w:p>
        </w:tc>
        <w:tc>
          <w:tcPr>
            <w:tcW w:w="513" w:type="pct"/>
            <w:shd w:val="clear" w:color="auto" w:fill="auto"/>
            <w:vAlign w:val="center"/>
          </w:tcPr>
          <w:p w14:paraId="6DC36BDF" w14:textId="77777777" w:rsidR="004E0DA6" w:rsidRPr="00546FE8" w:rsidRDefault="004E0DA6" w:rsidP="00FA4AAF">
            <w:pPr>
              <w:keepNext/>
              <w:keepLines/>
              <w:jc w:val="center"/>
              <w:rPr>
                <w:rFonts w:ascii="Arial Narrow" w:hAnsi="Arial Narrow" w:cs="Calibri"/>
                <w:b/>
                <w:bCs/>
                <w:color w:val="000000"/>
                <w:sz w:val="20"/>
                <w:szCs w:val="20"/>
                <w:lang w:val="en-US"/>
              </w:rPr>
            </w:pPr>
            <w:r w:rsidRPr="00546FE8">
              <w:rPr>
                <w:rFonts w:ascii="Arial Narrow" w:hAnsi="Arial Narrow" w:cs="Calibri"/>
                <w:b/>
                <w:bCs/>
                <w:color w:val="000000"/>
                <w:sz w:val="20"/>
                <w:szCs w:val="20"/>
                <w:lang w:val="en-US"/>
              </w:rPr>
              <w:t>$</w:t>
            </w:r>
            <w:r w:rsidR="00D451EA">
              <w:rPr>
                <w:rFonts w:ascii="Arial Narrow" w:hAnsi="Arial Narrow" w:cs="Calibri"/>
                <w:b/>
                <w:bCs/>
                <w:noProof/>
                <w:color w:val="000000"/>
                <w:sz w:val="20"/>
                <w:szCs w:val="20"/>
                <w:highlight w:val="black"/>
                <w:lang w:val="en-US"/>
              </w:rPr>
              <w:t>''''''''''''''''''</w:t>
            </w:r>
          </w:p>
        </w:tc>
        <w:tc>
          <w:tcPr>
            <w:tcW w:w="513" w:type="pct"/>
            <w:shd w:val="clear" w:color="auto" w:fill="auto"/>
            <w:vAlign w:val="center"/>
          </w:tcPr>
          <w:p w14:paraId="7D0E45CA" w14:textId="77777777" w:rsidR="004E0DA6" w:rsidRPr="00AE6AE8" w:rsidRDefault="004E0DA6" w:rsidP="00FA4AAF">
            <w:pPr>
              <w:pStyle w:val="Tabletext"/>
              <w:rPr>
                <w:b/>
                <w:bCs/>
                <w:szCs w:val="24"/>
              </w:rPr>
            </w:pPr>
            <w:r w:rsidRPr="00AE6AE8">
              <w:rPr>
                <w:b/>
                <w:bCs/>
              </w:rPr>
              <w:t>$</w:t>
            </w:r>
            <w:r w:rsidR="00D451EA">
              <w:rPr>
                <w:b/>
                <w:bCs/>
                <w:noProof/>
                <w:color w:val="000000"/>
                <w:highlight w:val="black"/>
              </w:rPr>
              <w:t>'''''''''''''''''</w:t>
            </w:r>
            <w:r w:rsidRPr="00AE6AE8">
              <w:rPr>
                <w:b/>
                <w:bCs/>
              </w:rPr>
              <w:t xml:space="preserve"> </w:t>
            </w:r>
          </w:p>
        </w:tc>
        <w:tc>
          <w:tcPr>
            <w:tcW w:w="509" w:type="pct"/>
            <w:shd w:val="clear" w:color="auto" w:fill="auto"/>
            <w:vAlign w:val="center"/>
          </w:tcPr>
          <w:p w14:paraId="2798594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6A6FCDB8" w14:textId="77777777" w:rsidTr="00D043F2">
        <w:trPr>
          <w:trHeight w:val="20"/>
        </w:trPr>
        <w:tc>
          <w:tcPr>
            <w:tcW w:w="5000" w:type="pct"/>
            <w:gridSpan w:val="10"/>
            <w:shd w:val="clear" w:color="auto" w:fill="auto"/>
            <w:vAlign w:val="center"/>
            <w:hideMark/>
          </w:tcPr>
          <w:p w14:paraId="6E310A94" w14:textId="77777777" w:rsidR="004E0DA6" w:rsidRPr="003F6B31" w:rsidRDefault="004E0DA6" w:rsidP="00FA4AAF">
            <w:pPr>
              <w:keepNext/>
              <w:keepLines/>
              <w:jc w:val="left"/>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Chemotherapy alone</w:t>
            </w:r>
          </w:p>
        </w:tc>
      </w:tr>
      <w:tr w:rsidR="004E0DA6" w:rsidRPr="003F6B31" w14:paraId="7CA31515" w14:textId="77777777" w:rsidTr="00B957D6">
        <w:trPr>
          <w:trHeight w:val="20"/>
        </w:trPr>
        <w:tc>
          <w:tcPr>
            <w:tcW w:w="665" w:type="pct"/>
            <w:shd w:val="clear" w:color="auto" w:fill="auto"/>
            <w:vAlign w:val="center"/>
            <w:hideMark/>
          </w:tcPr>
          <w:p w14:paraId="5E33F2B8" w14:textId="77777777" w:rsidR="004E0DA6" w:rsidRPr="00A30B7B"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rPr>
              <w:t>Cisplatin</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09F365B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$93.68</w:t>
            </w:r>
          </w:p>
        </w:tc>
        <w:tc>
          <w:tcPr>
            <w:tcW w:w="505" w:type="pct"/>
            <w:vMerge w:val="restart"/>
            <w:shd w:val="clear" w:color="auto" w:fill="auto"/>
            <w:vAlign w:val="center"/>
          </w:tcPr>
          <w:p w14:paraId="59930F4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79BCF34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4.69</w:t>
            </w:r>
          </w:p>
        </w:tc>
        <w:tc>
          <w:tcPr>
            <w:tcW w:w="539" w:type="pct"/>
            <w:shd w:val="clear" w:color="auto" w:fill="auto"/>
            <w:vAlign w:val="center"/>
          </w:tcPr>
          <w:p w14:paraId="60CE9DC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718795C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798B2114" w14:textId="77777777" w:rsidR="004E0DA6" w:rsidRPr="003F6B31" w:rsidRDefault="004E0DA6" w:rsidP="00FA4AAF">
            <w:pPr>
              <w:pStyle w:val="TableText0"/>
              <w:spacing w:before="0" w:after="0"/>
              <w:jc w:val="center"/>
              <w:rPr>
                <w:rFonts w:cs="Calibri"/>
                <w:color w:val="000000"/>
                <w:szCs w:val="20"/>
                <w:lang w:val="en-US"/>
              </w:rPr>
            </w:pPr>
            <w:r>
              <w:t>$439.26</w:t>
            </w:r>
          </w:p>
        </w:tc>
        <w:tc>
          <w:tcPr>
            <w:tcW w:w="513" w:type="pct"/>
            <w:shd w:val="clear" w:color="auto" w:fill="auto"/>
            <w:vAlign w:val="center"/>
          </w:tcPr>
          <w:p w14:paraId="6980F845"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$440.</w:t>
            </w:r>
            <w:r w:rsidR="00771B45">
              <w:rPr>
                <w:rFonts w:ascii="Arial Narrow" w:hAnsi="Arial Narrow" w:cs="Calibri"/>
                <w:color w:val="000000"/>
                <w:sz w:val="20"/>
                <w:szCs w:val="20"/>
                <w:lang w:val="en-US"/>
              </w:rPr>
              <w:t>30</w:t>
            </w:r>
          </w:p>
        </w:tc>
        <w:tc>
          <w:tcPr>
            <w:tcW w:w="509" w:type="pct"/>
            <w:vMerge w:val="restart"/>
            <w:shd w:val="clear" w:color="auto" w:fill="auto"/>
            <w:vAlign w:val="center"/>
          </w:tcPr>
          <w:p w14:paraId="13C1609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79715AEF" w14:textId="77777777" w:rsidTr="00B957D6">
        <w:trPr>
          <w:trHeight w:val="20"/>
        </w:trPr>
        <w:tc>
          <w:tcPr>
            <w:tcW w:w="665" w:type="pct"/>
            <w:shd w:val="clear" w:color="auto" w:fill="auto"/>
            <w:vAlign w:val="center"/>
            <w:hideMark/>
          </w:tcPr>
          <w:p w14:paraId="176CC87C" w14:textId="77777777" w:rsidR="004E0DA6" w:rsidRPr="00A30B7B" w:rsidRDefault="004E0DA6" w:rsidP="00D043F2">
            <w:pPr>
              <w:keepNext/>
              <w:keepLines/>
              <w:jc w:val="left"/>
              <w:rPr>
                <w:rFonts w:ascii="Arial Narrow" w:hAnsi="Arial Narrow" w:cs="Calibri"/>
                <w:color w:val="000000"/>
                <w:sz w:val="20"/>
                <w:szCs w:val="20"/>
                <w:lang w:val="en-US"/>
              </w:rPr>
            </w:pPr>
            <w:r w:rsidRPr="00A30B7B">
              <w:rPr>
                <w:rFonts w:ascii="Arial Narrow" w:hAnsi="Arial Narrow" w:cs="Calibri"/>
                <w:color w:val="000000"/>
                <w:sz w:val="20"/>
                <w:szCs w:val="20"/>
              </w:rPr>
              <w:t>5-F</w:t>
            </w:r>
            <w:r w:rsidR="00D043F2">
              <w:rPr>
                <w:rFonts w:ascii="Arial Narrow" w:hAnsi="Arial Narrow" w:cs="Calibri"/>
                <w:color w:val="000000"/>
                <w:sz w:val="20"/>
                <w:szCs w:val="20"/>
              </w:rPr>
              <w:t>U</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4353E848"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$123.61</w:t>
            </w:r>
          </w:p>
        </w:tc>
        <w:tc>
          <w:tcPr>
            <w:tcW w:w="505" w:type="pct"/>
            <w:vMerge/>
            <w:shd w:val="clear" w:color="auto" w:fill="auto"/>
            <w:vAlign w:val="center"/>
          </w:tcPr>
          <w:p w14:paraId="0502E495"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5B07D41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7.60</w:t>
            </w:r>
          </w:p>
        </w:tc>
        <w:tc>
          <w:tcPr>
            <w:tcW w:w="539" w:type="pct"/>
            <w:shd w:val="clear" w:color="auto" w:fill="auto"/>
            <w:vAlign w:val="center"/>
          </w:tcPr>
          <w:p w14:paraId="566127E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7.1</w:t>
            </w:r>
          </w:p>
        </w:tc>
        <w:tc>
          <w:tcPr>
            <w:tcW w:w="459" w:type="pct"/>
            <w:vMerge/>
            <w:shd w:val="clear" w:color="auto" w:fill="auto"/>
            <w:vAlign w:val="center"/>
          </w:tcPr>
          <w:p w14:paraId="68450B81"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3BD7495A" w14:textId="77777777" w:rsidR="004E0DA6" w:rsidRPr="003F6B31" w:rsidRDefault="004E0DA6" w:rsidP="00FA4AAF">
            <w:pPr>
              <w:pStyle w:val="TableText0"/>
              <w:spacing w:before="0" w:after="0"/>
              <w:jc w:val="center"/>
              <w:rPr>
                <w:rFonts w:cs="Calibri"/>
                <w:color w:val="000000"/>
                <w:szCs w:val="20"/>
                <w:lang w:val="en-US"/>
              </w:rPr>
            </w:pPr>
            <w:r>
              <w:t>$938.83</w:t>
            </w:r>
          </w:p>
        </w:tc>
        <w:tc>
          <w:tcPr>
            <w:tcW w:w="513" w:type="pct"/>
            <w:shd w:val="clear" w:color="auto" w:fill="auto"/>
            <w:vAlign w:val="center"/>
          </w:tcPr>
          <w:p w14:paraId="4D25D45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$877.63</w:t>
            </w:r>
          </w:p>
        </w:tc>
        <w:tc>
          <w:tcPr>
            <w:tcW w:w="509" w:type="pct"/>
            <w:vMerge/>
            <w:shd w:val="clear" w:color="auto" w:fill="auto"/>
            <w:vAlign w:val="center"/>
          </w:tcPr>
          <w:p w14:paraId="3F4FF4DB"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6C699E19" w14:textId="77777777" w:rsidTr="00D043F2">
        <w:trPr>
          <w:trHeight w:val="20"/>
        </w:trPr>
        <w:tc>
          <w:tcPr>
            <w:tcW w:w="3465" w:type="pct"/>
            <w:gridSpan w:val="7"/>
            <w:shd w:val="clear" w:color="auto" w:fill="auto"/>
            <w:vAlign w:val="center"/>
          </w:tcPr>
          <w:p w14:paraId="0CBA79D0" w14:textId="77777777" w:rsidR="004E0DA6" w:rsidRPr="00546FE8" w:rsidRDefault="004E0DA6" w:rsidP="00FA4AAF">
            <w:pPr>
              <w:keepNext/>
              <w:keepLines/>
              <w:jc w:val="left"/>
              <w:rPr>
                <w:rFonts w:ascii="Arial Narrow" w:hAnsi="Arial Narrow" w:cs="Calibri"/>
                <w:b/>
                <w:bCs/>
                <w:color w:val="000000"/>
                <w:sz w:val="20"/>
                <w:szCs w:val="20"/>
                <w:lang w:val="en-US"/>
              </w:rPr>
            </w:pPr>
            <w:r w:rsidRPr="00546FE8">
              <w:rPr>
                <w:rFonts w:ascii="Arial Narrow" w:hAnsi="Arial Narrow" w:cs="Calibri"/>
                <w:b/>
                <w:bCs/>
                <w:color w:val="000000"/>
                <w:sz w:val="20"/>
                <w:szCs w:val="20"/>
              </w:rPr>
              <w:t>Total</w:t>
            </w:r>
          </w:p>
        </w:tc>
        <w:tc>
          <w:tcPr>
            <w:tcW w:w="513" w:type="pct"/>
            <w:shd w:val="clear" w:color="auto" w:fill="auto"/>
          </w:tcPr>
          <w:p w14:paraId="68DFE51F" w14:textId="77777777" w:rsidR="004E0DA6" w:rsidRPr="003F6B31" w:rsidRDefault="004E0DA6" w:rsidP="00FA4AAF">
            <w:pPr>
              <w:pStyle w:val="TableText0"/>
              <w:spacing w:before="0" w:after="0"/>
              <w:jc w:val="center"/>
              <w:rPr>
                <w:rFonts w:cs="Calibri"/>
                <w:color w:val="000000"/>
                <w:szCs w:val="20"/>
                <w:lang w:val="en-US"/>
              </w:rPr>
            </w:pPr>
            <w:r w:rsidRPr="00D5341C">
              <w:rPr>
                <w:b/>
                <w:bCs/>
              </w:rPr>
              <w:t>$1,378.10</w:t>
            </w:r>
          </w:p>
        </w:tc>
        <w:tc>
          <w:tcPr>
            <w:tcW w:w="513" w:type="pct"/>
            <w:shd w:val="clear" w:color="auto" w:fill="auto"/>
            <w:vAlign w:val="center"/>
          </w:tcPr>
          <w:p w14:paraId="7065B7D1" w14:textId="77777777" w:rsidR="004E0DA6" w:rsidRPr="00AE6AE8" w:rsidRDefault="004E0DA6" w:rsidP="00FA4AAF">
            <w:pPr>
              <w:keepNext/>
              <w:keepLines/>
              <w:jc w:val="center"/>
              <w:rPr>
                <w:rFonts w:ascii="Arial Narrow" w:hAnsi="Arial Narrow" w:cs="Calibri"/>
                <w:b/>
                <w:bCs/>
                <w:color w:val="000000"/>
                <w:sz w:val="20"/>
                <w:szCs w:val="20"/>
                <w:lang w:val="en-US"/>
              </w:rPr>
            </w:pPr>
            <w:r w:rsidRPr="00AE6AE8">
              <w:rPr>
                <w:rFonts w:ascii="Arial Narrow" w:hAnsi="Arial Narrow" w:cs="Calibri"/>
                <w:b/>
                <w:bCs/>
                <w:color w:val="000000"/>
                <w:sz w:val="20"/>
                <w:szCs w:val="20"/>
              </w:rPr>
              <w:t>$1,317.93</w:t>
            </w:r>
          </w:p>
        </w:tc>
        <w:tc>
          <w:tcPr>
            <w:tcW w:w="509" w:type="pct"/>
            <w:vMerge/>
            <w:shd w:val="clear" w:color="auto" w:fill="auto"/>
            <w:vAlign w:val="center"/>
          </w:tcPr>
          <w:p w14:paraId="0949B9CD" w14:textId="77777777" w:rsidR="004E0DA6" w:rsidRPr="003F6B31" w:rsidRDefault="004E0DA6" w:rsidP="00FA4AAF">
            <w:pPr>
              <w:keepNext/>
              <w:keepLines/>
              <w:jc w:val="center"/>
              <w:rPr>
                <w:rFonts w:ascii="Arial Narrow" w:hAnsi="Arial Narrow" w:cs="Calibri"/>
                <w:color w:val="000000"/>
                <w:sz w:val="20"/>
                <w:szCs w:val="20"/>
                <w:lang w:val="en-US"/>
              </w:rPr>
            </w:pPr>
          </w:p>
        </w:tc>
      </w:tr>
    </w:tbl>
    <w:p w14:paraId="2AE320DD" w14:textId="77777777" w:rsidR="004E0DA6" w:rsidRDefault="004E0DA6" w:rsidP="004E0DA6">
      <w:pPr>
        <w:pStyle w:val="TableFooter"/>
        <w:widowControl/>
      </w:pPr>
      <w:r>
        <w:t xml:space="preserve">Source: Table 14.1-35, p339 of the KN590 CSR; ‘Drug Costs’ worksheet of “Sec 3 Workbook’’ attached to submission. </w:t>
      </w:r>
    </w:p>
    <w:p w14:paraId="66709AD2" w14:textId="77777777" w:rsidR="004E0DA6" w:rsidRDefault="004E0DA6" w:rsidP="004E0DA6">
      <w:pPr>
        <w:pStyle w:val="TableFooter"/>
        <w:widowControl/>
      </w:pPr>
      <w:r>
        <w:t xml:space="preserve">Note: small discrepancies between presented results and products of their presented factors are due to rounding. </w:t>
      </w:r>
    </w:p>
    <w:p w14:paraId="08F050A5" w14:textId="7A33D8D7" w:rsidR="004E0DA6" w:rsidRDefault="00056D7F" w:rsidP="00FA4AAF">
      <w:pPr>
        <w:pStyle w:val="TableFooter"/>
        <w:widowControl/>
        <w:tabs>
          <w:tab w:val="left" w:pos="284"/>
        </w:tabs>
        <w:ind w:left="284" w:hanging="284"/>
      </w:pPr>
      <w:r w:rsidRPr="00056D7F">
        <w:rPr>
          <w:vertAlign w:val="superscript"/>
        </w:rPr>
        <w:t>a</w:t>
      </w:r>
      <w:r w:rsidR="00FA4AAF">
        <w:tab/>
      </w:r>
      <w:r w:rsidR="004E0DA6">
        <w:t xml:space="preserve">cost per cycle includes </w:t>
      </w:r>
      <w:r w:rsidR="00F338DB">
        <w:t>adjustment</w:t>
      </w:r>
      <w:r w:rsidR="004E0DA6">
        <w:t xml:space="preserve"> with trial based relative dose </w:t>
      </w:r>
      <w:proofErr w:type="gramStart"/>
      <w:r w:rsidR="004E0DA6">
        <w:t>intensity:</w:t>
      </w:r>
      <w:proofErr w:type="gramEnd"/>
      <w:r w:rsidR="004E0DA6">
        <w:t xml:space="preserve"> as follows, 93.4% for pembrolizumab, 71.8% for 5-FU in the treatment arm, and 58.2% for cisplatin in the treatment arm, 76.9% for 5-FU in the control arm, and 65.2% for cisplatin in the control arm. </w:t>
      </w:r>
    </w:p>
    <w:p w14:paraId="26547B87" w14:textId="585FB057" w:rsidR="004E0DA6" w:rsidRPr="00CB71F0" w:rsidRDefault="00056D7F" w:rsidP="00CB71F0">
      <w:pPr>
        <w:pStyle w:val="TableFooter"/>
        <w:tabs>
          <w:tab w:val="left" w:pos="284"/>
        </w:tabs>
        <w:spacing w:after="120"/>
        <w:ind w:left="284" w:hanging="284"/>
        <w:rPr>
          <w:i/>
        </w:rPr>
      </w:pPr>
      <w:r w:rsidRPr="00056D7F">
        <w:rPr>
          <w:vertAlign w:val="superscript"/>
        </w:rPr>
        <w:t>b</w:t>
      </w:r>
      <w:r w:rsidR="00FA4AAF">
        <w:tab/>
      </w:r>
      <w:r w:rsidR="003C492F">
        <w:t>Cycles of</w:t>
      </w:r>
      <w:r w:rsidR="004E0DA6">
        <w:t xml:space="preserve"> treatmen</w:t>
      </w:r>
      <w:r w:rsidR="003C492F">
        <w:t xml:space="preserve">t </w:t>
      </w:r>
      <w:proofErr w:type="gramStart"/>
      <w:r w:rsidR="003C492F">
        <w:t>back-calculated</w:t>
      </w:r>
      <w:proofErr w:type="gramEnd"/>
      <w:r w:rsidR="003C492F">
        <w:t xml:space="preserve"> in the model </w:t>
      </w:r>
      <w:r w:rsidR="004E0DA6">
        <w:t>by dividing undiscounted total cost of treatment by the dose adjusted cost per cycle of treatment</w:t>
      </w:r>
    </w:p>
    <w:p w14:paraId="1771B344" w14:textId="69FCD47E" w:rsidR="004E0DA6" w:rsidRPr="00CB71F0" w:rsidRDefault="004E0DA6" w:rsidP="00CB71F0">
      <w:pPr>
        <w:pStyle w:val="Heading2"/>
        <w:keepNext/>
        <w:keepLines/>
        <w:spacing w:after="120"/>
        <w:rPr>
          <w:rFonts w:asciiTheme="minorHAnsi" w:hAnsiTheme="minorHAnsi" w:cstheme="minorHAnsi"/>
        </w:rPr>
      </w:pPr>
      <w:bookmarkStart w:id="47" w:name="_Toc79761904"/>
      <w:r w:rsidRPr="0060004D">
        <w:rPr>
          <w:rFonts w:asciiTheme="minorHAnsi" w:hAnsiTheme="minorHAnsi" w:cstheme="minorHAnsi"/>
        </w:rPr>
        <w:t>Estimated PBS usage &amp; financial implications</w:t>
      </w:r>
      <w:bookmarkEnd w:id="47"/>
    </w:p>
    <w:p w14:paraId="7FF6E8ED" w14:textId="77777777" w:rsidR="00BE0131" w:rsidRDefault="009336B1" w:rsidP="009336B1">
      <w:pPr>
        <w:pStyle w:val="ListParagraph"/>
        <w:keepNext/>
        <w:keepLines/>
        <w:widowControl/>
        <w:numPr>
          <w:ilvl w:val="1"/>
          <w:numId w:val="1"/>
        </w:numPr>
        <w:rPr>
          <w:rFonts w:cs="Calibri"/>
        </w:rPr>
      </w:pPr>
      <w:r w:rsidRPr="0060004D">
        <w:rPr>
          <w:rFonts w:cs="Calibri"/>
          <w:szCs w:val="24"/>
        </w:rPr>
        <w:t xml:space="preserve">This submission </w:t>
      </w:r>
      <w:r w:rsidR="00BE0131">
        <w:rPr>
          <w:rFonts w:cs="Calibri"/>
          <w:szCs w:val="24"/>
        </w:rPr>
        <w:t>was</w:t>
      </w:r>
      <w:r w:rsidRPr="0060004D">
        <w:rPr>
          <w:rFonts w:cs="Calibri"/>
          <w:szCs w:val="24"/>
        </w:rPr>
        <w:t xml:space="preserve"> considered by DUSC</w:t>
      </w:r>
      <w:r>
        <w:rPr>
          <w:rFonts w:cs="Calibri"/>
        </w:rPr>
        <w:t xml:space="preserve">. </w:t>
      </w:r>
    </w:p>
    <w:p w14:paraId="3E52D943" w14:textId="77777777" w:rsidR="009336B1" w:rsidRPr="00600F63" w:rsidRDefault="009336B1" w:rsidP="009336B1">
      <w:pPr>
        <w:pStyle w:val="ListParagraph"/>
        <w:keepNext/>
        <w:keepLines/>
        <w:widowControl/>
        <w:numPr>
          <w:ilvl w:val="1"/>
          <w:numId w:val="1"/>
        </w:numPr>
        <w:rPr>
          <w:rFonts w:cs="Calibri"/>
        </w:rPr>
      </w:pPr>
      <w:r>
        <w:rPr>
          <w:rFonts w:cs="Calibri"/>
        </w:rPr>
        <w:t xml:space="preserve">The submission took an epidemiological approach to estimate use and financial impact. </w:t>
      </w:r>
    </w:p>
    <w:p w14:paraId="0B65C146" w14:textId="77777777" w:rsidR="009336B1" w:rsidRPr="0060004D" w:rsidRDefault="009336B1" w:rsidP="009336B1">
      <w:pPr>
        <w:pStyle w:val="ListParagraph"/>
        <w:widowControl/>
        <w:numPr>
          <w:ilvl w:val="1"/>
          <w:numId w:val="1"/>
        </w:numPr>
        <w:rPr>
          <w:rFonts w:cs="Calibri"/>
          <w:color w:val="000000" w:themeColor="text1"/>
          <w:szCs w:val="24"/>
        </w:rPr>
      </w:pPr>
      <w:r w:rsidRPr="0060004D">
        <w:rPr>
          <w:rFonts w:cs="Calibri"/>
          <w:color w:val="000000" w:themeColor="text1"/>
          <w:szCs w:val="24"/>
        </w:rPr>
        <w:t xml:space="preserve">A summary of inputs and their data sources are presented in </w:t>
      </w:r>
      <w:r w:rsidRPr="001356A4">
        <w:rPr>
          <w:rStyle w:val="BodyTextChar"/>
          <w:rFonts w:ascii="Calibri" w:hAnsi="Calibri" w:cs="Calibri"/>
          <w:sz w:val="24"/>
          <w:szCs w:val="24"/>
        </w:rPr>
        <w:t>Table 13</w:t>
      </w:r>
      <w:r w:rsidRPr="0060004D">
        <w:rPr>
          <w:rStyle w:val="BodyTextChar"/>
          <w:rFonts w:ascii="Calibri" w:hAnsi="Calibri" w:cs="Calibri"/>
          <w:sz w:val="24"/>
          <w:szCs w:val="24"/>
        </w:rPr>
        <w:t>.</w:t>
      </w:r>
    </w:p>
    <w:p w14:paraId="59B45D6A" w14:textId="77777777" w:rsidR="009336B1" w:rsidRPr="001009D9" w:rsidDel="00B167C3" w:rsidRDefault="009336B1" w:rsidP="009336B1">
      <w:pPr>
        <w:rPr>
          <w:rStyle w:val="CommentReference"/>
        </w:rPr>
      </w:pPr>
      <w:bookmarkStart w:id="48" w:name="_Ref79505973"/>
      <w:r w:rsidRPr="008D0B8F">
        <w:rPr>
          <w:rStyle w:val="CommentReference"/>
        </w:rPr>
        <w:t xml:space="preserve">Table </w:t>
      </w:r>
      <w:r>
        <w:rPr>
          <w:rStyle w:val="CommentReference"/>
          <w:noProof/>
        </w:rPr>
        <w:t>13</w:t>
      </w:r>
      <w:bookmarkEnd w:id="48"/>
      <w:r w:rsidRPr="008D0B8F">
        <w:rPr>
          <w:rStyle w:val="CommentReference"/>
        </w:rPr>
        <w:t xml:space="preserve">: </w:t>
      </w:r>
      <w:r>
        <w:rPr>
          <w:rStyle w:val="CommentReference"/>
        </w:rPr>
        <w:t>Data sources and inputs in the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ata sources and inputs in the financial estimates"/>
      </w:tblPr>
      <w:tblGrid>
        <w:gridCol w:w="1429"/>
        <w:gridCol w:w="2134"/>
        <w:gridCol w:w="1499"/>
        <w:gridCol w:w="4005"/>
      </w:tblGrid>
      <w:tr w:rsidR="009336B1" w:rsidRPr="001009D9" w14:paraId="38DE8E6B" w14:textId="77777777" w:rsidTr="000C3129">
        <w:trPr>
          <w:tblHeader/>
        </w:trPr>
        <w:tc>
          <w:tcPr>
            <w:tcW w:w="1429" w:type="dxa"/>
            <w:vAlign w:val="center"/>
          </w:tcPr>
          <w:p w14:paraId="7770942E" w14:textId="77777777" w:rsidR="009336B1" w:rsidRPr="001009D9" w:rsidRDefault="009336B1" w:rsidP="000C3129">
            <w:pPr>
              <w:pStyle w:val="Tabletext"/>
              <w:rPr>
                <w:b/>
              </w:rPr>
            </w:pPr>
            <w:r w:rsidRPr="001009D9">
              <w:rPr>
                <w:b/>
              </w:rPr>
              <w:t>Data</w:t>
            </w:r>
          </w:p>
        </w:tc>
        <w:tc>
          <w:tcPr>
            <w:tcW w:w="2134" w:type="dxa"/>
            <w:vAlign w:val="center"/>
          </w:tcPr>
          <w:p w14:paraId="34F19F66" w14:textId="77777777" w:rsidR="009336B1" w:rsidRPr="001009D9" w:rsidRDefault="009336B1" w:rsidP="000C3129">
            <w:pPr>
              <w:pStyle w:val="Tabletext"/>
              <w:jc w:val="center"/>
              <w:rPr>
                <w:b/>
              </w:rPr>
            </w:pPr>
            <w:r w:rsidRPr="001009D9">
              <w:rPr>
                <w:b/>
              </w:rPr>
              <w:t>Value</w:t>
            </w:r>
          </w:p>
        </w:tc>
        <w:tc>
          <w:tcPr>
            <w:tcW w:w="1499" w:type="dxa"/>
            <w:vAlign w:val="center"/>
          </w:tcPr>
          <w:p w14:paraId="347CDB1B" w14:textId="77777777" w:rsidR="009336B1" w:rsidRPr="001009D9" w:rsidRDefault="009336B1" w:rsidP="000C3129">
            <w:pPr>
              <w:pStyle w:val="Tabletext"/>
              <w:jc w:val="center"/>
              <w:rPr>
                <w:b/>
              </w:rPr>
            </w:pPr>
            <w:r w:rsidRPr="001009D9">
              <w:rPr>
                <w:b/>
              </w:rPr>
              <w:t>Source</w:t>
            </w:r>
          </w:p>
        </w:tc>
        <w:tc>
          <w:tcPr>
            <w:tcW w:w="4005" w:type="dxa"/>
            <w:vAlign w:val="center"/>
          </w:tcPr>
          <w:p w14:paraId="34EE667D" w14:textId="77777777" w:rsidR="009336B1" w:rsidRPr="009336B1" w:rsidRDefault="009336B1" w:rsidP="000C3129">
            <w:pPr>
              <w:pStyle w:val="Tabletext"/>
              <w:jc w:val="center"/>
              <w:rPr>
                <w:b/>
              </w:rPr>
            </w:pPr>
            <w:r w:rsidRPr="009336B1">
              <w:rPr>
                <w:b/>
              </w:rPr>
              <w:t>Comment</w:t>
            </w:r>
          </w:p>
        </w:tc>
      </w:tr>
      <w:tr w:rsidR="009336B1" w:rsidRPr="001009D9" w14:paraId="2771FC85" w14:textId="77777777" w:rsidTr="000C3129">
        <w:tc>
          <w:tcPr>
            <w:tcW w:w="9067" w:type="dxa"/>
            <w:gridSpan w:val="4"/>
            <w:vAlign w:val="center"/>
          </w:tcPr>
          <w:p w14:paraId="4D0A83E0" w14:textId="77777777" w:rsidR="009336B1" w:rsidRPr="009336B1" w:rsidRDefault="009336B1" w:rsidP="000C3129">
            <w:pPr>
              <w:pStyle w:val="Tabletext"/>
              <w:rPr>
                <w:b/>
              </w:rPr>
            </w:pPr>
            <w:r w:rsidRPr="009336B1">
              <w:rPr>
                <w:b/>
              </w:rPr>
              <w:t>Eligible population</w:t>
            </w:r>
          </w:p>
        </w:tc>
      </w:tr>
      <w:tr w:rsidR="00EC7AC8" w:rsidRPr="001009D9" w14:paraId="182BE3E1" w14:textId="77777777" w:rsidTr="000C3129">
        <w:tc>
          <w:tcPr>
            <w:tcW w:w="1429" w:type="dxa"/>
            <w:vAlign w:val="center"/>
          </w:tcPr>
          <w:p w14:paraId="5AF1537B" w14:textId="77777777" w:rsidR="00EC7AC8" w:rsidRDefault="00EC7AC8" w:rsidP="000C3129">
            <w:pPr>
              <w:pStyle w:val="Tabletext"/>
            </w:pPr>
            <w:r>
              <w:t>Incident patients with oesophageal cancer</w:t>
            </w:r>
          </w:p>
        </w:tc>
        <w:tc>
          <w:tcPr>
            <w:tcW w:w="2134" w:type="dxa"/>
            <w:vAlign w:val="center"/>
          </w:tcPr>
          <w:p w14:paraId="771C755D" w14:textId="77777777" w:rsidR="00EC7AC8" w:rsidRPr="00EC7AC8" w:rsidRDefault="00D451EA" w:rsidP="000C3129">
            <w:pPr>
              <w:pStyle w:val="Tabletext"/>
              <w:rPr>
                <w:bCs/>
              </w:rPr>
            </w:pPr>
            <w:r>
              <w:rPr>
                <w:bCs/>
                <w:noProof/>
                <w:color w:val="000000"/>
                <w:highlight w:val="black"/>
              </w:rPr>
              <w:t>'''''''''''''</w:t>
            </w:r>
            <w:r w:rsidR="00447EBA">
              <w:rPr>
                <w:bCs/>
                <w:vertAlign w:val="superscript"/>
              </w:rPr>
              <w:t>1</w:t>
            </w:r>
            <w:r w:rsidR="00EC7AC8" w:rsidRPr="00EC7AC8">
              <w:rPr>
                <w:bCs/>
              </w:rPr>
              <w:t xml:space="preserve"> in Year 1</w:t>
            </w:r>
          </w:p>
        </w:tc>
        <w:tc>
          <w:tcPr>
            <w:tcW w:w="1499" w:type="dxa"/>
            <w:vAlign w:val="center"/>
          </w:tcPr>
          <w:p w14:paraId="19CF6F44" w14:textId="77777777" w:rsidR="00EC7AC8" w:rsidRDefault="00EC7AC8" w:rsidP="000C3129">
            <w:pPr>
              <w:pStyle w:val="Tabletext"/>
            </w:pPr>
            <w:r>
              <w:t>AIHW (2018)</w:t>
            </w:r>
          </w:p>
          <w:p w14:paraId="45EC4E8E" w14:textId="77777777" w:rsidR="00EC7AC8" w:rsidRDefault="00EC7AC8" w:rsidP="00EC7AC8">
            <w:pPr>
              <w:pStyle w:val="Tabletext"/>
            </w:pPr>
            <w:r>
              <w:t>With growth based on average historical growth rate between 2010 and 2021</w:t>
            </w:r>
          </w:p>
        </w:tc>
        <w:tc>
          <w:tcPr>
            <w:tcW w:w="4005" w:type="dxa"/>
            <w:vAlign w:val="center"/>
          </w:tcPr>
          <w:p w14:paraId="158E8909" w14:textId="77777777" w:rsidR="00EC7AC8" w:rsidRPr="009336B1" w:rsidRDefault="00EC7AC8" w:rsidP="00EC7AC8">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p>
        </w:tc>
      </w:tr>
      <w:tr w:rsidR="009336B1" w:rsidRPr="001009D9" w14:paraId="6B72A643" w14:textId="77777777" w:rsidTr="000C3129">
        <w:tc>
          <w:tcPr>
            <w:tcW w:w="1429" w:type="dxa"/>
            <w:vAlign w:val="center"/>
          </w:tcPr>
          <w:p w14:paraId="66D1FEC2" w14:textId="77777777" w:rsidR="009336B1" w:rsidRDefault="009336B1" w:rsidP="00EC7AC8">
            <w:pPr>
              <w:pStyle w:val="Tabletext"/>
            </w:pPr>
            <w:r>
              <w:t xml:space="preserve">Prevalent </w:t>
            </w:r>
            <w:r w:rsidR="00EC7AC8">
              <w:t xml:space="preserve">patients with oesophageal cancer </w:t>
            </w:r>
          </w:p>
        </w:tc>
        <w:tc>
          <w:tcPr>
            <w:tcW w:w="2134" w:type="dxa"/>
            <w:vAlign w:val="center"/>
          </w:tcPr>
          <w:p w14:paraId="21275862" w14:textId="77777777" w:rsidR="009336B1" w:rsidRDefault="00D451EA" w:rsidP="000C3129">
            <w:pPr>
              <w:pStyle w:val="Tabletext"/>
            </w:pPr>
            <w:r>
              <w:rPr>
                <w:rFonts w:cs="Arial"/>
                <w:noProof/>
                <w:color w:val="000000"/>
                <w:highlight w:val="black"/>
              </w:rPr>
              <w:t>'''''''''''''</w:t>
            </w:r>
            <w:r w:rsidR="00447EBA">
              <w:rPr>
                <w:rFonts w:cs="Arial"/>
                <w:color w:val="000000"/>
                <w:vertAlign w:val="superscript"/>
              </w:rPr>
              <w:t>1</w:t>
            </w:r>
            <w:r w:rsidR="009336B1">
              <w:rPr>
                <w:rFonts w:cs="Arial"/>
                <w:color w:val="000000"/>
              </w:rPr>
              <w:t xml:space="preserve"> in Year 1</w:t>
            </w:r>
          </w:p>
        </w:tc>
        <w:tc>
          <w:tcPr>
            <w:tcW w:w="1499" w:type="dxa"/>
            <w:vAlign w:val="center"/>
          </w:tcPr>
          <w:p w14:paraId="7D765D66" w14:textId="77777777" w:rsidR="009336B1" w:rsidRDefault="009336B1" w:rsidP="000C3129">
            <w:pPr>
              <w:pStyle w:val="Tabletext"/>
            </w:pPr>
            <w:r>
              <w:t>AIHW (2018)</w:t>
            </w:r>
          </w:p>
        </w:tc>
        <w:tc>
          <w:tcPr>
            <w:tcW w:w="4005" w:type="dxa"/>
            <w:vAlign w:val="center"/>
          </w:tcPr>
          <w:p w14:paraId="40E9FBEE" w14:textId="77777777" w:rsidR="009336B1" w:rsidRPr="009336B1" w:rsidRDefault="00EC7AC8" w:rsidP="009228BA">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r>
              <w:rPr>
                <w:iCs/>
              </w:rPr>
              <w:t xml:space="preserve"> </w:t>
            </w:r>
          </w:p>
        </w:tc>
      </w:tr>
      <w:tr w:rsidR="009336B1" w:rsidRPr="001009D9" w14:paraId="480D0592" w14:textId="77777777" w:rsidTr="000C3129">
        <w:tc>
          <w:tcPr>
            <w:tcW w:w="1429" w:type="dxa"/>
            <w:vAlign w:val="center"/>
          </w:tcPr>
          <w:p w14:paraId="28613926" w14:textId="3FDF5AC5" w:rsidR="009336B1" w:rsidRPr="001009D9" w:rsidRDefault="00F31302" w:rsidP="000C3129">
            <w:pPr>
              <w:pStyle w:val="Tabletext"/>
            </w:pPr>
            <w:r>
              <w:t xml:space="preserve">Proportion of incidence cases that is </w:t>
            </w:r>
            <w:r w:rsidR="009336B1">
              <w:t>adenocarcinoma</w:t>
            </w:r>
          </w:p>
        </w:tc>
        <w:tc>
          <w:tcPr>
            <w:tcW w:w="2134" w:type="dxa"/>
            <w:vAlign w:val="center"/>
          </w:tcPr>
          <w:p w14:paraId="34DA345B" w14:textId="77777777" w:rsidR="009336B1" w:rsidRPr="001009D9" w:rsidRDefault="009336B1" w:rsidP="000C3129">
            <w:pPr>
              <w:pStyle w:val="Tabletext"/>
            </w:pPr>
            <w:r>
              <w:t>74%</w:t>
            </w:r>
          </w:p>
        </w:tc>
        <w:tc>
          <w:tcPr>
            <w:tcW w:w="1499" w:type="dxa"/>
            <w:vAlign w:val="center"/>
          </w:tcPr>
          <w:p w14:paraId="321760D3" w14:textId="77777777" w:rsidR="009336B1" w:rsidRPr="001009D9" w:rsidRDefault="009336B1" w:rsidP="000C3129">
            <w:pPr>
              <w:pStyle w:val="Tabletext"/>
            </w:pPr>
            <w:r>
              <w:t>Nguyen (2019)</w:t>
            </w:r>
          </w:p>
        </w:tc>
        <w:tc>
          <w:tcPr>
            <w:tcW w:w="4005" w:type="dxa"/>
            <w:vAlign w:val="center"/>
          </w:tcPr>
          <w:p w14:paraId="45EA495B" w14:textId="77777777" w:rsidR="009336B1" w:rsidRPr="009336B1" w:rsidRDefault="009336B1" w:rsidP="000C3129">
            <w:pPr>
              <w:pStyle w:val="Tabletext"/>
              <w:rPr>
                <w:iCs/>
              </w:rPr>
            </w:pPr>
            <w:r w:rsidRPr="009336B1">
              <w:rPr>
                <w:iCs/>
              </w:rPr>
              <w:t>Reasonable.</w:t>
            </w:r>
          </w:p>
        </w:tc>
      </w:tr>
      <w:tr w:rsidR="009336B1" w:rsidRPr="001009D9" w14:paraId="2AB26D5A" w14:textId="77777777" w:rsidTr="000C3129">
        <w:tc>
          <w:tcPr>
            <w:tcW w:w="1429" w:type="dxa"/>
            <w:vAlign w:val="center"/>
          </w:tcPr>
          <w:p w14:paraId="369B7FE4" w14:textId="77777777" w:rsidR="009336B1" w:rsidRDefault="009336B1" w:rsidP="00504E96">
            <w:pPr>
              <w:pStyle w:val="Tabletext"/>
            </w:pPr>
            <w:r>
              <w:lastRenderedPageBreak/>
              <w:t>Proportion</w:t>
            </w:r>
            <w:r w:rsidR="00687BE1">
              <w:t xml:space="preserve"> of patients with Siewert type I</w:t>
            </w:r>
            <w:r>
              <w:t xml:space="preserve"> </w:t>
            </w:r>
            <w:r w:rsidR="00504E96">
              <w:t xml:space="preserve">AC </w:t>
            </w:r>
            <w:r>
              <w:t>of the GOJ who are HER2+</w:t>
            </w:r>
          </w:p>
        </w:tc>
        <w:tc>
          <w:tcPr>
            <w:tcW w:w="2134" w:type="dxa"/>
            <w:vAlign w:val="center"/>
          </w:tcPr>
          <w:p w14:paraId="06861D1B" w14:textId="77777777" w:rsidR="009336B1" w:rsidRDefault="009336B1" w:rsidP="000C3129">
            <w:pPr>
              <w:pStyle w:val="Tabletext"/>
            </w:pPr>
            <w:r>
              <w:t>5%</w:t>
            </w:r>
          </w:p>
        </w:tc>
        <w:tc>
          <w:tcPr>
            <w:tcW w:w="1499" w:type="dxa"/>
            <w:vAlign w:val="center"/>
          </w:tcPr>
          <w:p w14:paraId="62174F07" w14:textId="77777777" w:rsidR="009336B1" w:rsidRDefault="009336B1" w:rsidP="000C3129">
            <w:pPr>
              <w:pStyle w:val="Tabletext"/>
            </w:pPr>
            <w:r>
              <w:t>Based on Expert opinion</w:t>
            </w:r>
          </w:p>
        </w:tc>
        <w:tc>
          <w:tcPr>
            <w:tcW w:w="4005" w:type="dxa"/>
            <w:vAlign w:val="center"/>
          </w:tcPr>
          <w:p w14:paraId="333F9E8E" w14:textId="77777777" w:rsidR="009336B1" w:rsidRPr="009336B1" w:rsidRDefault="009336B1" w:rsidP="009228BA">
            <w:pPr>
              <w:pStyle w:val="Tabletext"/>
              <w:rPr>
                <w:iCs/>
              </w:rPr>
            </w:pPr>
            <w:r w:rsidRPr="009336B1">
              <w:rPr>
                <w:iCs/>
              </w:rPr>
              <w:t xml:space="preserve">The submission only stated that this was based on “KSL advice” </w:t>
            </w:r>
            <w:r w:rsidR="00A444A8">
              <w:rPr>
                <w:iCs/>
              </w:rPr>
              <w:t xml:space="preserve">and </w:t>
            </w:r>
            <w:r w:rsidRPr="009336B1">
              <w:rPr>
                <w:iCs/>
              </w:rPr>
              <w:t xml:space="preserve">no further details of this opinion were presented. </w:t>
            </w:r>
          </w:p>
        </w:tc>
      </w:tr>
      <w:tr w:rsidR="009336B1" w:rsidRPr="001009D9" w14:paraId="1490DB1C" w14:textId="77777777" w:rsidTr="000C3129">
        <w:tc>
          <w:tcPr>
            <w:tcW w:w="1429" w:type="dxa"/>
            <w:vAlign w:val="center"/>
          </w:tcPr>
          <w:p w14:paraId="1A19DF47" w14:textId="77777777" w:rsidR="009336B1" w:rsidRDefault="009336B1" w:rsidP="000C3129">
            <w:pPr>
              <w:pStyle w:val="Tabletext"/>
            </w:pPr>
            <w:r>
              <w:t>Stage</w:t>
            </w:r>
          </w:p>
        </w:tc>
        <w:tc>
          <w:tcPr>
            <w:tcW w:w="2134" w:type="dxa"/>
            <w:vAlign w:val="center"/>
          </w:tcPr>
          <w:p w14:paraId="6D976881" w14:textId="77777777" w:rsidR="009336B1" w:rsidRDefault="009336B1" w:rsidP="000C3129">
            <w:pPr>
              <w:pStyle w:val="Tabletext"/>
            </w:pPr>
            <w:r>
              <w:t>Stage I: 16%</w:t>
            </w:r>
          </w:p>
          <w:p w14:paraId="6491022A" w14:textId="77777777" w:rsidR="009336B1" w:rsidRDefault="009336B1" w:rsidP="000C3129">
            <w:pPr>
              <w:pStyle w:val="Tabletext"/>
            </w:pPr>
            <w:r>
              <w:t>Stage II/III: 57%</w:t>
            </w:r>
          </w:p>
          <w:p w14:paraId="2A0CF547" w14:textId="77777777" w:rsidR="009336B1" w:rsidRDefault="009336B1" w:rsidP="000C3129">
            <w:pPr>
              <w:pStyle w:val="Tabletext"/>
            </w:pPr>
            <w:r>
              <w:t>Stage IV: 27%</w:t>
            </w:r>
          </w:p>
        </w:tc>
        <w:tc>
          <w:tcPr>
            <w:tcW w:w="1499" w:type="dxa"/>
            <w:vAlign w:val="center"/>
          </w:tcPr>
          <w:p w14:paraId="4E2A6D79" w14:textId="77777777" w:rsidR="009336B1" w:rsidRDefault="009336B1" w:rsidP="000C3129">
            <w:pPr>
              <w:pStyle w:val="Tabletext"/>
            </w:pPr>
            <w:r>
              <w:t>Nguyen (2019)</w:t>
            </w:r>
          </w:p>
        </w:tc>
        <w:tc>
          <w:tcPr>
            <w:tcW w:w="4005" w:type="dxa"/>
            <w:vAlign w:val="center"/>
          </w:tcPr>
          <w:p w14:paraId="4CB69C23" w14:textId="77777777" w:rsidR="009336B1" w:rsidRPr="009336B1" w:rsidRDefault="009336B1" w:rsidP="00A444A8">
            <w:pPr>
              <w:pStyle w:val="Tabletext"/>
            </w:pPr>
            <w:r w:rsidRPr="009336B1">
              <w:rPr>
                <w:iCs/>
              </w:rPr>
              <w:t>Reasonable</w:t>
            </w:r>
            <w:r w:rsidR="00A444A8">
              <w:rPr>
                <w:iCs/>
              </w:rPr>
              <w:t>,</w:t>
            </w:r>
            <w:r w:rsidRPr="009336B1">
              <w:rPr>
                <w:iCs/>
              </w:rPr>
              <w:t xml:space="preserve"> </w:t>
            </w:r>
            <w:r w:rsidR="00A444A8">
              <w:rPr>
                <w:iCs/>
              </w:rPr>
              <w:t>alt</w:t>
            </w:r>
            <w:r w:rsidRPr="009336B1">
              <w:rPr>
                <w:iCs/>
              </w:rPr>
              <w:t>hough this groups Stages II/III together</w:t>
            </w:r>
            <w:r w:rsidR="00A444A8">
              <w:rPr>
                <w:iCs/>
              </w:rPr>
              <w:t>,</w:t>
            </w:r>
            <w:r w:rsidRPr="009336B1">
              <w:rPr>
                <w:iCs/>
              </w:rPr>
              <w:t xml:space="preserve"> which may overestimate the incident population.</w:t>
            </w:r>
          </w:p>
        </w:tc>
      </w:tr>
      <w:tr w:rsidR="009336B1" w:rsidRPr="001009D9" w14:paraId="7E7DBF2C" w14:textId="77777777" w:rsidTr="000C3129">
        <w:tc>
          <w:tcPr>
            <w:tcW w:w="1429" w:type="dxa"/>
            <w:vAlign w:val="center"/>
          </w:tcPr>
          <w:p w14:paraId="14328655" w14:textId="77777777" w:rsidR="009336B1" w:rsidRDefault="009336B1" w:rsidP="000C3129">
            <w:pPr>
              <w:pStyle w:val="Tabletext"/>
            </w:pPr>
            <w:r>
              <w:t xml:space="preserve">Proportion </w:t>
            </w:r>
            <w:proofErr w:type="spellStart"/>
            <w:r>
              <w:t>resectable</w:t>
            </w:r>
            <w:proofErr w:type="spellEnd"/>
          </w:p>
        </w:tc>
        <w:tc>
          <w:tcPr>
            <w:tcW w:w="2134" w:type="dxa"/>
            <w:vAlign w:val="center"/>
          </w:tcPr>
          <w:p w14:paraId="71583774" w14:textId="77777777" w:rsidR="009336B1" w:rsidRDefault="009336B1" w:rsidP="000C3129">
            <w:pPr>
              <w:pStyle w:val="Tabletext"/>
            </w:pPr>
            <w:r>
              <w:t>64%</w:t>
            </w:r>
          </w:p>
        </w:tc>
        <w:tc>
          <w:tcPr>
            <w:tcW w:w="1499" w:type="dxa"/>
            <w:vAlign w:val="center"/>
          </w:tcPr>
          <w:p w14:paraId="60544F68" w14:textId="77777777" w:rsidR="009336B1" w:rsidRDefault="009336B1" w:rsidP="000C3129">
            <w:pPr>
              <w:pStyle w:val="Tabletext"/>
            </w:pPr>
            <w:r>
              <w:t>Nguyen 2019: Proportion of patients treated with curative intent</w:t>
            </w:r>
          </w:p>
        </w:tc>
        <w:tc>
          <w:tcPr>
            <w:tcW w:w="4005" w:type="dxa"/>
            <w:vAlign w:val="center"/>
          </w:tcPr>
          <w:p w14:paraId="1D7722C6" w14:textId="77777777" w:rsidR="009336B1" w:rsidRPr="009336B1" w:rsidRDefault="009336B1" w:rsidP="000C3129">
            <w:pPr>
              <w:pStyle w:val="Tabletext"/>
              <w:rPr>
                <w:iCs/>
              </w:rPr>
            </w:pPr>
          </w:p>
        </w:tc>
      </w:tr>
      <w:tr w:rsidR="009336B1" w:rsidRPr="001009D9" w14:paraId="02A778AD" w14:textId="77777777" w:rsidTr="000C3129">
        <w:tc>
          <w:tcPr>
            <w:tcW w:w="1429" w:type="dxa"/>
            <w:vAlign w:val="center"/>
          </w:tcPr>
          <w:p w14:paraId="391BF27F" w14:textId="77777777" w:rsidR="009336B1" w:rsidRDefault="009336B1" w:rsidP="000C3129">
            <w:pPr>
              <w:pStyle w:val="Tabletext"/>
            </w:pPr>
            <w:r>
              <w:t>ECOG PS 0-1</w:t>
            </w:r>
          </w:p>
        </w:tc>
        <w:tc>
          <w:tcPr>
            <w:tcW w:w="2134" w:type="dxa"/>
            <w:vAlign w:val="center"/>
          </w:tcPr>
          <w:p w14:paraId="0032C131" w14:textId="77777777" w:rsidR="009336B1" w:rsidRPr="001009D9" w:rsidRDefault="009336B1" w:rsidP="000C3129">
            <w:pPr>
              <w:pStyle w:val="Tabletext"/>
            </w:pPr>
            <w:r>
              <w:t>80%</w:t>
            </w:r>
          </w:p>
        </w:tc>
        <w:tc>
          <w:tcPr>
            <w:tcW w:w="1499" w:type="dxa"/>
            <w:vAlign w:val="center"/>
          </w:tcPr>
          <w:p w14:paraId="362A1A1E" w14:textId="77777777" w:rsidR="009336B1" w:rsidRPr="001009D9" w:rsidRDefault="009336B1" w:rsidP="000C3129">
            <w:pPr>
              <w:pStyle w:val="Tabletext"/>
            </w:pPr>
            <w:r>
              <w:t>Expert opinion</w:t>
            </w:r>
          </w:p>
        </w:tc>
        <w:tc>
          <w:tcPr>
            <w:tcW w:w="4005" w:type="dxa"/>
            <w:vAlign w:val="center"/>
          </w:tcPr>
          <w:p w14:paraId="0838B5EA" w14:textId="77777777" w:rsidR="009336B1" w:rsidRPr="009336B1" w:rsidRDefault="009336B1" w:rsidP="000C3129">
            <w:pPr>
              <w:pStyle w:val="Tabletext"/>
            </w:pPr>
            <w:r w:rsidRPr="009336B1">
              <w:rPr>
                <w:iCs/>
              </w:rPr>
              <w:t xml:space="preserve">The submission only stated that this was based on “KSL advice” </w:t>
            </w:r>
            <w:r w:rsidR="00A444A8">
              <w:rPr>
                <w:iCs/>
              </w:rPr>
              <w:t xml:space="preserve">and </w:t>
            </w:r>
            <w:r w:rsidRPr="009336B1">
              <w:rPr>
                <w:iCs/>
              </w:rPr>
              <w:t>no further details of this opinion were presented.</w:t>
            </w:r>
          </w:p>
        </w:tc>
      </w:tr>
      <w:tr w:rsidR="009336B1" w:rsidRPr="001009D9" w14:paraId="5F2D2DFE" w14:textId="77777777" w:rsidTr="000C3129">
        <w:tc>
          <w:tcPr>
            <w:tcW w:w="1429" w:type="dxa"/>
            <w:vAlign w:val="center"/>
          </w:tcPr>
          <w:p w14:paraId="6DCD2DD5" w14:textId="77777777" w:rsidR="009336B1" w:rsidRPr="001009D9" w:rsidRDefault="009336B1" w:rsidP="000C3129">
            <w:pPr>
              <w:pStyle w:val="Tabletext"/>
            </w:pPr>
            <w:r>
              <w:t>Uptake</w:t>
            </w:r>
          </w:p>
        </w:tc>
        <w:tc>
          <w:tcPr>
            <w:tcW w:w="2134" w:type="dxa"/>
            <w:vAlign w:val="center"/>
          </w:tcPr>
          <w:p w14:paraId="73642BEE" w14:textId="77777777" w:rsidR="009336B1" w:rsidRPr="001009D9" w:rsidRDefault="009336B1" w:rsidP="000C3129">
            <w:pPr>
              <w:pStyle w:val="Tabletext"/>
            </w:pPr>
            <w:r>
              <w:t>90%</w:t>
            </w:r>
          </w:p>
        </w:tc>
        <w:tc>
          <w:tcPr>
            <w:tcW w:w="1499" w:type="dxa"/>
            <w:vAlign w:val="center"/>
          </w:tcPr>
          <w:p w14:paraId="64F63B6D" w14:textId="77777777" w:rsidR="009336B1" w:rsidRPr="001009D9" w:rsidRDefault="009336B1" w:rsidP="000C3129">
            <w:pPr>
              <w:pStyle w:val="Tabletext"/>
            </w:pPr>
            <w:r>
              <w:t>Assumption</w:t>
            </w:r>
          </w:p>
        </w:tc>
        <w:tc>
          <w:tcPr>
            <w:tcW w:w="4005" w:type="dxa"/>
            <w:vAlign w:val="center"/>
          </w:tcPr>
          <w:p w14:paraId="5552A913" w14:textId="77777777" w:rsidR="009336B1" w:rsidRPr="009336B1" w:rsidRDefault="009336B1" w:rsidP="000C3129">
            <w:pPr>
              <w:pStyle w:val="Tabletext"/>
              <w:rPr>
                <w:iCs/>
              </w:rPr>
            </w:pPr>
            <w:r w:rsidRPr="009336B1">
              <w:rPr>
                <w:iCs/>
              </w:rPr>
              <w:t>Could potentially be lower in the Australian treatment population.</w:t>
            </w:r>
          </w:p>
        </w:tc>
      </w:tr>
      <w:tr w:rsidR="009336B1" w:rsidRPr="001009D9" w14:paraId="37365095" w14:textId="77777777" w:rsidTr="000C3129">
        <w:tc>
          <w:tcPr>
            <w:tcW w:w="9067" w:type="dxa"/>
            <w:gridSpan w:val="4"/>
            <w:vAlign w:val="center"/>
          </w:tcPr>
          <w:p w14:paraId="634A5F49" w14:textId="77777777" w:rsidR="009336B1" w:rsidRPr="009336B1" w:rsidRDefault="009336B1" w:rsidP="000C3129">
            <w:pPr>
              <w:pStyle w:val="Tabletext"/>
              <w:rPr>
                <w:b/>
              </w:rPr>
            </w:pPr>
            <w:r w:rsidRPr="009336B1">
              <w:rPr>
                <w:b/>
              </w:rPr>
              <w:t>Treatment utilisation</w:t>
            </w:r>
          </w:p>
        </w:tc>
      </w:tr>
      <w:tr w:rsidR="009336B1" w:rsidRPr="001009D9" w14:paraId="7526604D" w14:textId="77777777" w:rsidTr="000C3129">
        <w:tc>
          <w:tcPr>
            <w:tcW w:w="1429" w:type="dxa"/>
            <w:vAlign w:val="center"/>
          </w:tcPr>
          <w:p w14:paraId="39BE2E89" w14:textId="76AA1F7D" w:rsidR="009336B1" w:rsidRPr="001009D9" w:rsidRDefault="009336B1" w:rsidP="000C3129">
            <w:pPr>
              <w:pStyle w:val="Tabletext"/>
            </w:pPr>
            <w:r>
              <w:t xml:space="preserve">Pembrolizumab administrations per patient </w:t>
            </w:r>
            <w:r w:rsidRPr="001009D9">
              <w:t>dispensed</w:t>
            </w:r>
          </w:p>
        </w:tc>
        <w:tc>
          <w:tcPr>
            <w:tcW w:w="2134" w:type="dxa"/>
            <w:vAlign w:val="center"/>
          </w:tcPr>
          <w:p w14:paraId="500BFF68" w14:textId="77777777" w:rsidR="009336B1" w:rsidRPr="001009D9" w:rsidRDefault="009336B1" w:rsidP="000C3129">
            <w:pPr>
              <w:pStyle w:val="Tabletext"/>
            </w:pPr>
            <w:r w:rsidRPr="00A94CDE">
              <w:t>10.96</w:t>
            </w:r>
            <w:r>
              <w:t xml:space="preserve"> per patient</w:t>
            </w:r>
          </w:p>
        </w:tc>
        <w:tc>
          <w:tcPr>
            <w:tcW w:w="1499" w:type="dxa"/>
            <w:vAlign w:val="center"/>
          </w:tcPr>
          <w:p w14:paraId="7752171D" w14:textId="77777777" w:rsidR="009336B1" w:rsidRPr="001009D9" w:rsidRDefault="009336B1" w:rsidP="000C3129">
            <w:pPr>
              <w:pStyle w:val="Tabletext"/>
            </w:pPr>
            <w:r>
              <w:t>11.73 x 93.4% dose intensity</w:t>
            </w:r>
          </w:p>
        </w:tc>
        <w:tc>
          <w:tcPr>
            <w:tcW w:w="4005" w:type="dxa"/>
            <w:vAlign w:val="center"/>
          </w:tcPr>
          <w:p w14:paraId="234DA7AD" w14:textId="77777777" w:rsidR="009336B1" w:rsidRPr="009336B1" w:rsidRDefault="00EC2910" w:rsidP="000C3129">
            <w:pPr>
              <w:pStyle w:val="Tabletext"/>
              <w:rPr>
                <w:iCs/>
              </w:rPr>
            </w:pPr>
            <w:r>
              <w:rPr>
                <w:iCs/>
              </w:rPr>
              <w:t>Consistent with economic model.</w:t>
            </w:r>
          </w:p>
        </w:tc>
      </w:tr>
      <w:tr w:rsidR="009336B1" w:rsidRPr="001009D9" w14:paraId="0572C995" w14:textId="77777777" w:rsidTr="000C3129">
        <w:tc>
          <w:tcPr>
            <w:tcW w:w="9067" w:type="dxa"/>
            <w:gridSpan w:val="4"/>
            <w:vAlign w:val="center"/>
          </w:tcPr>
          <w:p w14:paraId="5C495C9D" w14:textId="77777777" w:rsidR="009336B1" w:rsidRPr="009336B1" w:rsidRDefault="009336B1" w:rsidP="000C3129">
            <w:pPr>
              <w:pStyle w:val="Tabletext"/>
              <w:rPr>
                <w:b/>
              </w:rPr>
            </w:pPr>
            <w:r w:rsidRPr="009336B1">
              <w:rPr>
                <w:b/>
              </w:rPr>
              <w:t>Costs</w:t>
            </w:r>
          </w:p>
        </w:tc>
      </w:tr>
      <w:tr w:rsidR="009336B1" w:rsidRPr="001009D9" w14:paraId="1128CD0F" w14:textId="77777777" w:rsidTr="000C3129">
        <w:tc>
          <w:tcPr>
            <w:tcW w:w="1429" w:type="dxa"/>
            <w:vAlign w:val="center"/>
          </w:tcPr>
          <w:p w14:paraId="1FAC04BD" w14:textId="77777777" w:rsidR="009336B1" w:rsidRPr="001009D9" w:rsidRDefault="009336B1" w:rsidP="000C3129">
            <w:pPr>
              <w:pStyle w:val="Tabletext"/>
            </w:pPr>
            <w:r>
              <w:t>Chemotherapy</w:t>
            </w:r>
          </w:p>
        </w:tc>
        <w:tc>
          <w:tcPr>
            <w:tcW w:w="2134" w:type="dxa"/>
            <w:vAlign w:val="center"/>
          </w:tcPr>
          <w:p w14:paraId="253E9590" w14:textId="77777777" w:rsidR="009336B1" w:rsidRPr="001009D9" w:rsidRDefault="009336B1" w:rsidP="000C3129">
            <w:pPr>
              <w:pStyle w:val="Tabletext"/>
            </w:pPr>
            <w:r>
              <w:t>Not included in submission</w:t>
            </w:r>
          </w:p>
        </w:tc>
        <w:tc>
          <w:tcPr>
            <w:tcW w:w="1499" w:type="dxa"/>
            <w:vAlign w:val="center"/>
          </w:tcPr>
          <w:p w14:paraId="6CFC730D" w14:textId="77777777" w:rsidR="009336B1" w:rsidRPr="001009D9" w:rsidRDefault="009336B1" w:rsidP="000C3129">
            <w:pPr>
              <w:pStyle w:val="Tabletext"/>
            </w:pPr>
            <w:r>
              <w:t>--</w:t>
            </w:r>
          </w:p>
        </w:tc>
        <w:tc>
          <w:tcPr>
            <w:tcW w:w="4005" w:type="dxa"/>
            <w:vAlign w:val="center"/>
          </w:tcPr>
          <w:p w14:paraId="2BD6AD57" w14:textId="77777777" w:rsidR="009336B1" w:rsidRPr="009336B1" w:rsidRDefault="009336B1" w:rsidP="000C3129">
            <w:pPr>
              <w:pStyle w:val="Tabletext"/>
            </w:pPr>
            <w:r w:rsidRPr="009336B1">
              <w:t xml:space="preserve">The submission stated that because pembrolizumab will be used adjunctively to platinum + </w:t>
            </w:r>
            <w:r w:rsidR="00821E4A">
              <w:t>5</w:t>
            </w:r>
            <w:r w:rsidR="00821E4A">
              <w:noBreakHyphen/>
              <w:t>FU</w:t>
            </w:r>
            <w:r w:rsidRPr="009336B1">
              <w:t>, the current comparator, no estimated change in use of other therapies was considered and so this was not included.</w:t>
            </w:r>
          </w:p>
          <w:p w14:paraId="65C4A092" w14:textId="77777777" w:rsidR="009336B1" w:rsidRPr="009336B1" w:rsidRDefault="009336B1" w:rsidP="000C3129">
            <w:pPr>
              <w:pStyle w:val="Tabletext"/>
            </w:pPr>
          </w:p>
          <w:p w14:paraId="4350E332" w14:textId="77777777" w:rsidR="009336B1" w:rsidRPr="009336B1" w:rsidRDefault="009336B1" w:rsidP="00821E4A">
            <w:pPr>
              <w:pStyle w:val="Tabletext"/>
              <w:rPr>
                <w:iCs/>
              </w:rPr>
            </w:pPr>
            <w:r w:rsidRPr="009336B1">
              <w:rPr>
                <w:iCs/>
              </w:rPr>
              <w:t xml:space="preserve">If the claim of improved </w:t>
            </w:r>
            <w:r w:rsidR="00821E4A">
              <w:rPr>
                <w:iCs/>
              </w:rPr>
              <w:t>OS</w:t>
            </w:r>
            <w:r w:rsidRPr="009336B1">
              <w:rPr>
                <w:iCs/>
              </w:rPr>
              <w:t xml:space="preserve"> and </w:t>
            </w:r>
            <w:r w:rsidR="00821E4A">
              <w:rPr>
                <w:iCs/>
              </w:rPr>
              <w:t>PFS</w:t>
            </w:r>
            <w:r w:rsidRPr="009336B1">
              <w:rPr>
                <w:iCs/>
              </w:rPr>
              <w:t xml:space="preserve"> is accepted, this would lead to longer concomitant use of chemotherapy and thus the omission of these costs underestimates costs associated with listing pembrolizumab. </w:t>
            </w:r>
          </w:p>
        </w:tc>
      </w:tr>
    </w:tbl>
    <w:p w14:paraId="654F6E65" w14:textId="77777777" w:rsidR="009336B1" w:rsidRDefault="009336B1" w:rsidP="009336B1">
      <w:pPr>
        <w:pStyle w:val="TableFooter"/>
      </w:pPr>
      <w:r w:rsidRPr="001009D9">
        <w:t xml:space="preserve">Source: </w:t>
      </w:r>
      <w:r>
        <w:t xml:space="preserve">pp102-113. </w:t>
      </w:r>
      <w:r w:rsidR="00504E96">
        <w:t xml:space="preserve">AC = adenocarcinoma; </w:t>
      </w:r>
      <w:r>
        <w:t xml:space="preserve">AIHW = Australian Institute for Health and </w:t>
      </w:r>
      <w:r w:rsidR="004E4589">
        <w:t>Welfare</w:t>
      </w:r>
      <w:r>
        <w:t xml:space="preserve">; ECOG PS = Eastern Cooperative Oncology Group Performance Status; </w:t>
      </w:r>
      <w:r w:rsidR="00821E4A">
        <w:t xml:space="preserve">5-FU = 5-fluorouracil; </w:t>
      </w:r>
      <w:r w:rsidR="00A444A8">
        <w:t xml:space="preserve">GOJ = </w:t>
      </w:r>
      <w:r w:rsidR="00A444A8" w:rsidRPr="00A444A8">
        <w:t>gastro-oesophageal junction</w:t>
      </w:r>
      <w:r w:rsidR="00A444A8">
        <w:t>;</w:t>
      </w:r>
      <w:r w:rsidR="00A444A8" w:rsidRPr="00A444A8">
        <w:t xml:space="preserve"> </w:t>
      </w:r>
      <w:r>
        <w:t xml:space="preserve">HER2+ = </w:t>
      </w:r>
      <w:r w:rsidRPr="002018B2">
        <w:t>human epidermal growth factor receptor 2</w:t>
      </w:r>
      <w:r>
        <w:t xml:space="preserve"> positive; MBS = Medicare Benefits Schedule</w:t>
      </w:r>
      <w:r w:rsidR="00821E4A">
        <w:t>; OS = overall survival; PFS = progression free survival</w:t>
      </w:r>
      <w:r w:rsidR="00A444A8">
        <w:t>.</w:t>
      </w:r>
      <w:r>
        <w:t xml:space="preserve"> </w:t>
      </w:r>
    </w:p>
    <w:p w14:paraId="334B1081" w14:textId="77777777" w:rsidR="00447EBA" w:rsidRPr="00C5575E" w:rsidRDefault="00447EBA" w:rsidP="009336B1">
      <w:pPr>
        <w:pStyle w:val="TableFooter"/>
        <w:rPr>
          <w:i/>
        </w:rPr>
      </w:pPr>
      <w:r w:rsidRPr="00C5575E">
        <w:rPr>
          <w:i/>
        </w:rPr>
        <w:t>The redacted values correspond to the following ranges:</w:t>
      </w:r>
    </w:p>
    <w:p w14:paraId="5A38D5EB" w14:textId="395985DA" w:rsidR="00FB0C85" w:rsidRPr="00CB71F0" w:rsidRDefault="00447EBA" w:rsidP="00CB71F0">
      <w:pPr>
        <w:pStyle w:val="TableFooter"/>
        <w:spacing w:after="120"/>
        <w:rPr>
          <w:i/>
        </w:rPr>
      </w:pPr>
      <w:r w:rsidRPr="00C5575E">
        <w:rPr>
          <w:i/>
        </w:rPr>
        <w:softHyphen/>
      </w:r>
      <w:r w:rsidRPr="00C5575E">
        <w:rPr>
          <w:i/>
          <w:vertAlign w:val="superscript"/>
        </w:rPr>
        <w:t>1</w:t>
      </w:r>
      <w:r w:rsidRPr="00C5575E">
        <w:rPr>
          <w:i/>
        </w:rPr>
        <w:t xml:space="preserve"> </w:t>
      </w:r>
      <w:r w:rsidR="00C5575E" w:rsidRPr="00C5575E">
        <w:rPr>
          <w:i/>
        </w:rPr>
        <w:t>500 &lt; 5,000</w:t>
      </w:r>
    </w:p>
    <w:p w14:paraId="5173895D" w14:textId="77777777" w:rsidR="009336B1" w:rsidRPr="009336B1" w:rsidRDefault="009336B1" w:rsidP="00CB71F0">
      <w:pPr>
        <w:pStyle w:val="ListParagraph"/>
        <w:widowControl/>
        <w:numPr>
          <w:ilvl w:val="1"/>
          <w:numId w:val="1"/>
        </w:numPr>
        <w:spacing w:after="120"/>
        <w:rPr>
          <w:rFonts w:cs="Calibri"/>
        </w:rPr>
      </w:pPr>
      <w:r w:rsidRPr="009336B1">
        <w:rPr>
          <w:rFonts w:cs="Calibri"/>
        </w:rPr>
        <w:t>The submission estimated the expected population by calculating patients in four separate treatment pathways:</w:t>
      </w:r>
    </w:p>
    <w:p w14:paraId="58698B53"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Incident patients Stage III unresectable/ Stage IV patients at diagnosis.</w:t>
      </w:r>
    </w:p>
    <w:p w14:paraId="6412E77C"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 xml:space="preserve">Patients recurrent from Stage I and II/III </w:t>
      </w:r>
      <w:proofErr w:type="spellStart"/>
      <w:r w:rsidRPr="009336B1">
        <w:rPr>
          <w:rFonts w:asciiTheme="minorHAnsi" w:hAnsiTheme="minorHAnsi" w:cstheme="minorHAnsi"/>
        </w:rPr>
        <w:t>resectable</w:t>
      </w:r>
      <w:proofErr w:type="spellEnd"/>
      <w:r w:rsidRPr="009336B1">
        <w:rPr>
          <w:rFonts w:asciiTheme="minorHAnsi" w:hAnsiTheme="minorHAnsi" w:cstheme="minorHAnsi"/>
        </w:rPr>
        <w:t>.</w:t>
      </w:r>
    </w:p>
    <w:p w14:paraId="4447754F"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Prevalent patients.</w:t>
      </w:r>
    </w:p>
    <w:p w14:paraId="473F1B16" w14:textId="0E2A804B" w:rsidR="009336B1" w:rsidRPr="00CB71F0"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Grandfathered patients.</w:t>
      </w:r>
    </w:p>
    <w:p w14:paraId="5AFEFF3F" w14:textId="77777777" w:rsidR="006D0753"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lastRenderedPageBreak/>
        <w:t xml:space="preserve">The DUSC considered that, overall, the approach to estimating the number of eligible patients using the four separate treatment pathways was reasonable. </w:t>
      </w:r>
      <w:r w:rsidR="002816C6" w:rsidRPr="006D0753">
        <w:rPr>
          <w:rFonts w:cs="Calibri"/>
          <w:iCs/>
          <w:color w:val="000000" w:themeColor="text1"/>
        </w:rPr>
        <w:t xml:space="preserve">The DUSC noted that </w:t>
      </w:r>
      <w:r w:rsidR="002816C6" w:rsidRPr="006D0753">
        <w:rPr>
          <w:iCs/>
        </w:rPr>
        <w:t>the epidemiological estimate of the eligible population excluded</w:t>
      </w:r>
      <w:r w:rsidR="003310CE" w:rsidRPr="006D0753">
        <w:rPr>
          <w:iCs/>
        </w:rPr>
        <w:t xml:space="preserve"> Siewert Type I</w:t>
      </w:r>
      <w:r w:rsidR="002816C6" w:rsidRPr="006D0753">
        <w:rPr>
          <w:iCs/>
        </w:rPr>
        <w:t xml:space="preserve"> GOJ AC patients</w:t>
      </w:r>
      <w:r w:rsidR="003310CE" w:rsidRPr="006D0753">
        <w:rPr>
          <w:iCs/>
        </w:rPr>
        <w:t>, resulting in an underestimate of usage and financial implications</w:t>
      </w:r>
      <w:r w:rsidR="002816C6" w:rsidRPr="006D0753">
        <w:rPr>
          <w:iCs/>
        </w:rPr>
        <w:t>.</w:t>
      </w:r>
      <w:r w:rsidR="003310CE" w:rsidRPr="006D0753">
        <w:rPr>
          <w:iCs/>
        </w:rPr>
        <w:t xml:space="preserve"> </w:t>
      </w:r>
    </w:p>
    <w:p w14:paraId="0392EF14" w14:textId="7786FC23" w:rsidR="009F4125"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t>The pre-PBAC response accepted the</w:t>
      </w:r>
      <w:r w:rsidRPr="006D0753">
        <w:rPr>
          <w:rFonts w:cs="Calibri"/>
          <w:iCs/>
          <w:color w:val="000000" w:themeColor="text1"/>
        </w:rPr>
        <w:t xml:space="preserve"> advice by </w:t>
      </w:r>
      <w:r>
        <w:rPr>
          <w:rFonts w:cs="Calibri"/>
          <w:iCs/>
          <w:color w:val="000000" w:themeColor="text1"/>
        </w:rPr>
        <w:t xml:space="preserve">the </w:t>
      </w:r>
      <w:r w:rsidRPr="006D0753">
        <w:rPr>
          <w:rFonts w:cs="Calibri"/>
          <w:iCs/>
          <w:color w:val="000000" w:themeColor="text1"/>
        </w:rPr>
        <w:t xml:space="preserve">DUSC that the epidemiological approach to the financial estimates only included the incidence of oesophageal cancer (ICD-10 code C15) and neglected to include the incidence of GOJ adenocarcinoma which is captured under gastric cancer </w:t>
      </w:r>
      <w:r>
        <w:rPr>
          <w:rFonts w:cs="Calibri"/>
          <w:iCs/>
          <w:color w:val="000000" w:themeColor="text1"/>
        </w:rPr>
        <w:t>(ICD-10 code C16).</w:t>
      </w:r>
      <w:r w:rsidR="002D55ED">
        <w:rPr>
          <w:rFonts w:cs="Calibri"/>
          <w:iCs/>
          <w:color w:val="000000" w:themeColor="text1"/>
        </w:rPr>
        <w:t xml:space="preserve"> </w:t>
      </w:r>
      <w:r>
        <w:rPr>
          <w:rFonts w:cs="Calibri"/>
          <w:iCs/>
          <w:color w:val="000000" w:themeColor="text1"/>
        </w:rPr>
        <w:t>The pre-PBAC response stated there is</w:t>
      </w:r>
      <w:r w:rsidRPr="006D0753">
        <w:rPr>
          <w:rFonts w:cs="Calibri"/>
          <w:iCs/>
          <w:color w:val="000000" w:themeColor="text1"/>
        </w:rPr>
        <w:t xml:space="preserve"> a lack of published data that identifies the proportion of GOJ adenocarcinoma, and the Siewert type classification is not consistent across clinical practice with some clinicians referring to Siewert type 1 as distal oesophageal cancer, and Siewert type II-III as gastric cancer</w:t>
      </w:r>
      <w:r>
        <w:rPr>
          <w:rFonts w:cs="Calibri"/>
          <w:iCs/>
          <w:color w:val="000000" w:themeColor="text1"/>
        </w:rPr>
        <w:t xml:space="preserve">. </w:t>
      </w:r>
      <w:r w:rsidR="003310CE" w:rsidRPr="006D0753">
        <w:rPr>
          <w:rFonts w:asciiTheme="minorHAnsi" w:hAnsiTheme="minorHAnsi" w:cstheme="minorHAnsi"/>
        </w:rPr>
        <w:t>The pre-PBAC response presented revised estimates to capture the incidence of GOJ AC</w:t>
      </w:r>
      <w:r w:rsidR="00DC65F1" w:rsidRPr="006D0753">
        <w:rPr>
          <w:rFonts w:asciiTheme="minorHAnsi" w:hAnsiTheme="minorHAnsi" w:cstheme="minorHAnsi"/>
        </w:rPr>
        <w:t xml:space="preserve">, </w:t>
      </w:r>
      <w:r w:rsidR="009F4125" w:rsidRPr="006D0753">
        <w:rPr>
          <w:rFonts w:asciiTheme="minorHAnsi" w:hAnsiTheme="minorHAnsi" w:cstheme="minorHAnsi"/>
        </w:rPr>
        <w:t>based on the following assumptions:</w:t>
      </w:r>
    </w:p>
    <w:p w14:paraId="36EA87EA" w14:textId="77777777" w:rsidR="009F4125" w:rsidRDefault="009F4125" w:rsidP="009F4125">
      <w:pPr>
        <w:pStyle w:val="ListParagraph"/>
        <w:widowControl/>
        <w:numPr>
          <w:ilvl w:val="0"/>
          <w:numId w:val="35"/>
        </w:numPr>
        <w:ind w:left="993" w:hanging="284"/>
        <w:rPr>
          <w:rFonts w:asciiTheme="minorHAnsi" w:hAnsiTheme="minorHAnsi" w:cstheme="minorHAnsi"/>
        </w:rPr>
      </w:pPr>
      <w:r w:rsidRPr="009F4125">
        <w:rPr>
          <w:rFonts w:asciiTheme="minorHAnsi" w:hAnsiTheme="minorHAnsi" w:cstheme="minorHAnsi"/>
        </w:rPr>
        <w:t>GOJ patients</w:t>
      </w:r>
      <w:r w:rsidR="00FB438B">
        <w:rPr>
          <w:rFonts w:asciiTheme="minorHAnsi" w:hAnsiTheme="minorHAnsi" w:cstheme="minorHAnsi"/>
        </w:rPr>
        <w:t xml:space="preserve"> account</w:t>
      </w:r>
      <w:r w:rsidRPr="009F4125">
        <w:rPr>
          <w:rFonts w:asciiTheme="minorHAnsi" w:hAnsiTheme="minorHAnsi" w:cstheme="minorHAnsi"/>
        </w:rPr>
        <w:t xml:space="preserve"> for approximately 50% of all gastric</w:t>
      </w:r>
      <w:r>
        <w:rPr>
          <w:rFonts w:asciiTheme="minorHAnsi" w:hAnsiTheme="minorHAnsi" w:cstheme="minorHAnsi"/>
        </w:rPr>
        <w:t xml:space="preserve"> cancer</w:t>
      </w:r>
      <w:r w:rsidRPr="009F4125">
        <w:rPr>
          <w:rFonts w:asciiTheme="minorHAnsi" w:hAnsiTheme="minorHAnsi" w:cstheme="minorHAnsi"/>
        </w:rPr>
        <w:t xml:space="preserve"> patients</w:t>
      </w:r>
      <w:r w:rsidR="00051DA1">
        <w:rPr>
          <w:rFonts w:asciiTheme="minorHAnsi" w:hAnsiTheme="minorHAnsi" w:cstheme="minorHAnsi"/>
        </w:rPr>
        <w:t>, based on clinician advice</w:t>
      </w:r>
      <w:r w:rsidRPr="009F4125">
        <w:rPr>
          <w:rFonts w:asciiTheme="minorHAnsi" w:hAnsiTheme="minorHAnsi" w:cstheme="minorHAnsi"/>
        </w:rPr>
        <w:t>.</w:t>
      </w:r>
    </w:p>
    <w:p w14:paraId="5E6CF7F1" w14:textId="77777777" w:rsid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 xml:space="preserve">23-40% </w:t>
      </w:r>
      <w:r w:rsidRPr="009F4125">
        <w:rPr>
          <w:rFonts w:asciiTheme="minorHAnsi" w:hAnsiTheme="minorHAnsi" w:cstheme="minorHAnsi"/>
        </w:rPr>
        <w:t>of GOJ adenocarcinoma patients are Siewert type 1,</w:t>
      </w:r>
      <w:r w:rsidR="00051DA1">
        <w:rPr>
          <w:rFonts w:asciiTheme="minorHAnsi" w:hAnsiTheme="minorHAnsi" w:cstheme="minorHAnsi"/>
        </w:rPr>
        <w:t xml:space="preserve"> based on published literature (</w:t>
      </w:r>
      <w:r w:rsidRPr="009F4125">
        <w:rPr>
          <w:rFonts w:asciiTheme="minorHAnsi" w:hAnsiTheme="minorHAnsi" w:cstheme="minorHAnsi"/>
        </w:rPr>
        <w:t>midpoint of 30%</w:t>
      </w:r>
      <w:r w:rsidR="00051DA1">
        <w:rPr>
          <w:rFonts w:asciiTheme="minorHAnsi" w:hAnsiTheme="minorHAnsi" w:cstheme="minorHAnsi"/>
        </w:rPr>
        <w:t xml:space="preserve"> used, based on clinician advice)</w:t>
      </w:r>
      <w:r w:rsidRPr="009F4125">
        <w:rPr>
          <w:rFonts w:asciiTheme="minorHAnsi" w:hAnsiTheme="minorHAnsi" w:cstheme="minorHAnsi"/>
        </w:rPr>
        <w:t>.</w:t>
      </w:r>
    </w:p>
    <w:p w14:paraId="1570D3E3" w14:textId="77777777" w:rsidR="002816C6" w:rsidRP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T</w:t>
      </w:r>
      <w:r w:rsidR="00051DA1">
        <w:rPr>
          <w:rFonts w:asciiTheme="minorHAnsi" w:hAnsiTheme="minorHAnsi" w:cstheme="minorHAnsi"/>
        </w:rPr>
        <w:t>he proportion of HER2-negative patients</w:t>
      </w:r>
      <w:r w:rsidRPr="009F4125">
        <w:rPr>
          <w:rFonts w:asciiTheme="minorHAnsi" w:hAnsiTheme="minorHAnsi" w:cstheme="minorHAnsi"/>
        </w:rPr>
        <w:t xml:space="preserve"> </w:t>
      </w:r>
      <w:r w:rsidR="00DC65F1">
        <w:rPr>
          <w:rFonts w:asciiTheme="minorHAnsi" w:hAnsiTheme="minorHAnsi" w:cstheme="minorHAnsi"/>
        </w:rPr>
        <w:t>was</w:t>
      </w:r>
      <w:r w:rsidRPr="009F4125">
        <w:rPr>
          <w:rFonts w:asciiTheme="minorHAnsi" w:hAnsiTheme="minorHAnsi" w:cstheme="minorHAnsi"/>
        </w:rPr>
        <w:t xml:space="preserve"> </w:t>
      </w:r>
      <w:r w:rsidR="005E32B5">
        <w:rPr>
          <w:rFonts w:asciiTheme="minorHAnsi" w:hAnsiTheme="minorHAnsi" w:cstheme="minorHAnsi"/>
        </w:rPr>
        <w:t xml:space="preserve">appropriately </w:t>
      </w:r>
      <w:r w:rsidRPr="009F4125">
        <w:rPr>
          <w:rFonts w:asciiTheme="minorHAnsi" w:hAnsiTheme="minorHAnsi" w:cstheme="minorHAnsi"/>
        </w:rPr>
        <w:t xml:space="preserve">applied to the GOJ </w:t>
      </w:r>
      <w:r w:rsidR="00051DA1">
        <w:rPr>
          <w:rFonts w:asciiTheme="minorHAnsi" w:hAnsiTheme="minorHAnsi" w:cstheme="minorHAnsi"/>
        </w:rPr>
        <w:t>AC</w:t>
      </w:r>
      <w:r w:rsidRPr="009F4125">
        <w:rPr>
          <w:rFonts w:asciiTheme="minorHAnsi" w:hAnsiTheme="minorHAnsi" w:cstheme="minorHAnsi"/>
        </w:rPr>
        <w:t xml:space="preserve"> population (</w:t>
      </w:r>
      <w:r w:rsidR="005E32B5">
        <w:rPr>
          <w:rFonts w:asciiTheme="minorHAnsi" w:hAnsiTheme="minorHAnsi" w:cstheme="minorHAnsi"/>
        </w:rPr>
        <w:t xml:space="preserve">rather than to the </w:t>
      </w:r>
      <w:r w:rsidRPr="009F4125">
        <w:rPr>
          <w:rFonts w:asciiTheme="minorHAnsi" w:hAnsiTheme="minorHAnsi" w:cstheme="minorHAnsi"/>
        </w:rPr>
        <w:t>oe</w:t>
      </w:r>
      <w:r w:rsidR="00051DA1">
        <w:rPr>
          <w:rFonts w:asciiTheme="minorHAnsi" w:hAnsiTheme="minorHAnsi" w:cstheme="minorHAnsi"/>
        </w:rPr>
        <w:t>sophageal population</w:t>
      </w:r>
      <w:r w:rsidR="005E32B5">
        <w:rPr>
          <w:rFonts w:asciiTheme="minorHAnsi" w:hAnsiTheme="minorHAnsi" w:cstheme="minorHAnsi"/>
        </w:rPr>
        <w:t xml:space="preserve"> as applied in the submission</w:t>
      </w:r>
      <w:r w:rsidR="00051DA1">
        <w:rPr>
          <w:rFonts w:asciiTheme="minorHAnsi" w:hAnsiTheme="minorHAnsi" w:cstheme="minorHAnsi"/>
        </w:rPr>
        <w:t>)</w:t>
      </w:r>
      <w:r w:rsidRPr="009F4125">
        <w:rPr>
          <w:rFonts w:asciiTheme="minorHAnsi" w:hAnsiTheme="minorHAnsi" w:cstheme="minorHAnsi"/>
        </w:rPr>
        <w:t>.</w:t>
      </w:r>
    </w:p>
    <w:p w14:paraId="247D5E31" w14:textId="77777777" w:rsidR="009336B1" w:rsidRPr="008D0B8F" w:rsidRDefault="009336B1" w:rsidP="009336B1">
      <w:pPr>
        <w:pStyle w:val="ListParagraph"/>
        <w:widowControl/>
        <w:numPr>
          <w:ilvl w:val="1"/>
          <w:numId w:val="1"/>
        </w:numPr>
        <w:jc w:val="left"/>
        <w:rPr>
          <w:rFonts w:cs="Calibri"/>
          <w:color w:val="000000" w:themeColor="text1"/>
          <w:szCs w:val="24"/>
        </w:rPr>
      </w:pPr>
      <w:r w:rsidRPr="008D0B8F">
        <w:rPr>
          <w:rFonts w:cs="Calibri"/>
          <w:color w:val="000000" w:themeColor="text1"/>
          <w:szCs w:val="24"/>
        </w:rPr>
        <w:t>Estimated use and financial implications</w:t>
      </w:r>
      <w:r w:rsidR="009F4125">
        <w:rPr>
          <w:rFonts w:cs="Calibri"/>
          <w:color w:val="000000" w:themeColor="text1"/>
          <w:szCs w:val="24"/>
        </w:rPr>
        <w:t>, including the revised estimates,</w:t>
      </w:r>
      <w:r w:rsidRPr="008D0B8F">
        <w:rPr>
          <w:rFonts w:cs="Calibri"/>
          <w:color w:val="000000" w:themeColor="text1"/>
          <w:szCs w:val="24"/>
        </w:rPr>
        <w:t xml:space="preserve"> are presented in </w:t>
      </w:r>
      <w:r w:rsidRPr="001356A4">
        <w:rPr>
          <w:rStyle w:val="BodyTextChar"/>
          <w:rFonts w:ascii="Calibri" w:hAnsi="Calibri" w:cs="Calibri"/>
          <w:sz w:val="24"/>
          <w:szCs w:val="24"/>
        </w:rPr>
        <w:t>Table 14</w:t>
      </w:r>
      <w:r w:rsidRPr="008D0B8F">
        <w:rPr>
          <w:rStyle w:val="BodyTextChar"/>
          <w:rFonts w:ascii="Calibri" w:hAnsi="Calibri" w:cs="Calibri"/>
          <w:sz w:val="24"/>
          <w:szCs w:val="24"/>
        </w:rPr>
        <w:t>.</w:t>
      </w:r>
    </w:p>
    <w:p w14:paraId="78935683" w14:textId="77777777" w:rsidR="009336B1" w:rsidRPr="00546FE8" w:rsidRDefault="009336B1" w:rsidP="009336B1">
      <w:pPr>
        <w:keepNext/>
        <w:keepLines/>
        <w:widowControl/>
        <w:rPr>
          <w:rFonts w:ascii="Arial Narrow" w:hAnsi="Arial Narrow"/>
          <w:b/>
          <w:sz w:val="20"/>
          <w:szCs w:val="16"/>
        </w:rPr>
      </w:pPr>
      <w:bookmarkStart w:id="49" w:name="_Ref79505992"/>
      <w:r>
        <w:rPr>
          <w:rStyle w:val="CommentReference"/>
        </w:rPr>
        <w:lastRenderedPageBreak/>
        <w:t xml:space="preserve">Table </w:t>
      </w:r>
      <w:r>
        <w:rPr>
          <w:rStyle w:val="CommentReference"/>
          <w:noProof/>
        </w:rPr>
        <w:t>14</w:t>
      </w:r>
      <w:bookmarkEnd w:id="49"/>
      <w:r>
        <w:rPr>
          <w:rStyle w:val="CommentReference"/>
        </w:rPr>
        <w:t xml:space="preserve">: </w:t>
      </w:r>
      <w:r w:rsidRPr="001222FC">
        <w:rPr>
          <w:rStyle w:val="CommentReference"/>
        </w:rPr>
        <w:t>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261"/>
        <w:gridCol w:w="1129"/>
        <w:gridCol w:w="1129"/>
        <w:gridCol w:w="1289"/>
        <w:gridCol w:w="1134"/>
        <w:gridCol w:w="993"/>
        <w:gridCol w:w="1273"/>
      </w:tblGrid>
      <w:tr w:rsidR="009336B1" w:rsidRPr="00D1078F" w14:paraId="764E8BC0" w14:textId="77777777" w:rsidTr="007C0761">
        <w:trPr>
          <w:tblHeader/>
        </w:trPr>
        <w:tc>
          <w:tcPr>
            <w:tcW w:w="1228" w:type="pct"/>
            <w:shd w:val="clear" w:color="auto" w:fill="auto"/>
            <w:vAlign w:val="center"/>
          </w:tcPr>
          <w:p w14:paraId="476AE231" w14:textId="77777777" w:rsidR="009336B1" w:rsidRPr="003639A6" w:rsidRDefault="009336B1" w:rsidP="000C3129">
            <w:pPr>
              <w:pStyle w:val="Tabletext"/>
              <w:keepNext/>
              <w:keepLines/>
            </w:pPr>
          </w:p>
        </w:tc>
        <w:tc>
          <w:tcPr>
            <w:tcW w:w="613" w:type="pct"/>
            <w:shd w:val="clear" w:color="auto" w:fill="auto"/>
            <w:vAlign w:val="center"/>
          </w:tcPr>
          <w:p w14:paraId="6A743C5A" w14:textId="77777777" w:rsidR="009336B1" w:rsidRPr="00D1078F" w:rsidRDefault="009336B1" w:rsidP="000C3129">
            <w:pPr>
              <w:pStyle w:val="Tabletext"/>
              <w:keepNext/>
              <w:keepLines/>
              <w:jc w:val="center"/>
              <w:rPr>
                <w:b/>
              </w:rPr>
            </w:pPr>
            <w:r w:rsidRPr="00D1078F">
              <w:rPr>
                <w:b/>
              </w:rPr>
              <w:t>Year 1</w:t>
            </w:r>
          </w:p>
        </w:tc>
        <w:tc>
          <w:tcPr>
            <w:tcW w:w="613" w:type="pct"/>
            <w:shd w:val="clear" w:color="auto" w:fill="auto"/>
            <w:vAlign w:val="center"/>
          </w:tcPr>
          <w:p w14:paraId="083C3EA3" w14:textId="77777777" w:rsidR="009336B1" w:rsidRPr="00D1078F" w:rsidRDefault="009336B1" w:rsidP="000C3129">
            <w:pPr>
              <w:pStyle w:val="Tabletext"/>
              <w:keepNext/>
              <w:keepLines/>
              <w:jc w:val="center"/>
              <w:rPr>
                <w:b/>
              </w:rPr>
            </w:pPr>
            <w:r w:rsidRPr="00D1078F">
              <w:rPr>
                <w:b/>
              </w:rPr>
              <w:t>Year 2</w:t>
            </w:r>
          </w:p>
        </w:tc>
        <w:tc>
          <w:tcPr>
            <w:tcW w:w="700" w:type="pct"/>
            <w:shd w:val="clear" w:color="auto" w:fill="auto"/>
            <w:vAlign w:val="center"/>
          </w:tcPr>
          <w:p w14:paraId="0A3BA2F3" w14:textId="77777777" w:rsidR="009336B1" w:rsidRPr="00D1078F" w:rsidRDefault="009336B1" w:rsidP="000C3129">
            <w:pPr>
              <w:pStyle w:val="Tabletext"/>
              <w:keepNext/>
              <w:keepLines/>
              <w:jc w:val="center"/>
              <w:rPr>
                <w:b/>
              </w:rPr>
            </w:pPr>
            <w:r w:rsidRPr="00D1078F">
              <w:rPr>
                <w:b/>
              </w:rPr>
              <w:t>Year 3</w:t>
            </w:r>
          </w:p>
        </w:tc>
        <w:tc>
          <w:tcPr>
            <w:tcW w:w="616" w:type="pct"/>
            <w:shd w:val="clear" w:color="auto" w:fill="auto"/>
            <w:vAlign w:val="center"/>
          </w:tcPr>
          <w:p w14:paraId="2CE6EC71" w14:textId="77777777" w:rsidR="009336B1" w:rsidRPr="00D1078F" w:rsidRDefault="009336B1" w:rsidP="000C3129">
            <w:pPr>
              <w:pStyle w:val="Tabletext"/>
              <w:keepNext/>
              <w:keepLines/>
              <w:jc w:val="center"/>
              <w:rPr>
                <w:b/>
              </w:rPr>
            </w:pPr>
            <w:r w:rsidRPr="00D1078F">
              <w:rPr>
                <w:b/>
              </w:rPr>
              <w:t>Year 4</w:t>
            </w:r>
          </w:p>
        </w:tc>
        <w:tc>
          <w:tcPr>
            <w:tcW w:w="539" w:type="pct"/>
            <w:shd w:val="clear" w:color="auto" w:fill="auto"/>
            <w:vAlign w:val="center"/>
          </w:tcPr>
          <w:p w14:paraId="32096C51" w14:textId="77777777" w:rsidR="009336B1" w:rsidRPr="00D1078F" w:rsidRDefault="009336B1" w:rsidP="000C3129">
            <w:pPr>
              <w:pStyle w:val="Tabletext"/>
              <w:keepNext/>
              <w:keepLines/>
              <w:jc w:val="center"/>
              <w:rPr>
                <w:b/>
              </w:rPr>
            </w:pPr>
            <w:r w:rsidRPr="00D1078F">
              <w:rPr>
                <w:b/>
              </w:rPr>
              <w:t>Year 5</w:t>
            </w:r>
          </w:p>
        </w:tc>
        <w:tc>
          <w:tcPr>
            <w:tcW w:w="692" w:type="pct"/>
          </w:tcPr>
          <w:p w14:paraId="2E8D1AEC" w14:textId="77777777" w:rsidR="009336B1" w:rsidRPr="00D1078F" w:rsidRDefault="009336B1" w:rsidP="000C3129">
            <w:pPr>
              <w:pStyle w:val="Tabletext"/>
              <w:keepNext/>
              <w:keepLines/>
              <w:jc w:val="center"/>
              <w:rPr>
                <w:b/>
              </w:rPr>
            </w:pPr>
            <w:r w:rsidRPr="00D1078F">
              <w:rPr>
                <w:b/>
              </w:rPr>
              <w:t>Year 6</w:t>
            </w:r>
          </w:p>
        </w:tc>
      </w:tr>
      <w:tr w:rsidR="009336B1" w:rsidRPr="00D1078F" w14:paraId="3EFD97CF" w14:textId="77777777" w:rsidTr="007C0761">
        <w:tc>
          <w:tcPr>
            <w:tcW w:w="5000" w:type="pct"/>
            <w:gridSpan w:val="7"/>
            <w:shd w:val="clear" w:color="auto" w:fill="auto"/>
            <w:vAlign w:val="center"/>
          </w:tcPr>
          <w:p w14:paraId="3E54318C" w14:textId="77777777" w:rsidR="009336B1" w:rsidRPr="00D1078F" w:rsidRDefault="009336B1" w:rsidP="000C3129">
            <w:pPr>
              <w:pStyle w:val="Tabletext"/>
              <w:keepNext/>
              <w:keepLines/>
              <w:rPr>
                <w:b/>
                <w:bCs/>
                <w:color w:val="000000"/>
              </w:rPr>
            </w:pPr>
            <w:r w:rsidRPr="00D1078F">
              <w:rPr>
                <w:b/>
                <w:bCs/>
                <w:color w:val="000000"/>
              </w:rPr>
              <w:t>Estimated extent of use</w:t>
            </w:r>
          </w:p>
        </w:tc>
      </w:tr>
      <w:tr w:rsidR="009336B1" w:rsidRPr="003639A6" w14:paraId="6053E08E" w14:textId="77777777" w:rsidTr="007C0761">
        <w:tc>
          <w:tcPr>
            <w:tcW w:w="1228" w:type="pct"/>
            <w:shd w:val="clear" w:color="auto" w:fill="auto"/>
            <w:vAlign w:val="center"/>
          </w:tcPr>
          <w:p w14:paraId="21B5B2C6" w14:textId="77777777" w:rsidR="009336B1" w:rsidRPr="003639A6" w:rsidRDefault="009336B1" w:rsidP="000C3129">
            <w:pPr>
              <w:pStyle w:val="Tabletext"/>
              <w:keepNext/>
              <w:keepLines/>
              <w:rPr>
                <w:rFonts w:ascii="Times" w:hAnsi="Times"/>
              </w:rPr>
            </w:pPr>
            <w:r w:rsidRPr="003639A6">
              <w:t xml:space="preserve">Number of patients </w:t>
            </w:r>
            <w:proofErr w:type="spellStart"/>
            <w:r w:rsidRPr="003639A6">
              <w:t>treated</w:t>
            </w:r>
            <w:r w:rsidR="00687BE1" w:rsidRPr="00687BE1">
              <w:rPr>
                <w:vertAlign w:val="superscript"/>
              </w:rPr>
              <w:t>a</w:t>
            </w:r>
            <w:proofErr w:type="spellEnd"/>
          </w:p>
        </w:tc>
        <w:tc>
          <w:tcPr>
            <w:tcW w:w="613" w:type="pct"/>
            <w:shd w:val="clear" w:color="auto" w:fill="auto"/>
            <w:vAlign w:val="center"/>
          </w:tcPr>
          <w:p w14:paraId="52980FD9"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3" w:type="pct"/>
            <w:shd w:val="clear" w:color="auto" w:fill="auto"/>
            <w:vAlign w:val="center"/>
          </w:tcPr>
          <w:p w14:paraId="2EA4E155"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700" w:type="pct"/>
            <w:shd w:val="clear" w:color="auto" w:fill="auto"/>
            <w:vAlign w:val="center"/>
          </w:tcPr>
          <w:p w14:paraId="06654A22"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6" w:type="pct"/>
            <w:shd w:val="clear" w:color="auto" w:fill="auto"/>
            <w:vAlign w:val="center"/>
          </w:tcPr>
          <w:p w14:paraId="76D99C1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539" w:type="pct"/>
            <w:shd w:val="clear" w:color="auto" w:fill="auto"/>
            <w:vAlign w:val="center"/>
          </w:tcPr>
          <w:p w14:paraId="15452E57"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92" w:type="pct"/>
            <w:vAlign w:val="center"/>
          </w:tcPr>
          <w:p w14:paraId="1A0F845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r>
      <w:tr w:rsidR="009336B1" w:rsidRPr="003639A6" w14:paraId="28651D2B" w14:textId="77777777" w:rsidTr="007C0761">
        <w:tc>
          <w:tcPr>
            <w:tcW w:w="1228" w:type="pct"/>
            <w:shd w:val="clear" w:color="auto" w:fill="auto"/>
            <w:vAlign w:val="center"/>
          </w:tcPr>
          <w:p w14:paraId="0CDA8C38" w14:textId="77777777" w:rsidR="009336B1" w:rsidRPr="003639A6" w:rsidRDefault="009336B1" w:rsidP="00687BE1">
            <w:pPr>
              <w:pStyle w:val="Tabletext"/>
              <w:keepNext/>
              <w:keepLines/>
              <w:rPr>
                <w:rFonts w:ascii="Times" w:hAnsi="Times"/>
              </w:rPr>
            </w:pPr>
            <w:r w:rsidRPr="003639A6">
              <w:t xml:space="preserve">Number of </w:t>
            </w:r>
            <w:r>
              <w:t>scripts</w:t>
            </w:r>
            <w:r w:rsidRPr="003639A6">
              <w:t xml:space="preserve"> </w:t>
            </w:r>
            <w:proofErr w:type="spellStart"/>
            <w:r w:rsidRPr="003639A6">
              <w:t>dispensed</w:t>
            </w:r>
            <w:r w:rsidR="00687BE1" w:rsidRPr="00687BE1">
              <w:rPr>
                <w:vertAlign w:val="superscript"/>
              </w:rPr>
              <w:t>b</w:t>
            </w:r>
            <w:proofErr w:type="spellEnd"/>
          </w:p>
        </w:tc>
        <w:tc>
          <w:tcPr>
            <w:tcW w:w="613" w:type="pct"/>
            <w:shd w:val="clear" w:color="auto" w:fill="auto"/>
            <w:vAlign w:val="center"/>
          </w:tcPr>
          <w:p w14:paraId="3741F1A6"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3" w:type="pct"/>
            <w:shd w:val="clear" w:color="auto" w:fill="auto"/>
            <w:vAlign w:val="center"/>
          </w:tcPr>
          <w:p w14:paraId="77E034B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700" w:type="pct"/>
            <w:shd w:val="clear" w:color="auto" w:fill="auto"/>
            <w:vAlign w:val="center"/>
          </w:tcPr>
          <w:p w14:paraId="6F5307ED"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6" w:type="pct"/>
            <w:shd w:val="clear" w:color="auto" w:fill="auto"/>
            <w:vAlign w:val="center"/>
          </w:tcPr>
          <w:p w14:paraId="5F63F8D2"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539" w:type="pct"/>
            <w:shd w:val="clear" w:color="auto" w:fill="auto"/>
            <w:vAlign w:val="center"/>
          </w:tcPr>
          <w:p w14:paraId="194D758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92" w:type="pct"/>
            <w:vAlign w:val="center"/>
          </w:tcPr>
          <w:p w14:paraId="4BA23201"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r>
      <w:tr w:rsidR="009336B1" w:rsidRPr="003639A6" w14:paraId="4A5B1ABA" w14:textId="77777777" w:rsidTr="007C0761">
        <w:tc>
          <w:tcPr>
            <w:tcW w:w="5000" w:type="pct"/>
            <w:gridSpan w:val="7"/>
            <w:shd w:val="clear" w:color="auto" w:fill="auto"/>
            <w:vAlign w:val="center"/>
          </w:tcPr>
          <w:p w14:paraId="4A1CB511" w14:textId="1083C321" w:rsidR="009336B1" w:rsidRPr="003639A6" w:rsidRDefault="009336B1" w:rsidP="000C3129">
            <w:pPr>
              <w:pStyle w:val="Tabletext"/>
              <w:keepNext/>
              <w:keepLines/>
              <w:rPr>
                <w:bCs/>
                <w:color w:val="000000"/>
              </w:rPr>
            </w:pPr>
            <w:r w:rsidRPr="00D1078F">
              <w:rPr>
                <w:b/>
                <w:bCs/>
                <w:color w:val="000000"/>
              </w:rPr>
              <w:t xml:space="preserve">Estimated </w:t>
            </w:r>
            <w:r>
              <w:rPr>
                <w:b/>
                <w:bCs/>
                <w:color w:val="000000"/>
              </w:rPr>
              <w:t>financial implications for other medicines: None.</w:t>
            </w:r>
          </w:p>
        </w:tc>
      </w:tr>
      <w:tr w:rsidR="009336B1" w:rsidRPr="00FC22AB" w14:paraId="0E144CF3" w14:textId="77777777" w:rsidTr="007C0761">
        <w:tc>
          <w:tcPr>
            <w:tcW w:w="5000" w:type="pct"/>
            <w:gridSpan w:val="7"/>
            <w:shd w:val="clear" w:color="auto" w:fill="auto"/>
            <w:vAlign w:val="center"/>
          </w:tcPr>
          <w:p w14:paraId="241D2B56" w14:textId="77777777" w:rsidR="009336B1" w:rsidRPr="00FC22AB" w:rsidRDefault="009336B1" w:rsidP="000C3129">
            <w:pPr>
              <w:pStyle w:val="Tabletext"/>
              <w:keepNext/>
              <w:keepLines/>
              <w:rPr>
                <w:b/>
                <w:bCs/>
                <w:color w:val="000000"/>
              </w:rPr>
            </w:pPr>
            <w:r w:rsidRPr="00FC22AB">
              <w:rPr>
                <w:b/>
                <w:bCs/>
                <w:color w:val="000000"/>
              </w:rPr>
              <w:t>Net financial implications</w:t>
            </w:r>
          </w:p>
        </w:tc>
      </w:tr>
      <w:tr w:rsidR="009336B1" w:rsidRPr="003639A6" w14:paraId="4B8A1278" w14:textId="77777777" w:rsidTr="007C0761">
        <w:tc>
          <w:tcPr>
            <w:tcW w:w="1228" w:type="pct"/>
            <w:shd w:val="clear" w:color="auto" w:fill="auto"/>
            <w:vAlign w:val="center"/>
          </w:tcPr>
          <w:p w14:paraId="3BD8BD6D" w14:textId="77777777" w:rsidR="009336B1" w:rsidRDefault="009336B1" w:rsidP="000C3129">
            <w:pPr>
              <w:pStyle w:val="Tabletext"/>
              <w:keepNext/>
              <w:keepLines/>
              <w:rPr>
                <w:sz w:val="19"/>
                <w:szCs w:val="19"/>
              </w:rPr>
            </w:pPr>
            <w:r>
              <w:rPr>
                <w:sz w:val="19"/>
                <w:szCs w:val="19"/>
              </w:rPr>
              <w:t>Net cost to PBS/RPBS</w:t>
            </w:r>
          </w:p>
        </w:tc>
        <w:tc>
          <w:tcPr>
            <w:tcW w:w="613" w:type="pct"/>
            <w:shd w:val="clear" w:color="auto" w:fill="auto"/>
            <w:vAlign w:val="center"/>
          </w:tcPr>
          <w:p w14:paraId="04E7CC74"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13" w:type="pct"/>
            <w:shd w:val="clear" w:color="auto" w:fill="auto"/>
            <w:vAlign w:val="center"/>
          </w:tcPr>
          <w:p w14:paraId="4B9B270D"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700" w:type="pct"/>
            <w:shd w:val="clear" w:color="auto" w:fill="auto"/>
            <w:vAlign w:val="center"/>
          </w:tcPr>
          <w:p w14:paraId="1A35FE4F"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616" w:type="pct"/>
            <w:shd w:val="clear" w:color="auto" w:fill="auto"/>
            <w:vAlign w:val="center"/>
          </w:tcPr>
          <w:p w14:paraId="2469D55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539" w:type="pct"/>
            <w:shd w:val="clear" w:color="auto" w:fill="auto"/>
            <w:vAlign w:val="center"/>
          </w:tcPr>
          <w:p w14:paraId="0B2A771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92" w:type="pct"/>
            <w:vAlign w:val="center"/>
          </w:tcPr>
          <w:p w14:paraId="7727C3A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r>
      <w:tr w:rsidR="009336B1" w:rsidRPr="003639A6" w14:paraId="004848AC" w14:textId="77777777" w:rsidTr="007C0761">
        <w:tc>
          <w:tcPr>
            <w:tcW w:w="1228" w:type="pct"/>
            <w:shd w:val="clear" w:color="auto" w:fill="auto"/>
            <w:vAlign w:val="center"/>
          </w:tcPr>
          <w:p w14:paraId="0AF36AFA" w14:textId="77777777" w:rsidR="009336B1" w:rsidRPr="00056D7F" w:rsidRDefault="009336B1" w:rsidP="000C3129">
            <w:pPr>
              <w:pStyle w:val="Tabletext"/>
              <w:keepNext/>
              <w:keepLines/>
              <w:rPr>
                <w:rFonts w:ascii="Times" w:hAnsi="Times"/>
                <w:vertAlign w:val="superscript"/>
              </w:rPr>
            </w:pPr>
            <w:r>
              <w:rPr>
                <w:sz w:val="19"/>
                <w:szCs w:val="19"/>
              </w:rPr>
              <w:t>Net cost to</w:t>
            </w:r>
            <w:r w:rsidRPr="003639A6">
              <w:rPr>
                <w:sz w:val="19"/>
                <w:szCs w:val="19"/>
              </w:rPr>
              <w:t xml:space="preserve"> </w:t>
            </w:r>
            <w:proofErr w:type="spellStart"/>
            <w:r w:rsidRPr="003639A6">
              <w:rPr>
                <w:sz w:val="19"/>
                <w:szCs w:val="19"/>
              </w:rPr>
              <w:t>MBS</w:t>
            </w:r>
            <w:r w:rsidR="00687BE1" w:rsidRPr="00687BE1">
              <w:rPr>
                <w:sz w:val="19"/>
                <w:szCs w:val="19"/>
                <w:vertAlign w:val="superscript"/>
              </w:rPr>
              <w:t>c</w:t>
            </w:r>
            <w:proofErr w:type="spellEnd"/>
          </w:p>
        </w:tc>
        <w:tc>
          <w:tcPr>
            <w:tcW w:w="613" w:type="pct"/>
            <w:shd w:val="clear" w:color="auto" w:fill="auto"/>
          </w:tcPr>
          <w:p w14:paraId="375BA315"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3" w:type="pct"/>
            <w:shd w:val="clear" w:color="auto" w:fill="auto"/>
          </w:tcPr>
          <w:p w14:paraId="518C213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700" w:type="pct"/>
            <w:shd w:val="clear" w:color="auto" w:fill="auto"/>
          </w:tcPr>
          <w:p w14:paraId="07E20FFF"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6" w:type="pct"/>
            <w:shd w:val="clear" w:color="auto" w:fill="auto"/>
          </w:tcPr>
          <w:p w14:paraId="068C7026"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539" w:type="pct"/>
            <w:shd w:val="clear" w:color="auto" w:fill="auto"/>
          </w:tcPr>
          <w:p w14:paraId="54B7125B"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92" w:type="pct"/>
          </w:tcPr>
          <w:p w14:paraId="0E4821E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r>
      <w:tr w:rsidR="009336B1" w:rsidRPr="003639A6" w14:paraId="5D7B23CF" w14:textId="77777777" w:rsidTr="007C0761">
        <w:tc>
          <w:tcPr>
            <w:tcW w:w="1228" w:type="pct"/>
            <w:shd w:val="clear" w:color="auto" w:fill="auto"/>
            <w:vAlign w:val="center"/>
          </w:tcPr>
          <w:p w14:paraId="7018AE19" w14:textId="77777777" w:rsidR="009336B1" w:rsidRPr="003639A6" w:rsidRDefault="009336B1" w:rsidP="000C3129">
            <w:pPr>
              <w:pStyle w:val="Tabletext"/>
              <w:keepNext/>
              <w:keepLines/>
              <w:rPr>
                <w:sz w:val="19"/>
                <w:szCs w:val="19"/>
              </w:rPr>
            </w:pPr>
            <w:r>
              <w:rPr>
                <w:sz w:val="19"/>
                <w:szCs w:val="19"/>
              </w:rPr>
              <w:t>Net cost to Government</w:t>
            </w:r>
          </w:p>
        </w:tc>
        <w:tc>
          <w:tcPr>
            <w:tcW w:w="613" w:type="pct"/>
            <w:shd w:val="clear" w:color="auto" w:fill="auto"/>
          </w:tcPr>
          <w:p w14:paraId="7DDBD716"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3" w:type="pct"/>
            <w:shd w:val="clear" w:color="auto" w:fill="auto"/>
          </w:tcPr>
          <w:p w14:paraId="75D765B1"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700" w:type="pct"/>
            <w:shd w:val="clear" w:color="auto" w:fill="auto"/>
          </w:tcPr>
          <w:p w14:paraId="63653D7F"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6" w:type="pct"/>
            <w:shd w:val="clear" w:color="auto" w:fill="auto"/>
          </w:tcPr>
          <w:p w14:paraId="3DF51744"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539" w:type="pct"/>
            <w:shd w:val="clear" w:color="auto" w:fill="auto"/>
          </w:tcPr>
          <w:p w14:paraId="7E8A5547"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92" w:type="pct"/>
          </w:tcPr>
          <w:p w14:paraId="1BF6933C"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r>
      <w:tr w:rsidR="00D85FF6" w:rsidRPr="003639A6" w14:paraId="6CFBFCFF" w14:textId="77777777" w:rsidTr="007C0761">
        <w:tc>
          <w:tcPr>
            <w:tcW w:w="5000" w:type="pct"/>
            <w:gridSpan w:val="7"/>
            <w:shd w:val="clear" w:color="auto" w:fill="auto"/>
            <w:vAlign w:val="center"/>
          </w:tcPr>
          <w:p w14:paraId="5819B32F" w14:textId="77777777" w:rsidR="00D85FF6" w:rsidRDefault="001E0CCB" w:rsidP="001E0CCB">
            <w:pPr>
              <w:pStyle w:val="Tabletext"/>
              <w:keepNext/>
              <w:keepLines/>
              <w:rPr>
                <w:b/>
                <w:bCs/>
              </w:rPr>
            </w:pPr>
            <w:r>
              <w:rPr>
                <w:b/>
                <w:bCs/>
              </w:rPr>
              <w:t xml:space="preserve">Revised estimates in </w:t>
            </w:r>
            <w:r w:rsidR="009F4125">
              <w:rPr>
                <w:b/>
                <w:bCs/>
              </w:rPr>
              <w:t xml:space="preserve">the </w:t>
            </w:r>
            <w:r>
              <w:rPr>
                <w:b/>
                <w:bCs/>
              </w:rPr>
              <w:t>pre-PBAC response</w:t>
            </w:r>
          </w:p>
        </w:tc>
      </w:tr>
      <w:tr w:rsidR="001E0CCB" w:rsidRPr="003639A6" w14:paraId="0AC7BCCE" w14:textId="77777777" w:rsidTr="007C0761">
        <w:tc>
          <w:tcPr>
            <w:tcW w:w="1228" w:type="pct"/>
            <w:shd w:val="clear" w:color="auto" w:fill="auto"/>
            <w:vAlign w:val="center"/>
          </w:tcPr>
          <w:p w14:paraId="1A25A432" w14:textId="77777777" w:rsidR="001E0CCB" w:rsidRDefault="001E0CCB" w:rsidP="001E0CCB">
            <w:pPr>
              <w:pStyle w:val="Tabletext"/>
              <w:keepNext/>
              <w:keepLines/>
              <w:rPr>
                <w:sz w:val="19"/>
                <w:szCs w:val="19"/>
              </w:rPr>
            </w:pPr>
            <w:r w:rsidRPr="003639A6">
              <w:t>Number of patients treated</w:t>
            </w:r>
          </w:p>
        </w:tc>
        <w:tc>
          <w:tcPr>
            <w:tcW w:w="613" w:type="pct"/>
            <w:shd w:val="clear" w:color="auto" w:fill="auto"/>
            <w:vAlign w:val="center"/>
          </w:tcPr>
          <w:p w14:paraId="3118D8D3"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3" w:type="pct"/>
            <w:shd w:val="clear" w:color="auto" w:fill="auto"/>
            <w:vAlign w:val="center"/>
          </w:tcPr>
          <w:p w14:paraId="2142D525"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700" w:type="pct"/>
            <w:shd w:val="clear" w:color="auto" w:fill="auto"/>
            <w:vAlign w:val="center"/>
          </w:tcPr>
          <w:p w14:paraId="1BF7B2A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6" w:type="pct"/>
            <w:shd w:val="clear" w:color="auto" w:fill="auto"/>
            <w:vAlign w:val="center"/>
          </w:tcPr>
          <w:p w14:paraId="088D6BB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539" w:type="pct"/>
            <w:shd w:val="clear" w:color="auto" w:fill="auto"/>
            <w:vAlign w:val="center"/>
          </w:tcPr>
          <w:p w14:paraId="346A040D"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92" w:type="pct"/>
            <w:vAlign w:val="center"/>
          </w:tcPr>
          <w:p w14:paraId="622A45E1"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r>
      <w:tr w:rsidR="001E0CCB" w:rsidRPr="003639A6" w14:paraId="6A8760F1" w14:textId="77777777" w:rsidTr="007C0761">
        <w:tc>
          <w:tcPr>
            <w:tcW w:w="1228" w:type="pct"/>
            <w:shd w:val="clear" w:color="auto" w:fill="auto"/>
            <w:vAlign w:val="center"/>
          </w:tcPr>
          <w:p w14:paraId="2BA2EC2D" w14:textId="77777777" w:rsidR="001E0CCB" w:rsidRDefault="001E0CCB" w:rsidP="001E0CCB">
            <w:pPr>
              <w:pStyle w:val="Tabletext"/>
              <w:keepNext/>
              <w:keepLines/>
              <w:rPr>
                <w:sz w:val="19"/>
                <w:szCs w:val="19"/>
              </w:rPr>
            </w:pPr>
            <w:r>
              <w:rPr>
                <w:sz w:val="19"/>
                <w:szCs w:val="19"/>
              </w:rPr>
              <w:t>Net cost to PBS/</w:t>
            </w:r>
            <w:proofErr w:type="spellStart"/>
            <w:r>
              <w:rPr>
                <w:sz w:val="19"/>
                <w:szCs w:val="19"/>
              </w:rPr>
              <w:t>RPBS</w:t>
            </w:r>
            <w:r w:rsidR="00687BE1" w:rsidRPr="00687BE1">
              <w:rPr>
                <w:sz w:val="19"/>
                <w:szCs w:val="19"/>
                <w:vertAlign w:val="superscript"/>
              </w:rPr>
              <w:t>d</w:t>
            </w:r>
            <w:proofErr w:type="spellEnd"/>
          </w:p>
        </w:tc>
        <w:tc>
          <w:tcPr>
            <w:tcW w:w="613" w:type="pct"/>
            <w:shd w:val="clear" w:color="auto" w:fill="auto"/>
          </w:tcPr>
          <w:p w14:paraId="244B3CD0"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3" w:type="pct"/>
            <w:shd w:val="clear" w:color="auto" w:fill="auto"/>
          </w:tcPr>
          <w:p w14:paraId="7568AF7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700" w:type="pct"/>
            <w:shd w:val="clear" w:color="auto" w:fill="auto"/>
          </w:tcPr>
          <w:p w14:paraId="4C2008AD"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6" w:type="pct"/>
            <w:shd w:val="clear" w:color="auto" w:fill="auto"/>
          </w:tcPr>
          <w:p w14:paraId="03F9A15A"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539" w:type="pct"/>
            <w:shd w:val="clear" w:color="auto" w:fill="auto"/>
          </w:tcPr>
          <w:p w14:paraId="1AAFBEA2"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92" w:type="pct"/>
          </w:tcPr>
          <w:p w14:paraId="6331048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r>
    </w:tbl>
    <w:p w14:paraId="669EFCB4" w14:textId="29E17892" w:rsidR="00687BE1" w:rsidRPr="00EE15E4" w:rsidRDefault="00687BE1" w:rsidP="009336B1">
      <w:pPr>
        <w:pStyle w:val="TableFooter"/>
        <w:keepNext/>
        <w:keepLines/>
        <w:tabs>
          <w:tab w:val="left" w:pos="142"/>
        </w:tabs>
      </w:pPr>
      <w:proofErr w:type="spellStart"/>
      <w:proofErr w:type="gramStart"/>
      <w:r>
        <w:rPr>
          <w:vertAlign w:val="superscript"/>
        </w:rPr>
        <w:t>a</w:t>
      </w:r>
      <w:proofErr w:type="spellEnd"/>
      <w:proofErr w:type="gramEnd"/>
      <w:r>
        <w:t xml:space="preserve"> Estimate </w:t>
      </w:r>
      <w:r w:rsidRPr="00EE15E4">
        <w:t xml:space="preserve">includes </w:t>
      </w:r>
      <w:r w:rsidR="00470D8F" w:rsidRPr="00EE15E4">
        <w:t xml:space="preserve">&lt; 500 </w:t>
      </w:r>
      <w:r w:rsidRPr="00EE15E4">
        <w:t>grandfathered patients.</w:t>
      </w:r>
    </w:p>
    <w:p w14:paraId="7C516898" w14:textId="77777777" w:rsidR="009336B1" w:rsidRDefault="00687BE1" w:rsidP="009336B1">
      <w:pPr>
        <w:pStyle w:val="TableFooter"/>
        <w:keepNext/>
        <w:keepLines/>
        <w:tabs>
          <w:tab w:val="left" w:pos="142"/>
        </w:tabs>
      </w:pPr>
      <w:r w:rsidRPr="00EE15E4">
        <w:rPr>
          <w:vertAlign w:val="superscript"/>
        </w:rPr>
        <w:t>b</w:t>
      </w:r>
      <w:r w:rsidR="009336B1" w:rsidRPr="00EE15E4">
        <w:tab/>
        <w:t>Assuming 10.96 scripts per</w:t>
      </w:r>
      <w:r w:rsidR="009336B1" w:rsidRPr="003639A6">
        <w:t xml:space="preserve"> year as estimated by the submission.</w:t>
      </w:r>
    </w:p>
    <w:p w14:paraId="5A267BF0" w14:textId="77777777" w:rsidR="009336B1" w:rsidRDefault="00687BE1" w:rsidP="009336B1">
      <w:pPr>
        <w:pStyle w:val="TableFooter"/>
        <w:keepNext/>
        <w:keepLines/>
        <w:tabs>
          <w:tab w:val="left" w:pos="142"/>
        </w:tabs>
      </w:pPr>
      <w:r>
        <w:rPr>
          <w:vertAlign w:val="superscript"/>
        </w:rPr>
        <w:t>c</w:t>
      </w:r>
      <w:r w:rsidR="009336B1">
        <w:tab/>
        <w:t>MBS 13950 applied.</w:t>
      </w:r>
    </w:p>
    <w:p w14:paraId="116D959C" w14:textId="77777777" w:rsidR="00831395" w:rsidRDefault="00687BE1" w:rsidP="009336B1">
      <w:pPr>
        <w:pStyle w:val="TableFooter"/>
        <w:keepNext/>
        <w:keepLines/>
        <w:tabs>
          <w:tab w:val="left" w:pos="142"/>
        </w:tabs>
      </w:pPr>
      <w:r>
        <w:rPr>
          <w:vertAlign w:val="superscript"/>
        </w:rPr>
        <w:t>d</w:t>
      </w:r>
      <w:r>
        <w:t xml:space="preserve"> </w:t>
      </w:r>
      <w:proofErr w:type="gramStart"/>
      <w:r w:rsidR="00831395">
        <w:t>T</w:t>
      </w:r>
      <w:r w:rsidR="00831395" w:rsidRPr="00831395">
        <w:t>he</w:t>
      </w:r>
      <w:proofErr w:type="gramEnd"/>
      <w:r w:rsidR="00831395" w:rsidRPr="00831395">
        <w:t xml:space="preserve"> effective vial price for pembrolizumab </w:t>
      </w:r>
      <w:r w:rsidR="00FB438B">
        <w:t xml:space="preserve">reduced </w:t>
      </w:r>
      <w:r w:rsidR="00831395" w:rsidRPr="00831395">
        <w:t>from $</w:t>
      </w:r>
      <w:r w:rsidR="00D451EA">
        <w:rPr>
          <w:noProof/>
          <w:color w:val="000000"/>
          <w:highlight w:val="black"/>
        </w:rPr>
        <w:t>'''''''''''''''''''</w:t>
      </w:r>
      <w:r w:rsidR="00831395" w:rsidRPr="00831395">
        <w:t>/vial to $</w:t>
      </w:r>
      <w:r w:rsidR="00D451EA">
        <w:rPr>
          <w:noProof/>
          <w:color w:val="000000"/>
          <w:highlight w:val="black"/>
        </w:rPr>
        <w:t>''''''''''''''''''''''</w:t>
      </w:r>
      <w:r w:rsidR="00831395" w:rsidRPr="00831395">
        <w:t xml:space="preserve">/vial </w:t>
      </w:r>
      <w:r>
        <w:t>in the PSCR</w:t>
      </w:r>
      <w:r w:rsidR="00831395">
        <w:t>. The</w:t>
      </w:r>
      <w:r w:rsidR="00831395" w:rsidRPr="00831395">
        <w:t xml:space="preserve"> new price </w:t>
      </w:r>
      <w:r w:rsidR="00831395">
        <w:t>was</w:t>
      </w:r>
      <w:r w:rsidR="00831395" w:rsidRPr="00831395">
        <w:t xml:space="preserve"> applied to the </w:t>
      </w:r>
      <w:r w:rsidR="00831395">
        <w:t>revised estimates in the pre-PBAC response</w:t>
      </w:r>
      <w:r w:rsidR="00831395" w:rsidRPr="00831395">
        <w:t>.</w:t>
      </w:r>
    </w:p>
    <w:p w14:paraId="341138F8" w14:textId="2BFA2601" w:rsidR="009336B1" w:rsidRDefault="009336B1" w:rsidP="009336B1">
      <w:pPr>
        <w:pStyle w:val="TableFooter"/>
        <w:keepNext/>
        <w:keepLines/>
      </w:pPr>
      <w:r>
        <w:t xml:space="preserve">Source: </w:t>
      </w:r>
      <w:r w:rsidRPr="00600F63">
        <w:rPr>
          <w:rStyle w:val="CommentReference"/>
          <w:b w:val="0"/>
          <w:bCs/>
          <w:sz w:val="18"/>
          <w:szCs w:val="18"/>
        </w:rPr>
        <w:t>Table 4.2-7, p107</w:t>
      </w:r>
      <w:r>
        <w:rPr>
          <w:rStyle w:val="CommentReference"/>
          <w:b w:val="0"/>
          <w:bCs/>
          <w:sz w:val="18"/>
          <w:szCs w:val="18"/>
        </w:rPr>
        <w:t>,</w:t>
      </w:r>
      <w:r w:rsidRPr="00FF09B6">
        <w:rPr>
          <w:rStyle w:val="CommentReference"/>
          <w:b w:val="0"/>
          <w:bCs/>
        </w:rPr>
        <w:t xml:space="preserve"> </w:t>
      </w:r>
      <w:r>
        <w:t xml:space="preserve">Table 4.2-9, p109, Table 4.2-16, pp110-112, and Table 4.4-1, p112, and Table 4.5-3-p113 of the submission. </w:t>
      </w:r>
      <w:r w:rsidR="007F19A5">
        <w:t xml:space="preserve">MBS = Medicare Benefits Schedule; </w:t>
      </w:r>
      <w:r>
        <w:t>PBS = Pharmaceutical Benefits Scheme; RPBS = Repatriation Pharmaceutical Benefits Scheme</w:t>
      </w:r>
      <w:r w:rsidR="007C0761">
        <w:t>; PSCR = Pre-Sub-Committee Response</w:t>
      </w:r>
      <w:r w:rsidR="007F19A5">
        <w:t>.</w:t>
      </w:r>
    </w:p>
    <w:p w14:paraId="13C35DE2" w14:textId="77777777" w:rsidR="00086673" w:rsidRPr="006F1EC0" w:rsidRDefault="00086673" w:rsidP="009336B1">
      <w:pPr>
        <w:pStyle w:val="TableFooter"/>
        <w:keepNext/>
        <w:keepLines/>
        <w:rPr>
          <w:i/>
        </w:rPr>
      </w:pPr>
      <w:r w:rsidRPr="006F1EC0">
        <w:rPr>
          <w:i/>
        </w:rPr>
        <w:t>The redacted values correspond to the following ranges:</w:t>
      </w:r>
    </w:p>
    <w:p w14:paraId="48F56E22" w14:textId="77777777" w:rsidR="00086673" w:rsidRPr="006F1EC0" w:rsidRDefault="00086673" w:rsidP="009336B1">
      <w:pPr>
        <w:pStyle w:val="TableFooter"/>
        <w:keepNext/>
        <w:keepLines/>
        <w:rPr>
          <w:i/>
        </w:rPr>
      </w:pPr>
      <w:r w:rsidRPr="006F1EC0">
        <w:rPr>
          <w:i/>
          <w:vertAlign w:val="superscript"/>
        </w:rPr>
        <w:t>1</w:t>
      </w:r>
      <w:r w:rsidRPr="006F1EC0">
        <w:rPr>
          <w:i/>
        </w:rPr>
        <w:t xml:space="preserve"> </w:t>
      </w:r>
      <w:r w:rsidR="0022048C" w:rsidRPr="006F1EC0">
        <w:rPr>
          <w:i/>
        </w:rPr>
        <w:t>500 to &lt; 5,000</w:t>
      </w:r>
    </w:p>
    <w:p w14:paraId="0A8EEFB0" w14:textId="77777777" w:rsidR="00B917DB" w:rsidRPr="006F1EC0" w:rsidRDefault="00B917DB" w:rsidP="009336B1">
      <w:pPr>
        <w:pStyle w:val="TableFooter"/>
        <w:keepNext/>
        <w:keepLines/>
        <w:rPr>
          <w:i/>
        </w:rPr>
      </w:pPr>
      <w:r w:rsidRPr="006F1EC0">
        <w:rPr>
          <w:i/>
          <w:vertAlign w:val="superscript"/>
        </w:rPr>
        <w:t>2</w:t>
      </w:r>
      <w:r w:rsidRPr="006F1EC0">
        <w:rPr>
          <w:i/>
        </w:rPr>
        <w:t xml:space="preserve"> 5,000 to &lt; 10,000</w:t>
      </w:r>
    </w:p>
    <w:p w14:paraId="288DE48B" w14:textId="77777777" w:rsidR="00B917DB" w:rsidRPr="006F1EC0" w:rsidRDefault="00B917DB" w:rsidP="009336B1">
      <w:pPr>
        <w:pStyle w:val="TableFooter"/>
        <w:keepNext/>
        <w:keepLines/>
        <w:rPr>
          <w:i/>
        </w:rPr>
      </w:pPr>
      <w:r w:rsidRPr="006F1EC0">
        <w:rPr>
          <w:i/>
          <w:vertAlign w:val="superscript"/>
        </w:rPr>
        <w:t>3</w:t>
      </w:r>
      <w:r w:rsidRPr="006F1EC0">
        <w:rPr>
          <w:i/>
        </w:rPr>
        <w:t xml:space="preserve"> $20 million to &lt; $30 million</w:t>
      </w:r>
    </w:p>
    <w:p w14:paraId="66856569" w14:textId="77777777" w:rsidR="00B917DB" w:rsidRPr="006F1EC0" w:rsidRDefault="00B917DB" w:rsidP="009336B1">
      <w:pPr>
        <w:pStyle w:val="TableFooter"/>
        <w:keepNext/>
        <w:keepLines/>
        <w:rPr>
          <w:i/>
        </w:rPr>
      </w:pPr>
      <w:r w:rsidRPr="006F1EC0">
        <w:rPr>
          <w:i/>
          <w:vertAlign w:val="superscript"/>
        </w:rPr>
        <w:t>4</w:t>
      </w:r>
      <w:r w:rsidRPr="006F1EC0">
        <w:rPr>
          <w:i/>
        </w:rPr>
        <w:t xml:space="preserve"> $30 million to &lt; $40 million</w:t>
      </w:r>
    </w:p>
    <w:p w14:paraId="0BDFB69B" w14:textId="58B469E5" w:rsidR="009336B1" w:rsidRPr="00CB71F0" w:rsidRDefault="00B917DB" w:rsidP="00CB71F0">
      <w:pPr>
        <w:pStyle w:val="TableFooter"/>
        <w:keepNext/>
        <w:keepLines/>
        <w:spacing w:after="120"/>
        <w:rPr>
          <w:i/>
        </w:rPr>
      </w:pPr>
      <w:r w:rsidRPr="006F1EC0">
        <w:rPr>
          <w:i/>
          <w:vertAlign w:val="superscript"/>
        </w:rPr>
        <w:t>5</w:t>
      </w:r>
      <w:r w:rsidRPr="006F1EC0">
        <w:rPr>
          <w:i/>
        </w:rPr>
        <w:t xml:space="preserve"> $0 to &lt; $10 million</w:t>
      </w:r>
    </w:p>
    <w:p w14:paraId="206D0904" w14:textId="77777777" w:rsidR="006C77FB" w:rsidRDefault="009336B1" w:rsidP="007F19A5">
      <w:pPr>
        <w:pStyle w:val="ListParagraph"/>
        <w:widowControl/>
        <w:numPr>
          <w:ilvl w:val="1"/>
          <w:numId w:val="1"/>
        </w:numPr>
        <w:rPr>
          <w:rFonts w:asciiTheme="minorHAnsi" w:hAnsiTheme="minorHAnsi" w:cstheme="minorHAnsi"/>
        </w:rPr>
      </w:pPr>
      <w:r w:rsidRPr="009336B1">
        <w:rPr>
          <w:rFonts w:asciiTheme="minorHAnsi" w:hAnsiTheme="minorHAnsi" w:cstheme="minorHAnsi"/>
        </w:rPr>
        <w:t>The total net cost to the PBS/RPBS was estimated at $</w:t>
      </w:r>
      <w:r w:rsidR="00C52D85">
        <w:rPr>
          <w:rFonts w:asciiTheme="minorHAnsi" w:hAnsiTheme="minorHAnsi" w:cstheme="minorHAnsi"/>
        </w:rPr>
        <w:t>20M to &lt; $30M</w:t>
      </w:r>
      <w:r w:rsidRPr="009336B1">
        <w:rPr>
          <w:rFonts w:asciiTheme="minorHAnsi" w:hAnsiTheme="minorHAnsi" w:cstheme="minorHAnsi"/>
        </w:rPr>
        <w:t xml:space="preserve"> in Year 1, decreasing to $</w:t>
      </w:r>
      <w:r w:rsidR="00C52D85">
        <w:rPr>
          <w:rFonts w:asciiTheme="minorHAnsi" w:hAnsiTheme="minorHAnsi" w:cstheme="minorHAnsi"/>
        </w:rPr>
        <w:t>20M to &lt; $30M</w:t>
      </w:r>
      <w:r w:rsidRPr="009336B1">
        <w:rPr>
          <w:rFonts w:asciiTheme="minorHAnsi" w:hAnsiTheme="minorHAnsi" w:cstheme="minorHAnsi"/>
        </w:rPr>
        <w:t xml:space="preserve"> in Year 2</w:t>
      </w:r>
      <w:r w:rsidR="00DC65F1">
        <w:rPr>
          <w:rFonts w:asciiTheme="minorHAnsi" w:hAnsiTheme="minorHAnsi" w:cstheme="minorHAnsi"/>
        </w:rPr>
        <w:t>,</w:t>
      </w:r>
      <w:r w:rsidRPr="009336B1">
        <w:rPr>
          <w:rFonts w:asciiTheme="minorHAnsi" w:hAnsiTheme="minorHAnsi" w:cstheme="minorHAnsi"/>
        </w:rPr>
        <w:t xml:space="preserve"> before increasing back to $</w:t>
      </w:r>
      <w:r w:rsidR="00C52D85">
        <w:rPr>
          <w:rFonts w:asciiTheme="minorHAnsi" w:hAnsiTheme="minorHAnsi" w:cstheme="minorHAnsi"/>
        </w:rPr>
        <w:t>20M to &lt; $30M</w:t>
      </w:r>
      <w:r w:rsidRPr="009336B1">
        <w:rPr>
          <w:rFonts w:asciiTheme="minorHAnsi" w:hAnsiTheme="minorHAnsi" w:cstheme="minorHAnsi"/>
        </w:rPr>
        <w:t xml:space="preserve"> in Year </w:t>
      </w:r>
      <w:r w:rsidR="007F19A5">
        <w:rPr>
          <w:rFonts w:asciiTheme="minorHAnsi" w:hAnsiTheme="minorHAnsi" w:cstheme="minorHAnsi"/>
        </w:rPr>
        <w:t>6</w:t>
      </w:r>
      <w:r w:rsidRPr="009336B1">
        <w:rPr>
          <w:rFonts w:asciiTheme="minorHAnsi" w:hAnsiTheme="minorHAnsi" w:cstheme="minorHAnsi"/>
        </w:rPr>
        <w:t>.</w:t>
      </w:r>
      <w:r w:rsidR="007F19A5">
        <w:rPr>
          <w:rFonts w:asciiTheme="minorHAnsi" w:hAnsiTheme="minorHAnsi" w:cstheme="minorHAnsi"/>
        </w:rPr>
        <w:t xml:space="preserve"> </w:t>
      </w:r>
      <w:r w:rsidR="003310CE">
        <w:rPr>
          <w:rFonts w:asciiTheme="minorHAnsi" w:hAnsiTheme="minorHAnsi" w:cstheme="minorHAnsi"/>
        </w:rPr>
        <w:t>T</w:t>
      </w:r>
      <w:r w:rsidR="007F19A5" w:rsidRPr="009336B1">
        <w:rPr>
          <w:rFonts w:asciiTheme="minorHAnsi" w:hAnsiTheme="minorHAnsi" w:cstheme="minorHAnsi"/>
        </w:rPr>
        <w:t>he</w:t>
      </w:r>
      <w:r w:rsidR="003310CE">
        <w:rPr>
          <w:rFonts w:asciiTheme="minorHAnsi" w:hAnsiTheme="minorHAnsi" w:cstheme="minorHAnsi"/>
        </w:rPr>
        <w:t xml:space="preserve"> Sponsor’s</w:t>
      </w:r>
      <w:r w:rsidR="007F19A5">
        <w:rPr>
          <w:rFonts w:asciiTheme="minorHAnsi" w:hAnsiTheme="minorHAnsi" w:cstheme="minorHAnsi"/>
        </w:rPr>
        <w:t xml:space="preserve"> revised</w:t>
      </w:r>
      <w:r w:rsidR="007F19A5" w:rsidRPr="009336B1">
        <w:rPr>
          <w:rFonts w:asciiTheme="minorHAnsi" w:hAnsiTheme="minorHAnsi" w:cstheme="minorHAnsi"/>
        </w:rPr>
        <w:t xml:space="preserve"> total net cost to the</w:t>
      </w:r>
      <w:r w:rsidR="007F19A5">
        <w:rPr>
          <w:rFonts w:asciiTheme="minorHAnsi" w:hAnsiTheme="minorHAnsi" w:cstheme="minorHAnsi"/>
        </w:rPr>
        <w:t xml:space="preserve"> PBS/RPBS</w:t>
      </w:r>
      <w:r w:rsidR="003310CE">
        <w:rPr>
          <w:rFonts w:asciiTheme="minorHAnsi" w:hAnsiTheme="minorHAnsi" w:cstheme="minorHAnsi"/>
        </w:rPr>
        <w:t>, capturing GOJ AC patients,</w:t>
      </w:r>
      <w:r w:rsidR="007F19A5">
        <w:rPr>
          <w:rFonts w:asciiTheme="minorHAnsi" w:hAnsiTheme="minorHAnsi" w:cstheme="minorHAnsi"/>
        </w:rPr>
        <w:t xml:space="preserve"> was estimated at $</w:t>
      </w:r>
      <w:r w:rsidR="00C52D85">
        <w:rPr>
          <w:rFonts w:asciiTheme="minorHAnsi" w:hAnsiTheme="minorHAnsi" w:cstheme="minorHAnsi"/>
        </w:rPr>
        <w:t>30M to &lt; $40M</w:t>
      </w:r>
      <w:r w:rsidR="007F19A5" w:rsidRPr="009336B1">
        <w:rPr>
          <w:rFonts w:asciiTheme="minorHAnsi" w:hAnsiTheme="minorHAnsi" w:cstheme="minorHAnsi"/>
        </w:rPr>
        <w:t xml:space="preserve"> in Year 1, d</w:t>
      </w:r>
      <w:r w:rsidR="007F19A5">
        <w:rPr>
          <w:rFonts w:asciiTheme="minorHAnsi" w:hAnsiTheme="minorHAnsi" w:cstheme="minorHAnsi"/>
        </w:rPr>
        <w:t>ecreasing to $</w:t>
      </w:r>
      <w:r w:rsidR="00C52D85">
        <w:rPr>
          <w:rFonts w:asciiTheme="minorHAnsi" w:hAnsiTheme="minorHAnsi" w:cstheme="minorHAnsi"/>
        </w:rPr>
        <w:t>30M to &lt; $40M</w:t>
      </w:r>
      <w:r w:rsidR="007F19A5" w:rsidRPr="009336B1">
        <w:rPr>
          <w:rFonts w:asciiTheme="minorHAnsi" w:hAnsiTheme="minorHAnsi" w:cstheme="minorHAnsi"/>
        </w:rPr>
        <w:t xml:space="preserve"> in Year 2</w:t>
      </w:r>
      <w:r w:rsidR="00DC65F1">
        <w:rPr>
          <w:rFonts w:asciiTheme="minorHAnsi" w:hAnsiTheme="minorHAnsi" w:cstheme="minorHAnsi"/>
        </w:rPr>
        <w:t>,</w:t>
      </w:r>
      <w:r w:rsidR="007F19A5" w:rsidRPr="009336B1">
        <w:rPr>
          <w:rFonts w:asciiTheme="minorHAnsi" w:hAnsiTheme="minorHAnsi" w:cstheme="minorHAnsi"/>
        </w:rPr>
        <w:t xml:space="preserve"> before increasing </w:t>
      </w:r>
      <w:r w:rsidR="007F19A5">
        <w:rPr>
          <w:rFonts w:asciiTheme="minorHAnsi" w:hAnsiTheme="minorHAnsi" w:cstheme="minorHAnsi"/>
        </w:rPr>
        <w:t>to $</w:t>
      </w:r>
      <w:r w:rsidR="00C52D85">
        <w:rPr>
          <w:rFonts w:asciiTheme="minorHAnsi" w:hAnsiTheme="minorHAnsi" w:cstheme="minorHAnsi"/>
        </w:rPr>
        <w:t>30M to &lt; $40M</w:t>
      </w:r>
      <w:r w:rsidR="007F19A5" w:rsidRPr="009336B1">
        <w:rPr>
          <w:rFonts w:asciiTheme="minorHAnsi" w:hAnsiTheme="minorHAnsi" w:cstheme="minorHAnsi"/>
        </w:rPr>
        <w:t xml:space="preserve"> in Year </w:t>
      </w:r>
      <w:r w:rsidR="007F19A5">
        <w:rPr>
          <w:rFonts w:asciiTheme="minorHAnsi" w:hAnsiTheme="minorHAnsi" w:cstheme="minorHAnsi"/>
        </w:rPr>
        <w:t>6</w:t>
      </w:r>
      <w:r w:rsidR="007F19A5" w:rsidRPr="009336B1">
        <w:rPr>
          <w:rFonts w:asciiTheme="minorHAnsi" w:hAnsiTheme="minorHAnsi" w:cstheme="minorHAnsi"/>
        </w:rPr>
        <w:t>.</w:t>
      </w:r>
      <w:r w:rsidRPr="009336B1">
        <w:rPr>
          <w:rFonts w:asciiTheme="minorHAnsi" w:hAnsiTheme="minorHAnsi" w:cstheme="minorHAnsi"/>
        </w:rPr>
        <w:t xml:space="preserve"> </w:t>
      </w:r>
    </w:p>
    <w:p w14:paraId="14EFE4BD" w14:textId="2DE3E39D" w:rsidR="003B0309" w:rsidRPr="00CB71F0" w:rsidRDefault="004A7FBC" w:rsidP="003B0309">
      <w:pPr>
        <w:pStyle w:val="ListParagraph"/>
        <w:widowControl/>
        <w:numPr>
          <w:ilvl w:val="1"/>
          <w:numId w:val="1"/>
        </w:numPr>
        <w:rPr>
          <w:rFonts w:asciiTheme="minorHAnsi" w:hAnsiTheme="minorHAnsi" w:cstheme="minorHAnsi"/>
        </w:rPr>
      </w:pPr>
      <w:r>
        <w:rPr>
          <w:iCs/>
        </w:rPr>
        <w:t xml:space="preserve">The PBAC considered there was a high risk of pembrolizumab being used in patients with Siewert Type II or Type III </w:t>
      </w:r>
      <w:r w:rsidR="001D4D0E">
        <w:rPr>
          <w:iCs/>
        </w:rPr>
        <w:t xml:space="preserve">AC of the </w:t>
      </w:r>
      <w:r>
        <w:rPr>
          <w:iCs/>
        </w:rPr>
        <w:t>GOJ and gastric cancer. Additionally, t</w:t>
      </w:r>
      <w:r w:rsidR="00375776">
        <w:rPr>
          <w:iCs/>
        </w:rPr>
        <w:t>he PBAC noted there would be an impact on utilisation and financial estimates should nivolumab be recommended for PBS listing in a similar population.</w:t>
      </w:r>
      <w:r w:rsidR="00E179CB">
        <w:rPr>
          <w:iCs/>
        </w:rPr>
        <w:t xml:space="preserve"> </w:t>
      </w:r>
      <w:bookmarkStart w:id="50" w:name="_Toc79761905"/>
    </w:p>
    <w:p w14:paraId="3979AC25" w14:textId="1A9FBCAE" w:rsidR="004E0DA6" w:rsidRPr="009D70C3" w:rsidRDefault="004E0DA6" w:rsidP="00CB71F0">
      <w:pPr>
        <w:pStyle w:val="Heading2"/>
        <w:keepNext/>
        <w:keepLines/>
        <w:spacing w:after="120"/>
        <w:rPr>
          <w:rFonts w:asciiTheme="minorHAnsi" w:hAnsiTheme="minorHAnsi" w:cstheme="minorHAnsi"/>
        </w:rPr>
      </w:pPr>
      <w:r w:rsidRPr="009D70C3">
        <w:rPr>
          <w:rFonts w:asciiTheme="minorHAnsi" w:hAnsiTheme="minorHAnsi" w:cstheme="minorHAnsi"/>
        </w:rPr>
        <w:lastRenderedPageBreak/>
        <w:t>Quality Use of Medicines</w:t>
      </w:r>
      <w:bookmarkEnd w:id="50"/>
    </w:p>
    <w:p w14:paraId="0BCDCE8D" w14:textId="77777777" w:rsidR="004E0DA6" w:rsidRPr="005344F6" w:rsidRDefault="004E0DA6" w:rsidP="00DC65F1">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 xml:space="preserve">The submission outlined </w:t>
      </w:r>
      <w:proofErr w:type="gramStart"/>
      <w:r w:rsidRPr="005344F6">
        <w:rPr>
          <w:rFonts w:asciiTheme="minorHAnsi" w:hAnsiTheme="minorHAnsi" w:cstheme="minorHAnsi"/>
        </w:rPr>
        <w:t>a number of</w:t>
      </w:r>
      <w:proofErr w:type="gramEnd"/>
      <w:r w:rsidRPr="005344F6">
        <w:rPr>
          <w:rFonts w:asciiTheme="minorHAnsi" w:hAnsiTheme="minorHAnsi" w:cstheme="minorHAnsi"/>
        </w:rPr>
        <w:t xml:space="preserve"> activities intended to promote safe and effective use of pembrolizumab in clinical practice</w:t>
      </w:r>
      <w:r>
        <w:rPr>
          <w:rFonts w:asciiTheme="minorHAnsi" w:hAnsiTheme="minorHAnsi" w:cstheme="minorHAnsi"/>
        </w:rPr>
        <w:t xml:space="preserve">. These include the development of materials </w:t>
      </w:r>
      <w:r w:rsidRPr="005344F6">
        <w:rPr>
          <w:rFonts w:asciiTheme="minorHAnsi" w:hAnsiTheme="minorHAnsi" w:cstheme="minorHAnsi"/>
        </w:rPr>
        <w:t xml:space="preserve">about how to identify and manage potential treatment-related </w:t>
      </w:r>
      <w:r w:rsidR="00DF36B9">
        <w:rPr>
          <w:rFonts w:asciiTheme="minorHAnsi" w:hAnsiTheme="minorHAnsi" w:cstheme="minorHAnsi"/>
        </w:rPr>
        <w:t>AEs</w:t>
      </w:r>
      <w:r w:rsidRPr="005344F6">
        <w:rPr>
          <w:rFonts w:asciiTheme="minorHAnsi" w:hAnsiTheme="minorHAnsi" w:cstheme="minorHAnsi"/>
        </w:rPr>
        <w:t xml:space="preserve"> in particular immune-related </w:t>
      </w:r>
      <w:r w:rsidR="00EE5652">
        <w:rPr>
          <w:rFonts w:asciiTheme="minorHAnsi" w:hAnsiTheme="minorHAnsi" w:cstheme="minorHAnsi"/>
        </w:rPr>
        <w:t>AEs</w:t>
      </w:r>
      <w:r>
        <w:rPr>
          <w:rFonts w:asciiTheme="minorHAnsi" w:hAnsiTheme="minorHAnsi" w:cstheme="minorHAnsi"/>
        </w:rPr>
        <w:t>, as well as education activities and a 1-800 medical information service</w:t>
      </w:r>
      <w:r w:rsidR="00EE5652">
        <w:rPr>
          <w:rFonts w:asciiTheme="minorHAnsi" w:hAnsiTheme="minorHAnsi" w:cstheme="minorHAnsi"/>
        </w:rPr>
        <w:t>.</w:t>
      </w:r>
      <w:r>
        <w:rPr>
          <w:rFonts w:asciiTheme="minorHAnsi" w:hAnsiTheme="minorHAnsi" w:cstheme="minorHAnsi"/>
        </w:rPr>
        <w:t xml:space="preserve"> </w:t>
      </w:r>
    </w:p>
    <w:p w14:paraId="65C12DBD" w14:textId="7D160CFD" w:rsidR="004E0DA6" w:rsidRPr="005344F6" w:rsidRDefault="004E0DA6" w:rsidP="00CB71F0">
      <w:pPr>
        <w:pStyle w:val="Heading2"/>
        <w:keepNext/>
        <w:keepLines/>
        <w:spacing w:after="120"/>
        <w:rPr>
          <w:rFonts w:asciiTheme="minorHAnsi" w:hAnsiTheme="minorHAnsi" w:cstheme="minorHAnsi"/>
        </w:rPr>
      </w:pPr>
      <w:bookmarkStart w:id="51" w:name="_Toc79761906"/>
      <w:r w:rsidRPr="005344F6">
        <w:rPr>
          <w:rFonts w:asciiTheme="minorHAnsi" w:hAnsiTheme="minorHAnsi" w:cstheme="minorHAnsi"/>
        </w:rPr>
        <w:t>Financial Management – Risk Sharing Arrangements</w:t>
      </w:r>
      <w:bookmarkEnd w:id="51"/>
    </w:p>
    <w:p w14:paraId="3F048F64" w14:textId="77777777" w:rsidR="004E0DA6" w:rsidRDefault="004E0DA6" w:rsidP="00863C38">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 xml:space="preserve">The submission stated that the </w:t>
      </w:r>
      <w:r w:rsidR="00C86331">
        <w:rPr>
          <w:rFonts w:asciiTheme="minorHAnsi" w:hAnsiTheme="minorHAnsi" w:cstheme="minorHAnsi"/>
        </w:rPr>
        <w:t>S</w:t>
      </w:r>
      <w:r w:rsidRPr="005344F6">
        <w:rPr>
          <w:rFonts w:asciiTheme="minorHAnsi" w:hAnsiTheme="minorHAnsi" w:cstheme="minorHAnsi"/>
        </w:rPr>
        <w:t xml:space="preserve">ponsor is willing to </w:t>
      </w:r>
      <w:proofErr w:type="gramStart"/>
      <w:r w:rsidRPr="005344F6">
        <w:rPr>
          <w:rFonts w:asciiTheme="minorHAnsi" w:hAnsiTheme="minorHAnsi" w:cstheme="minorHAnsi"/>
        </w:rPr>
        <w:t>enter into</w:t>
      </w:r>
      <w:proofErr w:type="gramEnd"/>
      <w:r w:rsidRPr="005344F6">
        <w:rPr>
          <w:rFonts w:asciiTheme="minorHAnsi" w:hAnsiTheme="minorHAnsi" w:cstheme="minorHAnsi"/>
        </w:rPr>
        <w:t xml:space="preserve"> an RSA with the Commonwealth on sharing the costs of the Commonwealth subsidy for supply of pembrolizumab for the treatment of recurrent or metastatic OC and GOJA, in order to manage any risk to the overall cost to the PBS. </w:t>
      </w:r>
    </w:p>
    <w:p w14:paraId="2CFDC01A" w14:textId="77777777" w:rsidR="004E0DA6" w:rsidRDefault="004E0DA6" w:rsidP="00863C38">
      <w:pPr>
        <w:pStyle w:val="ListParagraph"/>
        <w:widowControl/>
        <w:numPr>
          <w:ilvl w:val="1"/>
          <w:numId w:val="1"/>
        </w:numPr>
        <w:rPr>
          <w:rFonts w:asciiTheme="minorHAnsi" w:hAnsiTheme="minorHAnsi" w:cstheme="minorHAnsi"/>
        </w:rPr>
      </w:pPr>
      <w:proofErr w:type="gramStart"/>
      <w:r w:rsidRPr="005344F6">
        <w:rPr>
          <w:rFonts w:asciiTheme="minorHAnsi" w:hAnsiTheme="minorHAnsi" w:cstheme="minorHAnsi"/>
        </w:rPr>
        <w:t>For the purpose of</w:t>
      </w:r>
      <w:proofErr w:type="gramEnd"/>
      <w:r w:rsidRPr="005344F6">
        <w:rPr>
          <w:rFonts w:asciiTheme="minorHAnsi" w:hAnsiTheme="minorHAnsi" w:cstheme="minorHAnsi"/>
        </w:rPr>
        <w:t xml:space="preserve"> the RSA, the sponsor agrees to reimburse the Commonwealth with a proportion of the treatment costs of pembrolizumab, should use exceed the subsidisation cap in that year. Following a positive recommendation, the submission stated that the sponsor is committed to working with the Commonwealth to finalise the specific parameters for inclusion in the RSA including the rebate proportion to be paid.</w:t>
      </w:r>
    </w:p>
    <w:p w14:paraId="1DBF77F2" w14:textId="77777777" w:rsidR="006B2687" w:rsidRPr="006B2687" w:rsidRDefault="006B2687" w:rsidP="00CB71F0">
      <w:pPr>
        <w:pStyle w:val="ListParagraph"/>
        <w:widowControl/>
        <w:spacing w:after="240"/>
        <w:rPr>
          <w:rFonts w:asciiTheme="minorHAnsi" w:hAnsiTheme="minorHAnsi" w:cstheme="minorHAnsi"/>
          <w:b/>
        </w:rPr>
      </w:pPr>
      <w:r w:rsidRPr="00C33D30">
        <w:rPr>
          <w:rFonts w:asciiTheme="minorHAnsi" w:hAnsiTheme="minorHAnsi"/>
          <w:i/>
        </w:rPr>
        <w:t>For more detail on PBAC’s view, see section 7 PBAC outcome.</w:t>
      </w:r>
    </w:p>
    <w:p w14:paraId="556931DD" w14:textId="77777777" w:rsidR="00447F2B" w:rsidRPr="0090150D" w:rsidRDefault="00447F2B" w:rsidP="00CB71F0">
      <w:pPr>
        <w:pStyle w:val="PBACHeading1"/>
        <w:keepNext/>
        <w:keepLines/>
        <w:spacing w:after="120"/>
      </w:pPr>
      <w:bookmarkStart w:id="52" w:name="_Hlk76377955"/>
      <w:bookmarkStart w:id="53" w:name="_Hlk76381249"/>
      <w:bookmarkStart w:id="54" w:name="_Toc79761908"/>
      <w:bookmarkEnd w:id="0"/>
      <w:bookmarkEnd w:id="1"/>
      <w:bookmarkEnd w:id="2"/>
      <w:bookmarkEnd w:id="3"/>
      <w:bookmarkEnd w:id="4"/>
      <w:r w:rsidRPr="0090150D">
        <w:t>PBAC Outcome</w:t>
      </w:r>
    </w:p>
    <w:p w14:paraId="3FAAD8E8" w14:textId="77777777" w:rsidR="005D715C" w:rsidRPr="005D715C" w:rsidRDefault="00715117" w:rsidP="001A5E2A">
      <w:pPr>
        <w:numPr>
          <w:ilvl w:val="1"/>
          <w:numId w:val="1"/>
        </w:numPr>
        <w:spacing w:after="120"/>
        <w:rPr>
          <w:rFonts w:asciiTheme="minorHAnsi" w:hAnsiTheme="minorHAnsi"/>
          <w:lang w:val="en-GB"/>
        </w:rPr>
      </w:pPr>
      <w:r w:rsidRPr="00796FB8">
        <w:rPr>
          <w:rFonts w:asciiTheme="minorHAnsi" w:hAnsiTheme="minorHAnsi"/>
          <w:bCs/>
        </w:rPr>
        <w:t xml:space="preserve">The PBAC did not recommend the listing of </w:t>
      </w:r>
      <w:r>
        <w:t>pembrolizumab</w:t>
      </w:r>
      <w:r w:rsidRPr="00796FB8">
        <w:t xml:space="preserve"> </w:t>
      </w:r>
      <w:r w:rsidR="008A3428">
        <w:t xml:space="preserve">in combination with chemotherapy </w:t>
      </w:r>
      <w:r w:rsidRPr="00796FB8">
        <w:t xml:space="preserve">for the treatment of </w:t>
      </w:r>
      <w:r w:rsidRPr="00586BAA">
        <w:rPr>
          <w:rFonts w:asciiTheme="minorHAnsi" w:hAnsiTheme="minorHAnsi" w:cstheme="minorHAnsi"/>
        </w:rPr>
        <w:t>locally advanced (Stage III) or metastatic (Stage IV) oesophageal adenocarcinoma (OAC) or oesophageal squamous cell carcinoma (OSCC), or human epidermal growth factor receptor 2 (HER2)-negative adenocarcinoma</w:t>
      </w:r>
      <w:r>
        <w:rPr>
          <w:rFonts w:asciiTheme="minorHAnsi" w:hAnsiTheme="minorHAnsi" w:cstheme="minorHAnsi"/>
        </w:rPr>
        <w:t xml:space="preserve"> (AC)</w:t>
      </w:r>
      <w:r w:rsidRPr="00586BAA">
        <w:rPr>
          <w:rFonts w:asciiTheme="minorHAnsi" w:hAnsiTheme="minorHAnsi" w:cstheme="minorHAnsi"/>
        </w:rPr>
        <w:t xml:space="preserve"> of the gastro-oesophageal junction (GOJ)</w:t>
      </w:r>
      <w:r w:rsidRPr="00796FB8">
        <w:t xml:space="preserve">. </w:t>
      </w:r>
      <w:r w:rsidR="001A5E2A">
        <w:rPr>
          <w:rFonts w:asciiTheme="minorHAnsi" w:hAnsiTheme="minorHAnsi" w:cstheme="minorHAnsi"/>
          <w:szCs w:val="24"/>
        </w:rPr>
        <w:t>The</w:t>
      </w:r>
      <w:r w:rsidR="001A5E2A" w:rsidRPr="00010013">
        <w:rPr>
          <w:rFonts w:asciiTheme="minorHAnsi" w:hAnsiTheme="minorHAnsi" w:cstheme="minorHAnsi"/>
          <w:szCs w:val="24"/>
        </w:rPr>
        <w:t xml:space="preserve"> PBAC noted</w:t>
      </w:r>
      <w:r w:rsidR="001A5E2A">
        <w:rPr>
          <w:rFonts w:asciiTheme="minorHAnsi" w:hAnsiTheme="minorHAnsi" w:cstheme="minorHAnsi"/>
          <w:szCs w:val="24"/>
        </w:rPr>
        <w:t xml:space="preserve"> that</w:t>
      </w:r>
      <w:r w:rsidR="001A5E2A" w:rsidRPr="00010013">
        <w:rPr>
          <w:rFonts w:asciiTheme="minorHAnsi" w:hAnsiTheme="minorHAnsi" w:cstheme="minorHAnsi"/>
          <w:szCs w:val="24"/>
        </w:rPr>
        <w:t xml:space="preserve"> the clinical need for effective treatments in this therapeutic area</w:t>
      </w:r>
      <w:r w:rsidR="001A5E2A">
        <w:rPr>
          <w:rFonts w:asciiTheme="minorHAnsi" w:hAnsiTheme="minorHAnsi" w:cstheme="minorHAnsi"/>
          <w:szCs w:val="24"/>
        </w:rPr>
        <w:t xml:space="preserve"> is high, </w:t>
      </w:r>
      <w:r w:rsidR="001A5E2A" w:rsidRPr="00A862C6">
        <w:t xml:space="preserve">given the poor prognosis for patients and the poor </w:t>
      </w:r>
      <w:r w:rsidR="001A5E2A" w:rsidRPr="003C1988">
        <w:t>efficacy and high toxicity of current treatments</w:t>
      </w:r>
      <w:r w:rsidR="001A5E2A">
        <w:t xml:space="preserve">. </w:t>
      </w:r>
      <w:r w:rsidR="001A5E2A" w:rsidRPr="001A5E2A">
        <w:t xml:space="preserve">The PBAC considered the evidence presented demonstrated </w:t>
      </w:r>
      <w:r w:rsidR="008A3428">
        <w:t xml:space="preserve">treatment with pembrolizumab resulted in </w:t>
      </w:r>
      <w:r w:rsidR="001A5E2A" w:rsidRPr="001A5E2A">
        <w:t xml:space="preserve">a clinically </w:t>
      </w:r>
      <w:r w:rsidR="00003B1B">
        <w:t>meaningful</w:t>
      </w:r>
      <w:r w:rsidR="00003B1B" w:rsidRPr="001A5E2A">
        <w:t xml:space="preserve"> </w:t>
      </w:r>
      <w:r w:rsidR="001A5E2A" w:rsidRPr="001A5E2A">
        <w:t xml:space="preserve">improvement in </w:t>
      </w:r>
      <w:r w:rsidR="008A3428">
        <w:t xml:space="preserve">progression free survival (PFS) and </w:t>
      </w:r>
      <w:r w:rsidR="001A5E2A" w:rsidRPr="001A5E2A">
        <w:t>overall survival</w:t>
      </w:r>
      <w:r w:rsidR="008A3428">
        <w:t xml:space="preserve"> (OS)</w:t>
      </w:r>
      <w:r w:rsidR="001A5E2A">
        <w:t xml:space="preserve">. </w:t>
      </w:r>
      <w:r w:rsidR="008A3428">
        <w:t>However, t</w:t>
      </w:r>
      <w:r w:rsidR="001A5E2A" w:rsidRPr="001A5E2A">
        <w:t xml:space="preserve">he PBAC considered the incremental cost-effectiveness ratio (ICER) in this setting </w:t>
      </w:r>
      <w:r w:rsidR="00CD5315" w:rsidRPr="001A5E2A">
        <w:t xml:space="preserve">at the proposed price </w:t>
      </w:r>
      <w:r w:rsidR="001A5E2A" w:rsidRPr="001A5E2A">
        <w:t xml:space="preserve">was high and moderately uncertain. </w:t>
      </w:r>
    </w:p>
    <w:p w14:paraId="18500C28" w14:textId="49DB39A1" w:rsidR="00447F2B" w:rsidRPr="00F31302" w:rsidRDefault="00357BCB" w:rsidP="005D715C">
      <w:pPr>
        <w:numPr>
          <w:ilvl w:val="1"/>
          <w:numId w:val="1"/>
        </w:numPr>
        <w:spacing w:after="120"/>
        <w:rPr>
          <w:rFonts w:asciiTheme="minorHAnsi" w:hAnsiTheme="minorHAnsi"/>
          <w:lang w:val="en-GB"/>
        </w:rPr>
      </w:pPr>
      <w:r w:rsidRPr="003C1988">
        <w:t>The PBAC noted t</w:t>
      </w:r>
      <w:r w:rsidR="001A5E2A">
        <w:t xml:space="preserve">he consumer input supported the high clinical need for additional effective treatment options for this population. </w:t>
      </w:r>
    </w:p>
    <w:p w14:paraId="51EF2622" w14:textId="77777777" w:rsidR="00F31302" w:rsidRPr="00F021CE" w:rsidRDefault="00C37291" w:rsidP="00C37291">
      <w:pPr>
        <w:numPr>
          <w:ilvl w:val="1"/>
          <w:numId w:val="1"/>
        </w:numPr>
        <w:spacing w:after="120"/>
        <w:rPr>
          <w:rFonts w:asciiTheme="minorHAnsi" w:hAnsiTheme="minorHAnsi"/>
          <w:lang w:val="en-GB"/>
        </w:rPr>
      </w:pPr>
      <w:r>
        <w:t xml:space="preserve">The submission nominated chemotherapy alone, represented by </w:t>
      </w:r>
      <w:r w:rsidRPr="00C37291">
        <w:t>cisplatin + 5-FU</w:t>
      </w:r>
      <w:r>
        <w:t xml:space="preserve">- based regimens, as the comparator. The PBAC noted nivolumab plus chemotherapy was considered at the same PBAC meeting and agreed with the submission that it is a </w:t>
      </w:r>
      <w:r>
        <w:lastRenderedPageBreak/>
        <w:t>near-market comparator given the overlap in patient populations</w:t>
      </w:r>
      <w:r w:rsidR="00E00F88">
        <w:t>.</w:t>
      </w:r>
    </w:p>
    <w:p w14:paraId="5E96CAC1" w14:textId="7A3E9EFD" w:rsidR="00F021CE" w:rsidRPr="00335F8F" w:rsidRDefault="00F021CE" w:rsidP="005D715C">
      <w:pPr>
        <w:numPr>
          <w:ilvl w:val="1"/>
          <w:numId w:val="1"/>
        </w:numPr>
        <w:spacing w:after="120"/>
        <w:rPr>
          <w:rFonts w:asciiTheme="minorHAnsi" w:hAnsiTheme="minorHAnsi"/>
          <w:lang w:val="en-GB"/>
        </w:rPr>
      </w:pPr>
      <w:r w:rsidRPr="005F45AB">
        <w:rPr>
          <w:rFonts w:asciiTheme="minorHAnsi" w:hAnsiTheme="minorHAnsi"/>
          <w:bCs/>
        </w:rPr>
        <w:t xml:space="preserve">The PBAC was satisfied that </w:t>
      </w:r>
      <w:r w:rsidRPr="005F45AB">
        <w:t xml:space="preserve">pembrolizumab </w:t>
      </w:r>
      <w:r w:rsidRPr="005F45AB">
        <w:rPr>
          <w:rFonts w:asciiTheme="minorHAnsi" w:hAnsiTheme="minorHAnsi"/>
          <w:bCs/>
        </w:rPr>
        <w:t>provided, for some patients, a significant improvement in efficacy over the nominated comparator of chemotherapy (</w:t>
      </w:r>
      <w:r w:rsidRPr="005F45AB">
        <w:rPr>
          <w:iCs/>
        </w:rPr>
        <w:t>cisplatin + 5-FU</w:t>
      </w:r>
      <w:r w:rsidRPr="005F45AB">
        <w:rPr>
          <w:rFonts w:asciiTheme="minorHAnsi" w:hAnsiTheme="minorHAnsi"/>
          <w:bCs/>
        </w:rPr>
        <w:t xml:space="preserve">). </w:t>
      </w:r>
      <w:r w:rsidRPr="00335F8F">
        <w:rPr>
          <w:rFonts w:asciiTheme="minorHAnsi" w:hAnsiTheme="minorHAnsi"/>
          <w:bCs/>
        </w:rPr>
        <w:t>The PBAC noted that</w:t>
      </w:r>
      <w:r w:rsidR="00335F8F">
        <w:rPr>
          <w:rFonts w:asciiTheme="minorHAnsi" w:hAnsiTheme="minorHAnsi"/>
          <w:bCs/>
        </w:rPr>
        <w:t xml:space="preserve"> </w:t>
      </w:r>
      <w:r w:rsidR="00335F8F" w:rsidRPr="005F45AB">
        <w:rPr>
          <w:iCs/>
        </w:rPr>
        <w:t>this combination could be considered representative of all platinum- and 5-FU-based regimens, including the commonly used FOLFOX and XELOX/CAPOX regimens</w:t>
      </w:r>
      <w:r w:rsidR="00335F8F">
        <w:rPr>
          <w:iCs/>
        </w:rPr>
        <w:t>.</w:t>
      </w:r>
    </w:p>
    <w:p w14:paraId="59ED373D" w14:textId="4F665761" w:rsidR="0053313A" w:rsidRPr="00357BCB" w:rsidRDefault="000F47CE" w:rsidP="000F47CE">
      <w:pPr>
        <w:numPr>
          <w:ilvl w:val="1"/>
          <w:numId w:val="1"/>
        </w:numPr>
        <w:spacing w:after="120"/>
        <w:rPr>
          <w:rFonts w:asciiTheme="minorHAnsi" w:hAnsiTheme="minorHAnsi"/>
          <w:lang w:val="en-GB"/>
        </w:rPr>
      </w:pPr>
      <w:bookmarkStart w:id="55" w:name="_Ref89940886"/>
      <w:r w:rsidRPr="000F47CE">
        <w:rPr>
          <w:rFonts w:asciiTheme="minorHAnsi" w:hAnsiTheme="minorHAnsi" w:cstheme="minorHAnsi"/>
          <w:iCs/>
        </w:rPr>
        <w:t xml:space="preserve">The PBAC noted that the TGA </w:t>
      </w:r>
      <w:r w:rsidR="0005561F">
        <w:rPr>
          <w:rFonts w:asciiTheme="minorHAnsi" w:hAnsiTheme="minorHAnsi" w:cstheme="minorHAnsi"/>
          <w:iCs/>
        </w:rPr>
        <w:t>indication</w:t>
      </w:r>
      <w:r w:rsidR="0005561F" w:rsidRPr="000F47CE">
        <w:rPr>
          <w:rFonts w:asciiTheme="minorHAnsi" w:hAnsiTheme="minorHAnsi" w:cstheme="minorHAnsi"/>
          <w:iCs/>
        </w:rPr>
        <w:t xml:space="preserve"> </w:t>
      </w:r>
      <w:r w:rsidRPr="000F47CE">
        <w:rPr>
          <w:rFonts w:asciiTheme="minorHAnsi" w:hAnsiTheme="minorHAnsi" w:cstheme="minorHAnsi"/>
          <w:iCs/>
        </w:rPr>
        <w:t>and trial population for pembrolizumab reflected a subset of the full patient population likely to be considered clinically appropriate for checkpoint inhibitor treatment. The PBAC indicated its preference for an aligned, simpler restriction for checkpoint inhibitors that reflected likely clinical practice across gastric</w:t>
      </w:r>
      <w:r w:rsidR="00C30D60">
        <w:rPr>
          <w:rFonts w:asciiTheme="minorHAnsi" w:hAnsiTheme="minorHAnsi" w:cstheme="minorHAnsi"/>
          <w:iCs/>
        </w:rPr>
        <w:t>, GOJ</w:t>
      </w:r>
      <w:r w:rsidRPr="000F47CE">
        <w:rPr>
          <w:rFonts w:asciiTheme="minorHAnsi" w:hAnsiTheme="minorHAnsi" w:cstheme="minorHAnsi"/>
          <w:iCs/>
        </w:rPr>
        <w:t xml:space="preserve"> and oesopha</w:t>
      </w:r>
      <w:r w:rsidR="00A11716">
        <w:rPr>
          <w:rFonts w:asciiTheme="minorHAnsi" w:hAnsiTheme="minorHAnsi" w:cstheme="minorHAnsi"/>
          <w:iCs/>
        </w:rPr>
        <w:t>geal cancers, while noting the</w:t>
      </w:r>
      <w:r w:rsidRPr="000F47CE">
        <w:rPr>
          <w:rFonts w:asciiTheme="minorHAnsi" w:hAnsiTheme="minorHAnsi" w:cstheme="minorHAnsi"/>
          <w:iCs/>
        </w:rPr>
        <w:t xml:space="preserve"> different TGA indications.</w:t>
      </w:r>
      <w:bookmarkEnd w:id="55"/>
      <w:r w:rsidRPr="000F47CE">
        <w:rPr>
          <w:rFonts w:asciiTheme="minorHAnsi" w:hAnsiTheme="minorHAnsi" w:cstheme="minorHAnsi"/>
          <w:iCs/>
        </w:rPr>
        <w:t xml:space="preserve"> </w:t>
      </w:r>
    </w:p>
    <w:p w14:paraId="7C6CF2ED" w14:textId="24330DAA" w:rsidR="00C27AB6" w:rsidRDefault="00C27AB6" w:rsidP="00447F2B">
      <w:pPr>
        <w:numPr>
          <w:ilvl w:val="1"/>
          <w:numId w:val="1"/>
        </w:numPr>
        <w:spacing w:after="120"/>
        <w:rPr>
          <w:rFonts w:asciiTheme="minorHAnsi" w:hAnsiTheme="minorHAnsi"/>
          <w:lang w:val="en-GB"/>
        </w:rPr>
      </w:pPr>
      <w:r w:rsidRPr="00C27AB6">
        <w:t xml:space="preserve">The submission was based on one head-to-head </w:t>
      </w:r>
      <w:r w:rsidRPr="004E72CC">
        <w:t>randomised, phase 3, double</w:t>
      </w:r>
      <w:r w:rsidRPr="00C27AB6">
        <w:t>-blind</w:t>
      </w:r>
      <w:r w:rsidRPr="00C27AB6">
        <w:rPr>
          <w:highlight w:val="lightGray"/>
        </w:rPr>
        <w:t xml:space="preserve"> </w:t>
      </w:r>
      <w:r w:rsidRPr="004E72CC">
        <w:t>multi-centre trial</w:t>
      </w:r>
      <w:r w:rsidRPr="00C27AB6">
        <w:t xml:space="preserve"> (</w:t>
      </w:r>
      <w:r>
        <w:t>Keynote 590</w:t>
      </w:r>
      <w:r w:rsidR="00B9060A">
        <w:t xml:space="preserve"> [KN590]</w:t>
      </w:r>
      <w:r>
        <w:t>; N=749</w:t>
      </w:r>
      <w:r w:rsidRPr="00C27AB6">
        <w:t>) comparing pembrolizumab</w:t>
      </w:r>
      <w:r>
        <w:t xml:space="preserve"> + chemotherapy</w:t>
      </w:r>
      <w:r w:rsidRPr="00C27AB6">
        <w:t xml:space="preserve"> to</w:t>
      </w:r>
      <w:r>
        <w:t xml:space="preserve"> </w:t>
      </w:r>
      <w:r w:rsidRPr="00586BAA">
        <w:rPr>
          <w:rFonts w:asciiTheme="minorHAnsi" w:hAnsiTheme="minorHAnsi" w:cstheme="minorHAnsi"/>
          <w:szCs w:val="24"/>
        </w:rPr>
        <w:t>cisplatin + 5</w:t>
      </w:r>
      <w:r w:rsidRPr="00C27AB6">
        <w:rPr>
          <w:rFonts w:asciiTheme="minorHAnsi" w:hAnsiTheme="minorHAnsi" w:cstheme="minorHAnsi"/>
          <w:szCs w:val="24"/>
        </w:rPr>
        <w:t>-FU</w:t>
      </w:r>
      <w:r w:rsidRPr="00C27AB6">
        <w:t xml:space="preserve">, in patients with </w:t>
      </w:r>
      <w:r w:rsidRPr="00C27AB6">
        <w:rPr>
          <w:rFonts w:asciiTheme="minorHAnsi" w:hAnsiTheme="minorHAnsi" w:cstheme="minorHAnsi"/>
          <w:szCs w:val="24"/>
        </w:rPr>
        <w:t xml:space="preserve">locally advanced unresectable or metastatic OAC or OSCC or advanced/metastatic Siewert type </w:t>
      </w:r>
      <w:r w:rsidRPr="00DF0EDA">
        <w:rPr>
          <w:rFonts w:asciiTheme="minorHAnsi" w:hAnsiTheme="minorHAnsi" w:cstheme="minorHAnsi"/>
          <w:szCs w:val="24"/>
        </w:rPr>
        <w:t>1 AC of the GOJ</w:t>
      </w:r>
      <w:r w:rsidRPr="00DF0EDA">
        <w:t xml:space="preserve">. The PBAC noted that there was a statistically significant OS benefit associated with </w:t>
      </w:r>
      <w:r w:rsidR="004E72CC" w:rsidRPr="00DF0EDA">
        <w:t>pembrolizumab</w:t>
      </w:r>
      <w:r w:rsidRPr="00DF0EDA">
        <w:t xml:space="preserve"> </w:t>
      </w:r>
      <w:r w:rsidR="00DF0EDA" w:rsidRPr="00DF0EDA">
        <w:t>(HR=0.73</w:t>
      </w:r>
      <w:r w:rsidRPr="00DF0EDA">
        <w:t xml:space="preserve">, 95% CI: </w:t>
      </w:r>
      <w:r w:rsidR="00DF0EDA" w:rsidRPr="00DF0EDA">
        <w:t>0.62, 0.86</w:t>
      </w:r>
      <w:r w:rsidRPr="00DF0EDA">
        <w:t>) with the me</w:t>
      </w:r>
      <w:r w:rsidR="00DF0EDA" w:rsidRPr="00DF0EDA">
        <w:t>dian survival improving from 9.8 to 12.4</w:t>
      </w:r>
      <w:r w:rsidR="00DF0EDA">
        <w:t xml:space="preserve"> months</w:t>
      </w:r>
      <w:r w:rsidR="00D205AD">
        <w:t xml:space="preserve"> </w:t>
      </w:r>
      <w:r w:rsidR="00DF0EDA">
        <w:t>and an improvement in PFS (</w:t>
      </w:r>
      <w:r w:rsidR="00D205AD">
        <w:t xml:space="preserve">5.8 months to 6.3 months, </w:t>
      </w:r>
      <w:r w:rsidR="00DF0EDA">
        <w:t>HR=0.65</w:t>
      </w:r>
      <w:r w:rsidR="00DF0EDA" w:rsidRPr="00DF0EDA">
        <w:t xml:space="preserve">, 95% CI: </w:t>
      </w:r>
      <w:r w:rsidR="00DF0EDA">
        <w:t>0.</w:t>
      </w:r>
      <w:r w:rsidR="00DF0EDA" w:rsidRPr="00DF0EDA">
        <w:t>55, 0.76).</w:t>
      </w:r>
      <w:r w:rsidR="00B9060A">
        <w:t xml:space="preserve"> </w:t>
      </w:r>
      <w:r w:rsidR="00B9060A">
        <w:rPr>
          <w:rFonts w:asciiTheme="minorHAnsi" w:hAnsiTheme="minorHAnsi" w:cstheme="minorHAnsi"/>
          <w:iCs/>
        </w:rPr>
        <w:t>The PBAC considered that the e</w:t>
      </w:r>
      <w:r w:rsidR="00EA1339">
        <w:rPr>
          <w:rFonts w:asciiTheme="minorHAnsi" w:hAnsiTheme="minorHAnsi" w:cstheme="minorHAnsi"/>
          <w:iCs/>
        </w:rPr>
        <w:t xml:space="preserve">xtent of </w:t>
      </w:r>
      <w:r w:rsidR="00447EB1">
        <w:rPr>
          <w:rFonts w:asciiTheme="minorHAnsi" w:hAnsiTheme="minorHAnsi" w:cstheme="minorHAnsi"/>
          <w:iCs/>
        </w:rPr>
        <w:t xml:space="preserve">OS </w:t>
      </w:r>
      <w:r w:rsidR="00EA1339">
        <w:rPr>
          <w:rFonts w:asciiTheme="minorHAnsi" w:hAnsiTheme="minorHAnsi" w:cstheme="minorHAnsi"/>
          <w:iCs/>
        </w:rPr>
        <w:t>benefit was</w:t>
      </w:r>
      <w:r w:rsidR="00B9060A" w:rsidRPr="003A4556">
        <w:rPr>
          <w:rFonts w:asciiTheme="minorHAnsi" w:hAnsiTheme="minorHAnsi" w:cstheme="minorHAnsi"/>
          <w:iCs/>
        </w:rPr>
        <w:t xml:space="preserve"> clinically </w:t>
      </w:r>
      <w:r w:rsidR="00BB2E30">
        <w:rPr>
          <w:rFonts w:asciiTheme="minorHAnsi" w:hAnsiTheme="minorHAnsi" w:cstheme="minorHAnsi"/>
          <w:iCs/>
        </w:rPr>
        <w:t>meaningful</w:t>
      </w:r>
      <w:r w:rsidR="00BB2E30" w:rsidRPr="003A4556">
        <w:rPr>
          <w:rFonts w:asciiTheme="minorHAnsi" w:hAnsiTheme="minorHAnsi" w:cstheme="minorHAnsi"/>
          <w:iCs/>
        </w:rPr>
        <w:t xml:space="preserve"> </w:t>
      </w:r>
      <w:r w:rsidR="00B9060A" w:rsidRPr="003A4556">
        <w:rPr>
          <w:rFonts w:asciiTheme="minorHAnsi" w:hAnsiTheme="minorHAnsi" w:cstheme="minorHAnsi"/>
          <w:iCs/>
        </w:rPr>
        <w:t xml:space="preserve">in the context of </w:t>
      </w:r>
      <w:r w:rsidR="00B9060A">
        <w:rPr>
          <w:rFonts w:asciiTheme="minorHAnsi" w:hAnsiTheme="minorHAnsi" w:cstheme="minorHAnsi"/>
          <w:iCs/>
        </w:rPr>
        <w:t xml:space="preserve">the </w:t>
      </w:r>
      <w:r w:rsidR="00152EA2">
        <w:rPr>
          <w:rFonts w:asciiTheme="minorHAnsi" w:hAnsiTheme="minorHAnsi" w:cstheme="minorHAnsi"/>
          <w:iCs/>
        </w:rPr>
        <w:t>poor prognosis of this patient population</w:t>
      </w:r>
      <w:r w:rsidR="00B9060A">
        <w:rPr>
          <w:rFonts w:asciiTheme="minorHAnsi" w:hAnsiTheme="minorHAnsi" w:cstheme="minorHAnsi"/>
          <w:iCs/>
        </w:rPr>
        <w:t>.</w:t>
      </w:r>
      <w:r w:rsidR="00447EB1" w:rsidRPr="00447EB1">
        <w:t xml:space="preserve"> </w:t>
      </w:r>
      <w:r w:rsidR="00447EB1">
        <w:t xml:space="preserve">The PBAC noted the OS benefit </w:t>
      </w:r>
      <w:r w:rsidR="00520FE7">
        <w:t>in patients treated with pembrolizumab</w:t>
      </w:r>
      <w:r w:rsidR="00152EA2">
        <w:t xml:space="preserve"> compared to chemotherapy alone</w:t>
      </w:r>
      <w:r w:rsidR="00520FE7">
        <w:t xml:space="preserve"> </w:t>
      </w:r>
      <w:r w:rsidR="00447EB1">
        <w:t xml:space="preserve">was </w:t>
      </w:r>
      <w:r w:rsidR="009436C0">
        <w:t xml:space="preserve">supported by </w:t>
      </w:r>
      <w:r w:rsidR="00D205AD">
        <w:t xml:space="preserve">a higher </w:t>
      </w:r>
      <w:r w:rsidR="009436C0">
        <w:t xml:space="preserve">ORR, </w:t>
      </w:r>
      <w:r w:rsidR="00D205AD">
        <w:t xml:space="preserve">longer </w:t>
      </w:r>
      <w:r w:rsidR="009436C0">
        <w:t xml:space="preserve">duration of response and maintenance of QoL. </w:t>
      </w:r>
    </w:p>
    <w:p w14:paraId="7AB07125" w14:textId="77777777" w:rsidR="00D424D0" w:rsidRDefault="00B9060A" w:rsidP="003E092D">
      <w:pPr>
        <w:numPr>
          <w:ilvl w:val="1"/>
          <w:numId w:val="1"/>
        </w:numPr>
        <w:spacing w:after="120"/>
        <w:rPr>
          <w:rFonts w:asciiTheme="minorHAnsi" w:hAnsiTheme="minorHAnsi" w:cstheme="minorHAnsi"/>
          <w:iCs/>
        </w:rPr>
      </w:pPr>
      <w:r>
        <w:rPr>
          <w:rFonts w:asciiTheme="minorHAnsi" w:hAnsiTheme="minorHAnsi" w:cstheme="minorHAnsi"/>
          <w:szCs w:val="24"/>
        </w:rPr>
        <w:t>While t</w:t>
      </w:r>
      <w:r w:rsidR="003A4556" w:rsidRPr="00010013">
        <w:rPr>
          <w:rFonts w:asciiTheme="minorHAnsi" w:hAnsiTheme="minorHAnsi" w:cstheme="minorHAnsi"/>
          <w:szCs w:val="24"/>
        </w:rPr>
        <w:t xml:space="preserve">he PBAC </w:t>
      </w:r>
      <w:r>
        <w:rPr>
          <w:rFonts w:asciiTheme="minorHAnsi" w:hAnsiTheme="minorHAnsi" w:cstheme="minorHAnsi"/>
          <w:szCs w:val="24"/>
        </w:rPr>
        <w:t>acknowledged the</w:t>
      </w:r>
      <w:r w:rsidR="003A4556" w:rsidRPr="00010013">
        <w:rPr>
          <w:rFonts w:asciiTheme="minorHAnsi" w:hAnsiTheme="minorHAnsi" w:cstheme="minorHAnsi"/>
          <w:szCs w:val="24"/>
        </w:rPr>
        <w:t xml:space="preserve"> clinically relevant improvement in </w:t>
      </w:r>
      <w:r w:rsidR="003A4556">
        <w:rPr>
          <w:rFonts w:asciiTheme="minorHAnsi" w:hAnsiTheme="minorHAnsi" w:cstheme="minorHAnsi"/>
          <w:szCs w:val="24"/>
        </w:rPr>
        <w:t>PFS</w:t>
      </w:r>
      <w:r w:rsidR="003A4556" w:rsidRPr="00010013">
        <w:rPr>
          <w:rFonts w:asciiTheme="minorHAnsi" w:hAnsiTheme="minorHAnsi" w:cstheme="minorHAnsi"/>
          <w:szCs w:val="24"/>
        </w:rPr>
        <w:t xml:space="preserve"> and </w:t>
      </w:r>
      <w:r w:rsidR="003A4556">
        <w:rPr>
          <w:rFonts w:asciiTheme="minorHAnsi" w:hAnsiTheme="minorHAnsi" w:cstheme="minorHAnsi"/>
          <w:szCs w:val="24"/>
        </w:rPr>
        <w:t>OS</w:t>
      </w:r>
      <w:r w:rsidR="003A4556" w:rsidRPr="00010013">
        <w:rPr>
          <w:rFonts w:asciiTheme="minorHAnsi" w:hAnsiTheme="minorHAnsi" w:cstheme="minorHAnsi"/>
          <w:szCs w:val="24"/>
        </w:rPr>
        <w:t xml:space="preserve"> with pembrolizumab</w:t>
      </w:r>
      <w:r>
        <w:rPr>
          <w:rFonts w:asciiTheme="minorHAnsi" w:hAnsiTheme="minorHAnsi" w:cstheme="minorHAnsi"/>
          <w:szCs w:val="24"/>
        </w:rPr>
        <w:t xml:space="preserve"> in the KN590 trial</w:t>
      </w:r>
      <w:r w:rsidR="003A4556" w:rsidRPr="00010013">
        <w:rPr>
          <w:rFonts w:asciiTheme="minorHAnsi" w:hAnsiTheme="minorHAnsi" w:cstheme="minorHAnsi"/>
          <w:szCs w:val="24"/>
        </w:rPr>
        <w:t xml:space="preserve">, </w:t>
      </w:r>
      <w:r>
        <w:rPr>
          <w:rFonts w:asciiTheme="minorHAnsi" w:hAnsiTheme="minorHAnsi" w:cstheme="minorHAnsi"/>
          <w:szCs w:val="24"/>
        </w:rPr>
        <w:t>it considered</w:t>
      </w:r>
      <w:r w:rsidR="003A4556" w:rsidRPr="00010013">
        <w:rPr>
          <w:rFonts w:asciiTheme="minorHAnsi" w:hAnsiTheme="minorHAnsi" w:cstheme="minorHAnsi"/>
          <w:szCs w:val="24"/>
        </w:rPr>
        <w:t xml:space="preserve"> the magnitude of the benef</w:t>
      </w:r>
      <w:r>
        <w:rPr>
          <w:rFonts w:asciiTheme="minorHAnsi" w:hAnsiTheme="minorHAnsi" w:cstheme="minorHAnsi"/>
          <w:szCs w:val="24"/>
        </w:rPr>
        <w:t>it in the Australian population to be</w:t>
      </w:r>
      <w:r w:rsidR="003A4556" w:rsidRPr="00010013">
        <w:rPr>
          <w:rFonts w:asciiTheme="minorHAnsi" w:hAnsiTheme="minorHAnsi" w:cstheme="minorHAnsi"/>
          <w:szCs w:val="24"/>
        </w:rPr>
        <w:t xml:space="preserve"> uncertain.</w:t>
      </w:r>
      <w:r w:rsidR="0081184D">
        <w:rPr>
          <w:rFonts w:asciiTheme="minorHAnsi" w:hAnsiTheme="minorHAnsi" w:cstheme="minorHAnsi"/>
          <w:szCs w:val="24"/>
        </w:rPr>
        <w:t xml:space="preserve"> It noted th</w:t>
      </w:r>
      <w:r w:rsidR="00447EB1">
        <w:rPr>
          <w:rFonts w:asciiTheme="minorHAnsi" w:hAnsiTheme="minorHAnsi" w:cstheme="minorHAnsi"/>
          <w:szCs w:val="24"/>
        </w:rPr>
        <w:t xml:space="preserve">e benefit of </w:t>
      </w:r>
      <w:r w:rsidR="001D67B0">
        <w:rPr>
          <w:rFonts w:asciiTheme="minorHAnsi" w:hAnsiTheme="minorHAnsi" w:cstheme="minorHAnsi"/>
          <w:szCs w:val="24"/>
        </w:rPr>
        <w:t>pembrolizumab</w:t>
      </w:r>
      <w:r w:rsidR="009436C0">
        <w:rPr>
          <w:rFonts w:asciiTheme="minorHAnsi" w:hAnsiTheme="minorHAnsi" w:cstheme="minorHAnsi"/>
          <w:szCs w:val="24"/>
        </w:rPr>
        <w:t xml:space="preserve"> </w:t>
      </w:r>
      <w:r w:rsidR="00447EB1">
        <w:rPr>
          <w:rFonts w:asciiTheme="minorHAnsi" w:hAnsiTheme="minorHAnsi" w:cstheme="minorHAnsi"/>
          <w:szCs w:val="24"/>
        </w:rPr>
        <w:t xml:space="preserve">is less </w:t>
      </w:r>
      <w:r w:rsidR="001D67B0">
        <w:rPr>
          <w:rFonts w:asciiTheme="minorHAnsi" w:hAnsiTheme="minorHAnsi" w:cstheme="minorHAnsi"/>
          <w:szCs w:val="24"/>
        </w:rPr>
        <w:t>in patients with PD-L1 CPS &lt;10</w:t>
      </w:r>
      <w:r w:rsidR="009436C0">
        <w:rPr>
          <w:rFonts w:asciiTheme="minorHAnsi" w:hAnsiTheme="minorHAnsi" w:cstheme="minorHAnsi"/>
          <w:szCs w:val="24"/>
        </w:rPr>
        <w:t xml:space="preserve"> and the proportion of patients with CPS&lt;10 in the Australian population was unknown</w:t>
      </w:r>
      <w:r w:rsidR="00447EB1">
        <w:rPr>
          <w:rFonts w:asciiTheme="minorHAnsi" w:hAnsiTheme="minorHAnsi" w:cstheme="minorHAnsi"/>
          <w:szCs w:val="24"/>
        </w:rPr>
        <w:t xml:space="preserve">. </w:t>
      </w:r>
      <w:r w:rsidR="00B25524">
        <w:rPr>
          <w:rFonts w:asciiTheme="minorHAnsi" w:hAnsiTheme="minorHAnsi" w:cstheme="minorHAnsi"/>
          <w:iCs/>
        </w:rPr>
        <w:t>The PBAC</w:t>
      </w:r>
      <w:r w:rsidR="0081184D">
        <w:rPr>
          <w:rFonts w:asciiTheme="minorHAnsi" w:hAnsiTheme="minorHAnsi" w:cstheme="minorHAnsi"/>
          <w:iCs/>
        </w:rPr>
        <w:t xml:space="preserve"> </w:t>
      </w:r>
      <w:r w:rsidR="00B25524">
        <w:rPr>
          <w:rFonts w:asciiTheme="minorHAnsi" w:hAnsiTheme="minorHAnsi" w:cstheme="minorHAnsi"/>
          <w:iCs/>
        </w:rPr>
        <w:t xml:space="preserve">noted that while the proportions of the OAC/OSCC </w:t>
      </w:r>
      <w:proofErr w:type="spellStart"/>
      <w:r w:rsidR="00B25524">
        <w:rPr>
          <w:rFonts w:asciiTheme="minorHAnsi" w:hAnsiTheme="minorHAnsi" w:cstheme="minorHAnsi"/>
          <w:iCs/>
        </w:rPr>
        <w:t>histologies</w:t>
      </w:r>
      <w:proofErr w:type="spellEnd"/>
      <w:r w:rsidR="00B25524">
        <w:rPr>
          <w:rFonts w:asciiTheme="minorHAnsi" w:hAnsiTheme="minorHAnsi" w:cstheme="minorHAnsi"/>
          <w:iCs/>
        </w:rPr>
        <w:t xml:space="preserve"> differed in the KN590 trial compared with the Australian population, it was unlikely to make a </w:t>
      </w:r>
      <w:r w:rsidR="00C91C96">
        <w:rPr>
          <w:rFonts w:asciiTheme="minorHAnsi" w:hAnsiTheme="minorHAnsi" w:cstheme="minorHAnsi"/>
          <w:iCs/>
        </w:rPr>
        <w:t xml:space="preserve">substantial </w:t>
      </w:r>
      <w:r w:rsidR="00B25524">
        <w:rPr>
          <w:rFonts w:asciiTheme="minorHAnsi" w:hAnsiTheme="minorHAnsi" w:cstheme="minorHAnsi"/>
          <w:iCs/>
        </w:rPr>
        <w:t>difference to the magnitude of the benefit</w:t>
      </w:r>
      <w:r w:rsidR="001D67B0">
        <w:rPr>
          <w:rFonts w:asciiTheme="minorHAnsi" w:hAnsiTheme="minorHAnsi" w:cstheme="minorHAnsi"/>
          <w:iCs/>
        </w:rPr>
        <w:t xml:space="preserve"> from pembrolizumab</w:t>
      </w:r>
      <w:r w:rsidR="00B25524">
        <w:rPr>
          <w:rFonts w:asciiTheme="minorHAnsi" w:hAnsiTheme="minorHAnsi" w:cstheme="minorHAnsi"/>
          <w:iCs/>
        </w:rPr>
        <w:t>.</w:t>
      </w:r>
    </w:p>
    <w:p w14:paraId="5DF18CCE" w14:textId="77777777" w:rsidR="0037094B" w:rsidRPr="00187963" w:rsidRDefault="00187963" w:rsidP="00187963">
      <w:pPr>
        <w:pStyle w:val="ListParagraph"/>
        <w:widowControl/>
        <w:numPr>
          <w:ilvl w:val="1"/>
          <w:numId w:val="1"/>
        </w:numPr>
        <w:rPr>
          <w:rFonts w:asciiTheme="minorHAnsi" w:hAnsiTheme="minorHAnsi" w:cstheme="minorHAnsi"/>
        </w:rPr>
      </w:pPr>
      <w:r>
        <w:t xml:space="preserve">The PBAC noted that </w:t>
      </w:r>
      <w:r w:rsidRPr="00E06BED">
        <w:t>pembrolizumab in combination with chemotherapy ha</w:t>
      </w:r>
      <w:r w:rsidR="00F31302">
        <w:t xml:space="preserve">d </w:t>
      </w:r>
      <w:r w:rsidRPr="00E06BED">
        <w:t>a higher</w:t>
      </w:r>
      <w:r>
        <w:t xml:space="preserve"> incidence of grade 3</w:t>
      </w:r>
      <w:r>
        <w:noBreakHyphen/>
      </w:r>
      <w:r w:rsidRPr="00E06BED">
        <w:t xml:space="preserve">5 </w:t>
      </w:r>
      <w:r>
        <w:t>AEs</w:t>
      </w:r>
      <w:r w:rsidRPr="00E06BED">
        <w:t xml:space="preserve"> than chemotherapy</w:t>
      </w:r>
      <w:r>
        <w:t xml:space="preserve"> alone,</w:t>
      </w:r>
      <w:r w:rsidRPr="00E06BED">
        <w:t xml:space="preserve"> indicating that the safety profile is in</w:t>
      </w:r>
      <w:r>
        <w:t xml:space="preserve">ferior to that of chemotherapy. </w:t>
      </w:r>
      <w:r w:rsidRPr="00586BAA">
        <w:t>The</w:t>
      </w:r>
      <w:r>
        <w:t xml:space="preserve"> PBAC considered</w:t>
      </w:r>
      <w:r w:rsidRPr="00586BAA">
        <w:t xml:space="preserve"> </w:t>
      </w:r>
      <w:r>
        <w:t xml:space="preserve">that </w:t>
      </w:r>
      <w:r w:rsidRPr="00586BAA">
        <w:t>the claim of inferior safety was reasonable</w:t>
      </w:r>
      <w:r>
        <w:t xml:space="preserve">, </w:t>
      </w:r>
      <w:r w:rsidRPr="00586BAA">
        <w:t xml:space="preserve">and </w:t>
      </w:r>
      <w:r>
        <w:t>that</w:t>
      </w:r>
      <w:r w:rsidRPr="00586BAA">
        <w:t xml:space="preserve"> the additional toxicity (hyper</w:t>
      </w:r>
      <w:r>
        <w:t>-</w:t>
      </w:r>
      <w:r w:rsidRPr="00586BAA">
        <w:t>/hypothyroidism and pneumonitis)</w:t>
      </w:r>
      <w:r>
        <w:t xml:space="preserve"> was manageable</w:t>
      </w:r>
      <w:r w:rsidRPr="00586BAA">
        <w:t>.</w:t>
      </w:r>
    </w:p>
    <w:p w14:paraId="16B39820" w14:textId="77777777" w:rsidR="00D205AD" w:rsidRPr="00D205AD" w:rsidRDefault="003E092D" w:rsidP="00447F2B">
      <w:pPr>
        <w:numPr>
          <w:ilvl w:val="1"/>
          <w:numId w:val="1"/>
        </w:numPr>
        <w:spacing w:after="120"/>
        <w:rPr>
          <w:rFonts w:asciiTheme="minorHAnsi" w:hAnsiTheme="minorHAnsi"/>
          <w:lang w:val="en-GB"/>
        </w:rPr>
      </w:pPr>
      <w:bookmarkStart w:id="56" w:name="_Ref89336239"/>
      <w:r w:rsidRPr="005945BC">
        <w:t>The PBAC noted the base case ICER present</w:t>
      </w:r>
      <w:r w:rsidR="005945BC" w:rsidRPr="005945BC">
        <w:t>ed in the submission was $</w:t>
      </w:r>
      <w:r w:rsidR="00C52D85">
        <w:t>95,000 to &lt; $115,000</w:t>
      </w:r>
      <w:r w:rsidRPr="005945BC">
        <w:t xml:space="preserve"> per QALY gained. </w:t>
      </w:r>
      <w:r w:rsidRPr="00777EA6">
        <w:t>The P</w:t>
      </w:r>
      <w:r w:rsidR="005945BC" w:rsidRPr="00777EA6">
        <w:t xml:space="preserve">BAC considered this ICER </w:t>
      </w:r>
      <w:r w:rsidR="00E27908">
        <w:t>to be high and</w:t>
      </w:r>
      <w:r w:rsidR="005945BC" w:rsidRPr="00777EA6">
        <w:t xml:space="preserve"> moderately</w:t>
      </w:r>
      <w:r w:rsidRPr="00777EA6">
        <w:t xml:space="preserve"> </w:t>
      </w:r>
      <w:r w:rsidR="005945BC" w:rsidRPr="00777EA6">
        <w:lastRenderedPageBreak/>
        <w:t>uncertain</w:t>
      </w:r>
      <w:r w:rsidR="00E8283A">
        <w:t>,</w:t>
      </w:r>
      <w:r w:rsidRPr="00777EA6">
        <w:t xml:space="preserve"> with the economic mode</w:t>
      </w:r>
      <w:r w:rsidR="00777EA6" w:rsidRPr="00777EA6">
        <w:t xml:space="preserve">l sensitive to time horizon, </w:t>
      </w:r>
      <w:r w:rsidR="005945BC" w:rsidRPr="00777EA6">
        <w:t>method of extrapolation</w:t>
      </w:r>
      <w:r w:rsidR="00777EA6" w:rsidRPr="00777EA6">
        <w:t xml:space="preserve"> and the inclusion of terminal care costs</w:t>
      </w:r>
      <w:r w:rsidRPr="00777EA6">
        <w:t>.</w:t>
      </w:r>
      <w:r w:rsidR="00CC78BA">
        <w:t xml:space="preserve"> </w:t>
      </w:r>
    </w:p>
    <w:p w14:paraId="02DFBC93" w14:textId="77777777" w:rsidR="00D205AD" w:rsidRPr="00D205AD" w:rsidRDefault="00D205AD" w:rsidP="00447F2B">
      <w:pPr>
        <w:numPr>
          <w:ilvl w:val="1"/>
          <w:numId w:val="1"/>
        </w:numPr>
        <w:spacing w:after="120"/>
        <w:rPr>
          <w:rFonts w:asciiTheme="minorHAnsi" w:hAnsiTheme="minorHAnsi"/>
          <w:lang w:val="en-GB"/>
        </w:rPr>
      </w:pPr>
      <w:r>
        <w:t xml:space="preserve">The </w:t>
      </w:r>
      <w:r w:rsidR="00465859">
        <w:t xml:space="preserve">time horizon in the base case economic model in the submission was 7.5 years. </w:t>
      </w:r>
      <w:r w:rsidR="00EA53A5">
        <w:t xml:space="preserve">The </w:t>
      </w:r>
      <w:r w:rsidR="00CC78BA">
        <w:t xml:space="preserve">PBAC </w:t>
      </w:r>
      <w:r w:rsidR="00EA53A5">
        <w:t xml:space="preserve">considered </w:t>
      </w:r>
      <w:r w:rsidR="00465859">
        <w:t xml:space="preserve">a </w:t>
      </w:r>
      <w:proofErr w:type="gramStart"/>
      <w:r w:rsidR="00465859">
        <w:t>7.5 year</w:t>
      </w:r>
      <w:proofErr w:type="gramEnd"/>
      <w:r w:rsidR="00465859">
        <w:t xml:space="preserve"> time horizon was optimistic and </w:t>
      </w:r>
      <w:r w:rsidR="00CC78BA">
        <w:t>a 5 year time horizon would be preferable</w:t>
      </w:r>
      <w:r w:rsidR="00EA53A5">
        <w:t xml:space="preserve"> given the media</w:t>
      </w:r>
      <w:r w:rsidR="00065457">
        <w:t>n duration of follow up in KN590</w:t>
      </w:r>
      <w:r w:rsidR="00EA53A5">
        <w:t xml:space="preserve"> was 9.8 month</w:t>
      </w:r>
      <w:r w:rsidR="003B3F04">
        <w:t>s</w:t>
      </w:r>
      <w:r w:rsidR="00EA53A5">
        <w:t xml:space="preserve"> and 12.6 months in the chemotherapy and pembrolizumab arms, respectively, and the poor prognosis of the patient population</w:t>
      </w:r>
      <w:r w:rsidR="00A94D48">
        <w:t>.</w:t>
      </w:r>
      <w:r>
        <w:t xml:space="preserve"> However, t</w:t>
      </w:r>
      <w:r w:rsidR="00EA53A5">
        <w:t xml:space="preserve">he PBAC </w:t>
      </w:r>
      <w:r w:rsidR="00465859">
        <w:t xml:space="preserve">noted it had </w:t>
      </w:r>
      <w:r w:rsidR="00065457">
        <w:t xml:space="preserve">previously </w:t>
      </w:r>
      <w:r w:rsidR="00465859">
        <w:t xml:space="preserve">recommended a </w:t>
      </w:r>
      <w:proofErr w:type="gramStart"/>
      <w:r w:rsidR="00465859">
        <w:t>5 year</w:t>
      </w:r>
      <w:proofErr w:type="gramEnd"/>
      <w:r w:rsidR="00465859">
        <w:t xml:space="preserve"> time horizon in the second-line treatment setting for a similar patient population and </w:t>
      </w:r>
      <w:r w:rsidR="00EA53A5">
        <w:t xml:space="preserve">considered a </w:t>
      </w:r>
      <w:r w:rsidR="00CC78BA">
        <w:t xml:space="preserve">7.5 year </w:t>
      </w:r>
      <w:r w:rsidR="00EA53A5">
        <w:t xml:space="preserve">time horizon may be </w:t>
      </w:r>
      <w:r w:rsidR="00CC78BA">
        <w:t>reasonable</w:t>
      </w:r>
      <w:r w:rsidR="00465859">
        <w:t>, given the earlier treatment setting,</w:t>
      </w:r>
      <w:r w:rsidR="00CC78BA">
        <w:t xml:space="preserve"> </w:t>
      </w:r>
      <w:r>
        <w:t xml:space="preserve">if other model assumptions </w:t>
      </w:r>
      <w:r w:rsidR="00465859">
        <w:t>were conservative</w:t>
      </w:r>
      <w:r w:rsidR="00CC78BA">
        <w:t xml:space="preserve">. </w:t>
      </w:r>
    </w:p>
    <w:p w14:paraId="5C5208AD" w14:textId="7594D7D5" w:rsidR="00D205AD" w:rsidRPr="00D205AD" w:rsidRDefault="00CC78BA" w:rsidP="007B69BD">
      <w:pPr>
        <w:numPr>
          <w:ilvl w:val="1"/>
          <w:numId w:val="1"/>
        </w:numPr>
        <w:spacing w:after="120"/>
        <w:rPr>
          <w:rFonts w:asciiTheme="minorHAnsi" w:hAnsiTheme="minorHAnsi"/>
          <w:lang w:val="en-GB"/>
        </w:rPr>
      </w:pPr>
      <w:r>
        <w:t xml:space="preserve">The </w:t>
      </w:r>
      <w:r w:rsidR="00441690">
        <w:t>economic model in the submission extrapolated OS and PFS using a two-piece extrapolation method using KM data up to 40 weeks (OS) or 37 weeks (PFS) and then a log-logistic function for pembrolizumab and log-normal for chemotherapy alone for OS</w:t>
      </w:r>
      <w:r w:rsidR="00C91C96">
        <w:t>,</w:t>
      </w:r>
      <w:r w:rsidR="00441690">
        <w:t xml:space="preserve"> and an exponential function for </w:t>
      </w:r>
      <w:r w:rsidR="00BC09B6">
        <w:t xml:space="preserve">both </w:t>
      </w:r>
      <w:r w:rsidR="00441690">
        <w:t xml:space="preserve">pembrolizumab and chemotherapy alone for PFS. </w:t>
      </w:r>
      <w:r w:rsidR="007B69BD">
        <w:t>The PBAC agreed with the ESC that the use of a two-piece extrapolation method resulted</w:t>
      </w:r>
      <w:r w:rsidR="007B69BD" w:rsidRPr="007B69BD">
        <w:t xml:space="preserve"> in additional weight being attached to the </w:t>
      </w:r>
      <w:r w:rsidR="007B69BD">
        <w:t xml:space="preserve">tail of the Kaplan-Meier data (where patient numbers are </w:t>
      </w:r>
      <w:proofErr w:type="gramStart"/>
      <w:r w:rsidR="007B69BD">
        <w:t>low</w:t>
      </w:r>
      <w:proofErr w:type="gramEnd"/>
      <w:r w:rsidR="007B69BD">
        <w:t xml:space="preserve"> and the data is less reliable) and that a one-piece extrapolation method fitted to the full KM curve was more</w:t>
      </w:r>
      <w:r w:rsidR="00F31302">
        <w:t xml:space="preserve"> reliable</w:t>
      </w:r>
      <w:r w:rsidR="007B69BD">
        <w:t xml:space="preserve">. The PBAC noted the ESC preferred approach was </w:t>
      </w:r>
      <w:r w:rsidR="007B69BD" w:rsidRPr="007B69BD">
        <w:t>a one-piece</w:t>
      </w:r>
      <w:r w:rsidR="007B69BD">
        <w:t xml:space="preserve"> extrapolation</w:t>
      </w:r>
      <w:r w:rsidR="007B69BD" w:rsidRPr="007B69BD">
        <w:t xml:space="preserve"> from Week 98 with the best fitting function (</w:t>
      </w:r>
      <w:r w:rsidR="00935EE9">
        <w:t>log-logistic</w:t>
      </w:r>
      <w:r w:rsidR="007B69BD" w:rsidRPr="007B69BD">
        <w:t xml:space="preserve"> f</w:t>
      </w:r>
      <w:r w:rsidR="007B69BD">
        <w:t xml:space="preserve">or pembrolizumab </w:t>
      </w:r>
      <w:r w:rsidR="007B69BD" w:rsidRPr="007B69BD">
        <w:t xml:space="preserve">and chemotherapy alone for OS and </w:t>
      </w:r>
      <w:r w:rsidR="007B69BD">
        <w:t>PFS</w:t>
      </w:r>
      <w:r w:rsidR="007B69BD" w:rsidRPr="007B69BD">
        <w:t>)</w:t>
      </w:r>
      <w:r w:rsidR="007B69BD">
        <w:t xml:space="preserve">. The </w:t>
      </w:r>
      <w:r>
        <w:t xml:space="preserve">PBAC noted the </w:t>
      </w:r>
      <w:r w:rsidR="007B69BD">
        <w:t xml:space="preserve">pre-PBAC response </w:t>
      </w:r>
      <w:r>
        <w:t xml:space="preserve">accepted </w:t>
      </w:r>
      <w:r w:rsidR="007B69BD">
        <w:t xml:space="preserve">this approach was appropriate for the pembrolizumab arm </w:t>
      </w:r>
      <w:r w:rsidR="002603CC">
        <w:t xml:space="preserve">as it </w:t>
      </w:r>
      <w:r w:rsidR="000D1A4A">
        <w:t xml:space="preserve">resulted in some plateauing of survival </w:t>
      </w:r>
      <w:r w:rsidR="007B69BD">
        <w:t xml:space="preserve">but did not consider it appropriate for the chemotherapy arm as it may overestimate survival. The PBAC agreed with the pre-PBAC response but </w:t>
      </w:r>
      <w:r w:rsidR="00EA53A5">
        <w:rPr>
          <w:rFonts w:asciiTheme="minorHAnsi" w:hAnsiTheme="minorHAnsi" w:cstheme="minorHAnsi"/>
          <w:szCs w:val="24"/>
        </w:rPr>
        <w:t xml:space="preserve">noted the pre-PBAC response did not propose an alternative extrapolation method for the chemotherapy arm. </w:t>
      </w:r>
    </w:p>
    <w:p w14:paraId="5223B44F" w14:textId="77777777" w:rsidR="00447F2B" w:rsidRPr="00CE42B4" w:rsidRDefault="00520FE7" w:rsidP="00447F2B">
      <w:pPr>
        <w:numPr>
          <w:ilvl w:val="1"/>
          <w:numId w:val="1"/>
        </w:numPr>
        <w:spacing w:after="120"/>
        <w:rPr>
          <w:rFonts w:asciiTheme="minorHAnsi" w:hAnsiTheme="minorHAnsi"/>
          <w:lang w:val="en-GB"/>
        </w:rPr>
      </w:pPr>
      <w:bookmarkStart w:id="57" w:name="_Ref89336910"/>
      <w:r>
        <w:rPr>
          <w:rFonts w:asciiTheme="minorHAnsi" w:hAnsiTheme="minorHAnsi" w:cstheme="minorHAnsi"/>
          <w:szCs w:val="24"/>
        </w:rPr>
        <w:t xml:space="preserve">The economic model in the submission applied a terminal care cost of $77,000 (reduced to </w:t>
      </w:r>
      <w:r w:rsidRPr="00586BAA">
        <w:rPr>
          <w:rFonts w:asciiTheme="minorHAnsi" w:hAnsiTheme="minorHAnsi" w:cstheme="minorHAnsi"/>
          <w:iCs/>
          <w:color w:val="000000" w:themeColor="text1"/>
          <w:szCs w:val="24"/>
        </w:rPr>
        <w:t>$38,057</w:t>
      </w:r>
      <w:r>
        <w:rPr>
          <w:rFonts w:asciiTheme="minorHAnsi" w:hAnsiTheme="minorHAnsi" w:cstheme="minorHAnsi"/>
          <w:iCs/>
          <w:color w:val="000000" w:themeColor="text1"/>
          <w:szCs w:val="24"/>
        </w:rPr>
        <w:t xml:space="preserve"> in the PSCR) t</w:t>
      </w:r>
      <w:r>
        <w:rPr>
          <w:rFonts w:asciiTheme="minorHAnsi" w:hAnsiTheme="minorHAnsi" w:cstheme="minorHAnsi"/>
          <w:szCs w:val="24"/>
        </w:rPr>
        <w:t xml:space="preserve">o the death health state. </w:t>
      </w:r>
      <w:r w:rsidR="002603CC">
        <w:rPr>
          <w:rFonts w:asciiTheme="minorHAnsi" w:hAnsiTheme="minorHAnsi" w:cstheme="minorHAnsi"/>
          <w:szCs w:val="24"/>
        </w:rPr>
        <w:t>The</w:t>
      </w:r>
      <w:r w:rsidR="00497B9B">
        <w:rPr>
          <w:rFonts w:asciiTheme="minorHAnsi" w:hAnsiTheme="minorHAnsi" w:cstheme="minorHAnsi"/>
          <w:szCs w:val="24"/>
        </w:rPr>
        <w:t xml:space="preserve"> PBAC noted the ESC consideration of the inclusion of terminal care costs (paragraphs 6.43 and 6.44) and </w:t>
      </w:r>
      <w:r w:rsidR="002603CC">
        <w:rPr>
          <w:rFonts w:asciiTheme="minorHAnsi" w:hAnsiTheme="minorHAnsi" w:cstheme="minorHAnsi"/>
          <w:szCs w:val="24"/>
        </w:rPr>
        <w:t xml:space="preserve">agreed with the ESC that </w:t>
      </w:r>
      <w:r w:rsidR="00E27908">
        <w:rPr>
          <w:rFonts w:asciiTheme="minorHAnsi" w:hAnsiTheme="minorHAnsi" w:cstheme="minorHAnsi"/>
          <w:szCs w:val="24"/>
        </w:rPr>
        <w:t>terminal care costs should be excluded</w:t>
      </w:r>
      <w:r w:rsidR="009E61FF">
        <w:rPr>
          <w:rFonts w:asciiTheme="minorHAnsi" w:hAnsiTheme="minorHAnsi" w:cstheme="minorHAnsi"/>
          <w:szCs w:val="24"/>
        </w:rPr>
        <w:t xml:space="preserve"> from the ec</w:t>
      </w:r>
      <w:r w:rsidR="002603CC">
        <w:rPr>
          <w:rFonts w:asciiTheme="minorHAnsi" w:hAnsiTheme="minorHAnsi" w:cstheme="minorHAnsi"/>
          <w:szCs w:val="24"/>
        </w:rPr>
        <w:t>onomic model</w:t>
      </w:r>
      <w:r w:rsidR="00F31302">
        <w:rPr>
          <w:rFonts w:asciiTheme="minorHAnsi" w:hAnsiTheme="minorHAnsi" w:cstheme="minorHAnsi"/>
          <w:szCs w:val="24"/>
        </w:rPr>
        <w:t>.</w:t>
      </w:r>
      <w:bookmarkEnd w:id="56"/>
      <w:bookmarkEnd w:id="57"/>
    </w:p>
    <w:p w14:paraId="3EC914EA" w14:textId="77777777" w:rsidR="00A94D48" w:rsidRDefault="0080431A" w:rsidP="00A11716">
      <w:pPr>
        <w:numPr>
          <w:ilvl w:val="1"/>
          <w:numId w:val="1"/>
        </w:numPr>
        <w:spacing w:after="120"/>
        <w:rPr>
          <w:rFonts w:asciiTheme="minorHAnsi" w:hAnsiTheme="minorHAnsi"/>
          <w:lang w:val="en-GB"/>
        </w:rPr>
      </w:pPr>
      <w:bookmarkStart w:id="58" w:name="_Ref89336379"/>
      <w:bookmarkStart w:id="59" w:name="_Ref89941800"/>
      <w:r>
        <w:rPr>
          <w:rFonts w:asciiTheme="minorHAnsi" w:hAnsiTheme="minorHAnsi"/>
          <w:lang w:val="en-GB"/>
        </w:rPr>
        <w:t xml:space="preserve">The PBAC noted the revised financial estimates </w:t>
      </w:r>
      <w:bookmarkEnd w:id="58"/>
      <w:r>
        <w:rPr>
          <w:rFonts w:asciiTheme="minorHAnsi" w:hAnsiTheme="minorHAnsi"/>
          <w:lang w:val="en-GB"/>
        </w:rPr>
        <w:t>provided with the pre-PBAC response addressed the exclusion of patients with</w:t>
      </w:r>
      <w:r w:rsidR="00025A42">
        <w:rPr>
          <w:rFonts w:asciiTheme="minorHAnsi" w:hAnsiTheme="minorHAnsi"/>
          <w:lang w:val="en-GB"/>
        </w:rPr>
        <w:t xml:space="preserve"> AC of the</w:t>
      </w:r>
      <w:r>
        <w:rPr>
          <w:rFonts w:asciiTheme="minorHAnsi" w:hAnsiTheme="minorHAnsi"/>
          <w:lang w:val="en-GB"/>
        </w:rPr>
        <w:t xml:space="preserve"> GOJ in the financial estimates (which was the main issue raised by the DUSC</w:t>
      </w:r>
      <w:r w:rsidR="00025A42">
        <w:rPr>
          <w:rFonts w:asciiTheme="minorHAnsi" w:hAnsiTheme="minorHAnsi"/>
          <w:lang w:val="en-GB"/>
        </w:rPr>
        <w:t>)</w:t>
      </w:r>
      <w:r>
        <w:rPr>
          <w:rFonts w:asciiTheme="minorHAnsi" w:hAnsiTheme="minorHAnsi"/>
          <w:lang w:val="en-GB"/>
        </w:rPr>
        <w:t>. However, the PBAC considered it was uncertain whether the assumptions applied were reasonable (in particular, whether GOJ cancer accounts for 50% of gastric cancer and whether 30% of GOJ</w:t>
      </w:r>
      <w:r w:rsidR="00025A42">
        <w:rPr>
          <w:rFonts w:asciiTheme="minorHAnsi" w:hAnsiTheme="minorHAnsi"/>
          <w:lang w:val="en-GB"/>
        </w:rPr>
        <w:t xml:space="preserve"> cancer</w:t>
      </w:r>
      <w:r>
        <w:rPr>
          <w:rFonts w:asciiTheme="minorHAnsi" w:hAnsiTheme="minorHAnsi"/>
          <w:lang w:val="en-GB"/>
        </w:rPr>
        <w:t xml:space="preserve"> patients are Type I S</w:t>
      </w:r>
      <w:r w:rsidR="0005561F">
        <w:rPr>
          <w:rFonts w:asciiTheme="minorHAnsi" w:hAnsiTheme="minorHAnsi"/>
          <w:lang w:val="en-GB"/>
        </w:rPr>
        <w:t>ie</w:t>
      </w:r>
      <w:r>
        <w:rPr>
          <w:rFonts w:asciiTheme="minorHAnsi" w:hAnsiTheme="minorHAnsi"/>
          <w:lang w:val="en-GB"/>
        </w:rPr>
        <w:t>wert). The PBAC considered this could be further addressed in a resubmission</w:t>
      </w:r>
      <w:r w:rsidR="00A11716">
        <w:rPr>
          <w:rFonts w:asciiTheme="minorHAnsi" w:hAnsiTheme="minorHAnsi"/>
          <w:lang w:val="en-GB"/>
        </w:rPr>
        <w:t>, noting the PBAC preference for an aligned restriction across all gastric</w:t>
      </w:r>
      <w:r w:rsidR="00C30D60">
        <w:rPr>
          <w:rFonts w:asciiTheme="minorHAnsi" w:hAnsiTheme="minorHAnsi"/>
          <w:lang w:val="en-GB"/>
        </w:rPr>
        <w:t>, GOJ</w:t>
      </w:r>
      <w:r w:rsidR="00A11716">
        <w:rPr>
          <w:rFonts w:asciiTheme="minorHAnsi" w:hAnsiTheme="minorHAnsi"/>
          <w:lang w:val="en-GB"/>
        </w:rPr>
        <w:t xml:space="preserve"> and oesophageal cancers (see paragraph 7.6)</w:t>
      </w:r>
      <w:r w:rsidR="00E23238">
        <w:rPr>
          <w:rFonts w:asciiTheme="minorHAnsi" w:hAnsiTheme="minorHAnsi"/>
          <w:lang w:val="en-GB"/>
        </w:rPr>
        <w:t>, the high risk of use of pembrolizumab outside of Type 1 S</w:t>
      </w:r>
      <w:r w:rsidR="0005561F">
        <w:rPr>
          <w:rFonts w:asciiTheme="minorHAnsi" w:hAnsiTheme="minorHAnsi"/>
          <w:lang w:val="en-GB"/>
        </w:rPr>
        <w:t>ie</w:t>
      </w:r>
      <w:r w:rsidR="00E23238">
        <w:rPr>
          <w:rFonts w:asciiTheme="minorHAnsi" w:hAnsiTheme="minorHAnsi"/>
          <w:lang w:val="en-GB"/>
        </w:rPr>
        <w:t>wert GOJ</w:t>
      </w:r>
      <w:r w:rsidR="00856945">
        <w:rPr>
          <w:rFonts w:asciiTheme="minorHAnsi" w:hAnsiTheme="minorHAnsi"/>
          <w:lang w:val="en-GB"/>
        </w:rPr>
        <w:t xml:space="preserve"> (see paragraph 3.7) and </w:t>
      </w:r>
      <w:r w:rsidR="00E23238">
        <w:rPr>
          <w:rFonts w:asciiTheme="minorHAnsi" w:hAnsiTheme="minorHAnsi"/>
          <w:lang w:val="en-GB"/>
        </w:rPr>
        <w:t xml:space="preserve">the likely </w:t>
      </w:r>
      <w:r w:rsidR="00E23238">
        <w:rPr>
          <w:rFonts w:asciiTheme="minorHAnsi" w:hAnsiTheme="minorHAnsi"/>
          <w:lang w:val="en-GB"/>
        </w:rPr>
        <w:lastRenderedPageBreak/>
        <w:t>overlap in patient populations for checkpoint inhibitors (see paragraph 5.3)</w:t>
      </w:r>
      <w:r>
        <w:rPr>
          <w:rFonts w:asciiTheme="minorHAnsi" w:hAnsiTheme="minorHAnsi"/>
          <w:lang w:val="en-GB"/>
        </w:rPr>
        <w:t xml:space="preserve">. </w:t>
      </w:r>
      <w:bookmarkEnd w:id="59"/>
    </w:p>
    <w:p w14:paraId="43342328" w14:textId="77777777" w:rsidR="00B108A2" w:rsidRDefault="00B108A2" w:rsidP="00A11716">
      <w:pPr>
        <w:numPr>
          <w:ilvl w:val="1"/>
          <w:numId w:val="1"/>
        </w:numPr>
        <w:spacing w:after="120"/>
        <w:rPr>
          <w:rFonts w:asciiTheme="minorHAnsi" w:hAnsiTheme="minorHAnsi"/>
          <w:lang w:val="en-GB"/>
        </w:rPr>
      </w:pPr>
      <w:r>
        <w:rPr>
          <w:rFonts w:asciiTheme="minorHAnsi" w:hAnsiTheme="minorHAnsi"/>
          <w:lang w:val="en-GB"/>
        </w:rPr>
        <w:t xml:space="preserve">The PBAC noted that </w:t>
      </w:r>
      <w:r w:rsidR="00C86331">
        <w:rPr>
          <w:rFonts w:asciiTheme="minorHAnsi" w:hAnsiTheme="minorHAnsi" w:cstheme="minorHAnsi"/>
        </w:rPr>
        <w:t>the S</w:t>
      </w:r>
      <w:r w:rsidR="00C86331" w:rsidRPr="005344F6">
        <w:rPr>
          <w:rFonts w:asciiTheme="minorHAnsi" w:hAnsiTheme="minorHAnsi" w:cstheme="minorHAnsi"/>
        </w:rPr>
        <w:t xml:space="preserve">ponsor is willing to </w:t>
      </w:r>
      <w:proofErr w:type="gramStart"/>
      <w:r w:rsidR="00C86331" w:rsidRPr="005344F6">
        <w:rPr>
          <w:rFonts w:asciiTheme="minorHAnsi" w:hAnsiTheme="minorHAnsi" w:cstheme="minorHAnsi"/>
        </w:rPr>
        <w:t>enter into</w:t>
      </w:r>
      <w:proofErr w:type="gramEnd"/>
      <w:r w:rsidR="00C86331" w:rsidRPr="005344F6">
        <w:rPr>
          <w:rFonts w:asciiTheme="minorHAnsi" w:hAnsiTheme="minorHAnsi" w:cstheme="minorHAnsi"/>
        </w:rPr>
        <w:t xml:space="preserve"> an RSA with the Commonwealth on sharing the costs in order to manage any risk to the overall cost to the PBS.</w:t>
      </w:r>
    </w:p>
    <w:p w14:paraId="4235A0AE" w14:textId="77777777" w:rsidR="00325523" w:rsidRDefault="00A94D48" w:rsidP="00A94D48">
      <w:pPr>
        <w:numPr>
          <w:ilvl w:val="1"/>
          <w:numId w:val="1"/>
        </w:numPr>
        <w:spacing w:after="120"/>
        <w:rPr>
          <w:rFonts w:asciiTheme="minorHAnsi" w:hAnsiTheme="minorHAnsi"/>
          <w:lang w:val="en-GB"/>
        </w:rPr>
      </w:pPr>
      <w:r w:rsidRPr="00A94D48">
        <w:rPr>
          <w:rFonts w:asciiTheme="minorHAnsi" w:hAnsiTheme="minorHAnsi"/>
          <w:lang w:val="en-GB"/>
        </w:rPr>
        <w:t>The PBAC considered the outstanding issues could be easily resolve</w:t>
      </w:r>
      <w:r>
        <w:rPr>
          <w:rFonts w:asciiTheme="minorHAnsi" w:hAnsiTheme="minorHAnsi"/>
          <w:lang w:val="en-GB"/>
        </w:rPr>
        <w:t xml:space="preserve">d in a simple resubmission for pembrolizumab. The PBAC also considered pembrolizumab </w:t>
      </w:r>
      <w:r w:rsidRPr="00A94D48">
        <w:rPr>
          <w:rFonts w:asciiTheme="minorHAnsi" w:hAnsiTheme="minorHAnsi"/>
          <w:lang w:val="en-GB"/>
        </w:rPr>
        <w:t xml:space="preserve">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 </w:t>
      </w:r>
    </w:p>
    <w:p w14:paraId="1E620350" w14:textId="415EC5C7" w:rsidR="00A94D4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Provide an economic model</w:t>
      </w:r>
      <w:r w:rsidR="00C37291">
        <w:rPr>
          <w:rFonts w:asciiTheme="minorHAnsi" w:hAnsiTheme="minorHAnsi"/>
          <w:lang w:val="en-GB"/>
        </w:rPr>
        <w:t xml:space="preserve"> based on (</w:t>
      </w:r>
      <w:proofErr w:type="spellStart"/>
      <w:r w:rsidR="00C37291">
        <w:rPr>
          <w:rFonts w:asciiTheme="minorHAnsi" w:hAnsiTheme="minorHAnsi"/>
          <w:lang w:val="en-GB"/>
        </w:rPr>
        <w:t>i</w:t>
      </w:r>
      <w:proofErr w:type="spellEnd"/>
      <w:r w:rsidR="00C37291">
        <w:rPr>
          <w:rFonts w:asciiTheme="minorHAnsi" w:hAnsiTheme="minorHAnsi"/>
          <w:lang w:val="en-GB"/>
        </w:rPr>
        <w:t xml:space="preserve">) a </w:t>
      </w:r>
      <w:proofErr w:type="gramStart"/>
      <w:r w:rsidR="00C37291">
        <w:rPr>
          <w:rFonts w:asciiTheme="minorHAnsi" w:hAnsiTheme="minorHAnsi"/>
          <w:lang w:val="en-GB"/>
        </w:rPr>
        <w:t>7.5 year</w:t>
      </w:r>
      <w:proofErr w:type="gramEnd"/>
      <w:r w:rsidR="00C37291">
        <w:rPr>
          <w:rFonts w:asciiTheme="minorHAnsi" w:hAnsiTheme="minorHAnsi"/>
          <w:lang w:val="en-GB"/>
        </w:rPr>
        <w:t xml:space="preserve"> time horizon (ii) </w:t>
      </w:r>
      <w:r w:rsidR="00097EE1">
        <w:rPr>
          <w:rFonts w:asciiTheme="minorHAnsi" w:hAnsiTheme="minorHAnsi"/>
          <w:lang w:val="en-GB"/>
        </w:rPr>
        <w:t xml:space="preserve">one-piece extrapolation from Week 98 using the </w:t>
      </w:r>
      <w:r w:rsidR="00935EE9">
        <w:rPr>
          <w:rFonts w:asciiTheme="minorHAnsi" w:hAnsiTheme="minorHAnsi"/>
          <w:lang w:val="en-GB"/>
        </w:rPr>
        <w:t>log-logistic</w:t>
      </w:r>
      <w:r w:rsidR="00097EE1">
        <w:rPr>
          <w:rFonts w:asciiTheme="minorHAnsi" w:hAnsiTheme="minorHAnsi"/>
          <w:lang w:val="en-GB"/>
        </w:rPr>
        <w:t xml:space="preserve"> function for OS and PFS for the pembrolizumab treatment arm and an appropriate function for the chemotherapy alone treatment arm and (iii) exclusion of terminal care costs. </w:t>
      </w:r>
    </w:p>
    <w:p w14:paraId="3125CE35" w14:textId="63AE8A5D" w:rsidR="00A94D48" w:rsidRDefault="008A3428" w:rsidP="00912BFD">
      <w:pPr>
        <w:pStyle w:val="ListParagraph"/>
        <w:numPr>
          <w:ilvl w:val="0"/>
          <w:numId w:val="34"/>
        </w:numPr>
        <w:spacing w:after="120"/>
        <w:rPr>
          <w:rFonts w:asciiTheme="minorHAnsi" w:hAnsiTheme="minorHAnsi"/>
          <w:lang w:val="en-GB"/>
        </w:rPr>
      </w:pPr>
      <w:r>
        <w:rPr>
          <w:rFonts w:asciiTheme="minorHAnsi" w:hAnsiTheme="minorHAnsi"/>
          <w:lang w:val="en-GB"/>
        </w:rPr>
        <w:t>Propose a p</w:t>
      </w:r>
      <w:r w:rsidR="001A5E2A">
        <w:rPr>
          <w:rFonts w:asciiTheme="minorHAnsi" w:hAnsiTheme="minorHAnsi"/>
          <w:lang w:val="en-GB"/>
        </w:rPr>
        <w:t xml:space="preserve">rice reduction to achieve an </w:t>
      </w:r>
      <w:r w:rsidR="006733D5">
        <w:rPr>
          <w:rFonts w:asciiTheme="minorHAnsi" w:hAnsiTheme="minorHAnsi"/>
          <w:lang w:val="en-GB"/>
        </w:rPr>
        <w:t xml:space="preserve">ICER of </w:t>
      </w:r>
      <w:r w:rsidR="00912BFD" w:rsidRPr="00912BFD">
        <w:rPr>
          <w:rFonts w:asciiTheme="minorHAnsi" w:hAnsiTheme="minorHAnsi"/>
          <w:lang w:val="en-GB"/>
        </w:rPr>
        <w:t xml:space="preserve">$55,000 to &lt; $75,000 </w:t>
      </w:r>
      <w:r w:rsidR="00356651">
        <w:rPr>
          <w:rFonts w:asciiTheme="minorHAnsi" w:hAnsiTheme="minorHAnsi"/>
          <w:lang w:val="en-GB"/>
        </w:rPr>
        <w:t xml:space="preserve">to </w:t>
      </w:r>
      <w:r w:rsidR="00912BFD" w:rsidRPr="00912BFD">
        <w:rPr>
          <w:rFonts w:asciiTheme="minorHAnsi" w:hAnsiTheme="minorHAnsi"/>
          <w:lang w:val="en-GB"/>
        </w:rPr>
        <w:t>$75,000 to &lt; $95,000</w:t>
      </w:r>
      <w:r w:rsidR="001A5E2A">
        <w:rPr>
          <w:rFonts w:asciiTheme="minorHAnsi" w:hAnsiTheme="minorHAnsi"/>
          <w:lang w:val="en-GB"/>
        </w:rPr>
        <w:t xml:space="preserve">/ </w:t>
      </w:r>
      <w:proofErr w:type="gramStart"/>
      <w:r w:rsidR="001A5E2A">
        <w:rPr>
          <w:rFonts w:asciiTheme="minorHAnsi" w:hAnsiTheme="minorHAnsi"/>
          <w:lang w:val="en-GB"/>
        </w:rPr>
        <w:t>QALY</w:t>
      </w:r>
      <w:r>
        <w:rPr>
          <w:rFonts w:asciiTheme="minorHAnsi" w:hAnsiTheme="minorHAnsi"/>
          <w:lang w:val="en-GB"/>
        </w:rPr>
        <w:t>;</w:t>
      </w:r>
      <w:proofErr w:type="gramEnd"/>
    </w:p>
    <w:p w14:paraId="12649F4C" w14:textId="77777777" w:rsidR="008A342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Provide </w:t>
      </w:r>
      <w:r w:rsidR="00FA72DB">
        <w:rPr>
          <w:rFonts w:asciiTheme="minorHAnsi" w:hAnsiTheme="minorHAnsi"/>
          <w:lang w:val="en-GB"/>
        </w:rPr>
        <w:t xml:space="preserve">revised </w:t>
      </w:r>
      <w:r>
        <w:rPr>
          <w:rFonts w:asciiTheme="minorHAnsi" w:hAnsiTheme="minorHAnsi"/>
          <w:lang w:val="en-GB"/>
        </w:rPr>
        <w:t>financial estimates based on the Section 4 model included with the pre-PBAC response</w:t>
      </w:r>
      <w:r w:rsidR="00E23238">
        <w:rPr>
          <w:rFonts w:asciiTheme="minorHAnsi" w:hAnsiTheme="minorHAnsi"/>
          <w:lang w:val="en-GB"/>
        </w:rPr>
        <w:t xml:space="preserve">, </w:t>
      </w:r>
      <w:r w:rsidR="00C37291">
        <w:rPr>
          <w:rFonts w:asciiTheme="minorHAnsi" w:hAnsiTheme="minorHAnsi"/>
          <w:lang w:val="en-GB"/>
        </w:rPr>
        <w:t>incorporating the revised price</w:t>
      </w:r>
      <w:r w:rsidR="00E23238">
        <w:rPr>
          <w:rFonts w:asciiTheme="minorHAnsi" w:hAnsiTheme="minorHAnsi"/>
          <w:lang w:val="en-GB"/>
        </w:rPr>
        <w:t xml:space="preserve"> and addressing the issues raised in paragraph </w:t>
      </w:r>
      <w:proofErr w:type="gramStart"/>
      <w:r w:rsidR="00E23238">
        <w:rPr>
          <w:rFonts w:asciiTheme="minorHAnsi" w:hAnsiTheme="minorHAnsi"/>
          <w:lang w:val="en-GB"/>
        </w:rPr>
        <w:t xml:space="preserve">7.14 </w:t>
      </w:r>
      <w:r>
        <w:rPr>
          <w:rFonts w:asciiTheme="minorHAnsi" w:hAnsiTheme="minorHAnsi"/>
          <w:lang w:val="en-GB"/>
        </w:rPr>
        <w:t>;</w:t>
      </w:r>
      <w:proofErr w:type="gramEnd"/>
    </w:p>
    <w:p w14:paraId="393FEA7F" w14:textId="77777777" w:rsidR="001A5E2A" w:rsidRPr="00325523"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Propose an appropriate RSA to manage the risk of use outside the </w:t>
      </w:r>
      <w:r w:rsidR="000F47CE">
        <w:rPr>
          <w:rFonts w:asciiTheme="minorHAnsi" w:hAnsiTheme="minorHAnsi"/>
          <w:lang w:val="en-GB"/>
        </w:rPr>
        <w:t xml:space="preserve">proposed </w:t>
      </w:r>
      <w:r>
        <w:rPr>
          <w:rFonts w:asciiTheme="minorHAnsi" w:hAnsiTheme="minorHAnsi"/>
          <w:lang w:val="en-GB"/>
        </w:rPr>
        <w:t>patient population</w:t>
      </w:r>
      <w:r w:rsidR="000F47CE">
        <w:rPr>
          <w:rFonts w:asciiTheme="minorHAnsi" w:hAnsiTheme="minorHAnsi"/>
          <w:lang w:val="en-GB"/>
        </w:rPr>
        <w:t xml:space="preserve"> in</w:t>
      </w:r>
      <w:r w:rsidR="00A11716">
        <w:rPr>
          <w:rFonts w:asciiTheme="minorHAnsi" w:hAnsiTheme="minorHAnsi"/>
          <w:lang w:val="en-GB"/>
        </w:rPr>
        <w:t xml:space="preserve">cluded in the </w:t>
      </w:r>
      <w:r w:rsidR="000F47CE">
        <w:rPr>
          <w:rFonts w:asciiTheme="minorHAnsi" w:hAnsiTheme="minorHAnsi"/>
          <w:lang w:val="en-GB"/>
        </w:rPr>
        <w:t>resubmission</w:t>
      </w:r>
      <w:r>
        <w:rPr>
          <w:rFonts w:asciiTheme="minorHAnsi" w:hAnsiTheme="minorHAnsi"/>
          <w:lang w:val="en-GB"/>
        </w:rPr>
        <w:t>.</w:t>
      </w:r>
    </w:p>
    <w:p w14:paraId="6413D357" w14:textId="77777777" w:rsidR="00190296" w:rsidRDefault="00A94D48" w:rsidP="001A5E2A">
      <w:pPr>
        <w:spacing w:after="120"/>
        <w:ind w:left="720"/>
        <w:rPr>
          <w:rFonts w:asciiTheme="minorHAnsi" w:hAnsiTheme="minorHAnsi"/>
          <w:bCs/>
          <w:lang w:val="en-GB"/>
        </w:rPr>
      </w:pPr>
      <w:r w:rsidRPr="00CE42B4">
        <w:rPr>
          <w:rFonts w:asciiTheme="minorHAnsi" w:hAnsiTheme="minorHAnsi"/>
          <w:lang w:val="en-GB"/>
        </w:rPr>
        <w:t xml:space="preserve">The </w:t>
      </w:r>
      <w:r>
        <w:rPr>
          <w:rFonts w:asciiTheme="minorHAnsi" w:hAnsiTheme="minorHAnsi"/>
          <w:lang w:val="en-GB"/>
        </w:rPr>
        <w:t xml:space="preserve">early resolution </w:t>
      </w:r>
      <w:r w:rsidRPr="00CE42B4">
        <w:rPr>
          <w:rFonts w:asciiTheme="minorHAnsi" w:hAnsiTheme="minorHAnsi"/>
          <w:lang w:val="en-GB"/>
        </w:rPr>
        <w:t xml:space="preserve">resubmission must be lodged by week 7 of the current </w:t>
      </w:r>
      <w:r>
        <w:rPr>
          <w:rFonts w:asciiTheme="minorHAnsi" w:hAnsiTheme="minorHAnsi"/>
          <w:lang w:val="en-GB"/>
        </w:rPr>
        <w:t xml:space="preserve">PBAC cycle or the next cycle. </w:t>
      </w:r>
      <w:r>
        <w:rPr>
          <w:lang w:val="en-GB"/>
        </w:rPr>
        <w:t>If the issues cannot be addressed by the sponsor in a simple resubmission and the early resolution timing is not acceptable, a standard re-entry pathway is available</w:t>
      </w:r>
    </w:p>
    <w:p w14:paraId="679F9C33" w14:textId="77777777" w:rsidR="00E058BC" w:rsidRPr="007D4707" w:rsidRDefault="00E058BC" w:rsidP="00E058BC">
      <w:pPr>
        <w:numPr>
          <w:ilvl w:val="1"/>
          <w:numId w:val="1"/>
        </w:numPr>
        <w:spacing w:after="120"/>
        <w:rPr>
          <w:rFonts w:asciiTheme="minorHAnsi" w:hAnsiTheme="minorHAnsi"/>
          <w:bCs/>
          <w:lang w:val="en-GB"/>
        </w:rPr>
      </w:pPr>
      <w:r w:rsidRPr="00525B39">
        <w:rPr>
          <w:rFonts w:asciiTheme="minorHAnsi" w:hAnsiTheme="minorHAnsi"/>
          <w:bCs/>
          <w:lang w:val="en-GB"/>
        </w:rPr>
        <w:t>The PBAC note</w:t>
      </w:r>
      <w:r>
        <w:rPr>
          <w:rFonts w:asciiTheme="minorHAnsi" w:hAnsiTheme="minorHAnsi"/>
          <w:bCs/>
          <w:lang w:val="en-GB"/>
        </w:rPr>
        <w:t>d that this submission is</w:t>
      </w:r>
      <w:r w:rsidRPr="00525B39">
        <w:rPr>
          <w:rFonts w:asciiTheme="minorHAnsi" w:hAnsiTheme="minorHAnsi"/>
          <w:bCs/>
          <w:lang w:val="en-GB"/>
        </w:rPr>
        <w:t xml:space="preserve"> eligible for an Independent Review.</w:t>
      </w:r>
    </w:p>
    <w:p w14:paraId="71384A6F" w14:textId="77777777" w:rsidR="009D53D1" w:rsidRPr="00525B39" w:rsidRDefault="009D53D1" w:rsidP="009D53D1">
      <w:pPr>
        <w:spacing w:before="240"/>
        <w:rPr>
          <w:rFonts w:asciiTheme="minorHAnsi" w:hAnsiTheme="minorHAnsi"/>
          <w:b/>
          <w:bCs/>
          <w:lang w:val="en-GB"/>
        </w:rPr>
      </w:pPr>
      <w:r w:rsidRPr="00525B39">
        <w:rPr>
          <w:rFonts w:asciiTheme="minorHAnsi" w:hAnsiTheme="minorHAnsi"/>
          <w:b/>
          <w:bCs/>
          <w:lang w:val="en-GB"/>
        </w:rPr>
        <w:t>Outcome:</w:t>
      </w:r>
    </w:p>
    <w:p w14:paraId="178C7279" w14:textId="77777777" w:rsidR="009D53D1" w:rsidRPr="00525B39" w:rsidRDefault="009D53D1" w:rsidP="009D53D1">
      <w:pPr>
        <w:rPr>
          <w:rFonts w:asciiTheme="minorHAnsi" w:hAnsiTheme="minorHAnsi"/>
          <w:bCs/>
          <w:lang w:val="en-GB"/>
        </w:rPr>
      </w:pPr>
      <w:r>
        <w:rPr>
          <w:rFonts w:asciiTheme="minorHAnsi" w:hAnsiTheme="minorHAnsi"/>
          <w:bCs/>
          <w:lang w:val="en-GB"/>
        </w:rPr>
        <w:t>Not recommended</w:t>
      </w:r>
    </w:p>
    <w:bookmarkEnd w:id="52"/>
    <w:bookmarkEnd w:id="53"/>
    <w:bookmarkEnd w:id="54"/>
    <w:p w14:paraId="646F9D27" w14:textId="77777777" w:rsidR="00C20E8D" w:rsidRPr="00C20E8D" w:rsidRDefault="00C20E8D" w:rsidP="00CB71F0">
      <w:pPr>
        <w:pStyle w:val="PBACHeading1"/>
        <w:keepNext/>
        <w:keepLines/>
        <w:spacing w:after="120"/>
      </w:pPr>
      <w:r w:rsidRPr="00C20E8D">
        <w:t>Context for Decision</w:t>
      </w:r>
    </w:p>
    <w:p w14:paraId="28ECC965" w14:textId="77777777" w:rsidR="00C20E8D" w:rsidRPr="007129F2" w:rsidRDefault="00C20E8D" w:rsidP="00C20E8D">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bCs/>
          <w:lang w:val="en-GB"/>
        </w:rPr>
        <w:lastRenderedPageBreak/>
        <w:t>through the PBS. The PBAC welcomes applications containing new information at any time.</w:t>
      </w:r>
    </w:p>
    <w:p w14:paraId="1EF6F492" w14:textId="77777777" w:rsidR="00C20E8D" w:rsidRPr="00C20E8D" w:rsidRDefault="00C20E8D" w:rsidP="00CB71F0">
      <w:pPr>
        <w:pStyle w:val="PBACHeading1"/>
        <w:keepNext/>
        <w:keepLines/>
        <w:spacing w:after="120"/>
      </w:pPr>
      <w:r w:rsidRPr="00C20E8D">
        <w:t>Sponsor’s Comment</w:t>
      </w:r>
    </w:p>
    <w:p w14:paraId="03114675" w14:textId="70C7C627" w:rsidR="000242F5" w:rsidRDefault="001C7B36" w:rsidP="00EE15E4">
      <w:pPr>
        <w:ind w:left="720"/>
        <w:rPr>
          <w:rFonts w:asciiTheme="minorHAnsi" w:hAnsiTheme="minorHAnsi"/>
          <w:bCs/>
          <w:lang w:val="en-GB"/>
        </w:rPr>
      </w:pPr>
      <w:r w:rsidRPr="00EE15E4">
        <w:rPr>
          <w:rFonts w:asciiTheme="minorHAnsi" w:hAnsiTheme="minorHAnsi"/>
          <w:bCs/>
          <w:lang w:val="en-GB"/>
        </w:rPr>
        <w:t>MSD is pleased that the PBAC has recognised the high added therapeutic value that pembrolizumab offers patients with oesophageal/GOJ cancer. MSD is looking forward to working with the department to provide access to pembrolizumab for this patient group as early as possible through the early resolution pathway.</w:t>
      </w:r>
    </w:p>
    <w:p w14:paraId="3B09ABC5" w14:textId="7D0F8A17" w:rsidR="00FF1095" w:rsidRDefault="00FF1095" w:rsidP="00EE15E4">
      <w:pPr>
        <w:ind w:left="720"/>
        <w:rPr>
          <w:rFonts w:asciiTheme="minorHAnsi" w:hAnsiTheme="minorHAnsi"/>
          <w:bCs/>
          <w:lang w:val="en-GB"/>
        </w:rPr>
      </w:pPr>
    </w:p>
    <w:p w14:paraId="14900FA1" w14:textId="77777777" w:rsidR="00FF1095" w:rsidRDefault="00FF1095">
      <w:pPr>
        <w:widowControl/>
        <w:jc w:val="left"/>
        <w:rPr>
          <w:rFonts w:asciiTheme="minorHAnsi" w:hAnsiTheme="minorHAnsi"/>
          <w:b/>
          <w:color w:val="FF0000"/>
          <w:sz w:val="28"/>
          <w:szCs w:val="28"/>
          <w:lang w:eastAsia="en-AU"/>
        </w:rPr>
      </w:pPr>
      <w:r>
        <w:rPr>
          <w:rFonts w:asciiTheme="minorHAnsi" w:hAnsiTheme="minorHAnsi"/>
          <w:b/>
          <w:color w:val="FF0000"/>
          <w:sz w:val="28"/>
          <w:szCs w:val="28"/>
          <w:lang w:eastAsia="en-AU"/>
        </w:rPr>
        <w:br w:type="page"/>
      </w:r>
    </w:p>
    <w:p w14:paraId="1B6674DB" w14:textId="056DF1EC" w:rsidR="00FF1095" w:rsidRPr="00FF1095" w:rsidRDefault="00FF1095" w:rsidP="00FF1095">
      <w:pPr>
        <w:keepNext/>
        <w:widowControl/>
        <w:spacing w:before="240" w:after="120"/>
        <w:ind w:left="720" w:hanging="720"/>
        <w:jc w:val="left"/>
        <w:outlineLvl w:val="0"/>
        <w:rPr>
          <w:rFonts w:asciiTheme="minorHAnsi" w:hAnsiTheme="minorHAnsi"/>
          <w:b/>
          <w:sz w:val="28"/>
          <w:szCs w:val="28"/>
          <w:lang w:eastAsia="en-AU"/>
        </w:rPr>
      </w:pPr>
      <w:r w:rsidRPr="00FF1095">
        <w:rPr>
          <w:rFonts w:asciiTheme="minorHAnsi" w:hAnsiTheme="minorHAnsi"/>
          <w:b/>
          <w:sz w:val="28"/>
          <w:szCs w:val="28"/>
          <w:lang w:eastAsia="en-AU"/>
        </w:rPr>
        <w:lastRenderedPageBreak/>
        <w:t xml:space="preserve">Addendum to the November 2021 PBAC </w:t>
      </w:r>
      <w:r w:rsidR="00D20DBF">
        <w:rPr>
          <w:rFonts w:asciiTheme="minorHAnsi" w:hAnsiTheme="minorHAnsi"/>
          <w:b/>
          <w:sz w:val="28"/>
          <w:szCs w:val="28"/>
          <w:lang w:eastAsia="en-AU"/>
        </w:rPr>
        <w:t>Public Summary Document</w:t>
      </w:r>
      <w:r w:rsidRPr="00FF1095">
        <w:rPr>
          <w:rFonts w:asciiTheme="minorHAnsi" w:hAnsiTheme="minorHAnsi"/>
          <w:b/>
          <w:sz w:val="28"/>
          <w:szCs w:val="28"/>
          <w:lang w:eastAsia="en-AU"/>
        </w:rPr>
        <w:t>:</w:t>
      </w:r>
    </w:p>
    <w:p w14:paraId="449DBD1D" w14:textId="77777777" w:rsidR="00FF1095" w:rsidRDefault="00FF1095" w:rsidP="00FF1095">
      <w:pPr>
        <w:pStyle w:val="Title1"/>
        <w:rPr>
          <w:caps w:val="0"/>
        </w:rPr>
      </w:pPr>
      <w:r>
        <w:t>7.17</w:t>
      </w:r>
      <w:r w:rsidRPr="00197FE9">
        <w:tab/>
        <w:t xml:space="preserve">PEMBROLIZUMAB, </w:t>
      </w:r>
      <w:r>
        <w:br/>
      </w:r>
      <w:r w:rsidRPr="005509E0">
        <w:rPr>
          <w:caps w:val="0"/>
        </w:rPr>
        <w:t xml:space="preserve">Solution concentrate for I.V. infusion 100 mg in 4 mL, </w:t>
      </w:r>
      <w:r w:rsidRPr="005509E0">
        <w:rPr>
          <w:caps w:val="0"/>
        </w:rPr>
        <w:br/>
        <w:t>Keytruda</w:t>
      </w:r>
      <w:r w:rsidRPr="005509E0">
        <w:rPr>
          <w:caps w:val="0"/>
          <w:vertAlign w:val="superscript"/>
        </w:rPr>
        <w:t>®</w:t>
      </w:r>
      <w:r w:rsidRPr="005509E0">
        <w:rPr>
          <w:caps w:val="0"/>
        </w:rPr>
        <w:t>,</w:t>
      </w:r>
    </w:p>
    <w:p w14:paraId="726CED47" w14:textId="77777777" w:rsidR="00FF1095" w:rsidRPr="002B7282" w:rsidRDefault="00FF1095" w:rsidP="00FF1095">
      <w:pPr>
        <w:pStyle w:val="BodyText"/>
        <w:tabs>
          <w:tab w:val="left" w:pos="1134"/>
        </w:tabs>
      </w:pPr>
      <w:r>
        <w:tab/>
      </w:r>
      <w:r w:rsidRPr="00E37CDF">
        <w:rPr>
          <w:rFonts w:asciiTheme="minorHAnsi" w:hAnsiTheme="minorHAnsi" w:cstheme="minorHAnsi"/>
          <w:b/>
          <w:sz w:val="36"/>
          <w:szCs w:val="36"/>
        </w:rPr>
        <w:t>Merck Sharp &amp; Dohme (Australia) Pty Ltd.</w:t>
      </w:r>
    </w:p>
    <w:p w14:paraId="57D7C4A3" w14:textId="77777777" w:rsidR="00FF1095" w:rsidRPr="00E506DC" w:rsidRDefault="00FF1095" w:rsidP="00FF1095">
      <w:pPr>
        <w:pStyle w:val="PBACHeading1"/>
        <w:spacing w:before="240" w:after="240"/>
        <w:rPr>
          <w:lang w:eastAsia="en-AU"/>
        </w:rPr>
      </w:pPr>
      <w:r w:rsidRPr="00E506DC">
        <w:rPr>
          <w:lang w:eastAsia="en-AU"/>
        </w:rPr>
        <w:t xml:space="preserve">Background </w:t>
      </w:r>
    </w:p>
    <w:p w14:paraId="0B9F8732" w14:textId="69B28607" w:rsidR="00FF1095" w:rsidRDefault="00FF1095" w:rsidP="00FF1095">
      <w:pPr>
        <w:pStyle w:val="ListParagraph"/>
        <w:widowControl/>
        <w:numPr>
          <w:ilvl w:val="1"/>
          <w:numId w:val="1"/>
        </w:numPr>
        <w:spacing w:after="120"/>
        <w:rPr>
          <w:rFonts w:asciiTheme="minorHAnsi" w:hAnsiTheme="minorHAnsi"/>
          <w:szCs w:val="24"/>
          <w:lang w:eastAsia="en-AU"/>
        </w:rPr>
      </w:pPr>
      <w:r w:rsidRPr="00E506DC">
        <w:rPr>
          <w:rFonts w:asciiTheme="minorHAnsi" w:hAnsiTheme="minorHAnsi"/>
          <w:bCs/>
          <w:lang w:val="en-GB"/>
        </w:rPr>
        <w:t>An early resolution resubmission was provided that sought to address the PBAC’s concerns</w:t>
      </w:r>
      <w:r w:rsidRPr="00E506DC">
        <w:rPr>
          <w:rFonts w:asciiTheme="minorHAnsi" w:hAnsiTheme="minorHAnsi"/>
          <w:szCs w:val="24"/>
          <w:lang w:eastAsia="en-AU"/>
        </w:rPr>
        <w:t xml:space="preserve"> from its November 2021 meeting, at which the Committee did not recommend</w:t>
      </w:r>
      <w:r>
        <w:rPr>
          <w:rFonts w:asciiTheme="minorHAnsi" w:hAnsiTheme="minorHAnsi"/>
          <w:szCs w:val="24"/>
          <w:lang w:eastAsia="en-AU"/>
        </w:rPr>
        <w:t xml:space="preserve"> pembrolizumab</w:t>
      </w:r>
      <w:r w:rsidRPr="00E506DC">
        <w:rPr>
          <w:rFonts w:asciiTheme="minorHAnsi" w:hAnsiTheme="minorHAnsi"/>
          <w:szCs w:val="24"/>
          <w:lang w:eastAsia="en-AU"/>
        </w:rPr>
        <w:t xml:space="preserve"> in combination with chemotherapy for the treatment of treatment of advanced or metastatic</w:t>
      </w:r>
      <w:r w:rsidRPr="00C84D8D">
        <w:t xml:space="preserve"> </w:t>
      </w:r>
      <w:r w:rsidRPr="00C84D8D">
        <w:rPr>
          <w:rFonts w:asciiTheme="minorHAnsi" w:hAnsiTheme="minorHAnsi"/>
          <w:szCs w:val="24"/>
          <w:lang w:eastAsia="en-AU"/>
        </w:rPr>
        <w:t>oesophageal adenocarcinoma (OAC) or oesophageal squamous cell carcinoma (OSCC), or human epidermal growth factor receptor 2 (HER2)-negative adenocarcinoma (AC) of the gastro-oesophageal junction (GOJ).</w:t>
      </w:r>
    </w:p>
    <w:p w14:paraId="021244D0" w14:textId="77777777" w:rsidR="00FF1095" w:rsidRPr="00712686" w:rsidRDefault="00FF1095" w:rsidP="00041A15">
      <w:pPr>
        <w:pStyle w:val="Heading2"/>
        <w:spacing w:after="120"/>
        <w:rPr>
          <w:i w:val="0"/>
        </w:rPr>
      </w:pPr>
      <w:r w:rsidRPr="00712686">
        <w:t xml:space="preserve">Previous </w:t>
      </w:r>
      <w:r w:rsidRPr="00041A15">
        <w:rPr>
          <w:rFonts w:asciiTheme="minorHAnsi" w:hAnsiTheme="minorHAnsi" w:cstheme="minorHAnsi"/>
        </w:rPr>
        <w:t>PBAC</w:t>
      </w:r>
      <w:r w:rsidRPr="00712686">
        <w:t xml:space="preserve"> consideration </w:t>
      </w:r>
    </w:p>
    <w:p w14:paraId="11E68328" w14:textId="77777777" w:rsidR="00FF1095" w:rsidRPr="007E59E4" w:rsidRDefault="00FF1095" w:rsidP="00FF1095">
      <w:pPr>
        <w:pStyle w:val="3-BodyText"/>
        <w:numPr>
          <w:ilvl w:val="1"/>
          <w:numId w:val="1"/>
        </w:numPr>
        <w:ind w:left="709"/>
        <w:jc w:val="both"/>
        <w:rPr>
          <w:snapToGrid w:val="0"/>
          <w:lang w:val="en-AU" w:eastAsia="en-AU"/>
        </w:rPr>
      </w:pPr>
      <w:r w:rsidRPr="00200093">
        <w:rPr>
          <w:snapToGrid w:val="0"/>
          <w:lang w:val="en-AU" w:eastAsia="en-AU"/>
        </w:rPr>
        <w:t>In November 2021, the PBAC considered a resubmission via an early resolution pathway would be acceptable if the ch</w:t>
      </w:r>
      <w:r>
        <w:rPr>
          <w:snapToGrid w:val="0"/>
          <w:lang w:val="en-AU" w:eastAsia="en-AU"/>
        </w:rPr>
        <w:t>anges outlined in paragraph 7.15</w:t>
      </w:r>
      <w:r w:rsidRPr="00200093">
        <w:rPr>
          <w:snapToGrid w:val="0"/>
          <w:lang w:val="en-AU" w:eastAsia="en-AU"/>
        </w:rPr>
        <w:t xml:space="preserve"> were addressed. In summary, the resubmission was required to address the following outstanding issues</w:t>
      </w:r>
      <w:r w:rsidRPr="007E59E4">
        <w:rPr>
          <w:snapToGrid w:val="0"/>
          <w:lang w:val="en-AU" w:eastAsia="en-AU"/>
        </w:rPr>
        <w:t xml:space="preserve">: </w:t>
      </w:r>
    </w:p>
    <w:p w14:paraId="3292C7E9" w14:textId="48BAA7D8" w:rsidR="00FF1095" w:rsidRPr="007E59E4" w:rsidRDefault="00FF1095" w:rsidP="00FF1095">
      <w:pPr>
        <w:widowControl/>
        <w:numPr>
          <w:ilvl w:val="0"/>
          <w:numId w:val="43"/>
        </w:numPr>
        <w:spacing w:after="120"/>
        <w:ind w:left="1134"/>
        <w:rPr>
          <w:rFonts w:asciiTheme="minorHAnsi" w:hAnsiTheme="minorHAnsi"/>
          <w:szCs w:val="24"/>
          <w:lang w:eastAsia="en-AU"/>
        </w:rPr>
      </w:pPr>
      <w:r w:rsidRPr="007E59E4">
        <w:rPr>
          <w:rFonts w:asciiTheme="minorHAnsi" w:hAnsiTheme="minorHAnsi"/>
          <w:szCs w:val="24"/>
          <w:lang w:eastAsia="en-AU"/>
        </w:rPr>
        <w:t xml:space="preserve">Provide a revised economic model with a price reduction to achieve an incremental cost effectiveness ratio (ICER) of </w:t>
      </w:r>
      <w:r w:rsidR="007E59E4" w:rsidRPr="00912BFD">
        <w:rPr>
          <w:rFonts w:asciiTheme="minorHAnsi" w:hAnsiTheme="minorHAnsi"/>
          <w:lang w:val="en-GB"/>
        </w:rPr>
        <w:t xml:space="preserve">$55,000 to &lt; $75,000 </w:t>
      </w:r>
      <w:r w:rsidR="007E59E4">
        <w:rPr>
          <w:rFonts w:asciiTheme="minorHAnsi" w:hAnsiTheme="minorHAnsi"/>
          <w:lang w:val="en-GB"/>
        </w:rPr>
        <w:t xml:space="preserve">to </w:t>
      </w:r>
      <w:r w:rsidR="007E59E4" w:rsidRPr="00912BFD">
        <w:rPr>
          <w:rFonts w:asciiTheme="minorHAnsi" w:hAnsiTheme="minorHAnsi"/>
          <w:lang w:val="en-GB"/>
        </w:rPr>
        <w:t>$75,000 to &lt; $95,000</w:t>
      </w:r>
      <w:r w:rsidR="007E59E4">
        <w:rPr>
          <w:rFonts w:asciiTheme="minorHAnsi" w:hAnsiTheme="minorHAnsi"/>
          <w:lang w:val="en-GB"/>
        </w:rPr>
        <w:t xml:space="preserve">/ </w:t>
      </w:r>
      <w:proofErr w:type="gramStart"/>
      <w:r w:rsidR="007E59E4">
        <w:rPr>
          <w:rFonts w:asciiTheme="minorHAnsi" w:hAnsiTheme="minorHAnsi"/>
          <w:lang w:val="en-GB"/>
        </w:rPr>
        <w:t>QALY</w:t>
      </w:r>
      <w:r w:rsidR="007E59E4" w:rsidRPr="007E59E4" w:rsidDel="007E59E4">
        <w:rPr>
          <w:rFonts w:asciiTheme="minorHAnsi" w:hAnsiTheme="minorHAnsi"/>
          <w:szCs w:val="24"/>
          <w:lang w:eastAsia="en-AU"/>
        </w:rPr>
        <w:t xml:space="preserve"> </w:t>
      </w:r>
      <w:r w:rsidRPr="007E59E4">
        <w:rPr>
          <w:rFonts w:asciiTheme="minorHAnsi" w:hAnsiTheme="minorHAnsi"/>
          <w:szCs w:val="24"/>
          <w:lang w:eastAsia="en-AU"/>
        </w:rPr>
        <w:t>;</w:t>
      </w:r>
      <w:proofErr w:type="gramEnd"/>
    </w:p>
    <w:p w14:paraId="440BF81B" w14:textId="77777777" w:rsidR="00FF1095" w:rsidRPr="00200093" w:rsidRDefault="00FF1095" w:rsidP="00FF1095">
      <w:pPr>
        <w:widowControl/>
        <w:numPr>
          <w:ilvl w:val="0"/>
          <w:numId w:val="43"/>
        </w:numPr>
        <w:spacing w:after="120"/>
        <w:ind w:left="1134"/>
        <w:rPr>
          <w:rFonts w:asciiTheme="minorHAnsi" w:hAnsiTheme="minorHAnsi"/>
          <w:szCs w:val="24"/>
          <w:lang w:eastAsia="en-AU"/>
        </w:rPr>
      </w:pPr>
      <w:r w:rsidRPr="00200093">
        <w:rPr>
          <w:rFonts w:asciiTheme="minorHAnsi" w:hAnsiTheme="minorHAnsi"/>
          <w:szCs w:val="24"/>
          <w:lang w:eastAsia="en-AU"/>
        </w:rPr>
        <w:t xml:space="preserve">Provide revised financial estimates; and </w:t>
      </w:r>
    </w:p>
    <w:p w14:paraId="1A3A0212" w14:textId="77777777" w:rsidR="00FF1095" w:rsidRPr="00200093" w:rsidRDefault="00FF1095" w:rsidP="00FF1095">
      <w:pPr>
        <w:widowControl/>
        <w:numPr>
          <w:ilvl w:val="0"/>
          <w:numId w:val="43"/>
        </w:numPr>
        <w:spacing w:after="120"/>
        <w:ind w:left="1134"/>
        <w:rPr>
          <w:rFonts w:asciiTheme="minorHAnsi" w:hAnsiTheme="minorHAnsi"/>
          <w:szCs w:val="24"/>
          <w:lang w:eastAsia="en-AU"/>
        </w:rPr>
      </w:pPr>
      <w:r w:rsidRPr="00200093">
        <w:rPr>
          <w:rFonts w:asciiTheme="minorHAnsi" w:hAnsiTheme="minorHAnsi"/>
          <w:szCs w:val="24"/>
          <w:lang w:eastAsia="en-AU"/>
        </w:rPr>
        <w:t xml:space="preserve">Propose a risk sharing arrangement that manages the risk of use outside the proposed patient population.  </w:t>
      </w:r>
    </w:p>
    <w:p w14:paraId="3E6E3359" w14:textId="77777777" w:rsidR="00FF1095" w:rsidRPr="00954953" w:rsidRDefault="00FF1095" w:rsidP="00FF1095">
      <w:pPr>
        <w:pStyle w:val="PBACHeading1"/>
        <w:spacing w:after="240"/>
        <w:rPr>
          <w:lang w:eastAsia="en-AU"/>
        </w:rPr>
      </w:pPr>
      <w:r>
        <w:rPr>
          <w:lang w:eastAsia="en-AU"/>
        </w:rPr>
        <w:t>Requested listing</w:t>
      </w:r>
    </w:p>
    <w:p w14:paraId="150E2A6B" w14:textId="257C0057" w:rsidR="007E59E4" w:rsidRDefault="00FF1095" w:rsidP="00FF1095">
      <w:pPr>
        <w:pStyle w:val="ListParagraph"/>
        <w:widowControl/>
        <w:numPr>
          <w:ilvl w:val="1"/>
          <w:numId w:val="1"/>
        </w:numPr>
        <w:spacing w:after="840"/>
        <w:rPr>
          <w:rFonts w:asciiTheme="minorHAnsi" w:hAnsiTheme="minorHAnsi"/>
          <w:szCs w:val="24"/>
          <w:lang w:eastAsia="en-AU"/>
        </w:rPr>
      </w:pPr>
      <w:r>
        <w:rPr>
          <w:rFonts w:asciiTheme="minorHAnsi" w:hAnsiTheme="minorHAnsi"/>
          <w:szCs w:val="24"/>
          <w:lang w:eastAsia="en-AU"/>
        </w:rPr>
        <w:t xml:space="preserve">The requested listing is provided below. The proposed criteria incorporated changes suggested previously (see Section 3 above) with some amendments (included in italics).   </w:t>
      </w:r>
    </w:p>
    <w:p w14:paraId="2125D429" w14:textId="77777777" w:rsidR="007E59E4" w:rsidRDefault="007E59E4">
      <w:pPr>
        <w:widowControl/>
        <w:jc w:val="left"/>
        <w:rPr>
          <w:rFonts w:asciiTheme="minorHAnsi" w:hAnsiTheme="minorHAnsi"/>
          <w:szCs w:val="24"/>
          <w:lang w:eastAsia="en-AU"/>
        </w:rPr>
      </w:pPr>
      <w:r>
        <w:rPr>
          <w:rFonts w:asciiTheme="minorHAnsi" w:hAnsiTheme="minorHAnsi"/>
          <w:szCs w:val="24"/>
          <w:lang w:eastAsia="en-AU"/>
        </w:rPr>
        <w:br w:type="page"/>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8"/>
        <w:gridCol w:w="1276"/>
        <w:gridCol w:w="1004"/>
        <w:gridCol w:w="2977"/>
        <w:gridCol w:w="1692"/>
      </w:tblGrid>
      <w:tr w:rsidR="00FF1095" w:rsidRPr="00835EF0" w14:paraId="38E698E0" w14:textId="77777777" w:rsidTr="00422CCA">
        <w:tc>
          <w:tcPr>
            <w:tcW w:w="1151" w:type="pct"/>
          </w:tcPr>
          <w:p w14:paraId="7D8BCFFD" w14:textId="77777777" w:rsidR="00FF1095" w:rsidRPr="00835EF0" w:rsidRDefault="00FF1095" w:rsidP="00422CCA">
            <w:pPr>
              <w:jc w:val="left"/>
              <w:rPr>
                <w:rFonts w:ascii="Arial Narrow" w:hAnsi="Arial Narrow"/>
                <w:b/>
                <w:sz w:val="20"/>
                <w:szCs w:val="20"/>
              </w:rPr>
            </w:pPr>
            <w:r w:rsidRPr="00835EF0">
              <w:rPr>
                <w:rFonts w:ascii="Arial Narrow" w:hAnsi="Arial Narrow"/>
                <w:b/>
                <w:sz w:val="20"/>
                <w:szCs w:val="20"/>
              </w:rPr>
              <w:lastRenderedPageBreak/>
              <w:t>Name, restriction, manner of administration, form</w:t>
            </w:r>
          </w:p>
        </w:tc>
        <w:tc>
          <w:tcPr>
            <w:tcW w:w="707" w:type="pct"/>
            <w:vAlign w:val="center"/>
          </w:tcPr>
          <w:p w14:paraId="77B71B29"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Maximum amount (units)</w:t>
            </w:r>
          </w:p>
        </w:tc>
        <w:tc>
          <w:tcPr>
            <w:tcW w:w="556" w:type="pct"/>
            <w:vAlign w:val="center"/>
          </w:tcPr>
          <w:p w14:paraId="4699F6A5"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No. of repeats</w:t>
            </w:r>
          </w:p>
        </w:tc>
        <w:tc>
          <w:tcPr>
            <w:tcW w:w="1649" w:type="pct"/>
            <w:vAlign w:val="center"/>
          </w:tcPr>
          <w:p w14:paraId="1B97F06F"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Dispensed price for maximum amount</w:t>
            </w:r>
          </w:p>
        </w:tc>
        <w:tc>
          <w:tcPr>
            <w:tcW w:w="937" w:type="pct"/>
            <w:vAlign w:val="center"/>
          </w:tcPr>
          <w:p w14:paraId="2EEF99A8" w14:textId="77777777" w:rsidR="00FF1095" w:rsidRPr="00835EF0" w:rsidRDefault="00FF1095" w:rsidP="00422CCA">
            <w:pPr>
              <w:jc w:val="center"/>
              <w:rPr>
                <w:rFonts w:ascii="Arial Narrow" w:hAnsi="Arial Narrow"/>
                <w:b/>
                <w:sz w:val="20"/>
                <w:szCs w:val="20"/>
              </w:rPr>
            </w:pPr>
            <w:r w:rsidRPr="00835EF0">
              <w:rPr>
                <w:rFonts w:ascii="Arial Narrow" w:hAnsi="Arial Narrow"/>
                <w:b/>
                <w:sz w:val="20"/>
                <w:szCs w:val="20"/>
              </w:rPr>
              <w:t>Proprietary name and manufacturer</w:t>
            </w:r>
          </w:p>
        </w:tc>
      </w:tr>
      <w:tr w:rsidR="00FF1095" w:rsidRPr="00835EF0" w14:paraId="3B82A5B3" w14:textId="77777777" w:rsidTr="00422CCA">
        <w:tc>
          <w:tcPr>
            <w:tcW w:w="1151" w:type="pct"/>
          </w:tcPr>
          <w:p w14:paraId="018390DC"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Pembrolizumab</w:t>
            </w:r>
          </w:p>
          <w:p w14:paraId="2F590657"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100mg injection, 1 vial</w:t>
            </w:r>
          </w:p>
        </w:tc>
        <w:tc>
          <w:tcPr>
            <w:tcW w:w="707" w:type="pct"/>
          </w:tcPr>
          <w:p w14:paraId="0554F6DA"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200mg</w:t>
            </w:r>
          </w:p>
          <w:p w14:paraId="278EAD80" w14:textId="77777777" w:rsidR="00FF1095" w:rsidRPr="00835EF0" w:rsidRDefault="00FF1095" w:rsidP="00422CCA">
            <w:pPr>
              <w:widowControl/>
              <w:jc w:val="center"/>
              <w:rPr>
                <w:rFonts w:ascii="Arial Narrow" w:hAnsi="Arial Narrow" w:cs="Times New Roman"/>
                <w:snapToGrid/>
                <w:sz w:val="20"/>
              </w:rPr>
            </w:pPr>
          </w:p>
        </w:tc>
        <w:tc>
          <w:tcPr>
            <w:tcW w:w="556" w:type="pct"/>
          </w:tcPr>
          <w:p w14:paraId="27A2CE59"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6</w:t>
            </w:r>
          </w:p>
          <w:p w14:paraId="2BD2E910" w14:textId="77777777" w:rsidR="00FF1095" w:rsidRPr="00835EF0" w:rsidRDefault="00FF1095" w:rsidP="00422CCA">
            <w:pPr>
              <w:widowControl/>
              <w:jc w:val="center"/>
              <w:rPr>
                <w:rFonts w:ascii="Arial Narrow" w:hAnsi="Arial Narrow" w:cs="Times New Roman"/>
                <w:snapToGrid/>
                <w:sz w:val="20"/>
              </w:rPr>
            </w:pPr>
          </w:p>
        </w:tc>
        <w:tc>
          <w:tcPr>
            <w:tcW w:w="1649" w:type="pct"/>
          </w:tcPr>
          <w:p w14:paraId="5543D9E6"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$7,881.87 published price (private)</w:t>
            </w:r>
          </w:p>
          <w:p w14:paraId="270B2EE6" w14:textId="77777777" w:rsidR="00FF1095" w:rsidRPr="00835EF0" w:rsidRDefault="00FF1095" w:rsidP="00422CCA">
            <w:pPr>
              <w:widowControl/>
              <w:jc w:val="left"/>
              <w:rPr>
                <w:rFonts w:ascii="Arial Narrow" w:hAnsi="Arial Narrow" w:cs="Times New Roman"/>
                <w:snapToGrid/>
                <w:sz w:val="20"/>
              </w:rPr>
            </w:pPr>
            <w:r w:rsidRPr="00835EF0">
              <w:rPr>
                <w:rFonts w:ascii="Arial Narrow" w:hAnsi="Arial Narrow" w:cs="Times New Roman"/>
                <w:snapToGrid/>
                <w:sz w:val="20"/>
              </w:rPr>
              <w:t>$7,733.78 published price (public)</w:t>
            </w:r>
          </w:p>
        </w:tc>
        <w:tc>
          <w:tcPr>
            <w:tcW w:w="937" w:type="pct"/>
            <w:vAlign w:val="center"/>
          </w:tcPr>
          <w:p w14:paraId="731303B8" w14:textId="77777777" w:rsidR="00FF1095" w:rsidRPr="00835EF0" w:rsidRDefault="00FF1095" w:rsidP="00422CCA">
            <w:pPr>
              <w:widowControl/>
              <w:jc w:val="center"/>
              <w:rPr>
                <w:rFonts w:ascii="Arial Narrow" w:hAnsi="Arial Narrow" w:cs="Times New Roman"/>
                <w:snapToGrid/>
                <w:sz w:val="20"/>
              </w:rPr>
            </w:pPr>
            <w:r w:rsidRPr="00835EF0">
              <w:rPr>
                <w:rFonts w:ascii="Arial Narrow" w:hAnsi="Arial Narrow" w:cs="Times New Roman"/>
                <w:snapToGrid/>
                <w:sz w:val="20"/>
              </w:rPr>
              <w:t>Keytruda, Merck Sharpe &amp; Dohme (Australia) Pty Ltd</w:t>
            </w:r>
          </w:p>
        </w:tc>
      </w:tr>
    </w:tbl>
    <w:p w14:paraId="1E1BA79C" w14:textId="77777777" w:rsidR="00FF1095" w:rsidRDefault="00FF1095" w:rsidP="00FF1095">
      <w:pPr>
        <w:widowControl/>
        <w:spacing w:after="120"/>
        <w:rPr>
          <w:rFonts w:asciiTheme="minorHAnsi" w:hAnsiTheme="minorHAnsi"/>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FF1095" w:rsidRPr="00190FBD" w14:paraId="7B742BF6" w14:textId="77777777" w:rsidTr="00422CCA">
        <w:tc>
          <w:tcPr>
            <w:tcW w:w="5000" w:type="pct"/>
            <w:tcBorders>
              <w:top w:val="single" w:sz="4" w:space="0" w:color="auto"/>
              <w:left w:val="single" w:sz="4" w:space="0" w:color="auto"/>
              <w:bottom w:val="single" w:sz="4" w:space="0" w:color="auto"/>
              <w:right w:val="single" w:sz="4" w:space="0" w:color="auto"/>
            </w:tcBorders>
          </w:tcPr>
          <w:p w14:paraId="25F9CE83" w14:textId="77777777" w:rsidR="00FF1095" w:rsidRPr="00422CCA" w:rsidRDefault="00FF1095" w:rsidP="00422CCA">
            <w:pPr>
              <w:rPr>
                <w:rFonts w:ascii="Arial Narrow" w:eastAsia="Calibri" w:hAnsi="Arial Narrow"/>
                <w:sz w:val="20"/>
                <w:szCs w:val="20"/>
              </w:rPr>
            </w:pPr>
            <w:r w:rsidRPr="00422CCA">
              <w:rPr>
                <w:rFonts w:ascii="Arial Narrow" w:eastAsia="Calibri" w:hAnsi="Arial Narrow"/>
                <w:b/>
                <w:sz w:val="20"/>
                <w:szCs w:val="20"/>
              </w:rPr>
              <w:t xml:space="preserve">Category / Program:   </w:t>
            </w:r>
            <w:r w:rsidRPr="00422CCA">
              <w:rPr>
                <w:rFonts w:ascii="Arial Narrow" w:eastAsia="Calibri" w:hAnsi="Arial Narrow"/>
                <w:sz w:val="20"/>
                <w:szCs w:val="20"/>
              </w:rPr>
              <w:t xml:space="preserve">Section 100 – Efficient Funding of Chemotherapy Public/Private hospitals </w:t>
            </w:r>
          </w:p>
        </w:tc>
      </w:tr>
      <w:tr w:rsidR="00FF1095" w:rsidRPr="00190FBD" w14:paraId="29D1E110" w14:textId="77777777" w:rsidTr="00422CCA">
        <w:trPr>
          <w:trHeight w:val="240"/>
        </w:trPr>
        <w:tc>
          <w:tcPr>
            <w:tcW w:w="5000" w:type="pct"/>
            <w:tcBorders>
              <w:top w:val="single" w:sz="4" w:space="0" w:color="auto"/>
              <w:left w:val="single" w:sz="4" w:space="0" w:color="auto"/>
              <w:bottom w:val="single" w:sz="4" w:space="0" w:color="auto"/>
              <w:right w:val="single" w:sz="4" w:space="0" w:color="auto"/>
            </w:tcBorders>
          </w:tcPr>
          <w:p w14:paraId="32C77B4C" w14:textId="77777777"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Prescriber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Pr="00422CCA">
              <w:rPr>
                <w:rFonts w:ascii="Arial Narrow" w:eastAsia="Calibri" w:hAnsi="Arial Narrow"/>
                <w:sz w:val="20"/>
                <w:szCs w:val="20"/>
              </w:rPr>
              <w:t xml:space="preserve">Medical Practitioners </w:t>
            </w:r>
          </w:p>
        </w:tc>
      </w:tr>
      <w:tr w:rsidR="00FF1095" w:rsidRPr="00190FBD" w14:paraId="56363AC9" w14:textId="77777777" w:rsidTr="00422CCA">
        <w:tc>
          <w:tcPr>
            <w:tcW w:w="5000" w:type="pct"/>
            <w:tcBorders>
              <w:top w:val="single" w:sz="4" w:space="0" w:color="auto"/>
              <w:left w:val="single" w:sz="4" w:space="0" w:color="auto"/>
              <w:bottom w:val="single" w:sz="4" w:space="0" w:color="auto"/>
              <w:right w:val="single" w:sz="4" w:space="0" w:color="auto"/>
            </w:tcBorders>
          </w:tcPr>
          <w:p w14:paraId="73B3DD1B" w14:textId="77777777"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Pr="00422CCA">
              <w:rPr>
                <w:rFonts w:ascii="Arial Narrow" w:eastAsia="Calibri" w:hAnsi="Arial Narrow"/>
                <w:sz w:val="20"/>
                <w:szCs w:val="20"/>
              </w:rPr>
              <w:t>Authority Required (STREAMLINED) [new code]</w:t>
            </w:r>
            <w:r w:rsidRPr="00422CCA">
              <w:rPr>
                <w:rFonts w:ascii="Arial Narrow" w:eastAsia="Calibri" w:hAnsi="Arial Narrow"/>
                <w:strike/>
                <w:sz w:val="20"/>
                <w:szCs w:val="20"/>
              </w:rPr>
              <w:t xml:space="preserve"> </w:t>
            </w:r>
          </w:p>
        </w:tc>
      </w:tr>
      <w:tr w:rsidR="00FF1095" w:rsidRPr="00190FBD" w14:paraId="5B3B9D5E" w14:textId="77777777" w:rsidTr="00422CCA">
        <w:tc>
          <w:tcPr>
            <w:tcW w:w="5000" w:type="pct"/>
          </w:tcPr>
          <w:p w14:paraId="797A1319" w14:textId="77777777" w:rsidR="00FF1095" w:rsidRPr="00422CCA" w:rsidRDefault="00FF1095" w:rsidP="00422CCA">
            <w:pPr>
              <w:rPr>
                <w:rFonts w:ascii="Arial Narrow" w:eastAsia="Calibri" w:hAnsi="Arial Narrow"/>
                <w:b/>
                <w:bCs/>
                <w:iCs/>
                <w:sz w:val="20"/>
                <w:szCs w:val="20"/>
                <w:lang w:eastAsia="en-AU"/>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F1095" w:rsidRPr="00190FBD" w14:paraId="3C29C834" w14:textId="77777777" w:rsidTr="00422CCA">
        <w:tc>
          <w:tcPr>
            <w:tcW w:w="5000" w:type="pct"/>
          </w:tcPr>
          <w:p w14:paraId="1910FF95"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No increase in the maximum number of repeats may be authorised.</w:t>
            </w:r>
          </w:p>
        </w:tc>
      </w:tr>
      <w:tr w:rsidR="00FF1095" w:rsidRPr="00190FBD" w14:paraId="4CCA5262" w14:textId="77777777" w:rsidTr="00422CCA">
        <w:tc>
          <w:tcPr>
            <w:tcW w:w="5000" w:type="pct"/>
          </w:tcPr>
          <w:p w14:paraId="29F23AE6"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r w:rsidRPr="00422CCA">
              <w:rPr>
                <w:rFonts w:ascii="Arial Narrow" w:eastAsia="Calibri" w:hAnsi="Arial Narrow"/>
                <w:bCs/>
                <w:iCs/>
                <w:sz w:val="20"/>
                <w:szCs w:val="20"/>
              </w:rPr>
              <w:t>Special Pricing Arrangements apply.</w:t>
            </w:r>
          </w:p>
        </w:tc>
      </w:tr>
      <w:tr w:rsidR="00FF1095" w:rsidRPr="00190FBD" w14:paraId="650942FE" w14:textId="77777777" w:rsidTr="00422CCA">
        <w:tc>
          <w:tcPr>
            <w:tcW w:w="5000" w:type="pct"/>
            <w:tcBorders>
              <w:top w:val="single" w:sz="4" w:space="0" w:color="auto"/>
              <w:left w:val="single" w:sz="4" w:space="0" w:color="auto"/>
              <w:bottom w:val="single" w:sz="4" w:space="0" w:color="auto"/>
              <w:right w:val="single" w:sz="4" w:space="0" w:color="auto"/>
            </w:tcBorders>
            <w:vAlign w:val="center"/>
          </w:tcPr>
          <w:p w14:paraId="08C768B9" w14:textId="77777777" w:rsidR="00FF1095" w:rsidRPr="00422CCA" w:rsidRDefault="00FF1095" w:rsidP="00422CCA">
            <w:pPr>
              <w:rPr>
                <w:rFonts w:ascii="Arial Narrow" w:hAnsi="Arial Narrow"/>
                <w:b/>
                <w:bCs/>
                <w:iCs/>
                <w:sz w:val="20"/>
                <w:szCs w:val="20"/>
                <w:lang w:eastAsia="en-AU"/>
              </w:rPr>
            </w:pPr>
            <w:proofErr w:type="spellStart"/>
            <w:r w:rsidRPr="00422CCA">
              <w:rPr>
                <w:rFonts w:ascii="Arial Narrow" w:eastAsia="Calibri" w:hAnsi="Arial Narrow"/>
                <w:b/>
                <w:bCs/>
                <w:iCs/>
                <w:sz w:val="20"/>
                <w:szCs w:val="20"/>
                <w:lang w:eastAsia="en-AU"/>
              </w:rPr>
              <w:t>Episodicity</w:t>
            </w:r>
            <w:proofErr w:type="spellEnd"/>
            <w:r w:rsidRPr="00422CCA">
              <w:rPr>
                <w:rFonts w:ascii="Arial Narrow" w:eastAsia="Calibri" w:hAnsi="Arial Narrow"/>
                <w:b/>
                <w:bCs/>
                <w:iCs/>
                <w:sz w:val="20"/>
                <w:szCs w:val="20"/>
                <w:lang w:eastAsia="en-AU"/>
              </w:rPr>
              <w:t xml:space="preserve">: </w:t>
            </w:r>
            <w:r w:rsidRPr="00422CCA">
              <w:rPr>
                <w:rFonts w:ascii="Arial Narrow" w:eastAsia="Calibri" w:hAnsi="Arial Narrow"/>
                <w:bCs/>
                <w:iCs/>
                <w:sz w:val="20"/>
                <w:szCs w:val="20"/>
                <w:lang w:eastAsia="en-AU"/>
              </w:rPr>
              <w:t>[blank]</w:t>
            </w:r>
          </w:p>
        </w:tc>
      </w:tr>
      <w:tr w:rsidR="00FF1095" w:rsidRPr="00190FBD" w14:paraId="760E1E64" w14:textId="77777777" w:rsidTr="00422CCA">
        <w:tc>
          <w:tcPr>
            <w:tcW w:w="5000" w:type="pct"/>
            <w:tcBorders>
              <w:top w:val="single" w:sz="4" w:space="0" w:color="auto"/>
              <w:left w:val="single" w:sz="4" w:space="0" w:color="auto"/>
              <w:bottom w:val="single" w:sz="4" w:space="0" w:color="auto"/>
              <w:right w:val="single" w:sz="4" w:space="0" w:color="auto"/>
            </w:tcBorders>
            <w:vAlign w:val="center"/>
          </w:tcPr>
          <w:p w14:paraId="2F5BF68C" w14:textId="77777777" w:rsidR="00FF1095" w:rsidRPr="00422CCA" w:rsidRDefault="00FF1095" w:rsidP="00422CCA">
            <w:pPr>
              <w:rPr>
                <w:rFonts w:ascii="Arial Narrow" w:hAnsi="Arial Narrow"/>
                <w:iCs/>
                <w:sz w:val="20"/>
                <w:szCs w:val="20"/>
                <w:lang w:eastAsia="en-AU"/>
              </w:rPr>
            </w:pPr>
            <w:r w:rsidRPr="00422CCA">
              <w:rPr>
                <w:rFonts w:ascii="Arial Narrow" w:eastAsia="Calibri" w:hAnsi="Arial Narrow"/>
                <w:b/>
                <w:bCs/>
                <w:iCs/>
                <w:sz w:val="20"/>
                <w:szCs w:val="20"/>
                <w:lang w:eastAsia="en-AU"/>
              </w:rPr>
              <w:t xml:space="preserve">Severity: </w:t>
            </w:r>
            <w:r w:rsidRPr="00422CCA">
              <w:rPr>
                <w:rFonts w:ascii="Arial Narrow" w:eastAsia="Calibri" w:hAnsi="Arial Narrow"/>
                <w:bCs/>
                <w:iCs/>
                <w:sz w:val="20"/>
                <w:szCs w:val="20"/>
                <w:lang w:eastAsia="en-AU"/>
              </w:rPr>
              <w:t>Advanced (Stage III) or metastatic</w:t>
            </w:r>
            <w:r w:rsidRPr="00422CCA">
              <w:rPr>
                <w:rFonts w:ascii="Arial Narrow" w:eastAsia="Calibri" w:hAnsi="Arial Narrow"/>
                <w:b/>
                <w:bCs/>
                <w:iCs/>
                <w:sz w:val="20"/>
                <w:szCs w:val="20"/>
                <w:lang w:eastAsia="en-AU"/>
              </w:rPr>
              <w:t xml:space="preserve"> </w:t>
            </w:r>
            <w:r w:rsidRPr="00422CCA">
              <w:rPr>
                <w:rFonts w:ascii="Arial Narrow" w:eastAsia="Calibri" w:hAnsi="Arial Narrow"/>
                <w:iCs/>
                <w:sz w:val="20"/>
                <w:szCs w:val="20"/>
                <w:lang w:eastAsia="en-AU"/>
              </w:rPr>
              <w:t>(Stage IV)</w:t>
            </w:r>
          </w:p>
        </w:tc>
      </w:tr>
      <w:tr w:rsidR="00FF1095" w:rsidRPr="00190FBD" w14:paraId="186B6A20" w14:textId="77777777" w:rsidTr="00422CCA">
        <w:tc>
          <w:tcPr>
            <w:tcW w:w="5000" w:type="pct"/>
            <w:vAlign w:val="center"/>
          </w:tcPr>
          <w:p w14:paraId="16B0D1C0" w14:textId="77777777" w:rsidR="00FF1095" w:rsidRPr="00422CCA" w:rsidRDefault="00FF1095" w:rsidP="00422CCA">
            <w:pPr>
              <w:rPr>
                <w:rFonts w:ascii="Arial Narrow" w:hAnsi="Arial Narrow"/>
                <w:b/>
                <w:bCs/>
                <w:sz w:val="20"/>
                <w:szCs w:val="20"/>
                <w:lang w:eastAsia="en-AU"/>
              </w:rPr>
            </w:pPr>
            <w:r w:rsidRPr="00422CCA">
              <w:rPr>
                <w:rFonts w:ascii="Arial Narrow" w:hAnsi="Arial Narrow"/>
                <w:b/>
                <w:bCs/>
                <w:sz w:val="20"/>
                <w:szCs w:val="20"/>
                <w:lang w:eastAsia="en-AU"/>
              </w:rPr>
              <w:t xml:space="preserve">Condition: </w:t>
            </w:r>
            <w:r w:rsidRPr="00422CCA">
              <w:rPr>
                <w:rFonts w:ascii="Arial Narrow" w:hAnsi="Arial Narrow"/>
                <w:bCs/>
                <w:iCs/>
                <w:sz w:val="20"/>
                <w:szCs w:val="20"/>
                <w:lang w:eastAsia="en-AU"/>
              </w:rPr>
              <w:t>Carcinoma of the following types: (</w:t>
            </w:r>
            <w:proofErr w:type="spellStart"/>
            <w:r w:rsidRPr="00422CCA">
              <w:rPr>
                <w:rFonts w:ascii="Arial Narrow" w:hAnsi="Arial Narrow"/>
                <w:bCs/>
                <w:iCs/>
                <w:sz w:val="20"/>
                <w:szCs w:val="20"/>
                <w:lang w:eastAsia="en-AU"/>
              </w:rPr>
              <w:t>i</w:t>
            </w:r>
            <w:proofErr w:type="spellEnd"/>
            <w:r w:rsidRPr="00422CCA">
              <w:rPr>
                <w:rFonts w:ascii="Arial Narrow" w:hAnsi="Arial Narrow"/>
                <w:bCs/>
                <w:iCs/>
                <w:sz w:val="20"/>
                <w:szCs w:val="20"/>
                <w:lang w:eastAsia="en-AU"/>
              </w:rPr>
              <w:t xml:space="preserve">) Siewert type I adenocarcinoma of </w:t>
            </w:r>
            <w:proofErr w:type="spellStart"/>
            <w:r w:rsidRPr="00422CCA">
              <w:rPr>
                <w:rFonts w:ascii="Arial Narrow" w:hAnsi="Arial Narrow"/>
                <w:bCs/>
                <w:iCs/>
                <w:sz w:val="20"/>
                <w:szCs w:val="20"/>
                <w:lang w:eastAsia="en-AU"/>
              </w:rPr>
              <w:t>oesophagogastric</w:t>
            </w:r>
            <w:proofErr w:type="spellEnd"/>
            <w:r w:rsidRPr="00422CCA">
              <w:rPr>
                <w:rFonts w:ascii="Arial Narrow" w:hAnsi="Arial Narrow"/>
                <w:bCs/>
                <w:iCs/>
                <w:sz w:val="20"/>
                <w:szCs w:val="20"/>
                <w:lang w:eastAsia="en-AU"/>
              </w:rPr>
              <w:t xml:space="preserve"> junction, (ii) adenocarcinoma of oesophagus, (iii) squamous cell carcinoma of oesophagus</w:t>
            </w:r>
          </w:p>
        </w:tc>
      </w:tr>
      <w:tr w:rsidR="00FF1095" w:rsidRPr="00190FBD" w14:paraId="1A3424BB" w14:textId="77777777" w:rsidTr="00422CCA">
        <w:tc>
          <w:tcPr>
            <w:tcW w:w="5000" w:type="pct"/>
            <w:vAlign w:val="center"/>
            <w:hideMark/>
          </w:tcPr>
          <w:p w14:paraId="6BD30A04" w14:textId="77777777" w:rsidR="00FF1095" w:rsidRPr="00422CCA" w:rsidRDefault="00FF1095" w:rsidP="00422CCA">
            <w:pPr>
              <w:rPr>
                <w:rFonts w:ascii="Arial Narrow" w:hAnsi="Arial Narrow"/>
                <w:i/>
                <w:iCs/>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A</w:t>
            </w:r>
            <w:r w:rsidRPr="00422CCA">
              <w:rPr>
                <w:rFonts w:ascii="Arial Narrow" w:hAnsi="Arial Narrow"/>
                <w:iCs/>
                <w:sz w:val="20"/>
                <w:szCs w:val="20"/>
                <w:lang w:eastAsia="en-AU"/>
              </w:rPr>
              <w:t>dvanced (Stage III) or metastatic (Stage IV)</w:t>
            </w:r>
            <w:r w:rsidRPr="00422CCA">
              <w:rPr>
                <w:rFonts w:ascii="Arial Narrow" w:hAnsi="Arial Narrow"/>
                <w:sz w:val="20"/>
                <w:szCs w:val="20"/>
                <w:lang w:eastAsia="en-AU"/>
              </w:rPr>
              <w:t xml:space="preserve"> </w:t>
            </w:r>
            <w:r w:rsidRPr="00422CCA">
              <w:rPr>
                <w:rFonts w:ascii="Arial Narrow" w:hAnsi="Arial Narrow"/>
                <w:bCs/>
                <w:iCs/>
                <w:sz w:val="20"/>
                <w:szCs w:val="20"/>
                <w:lang w:eastAsia="en-AU"/>
              </w:rPr>
              <w:t>carcinoma of the following types: (</w:t>
            </w:r>
            <w:proofErr w:type="spellStart"/>
            <w:r w:rsidRPr="00422CCA">
              <w:rPr>
                <w:rFonts w:ascii="Arial Narrow" w:hAnsi="Arial Narrow"/>
                <w:bCs/>
                <w:iCs/>
                <w:sz w:val="20"/>
                <w:szCs w:val="20"/>
                <w:lang w:eastAsia="en-AU"/>
              </w:rPr>
              <w:t>i</w:t>
            </w:r>
            <w:proofErr w:type="spellEnd"/>
            <w:r w:rsidRPr="00422CCA">
              <w:rPr>
                <w:rFonts w:ascii="Arial Narrow" w:hAnsi="Arial Narrow"/>
                <w:bCs/>
                <w:iCs/>
                <w:sz w:val="20"/>
                <w:szCs w:val="20"/>
                <w:lang w:eastAsia="en-AU"/>
              </w:rPr>
              <w:t xml:space="preserve">) Siewert type I adenocarcinoma of </w:t>
            </w:r>
            <w:proofErr w:type="spellStart"/>
            <w:r w:rsidRPr="00422CCA">
              <w:rPr>
                <w:rFonts w:ascii="Arial Narrow" w:hAnsi="Arial Narrow"/>
                <w:bCs/>
                <w:iCs/>
                <w:sz w:val="20"/>
                <w:szCs w:val="20"/>
                <w:lang w:eastAsia="en-AU"/>
              </w:rPr>
              <w:t>oesophagogastric</w:t>
            </w:r>
            <w:proofErr w:type="spellEnd"/>
            <w:r w:rsidRPr="00422CCA">
              <w:rPr>
                <w:rFonts w:ascii="Arial Narrow" w:hAnsi="Arial Narrow"/>
                <w:bCs/>
                <w:iCs/>
                <w:sz w:val="20"/>
                <w:szCs w:val="20"/>
                <w:lang w:eastAsia="en-AU"/>
              </w:rPr>
              <w:t xml:space="preserve"> junction, (ii) adenocarcinoma of oesophagus, (iii) squamous cell carcinoma of oesophagus</w:t>
            </w:r>
          </w:p>
        </w:tc>
      </w:tr>
      <w:tr w:rsidR="00FF1095" w:rsidRPr="00190FBD" w14:paraId="7312B91B" w14:textId="77777777" w:rsidTr="00422CCA">
        <w:tc>
          <w:tcPr>
            <w:tcW w:w="5000" w:type="pct"/>
            <w:vAlign w:val="center"/>
            <w:hideMark/>
          </w:tcPr>
          <w:p w14:paraId="5D71D55A"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Treatment Phase:</w:t>
            </w:r>
            <w:r w:rsidRPr="00422CCA">
              <w:rPr>
                <w:rFonts w:ascii="Arial Narrow" w:hAnsi="Arial Narrow"/>
                <w:sz w:val="20"/>
                <w:szCs w:val="20"/>
                <w:lang w:eastAsia="en-AU"/>
              </w:rPr>
              <w:t xml:space="preserve"> Initial </w:t>
            </w:r>
            <w:r w:rsidRPr="00422CCA">
              <w:rPr>
                <w:rFonts w:ascii="Arial Narrow" w:hAnsi="Arial Narrow"/>
                <w:iCs/>
                <w:sz w:val="20"/>
                <w:szCs w:val="20"/>
                <w:lang w:eastAsia="en-AU"/>
              </w:rPr>
              <w:t>treatment</w:t>
            </w:r>
          </w:p>
        </w:tc>
      </w:tr>
      <w:tr w:rsidR="00FF1095" w:rsidRPr="00190FBD" w14:paraId="29047C39" w14:textId="77777777" w:rsidTr="00422CCA">
        <w:tc>
          <w:tcPr>
            <w:tcW w:w="5000" w:type="pct"/>
            <w:vAlign w:val="center"/>
            <w:hideMark/>
          </w:tcPr>
          <w:p w14:paraId="305431BA" w14:textId="77777777" w:rsidR="00FF1095" w:rsidRPr="00422CCA" w:rsidRDefault="00FF1095" w:rsidP="00422CCA">
            <w:pPr>
              <w:rPr>
                <w:rFonts w:ascii="Arial Narrow" w:hAnsi="Arial Narrow"/>
                <w:i/>
                <w:iCs/>
                <w:sz w:val="20"/>
                <w:szCs w:val="20"/>
                <w:lang w:eastAsia="en-AU"/>
              </w:rPr>
            </w:pPr>
            <w:r w:rsidRPr="00422CCA">
              <w:rPr>
                <w:rFonts w:ascii="Arial Narrow" w:hAnsi="Arial Narrow"/>
                <w:b/>
                <w:bCs/>
                <w:sz w:val="20"/>
                <w:szCs w:val="20"/>
                <w:lang w:eastAsia="en-AU"/>
              </w:rPr>
              <w:t xml:space="preserve">Clinical criteria: </w:t>
            </w:r>
          </w:p>
        </w:tc>
      </w:tr>
      <w:tr w:rsidR="00FF1095" w:rsidRPr="00190FBD" w14:paraId="218C5930" w14:textId="77777777" w:rsidTr="00422CCA">
        <w:trPr>
          <w:trHeight w:val="205"/>
        </w:trPr>
        <w:tc>
          <w:tcPr>
            <w:tcW w:w="5000" w:type="pct"/>
            <w:vAlign w:val="center"/>
            <w:hideMark/>
          </w:tcPr>
          <w:p w14:paraId="2C1E4D68"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 xml:space="preserve">The condition must be unsuitable for </w:t>
            </w:r>
            <w:r w:rsidRPr="00422CCA">
              <w:rPr>
                <w:rFonts w:ascii="Arial Narrow" w:hAnsi="Arial Narrow"/>
                <w:i/>
                <w:iCs/>
                <w:sz w:val="20"/>
                <w:szCs w:val="20"/>
                <w:lang w:eastAsia="en-AU"/>
              </w:rPr>
              <w:t>either</w:t>
            </w:r>
            <w:r w:rsidRPr="00422CCA">
              <w:rPr>
                <w:rFonts w:ascii="Arial Narrow" w:hAnsi="Arial Narrow"/>
                <w:iCs/>
                <w:sz w:val="20"/>
                <w:szCs w:val="20"/>
                <w:lang w:eastAsia="en-AU"/>
              </w:rPr>
              <w:t>: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xml:space="preserve">) surgical resection, </w:t>
            </w:r>
            <w:r w:rsidRPr="00422CCA">
              <w:rPr>
                <w:rFonts w:ascii="Arial Narrow" w:hAnsi="Arial Narrow"/>
                <w:i/>
                <w:iCs/>
                <w:sz w:val="20"/>
                <w:szCs w:val="20"/>
                <w:lang w:eastAsia="en-AU"/>
              </w:rPr>
              <w:t xml:space="preserve">or </w:t>
            </w:r>
            <w:r w:rsidRPr="00422CCA">
              <w:rPr>
                <w:rFonts w:ascii="Arial Narrow" w:hAnsi="Arial Narrow"/>
                <w:iCs/>
                <w:sz w:val="20"/>
                <w:szCs w:val="20"/>
                <w:lang w:eastAsia="en-AU"/>
              </w:rPr>
              <w:t>(ii) chemoradiation</w:t>
            </w:r>
          </w:p>
        </w:tc>
      </w:tr>
      <w:tr w:rsidR="00FF1095" w:rsidRPr="00190FBD" w14:paraId="4347DF3D" w14:textId="77777777" w:rsidTr="00422CCA">
        <w:trPr>
          <w:trHeight w:val="195"/>
        </w:trPr>
        <w:tc>
          <w:tcPr>
            <w:tcW w:w="5000" w:type="pct"/>
            <w:vAlign w:val="center"/>
          </w:tcPr>
          <w:p w14:paraId="20464814"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190FBD" w14:paraId="7800637D" w14:textId="77777777" w:rsidTr="00422CCA">
        <w:trPr>
          <w:trHeight w:val="195"/>
        </w:trPr>
        <w:tc>
          <w:tcPr>
            <w:tcW w:w="5000" w:type="pct"/>
            <w:vAlign w:val="center"/>
          </w:tcPr>
          <w:p w14:paraId="374BF4F0" w14:textId="77777777" w:rsidR="00FF1095" w:rsidRPr="00422CCA" w:rsidRDefault="00FF1095" w:rsidP="00422CCA">
            <w:pPr>
              <w:spacing w:line="276" w:lineRule="auto"/>
              <w:rPr>
                <w:rFonts w:ascii="Arial Narrow" w:hAnsi="Arial Narrow"/>
                <w:i/>
                <w:iCs/>
                <w:sz w:val="20"/>
                <w:szCs w:val="20"/>
                <w:lang w:eastAsia="en-AU"/>
              </w:rPr>
            </w:pPr>
            <w:r w:rsidRPr="00422CCA">
              <w:rPr>
                <w:rFonts w:ascii="Arial Narrow" w:hAnsi="Arial Narrow"/>
                <w:iCs/>
                <w:sz w:val="20"/>
                <w:szCs w:val="20"/>
                <w:lang w:eastAsia="en-AU"/>
              </w:rPr>
              <w:t>The condition</w:t>
            </w:r>
            <w:r w:rsidRPr="00422CCA">
              <w:rPr>
                <w:rFonts w:ascii="Arial Narrow" w:hAnsi="Arial Narrow"/>
                <w:sz w:val="20"/>
                <w:szCs w:val="20"/>
                <w:lang w:eastAsia="en-AU"/>
              </w:rPr>
              <w:t xml:space="preserve"> must have evidence of human epidermal growth factor receptor 2 (HER2) negativity as demonstrated by immunohistochemistry in tumour material</w:t>
            </w:r>
            <w:r w:rsidRPr="00422CCA">
              <w:rPr>
                <w:rFonts w:ascii="Arial Narrow" w:hAnsi="Arial Narrow"/>
                <w:iCs/>
                <w:sz w:val="20"/>
                <w:szCs w:val="20"/>
                <w:lang w:eastAsia="en-AU"/>
              </w:rPr>
              <w:t xml:space="preserve">, in any diagnosis of Siewert type I adenocarcinoma of </w:t>
            </w:r>
            <w:proofErr w:type="spellStart"/>
            <w:r w:rsidRPr="00422CCA">
              <w:rPr>
                <w:rFonts w:ascii="Arial Narrow" w:hAnsi="Arial Narrow"/>
                <w:iCs/>
                <w:sz w:val="20"/>
                <w:szCs w:val="20"/>
                <w:lang w:eastAsia="en-AU"/>
              </w:rPr>
              <w:t>oesophagogastric</w:t>
            </w:r>
            <w:proofErr w:type="spellEnd"/>
            <w:r w:rsidRPr="00422CCA">
              <w:rPr>
                <w:rFonts w:ascii="Arial Narrow" w:hAnsi="Arial Narrow"/>
                <w:iCs/>
                <w:sz w:val="20"/>
                <w:szCs w:val="20"/>
                <w:lang w:eastAsia="en-AU"/>
              </w:rPr>
              <w:t xml:space="preserve"> junction – retain this evidence on the patient’s medical records; do not submit a copy of this evidence in this authority application</w:t>
            </w:r>
          </w:p>
        </w:tc>
      </w:tr>
      <w:tr w:rsidR="00FF1095" w:rsidRPr="00190FBD" w14:paraId="0B72CFF5" w14:textId="77777777" w:rsidTr="00422CCA">
        <w:trPr>
          <w:trHeight w:val="195"/>
        </w:trPr>
        <w:tc>
          <w:tcPr>
            <w:tcW w:w="5000" w:type="pct"/>
            <w:vAlign w:val="center"/>
          </w:tcPr>
          <w:p w14:paraId="41F5BD7A"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Treatment criteria:</w:t>
            </w:r>
          </w:p>
        </w:tc>
      </w:tr>
      <w:tr w:rsidR="00FF1095" w:rsidRPr="00190FBD" w14:paraId="0524CE12" w14:textId="77777777" w:rsidTr="00422CCA">
        <w:trPr>
          <w:trHeight w:val="195"/>
        </w:trPr>
        <w:tc>
          <w:tcPr>
            <w:tcW w:w="5000" w:type="pct"/>
            <w:vAlign w:val="center"/>
          </w:tcPr>
          <w:p w14:paraId="4EA0AD4A"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be undergoing treatment with this drug for the first time</w:t>
            </w:r>
          </w:p>
        </w:tc>
      </w:tr>
      <w:tr w:rsidR="00FF1095" w:rsidRPr="00190FBD" w14:paraId="229F81CA" w14:textId="77777777" w:rsidTr="00422CCA">
        <w:trPr>
          <w:trHeight w:val="195"/>
        </w:trPr>
        <w:tc>
          <w:tcPr>
            <w:tcW w:w="5000" w:type="pct"/>
            <w:vAlign w:val="center"/>
          </w:tcPr>
          <w:p w14:paraId="70024860"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AND</w:t>
            </w:r>
          </w:p>
        </w:tc>
      </w:tr>
      <w:tr w:rsidR="00FF1095" w:rsidRPr="00190FBD" w14:paraId="0C9A1902" w14:textId="77777777" w:rsidTr="00422CCA">
        <w:trPr>
          <w:trHeight w:val="195"/>
        </w:trPr>
        <w:tc>
          <w:tcPr>
            <w:tcW w:w="5000" w:type="pct"/>
            <w:vAlign w:val="center"/>
          </w:tcPr>
          <w:p w14:paraId="5C42E00C"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be undergoing treatment with this drug for metastatic disease (Stage IV disease) that is untreated with drug therapy; or</w:t>
            </w:r>
          </w:p>
        </w:tc>
      </w:tr>
      <w:tr w:rsidR="00FF1095" w:rsidRPr="00190FBD" w14:paraId="2F6DE479" w14:textId="77777777" w:rsidTr="00422CCA">
        <w:trPr>
          <w:trHeight w:val="195"/>
        </w:trPr>
        <w:tc>
          <w:tcPr>
            <w:tcW w:w="5000" w:type="pct"/>
            <w:vAlign w:val="center"/>
          </w:tcPr>
          <w:p w14:paraId="0EBE23BE"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 xml:space="preserve">Patient must be undergoing treatment with this drug for locally advanced disease (Stage III disease) that is </w:t>
            </w:r>
            <w:r w:rsidRPr="00422CCA">
              <w:rPr>
                <w:rFonts w:ascii="Arial Narrow" w:hAnsi="Arial Narrow"/>
                <w:i/>
                <w:iCs/>
                <w:sz w:val="20"/>
                <w:szCs w:val="20"/>
                <w:lang w:eastAsia="en-AU"/>
              </w:rPr>
              <w:t>either (</w:t>
            </w:r>
            <w:proofErr w:type="spellStart"/>
            <w:r w:rsidRPr="00422CCA">
              <w:rPr>
                <w:rFonts w:ascii="Arial Narrow" w:hAnsi="Arial Narrow"/>
                <w:i/>
                <w:iCs/>
                <w:sz w:val="20"/>
                <w:szCs w:val="20"/>
                <w:lang w:eastAsia="en-AU"/>
              </w:rPr>
              <w:t>i</w:t>
            </w:r>
            <w:proofErr w:type="spellEnd"/>
            <w:r w:rsidRPr="00422CCA">
              <w:rPr>
                <w:rFonts w:ascii="Arial Narrow" w:hAnsi="Arial Narrow"/>
                <w:i/>
                <w:iCs/>
                <w:sz w:val="20"/>
                <w:szCs w:val="20"/>
                <w:lang w:eastAsia="en-AU"/>
              </w:rPr>
              <w:t>)</w:t>
            </w:r>
            <w:r w:rsidRPr="00422CCA">
              <w:rPr>
                <w:rFonts w:ascii="Arial Narrow" w:hAnsi="Arial Narrow"/>
                <w:iCs/>
                <w:sz w:val="20"/>
                <w:szCs w:val="20"/>
                <w:lang w:eastAsia="en-AU"/>
              </w:rPr>
              <w:t xml:space="preserve"> untreated with drug therapy,</w:t>
            </w:r>
            <w:r w:rsidRPr="00422CCA">
              <w:rPr>
                <w:rFonts w:ascii="Arial Narrow" w:hAnsi="Arial Narrow"/>
                <w:i/>
                <w:iCs/>
                <w:sz w:val="20"/>
                <w:szCs w:val="20"/>
                <w:lang w:eastAsia="en-AU"/>
              </w:rPr>
              <w:t xml:space="preserve"> (ii) treated with systemic therapy in the neoadjuvant/adjuvant setting, but the cancer has recurred after more than 6 months from the last dose of systemic therapy.</w:t>
            </w:r>
          </w:p>
        </w:tc>
      </w:tr>
      <w:tr w:rsidR="00FF1095" w:rsidRPr="00190FBD" w14:paraId="0A250CF5" w14:textId="77777777" w:rsidTr="00422CCA">
        <w:trPr>
          <w:trHeight w:val="195"/>
        </w:trPr>
        <w:tc>
          <w:tcPr>
            <w:tcW w:w="5000" w:type="pct"/>
            <w:vAlign w:val="center"/>
          </w:tcPr>
          <w:p w14:paraId="25E2D57E"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 xml:space="preserve">AND </w:t>
            </w:r>
          </w:p>
        </w:tc>
      </w:tr>
      <w:tr w:rsidR="00FF1095" w:rsidRPr="00190FBD" w14:paraId="15BE79FF" w14:textId="77777777" w:rsidTr="00422CCA">
        <w:trPr>
          <w:trHeight w:val="195"/>
        </w:trPr>
        <w:tc>
          <w:tcPr>
            <w:tcW w:w="5000" w:type="pct"/>
            <w:vAlign w:val="center"/>
          </w:tcPr>
          <w:p w14:paraId="4A6EBFBC"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Treatment criteria:</w:t>
            </w:r>
          </w:p>
        </w:tc>
      </w:tr>
      <w:tr w:rsidR="00FF1095" w:rsidRPr="00190FBD" w14:paraId="07F401C2" w14:textId="77777777" w:rsidTr="00422CCA">
        <w:trPr>
          <w:trHeight w:val="195"/>
        </w:trPr>
        <w:tc>
          <w:tcPr>
            <w:tcW w:w="5000" w:type="pct"/>
            <w:vAlign w:val="center"/>
          </w:tcPr>
          <w:p w14:paraId="475AF84A"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iCs/>
                <w:sz w:val="20"/>
                <w:szCs w:val="20"/>
                <w:lang w:eastAsia="en-AU"/>
              </w:rPr>
              <w:t>Patient must be undergoing concomitant treatment with chemotherapy, at least at treatment initiation with this drug, containing a minimum of: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a platinum agent, plus (ii) a fluoropyrimidine agent</w:t>
            </w:r>
          </w:p>
        </w:tc>
      </w:tr>
      <w:tr w:rsidR="00FF1095" w:rsidRPr="00190FBD" w14:paraId="4E52834C" w14:textId="77777777" w:rsidTr="00422CCA">
        <w:trPr>
          <w:trHeight w:val="195"/>
        </w:trPr>
        <w:tc>
          <w:tcPr>
            <w:tcW w:w="5000" w:type="pct"/>
            <w:vAlign w:val="center"/>
          </w:tcPr>
          <w:p w14:paraId="36F41EE8"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190FBD" w14:paraId="31439F6B" w14:textId="77777777" w:rsidTr="00422CCA">
        <w:trPr>
          <w:trHeight w:val="195"/>
        </w:trPr>
        <w:tc>
          <w:tcPr>
            <w:tcW w:w="5000" w:type="pct"/>
            <w:vAlign w:val="center"/>
          </w:tcPr>
          <w:p w14:paraId="4E83CC5B"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have WHO performance status no higher than 1 at treatment initiation with this drug</w:t>
            </w:r>
          </w:p>
        </w:tc>
      </w:tr>
      <w:tr w:rsidR="00FF1095" w:rsidRPr="00190FBD" w14:paraId="087429BD" w14:textId="77777777" w:rsidTr="00422CCA">
        <w:tc>
          <w:tcPr>
            <w:tcW w:w="5000" w:type="pct"/>
            <w:vAlign w:val="center"/>
            <w:hideMark/>
          </w:tcPr>
          <w:p w14:paraId="0A4795FB" w14:textId="77777777" w:rsidR="00FF1095" w:rsidRPr="00422CCA" w:rsidRDefault="00FF1095" w:rsidP="00422CCA">
            <w:pPr>
              <w:rPr>
                <w:rFonts w:ascii="Arial Narrow" w:hAnsi="Arial Narrow"/>
                <w:b/>
                <w:bCs/>
                <w:sz w:val="20"/>
                <w:szCs w:val="20"/>
                <w:lang w:eastAsia="en-AU"/>
              </w:rPr>
            </w:pPr>
            <w:r w:rsidRPr="00422CCA">
              <w:rPr>
                <w:rFonts w:ascii="Arial Narrow" w:hAnsi="Arial Narrow"/>
                <w:b/>
                <w:bCs/>
                <w:sz w:val="20"/>
                <w:szCs w:val="20"/>
                <w:lang w:eastAsia="en-AU"/>
              </w:rPr>
              <w:t xml:space="preserve">Administrative Advice: </w:t>
            </w:r>
          </w:p>
          <w:p w14:paraId="775163F2" w14:textId="77777777" w:rsidR="00FF1095" w:rsidRPr="00422CCA" w:rsidRDefault="00FF1095" w:rsidP="00422CCA">
            <w:pPr>
              <w:rPr>
                <w:rFonts w:ascii="Arial Narrow" w:hAnsi="Arial Narrow"/>
                <w:sz w:val="20"/>
                <w:szCs w:val="20"/>
                <w:lang w:eastAsia="en-AU"/>
              </w:rPr>
            </w:pPr>
            <w:r w:rsidRPr="00422CCA">
              <w:rPr>
                <w:rFonts w:ascii="Arial Narrow" w:hAnsi="Arial Narrow"/>
                <w:sz w:val="20"/>
                <w:szCs w:val="20"/>
                <w:lang w:eastAsia="en-AU"/>
              </w:rPr>
              <w:t xml:space="preserve">In the first few months after start of immunotherapy, some patients can have a transient tumour flare with subsequent disease </w:t>
            </w:r>
            <w:r w:rsidRPr="00422CCA">
              <w:rPr>
                <w:rFonts w:ascii="Arial Narrow" w:hAnsi="Arial Narrow"/>
                <w:sz w:val="20"/>
                <w:szCs w:val="20"/>
                <w:lang w:eastAsia="en-AU"/>
              </w:rPr>
              <w:lastRenderedPageBreak/>
              <w:t>response. When progression is suspected, this should be confirmed through a confirmatory scan, taken at least 4 weeks later.</w:t>
            </w:r>
          </w:p>
        </w:tc>
      </w:tr>
      <w:tr w:rsidR="00FF1095" w:rsidRPr="00190FBD" w14:paraId="0A5106AB" w14:textId="77777777" w:rsidTr="00422CCA">
        <w:tc>
          <w:tcPr>
            <w:tcW w:w="5000" w:type="pct"/>
            <w:vAlign w:val="center"/>
          </w:tcPr>
          <w:p w14:paraId="6B71DDA5" w14:textId="77777777" w:rsidR="00FF1095" w:rsidRPr="00422CCA" w:rsidRDefault="00FF1095" w:rsidP="00422CCA">
            <w:pPr>
              <w:rPr>
                <w:rFonts w:ascii="Arial Narrow" w:hAnsi="Arial Narrow"/>
                <w:b/>
                <w:bCs/>
                <w:sz w:val="20"/>
                <w:szCs w:val="20"/>
                <w:lang w:eastAsia="en-AU"/>
              </w:rPr>
            </w:pPr>
          </w:p>
        </w:tc>
      </w:tr>
      <w:tr w:rsidR="00FF1095" w:rsidRPr="00190FBD" w14:paraId="0F508688" w14:textId="77777777" w:rsidTr="00422CCA">
        <w:tc>
          <w:tcPr>
            <w:tcW w:w="5000" w:type="pct"/>
            <w:vAlign w:val="center"/>
          </w:tcPr>
          <w:p w14:paraId="61798E2F" w14:textId="77777777" w:rsidR="00FF1095" w:rsidRPr="00422CCA" w:rsidRDefault="00FF1095" w:rsidP="00422CCA">
            <w:pPr>
              <w:rPr>
                <w:rFonts w:ascii="Arial Narrow" w:hAnsi="Arial Narrow"/>
                <w:b/>
                <w:bCs/>
                <w:sz w:val="20"/>
                <w:szCs w:val="20"/>
                <w:lang w:eastAsia="en-AU"/>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Pr="00422CCA">
              <w:rPr>
                <w:rFonts w:ascii="Arial Narrow" w:eastAsia="Calibri" w:hAnsi="Arial Narrow"/>
                <w:sz w:val="20"/>
                <w:szCs w:val="20"/>
              </w:rPr>
              <w:t>Authority Required (STREAMLINED) [new code]</w:t>
            </w:r>
            <w:r w:rsidRPr="00422CCA">
              <w:rPr>
                <w:rFonts w:ascii="Arial Narrow" w:eastAsia="Calibri" w:hAnsi="Arial Narrow"/>
                <w:strike/>
                <w:sz w:val="20"/>
                <w:szCs w:val="20"/>
              </w:rPr>
              <w:t xml:space="preserve"> </w:t>
            </w:r>
          </w:p>
        </w:tc>
      </w:tr>
      <w:tr w:rsidR="00FF1095" w:rsidRPr="00190FBD" w14:paraId="51FBEDA7" w14:textId="77777777" w:rsidTr="00422CCA">
        <w:tc>
          <w:tcPr>
            <w:tcW w:w="5000" w:type="pct"/>
            <w:vAlign w:val="center"/>
            <w:hideMark/>
          </w:tcPr>
          <w:p w14:paraId="1F45C0A3" w14:textId="77777777" w:rsidR="00FF1095" w:rsidRPr="00422CCA" w:rsidRDefault="00FF1095" w:rsidP="00422CCA">
            <w:pPr>
              <w:numPr>
                <w:ilvl w:val="0"/>
                <w:numId w:val="5"/>
              </w:numPr>
              <w:rPr>
                <w:rFonts w:ascii="Arial Narrow" w:hAnsi="Arial Narrow"/>
                <w:i/>
                <w:iCs/>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w:t>
            </w:r>
            <w:r w:rsidRPr="00422CCA">
              <w:rPr>
                <w:rFonts w:ascii="Arial Narrow" w:hAnsi="Arial Narrow"/>
                <w:iCs/>
                <w:sz w:val="20"/>
                <w:szCs w:val="20"/>
                <w:lang w:eastAsia="en-AU"/>
              </w:rPr>
              <w:t>Advanced (Stage III) or metastatic (Stage IV) carcinoma of the following types: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xml:space="preserve">) Siewert type I adenocarcinoma of </w:t>
            </w:r>
            <w:proofErr w:type="spellStart"/>
            <w:r w:rsidRPr="00422CCA">
              <w:rPr>
                <w:rFonts w:ascii="Arial Narrow" w:hAnsi="Arial Narrow"/>
                <w:iCs/>
                <w:sz w:val="20"/>
                <w:szCs w:val="20"/>
                <w:lang w:eastAsia="en-AU"/>
              </w:rPr>
              <w:t>oesophagogastric</w:t>
            </w:r>
            <w:proofErr w:type="spellEnd"/>
            <w:r w:rsidRPr="00422CCA">
              <w:rPr>
                <w:rFonts w:ascii="Arial Narrow" w:hAnsi="Arial Narrow"/>
                <w:iCs/>
                <w:sz w:val="20"/>
                <w:szCs w:val="20"/>
                <w:lang w:eastAsia="en-AU"/>
              </w:rPr>
              <w:t xml:space="preserve"> junction, (ii) adenocarcinoma of oesophagus, (iii) squamous cell carcinoma of oesophagus</w:t>
            </w:r>
          </w:p>
        </w:tc>
      </w:tr>
      <w:tr w:rsidR="00FF1095" w:rsidRPr="00190FBD" w14:paraId="481F33EE" w14:textId="77777777" w:rsidTr="00422CCA">
        <w:tc>
          <w:tcPr>
            <w:tcW w:w="5000" w:type="pct"/>
            <w:vAlign w:val="center"/>
            <w:hideMark/>
          </w:tcPr>
          <w:p w14:paraId="48D90199"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Treatment Phase:</w:t>
            </w:r>
            <w:r w:rsidRPr="00422CCA">
              <w:rPr>
                <w:rFonts w:ascii="Arial Narrow" w:hAnsi="Arial Narrow"/>
                <w:sz w:val="20"/>
                <w:szCs w:val="20"/>
                <w:lang w:eastAsia="en-AU"/>
              </w:rPr>
              <w:t xml:space="preserve"> Continuing </w:t>
            </w:r>
            <w:r w:rsidRPr="00422CCA">
              <w:rPr>
                <w:rFonts w:ascii="Arial Narrow" w:hAnsi="Arial Narrow"/>
                <w:iCs/>
                <w:sz w:val="20"/>
                <w:szCs w:val="20"/>
                <w:lang w:eastAsia="en-AU"/>
              </w:rPr>
              <w:t>treatment</w:t>
            </w:r>
          </w:p>
        </w:tc>
      </w:tr>
      <w:tr w:rsidR="00FF1095" w:rsidRPr="00190FBD" w14:paraId="67AF8109" w14:textId="77777777" w:rsidTr="00422CCA">
        <w:tc>
          <w:tcPr>
            <w:tcW w:w="5000" w:type="pct"/>
            <w:vAlign w:val="center"/>
            <w:hideMark/>
          </w:tcPr>
          <w:p w14:paraId="70181A22"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Clinical criteria:</w:t>
            </w:r>
          </w:p>
        </w:tc>
      </w:tr>
      <w:tr w:rsidR="00FF1095" w:rsidRPr="00190FBD" w14:paraId="48F6A440" w14:textId="77777777" w:rsidTr="00422CCA">
        <w:trPr>
          <w:trHeight w:val="276"/>
        </w:trPr>
        <w:tc>
          <w:tcPr>
            <w:tcW w:w="5000" w:type="pct"/>
            <w:vAlign w:val="center"/>
          </w:tcPr>
          <w:p w14:paraId="52F62BAE" w14:textId="77777777" w:rsidR="00FF1095" w:rsidRPr="00422CCA" w:rsidRDefault="00FF1095" w:rsidP="00422CCA">
            <w:pPr>
              <w:numPr>
                <w:ilvl w:val="0"/>
                <w:numId w:val="5"/>
              </w:numPr>
              <w:rPr>
                <w:rFonts w:ascii="Arial Narrow" w:hAnsi="Arial Narrow"/>
                <w:iCs/>
                <w:sz w:val="20"/>
                <w:szCs w:val="20"/>
                <w:lang w:eastAsia="en-AU"/>
              </w:rPr>
            </w:pPr>
            <w:r w:rsidRPr="00422CCA">
              <w:rPr>
                <w:rFonts w:ascii="Arial Narrow" w:hAnsi="Arial Narrow"/>
                <w:iCs/>
                <w:sz w:val="20"/>
                <w:szCs w:val="20"/>
                <w:lang w:eastAsia="en-AU"/>
              </w:rPr>
              <w:t xml:space="preserve">The condition must not have progressed </w:t>
            </w:r>
          </w:p>
        </w:tc>
      </w:tr>
      <w:tr w:rsidR="00FF1095" w:rsidRPr="00190FBD" w14:paraId="0658B6C5" w14:textId="77777777" w:rsidTr="00422CCA">
        <w:tc>
          <w:tcPr>
            <w:tcW w:w="5000" w:type="pct"/>
            <w:vAlign w:val="center"/>
          </w:tcPr>
          <w:p w14:paraId="3908169F" w14:textId="77777777" w:rsidR="00FF1095" w:rsidRPr="00422CCA" w:rsidRDefault="00FF1095" w:rsidP="00422CCA">
            <w:pPr>
              <w:numPr>
                <w:ilvl w:val="0"/>
                <w:numId w:val="5"/>
              </w:numPr>
              <w:rPr>
                <w:rFonts w:ascii="Arial Narrow" w:hAnsi="Arial Narrow"/>
                <w:b/>
                <w:iCs/>
                <w:sz w:val="20"/>
                <w:szCs w:val="20"/>
                <w:lang w:eastAsia="en-AU"/>
              </w:rPr>
            </w:pPr>
            <w:r w:rsidRPr="00422CCA">
              <w:rPr>
                <w:rFonts w:ascii="Arial Narrow" w:hAnsi="Arial Narrow"/>
                <w:b/>
                <w:iCs/>
                <w:sz w:val="20"/>
                <w:szCs w:val="20"/>
                <w:lang w:eastAsia="en-AU"/>
              </w:rPr>
              <w:t>AND</w:t>
            </w:r>
          </w:p>
        </w:tc>
      </w:tr>
      <w:tr w:rsidR="00FF1095" w:rsidRPr="00190FBD" w14:paraId="01059C80" w14:textId="77777777" w:rsidTr="00422CCA">
        <w:tc>
          <w:tcPr>
            <w:tcW w:w="5000" w:type="pct"/>
            <w:vAlign w:val="center"/>
          </w:tcPr>
          <w:p w14:paraId="1468515A" w14:textId="77777777" w:rsidR="00FF1095" w:rsidRPr="00422CCA" w:rsidRDefault="00FF1095" w:rsidP="00422CCA">
            <w:pPr>
              <w:numPr>
                <w:ilvl w:val="0"/>
                <w:numId w:val="5"/>
              </w:numPr>
              <w:rPr>
                <w:rFonts w:ascii="Arial Narrow" w:hAnsi="Arial Narrow"/>
                <w:b/>
                <w:iCs/>
                <w:sz w:val="20"/>
                <w:szCs w:val="20"/>
                <w:lang w:eastAsia="en-AU"/>
              </w:rPr>
            </w:pPr>
            <w:r w:rsidRPr="00422CCA">
              <w:rPr>
                <w:rFonts w:ascii="Arial Narrow" w:hAnsi="Arial Narrow"/>
                <w:b/>
                <w:iCs/>
                <w:sz w:val="20"/>
                <w:szCs w:val="20"/>
                <w:lang w:eastAsia="en-AU"/>
              </w:rPr>
              <w:t>Treatment criteria:</w:t>
            </w:r>
          </w:p>
        </w:tc>
      </w:tr>
      <w:tr w:rsidR="00FF1095" w:rsidRPr="00190FBD" w14:paraId="07A0B769" w14:textId="77777777" w:rsidTr="00422CCA">
        <w:tc>
          <w:tcPr>
            <w:tcW w:w="5000" w:type="pct"/>
            <w:vAlign w:val="center"/>
          </w:tcPr>
          <w:p w14:paraId="4F5193D2" w14:textId="77777777" w:rsidR="00FF1095" w:rsidRPr="00422CCA" w:rsidRDefault="00FF1095" w:rsidP="00422CCA">
            <w:pPr>
              <w:numPr>
                <w:ilvl w:val="0"/>
                <w:numId w:val="5"/>
              </w:numPr>
              <w:rPr>
                <w:rFonts w:ascii="Arial Narrow" w:hAnsi="Arial Narrow"/>
                <w:bCs/>
                <w:iCs/>
                <w:sz w:val="20"/>
                <w:szCs w:val="20"/>
                <w:lang w:eastAsia="en-AU"/>
              </w:rPr>
            </w:pPr>
            <w:r w:rsidRPr="00422CCA">
              <w:rPr>
                <w:rFonts w:ascii="Arial Narrow" w:hAnsi="Arial Narrow"/>
                <w:bCs/>
                <w:iCs/>
                <w:sz w:val="20"/>
                <w:szCs w:val="20"/>
                <w:lang w:eastAsia="en-AU"/>
              </w:rPr>
              <w:t>Patient must be undergoing continuing treatment with this drug, with PBS-subsidised treatment having commenced through one of: (</w:t>
            </w:r>
            <w:proofErr w:type="spellStart"/>
            <w:r w:rsidRPr="00422CCA">
              <w:rPr>
                <w:rFonts w:ascii="Arial Narrow" w:hAnsi="Arial Narrow"/>
                <w:bCs/>
                <w:iCs/>
                <w:sz w:val="20"/>
                <w:szCs w:val="20"/>
                <w:lang w:eastAsia="en-AU"/>
              </w:rPr>
              <w:t>i</w:t>
            </w:r>
            <w:proofErr w:type="spellEnd"/>
            <w:r w:rsidRPr="00422CCA">
              <w:rPr>
                <w:rFonts w:ascii="Arial Narrow" w:hAnsi="Arial Narrow"/>
                <w:bCs/>
                <w:iCs/>
                <w:sz w:val="20"/>
                <w:szCs w:val="20"/>
                <w:lang w:eastAsia="en-AU"/>
              </w:rPr>
              <w:t>) the ‘Initial treatment’ phase listing, (ii) ‘Grandfather arrangements’ listing; do not commence PBS-subsidised treatment through this treatment phase</w:t>
            </w:r>
          </w:p>
        </w:tc>
      </w:tr>
      <w:tr w:rsidR="00FF1095" w:rsidRPr="00190FBD" w14:paraId="59B68D83" w14:textId="77777777" w:rsidTr="00422CCA">
        <w:tc>
          <w:tcPr>
            <w:tcW w:w="5000" w:type="pct"/>
            <w:vAlign w:val="center"/>
          </w:tcPr>
          <w:p w14:paraId="3BA8E719" w14:textId="77777777" w:rsidR="00FF1095" w:rsidRPr="00422CCA" w:rsidRDefault="00FF1095" w:rsidP="00422CCA">
            <w:pPr>
              <w:numPr>
                <w:ilvl w:val="0"/>
                <w:numId w:val="5"/>
              </w:numPr>
              <w:rPr>
                <w:rFonts w:ascii="Arial Narrow" w:hAnsi="Arial Narrow"/>
                <w:b/>
                <w:sz w:val="20"/>
                <w:szCs w:val="20"/>
                <w:lang w:eastAsia="en-AU"/>
              </w:rPr>
            </w:pPr>
            <w:r w:rsidRPr="00422CCA">
              <w:rPr>
                <w:rFonts w:ascii="Arial Narrow" w:hAnsi="Arial Narrow"/>
                <w:b/>
                <w:iCs/>
                <w:sz w:val="20"/>
                <w:szCs w:val="20"/>
                <w:lang w:eastAsia="en-AU"/>
              </w:rPr>
              <w:t>AND</w:t>
            </w:r>
          </w:p>
        </w:tc>
      </w:tr>
      <w:tr w:rsidR="00FF1095" w:rsidRPr="00190FBD" w14:paraId="31D04F2D" w14:textId="77777777" w:rsidTr="00422CCA">
        <w:tc>
          <w:tcPr>
            <w:tcW w:w="5000" w:type="pct"/>
            <w:vAlign w:val="center"/>
            <w:hideMark/>
          </w:tcPr>
          <w:p w14:paraId="4B5FB5DA" w14:textId="77777777" w:rsidR="00FF1095" w:rsidRPr="00422CCA" w:rsidRDefault="00FF1095" w:rsidP="00422CCA">
            <w:pPr>
              <w:numPr>
                <w:ilvl w:val="0"/>
                <w:numId w:val="5"/>
              </w:numPr>
              <w:rPr>
                <w:rFonts w:ascii="Arial Narrow" w:hAnsi="Arial Narrow"/>
                <w:sz w:val="20"/>
                <w:szCs w:val="20"/>
                <w:lang w:eastAsia="en-AU"/>
              </w:rPr>
            </w:pPr>
            <w:r w:rsidRPr="00422CCA">
              <w:rPr>
                <w:rFonts w:ascii="Arial Narrow" w:hAnsi="Arial Narrow"/>
                <w:b/>
                <w:bCs/>
                <w:sz w:val="20"/>
                <w:szCs w:val="20"/>
                <w:lang w:eastAsia="en-AU"/>
              </w:rPr>
              <w:t>Treatment</w:t>
            </w:r>
            <w:r w:rsidRPr="00422CCA">
              <w:rPr>
                <w:rFonts w:ascii="Arial Narrow" w:hAnsi="Arial Narrow"/>
                <w:b/>
                <w:bCs/>
                <w:i/>
                <w:iCs/>
                <w:sz w:val="20"/>
                <w:szCs w:val="20"/>
                <w:lang w:eastAsia="en-AU"/>
              </w:rPr>
              <w:t xml:space="preserve"> </w:t>
            </w:r>
            <w:r w:rsidRPr="00422CCA">
              <w:rPr>
                <w:rFonts w:ascii="Arial Narrow" w:hAnsi="Arial Narrow"/>
                <w:b/>
                <w:bCs/>
                <w:sz w:val="20"/>
                <w:szCs w:val="20"/>
                <w:lang w:eastAsia="en-AU"/>
              </w:rPr>
              <w:t xml:space="preserve">criteria: </w:t>
            </w:r>
          </w:p>
        </w:tc>
      </w:tr>
      <w:tr w:rsidR="00FF1095" w:rsidRPr="00190FBD" w14:paraId="3155A59A" w14:textId="77777777" w:rsidTr="00422CCA">
        <w:tc>
          <w:tcPr>
            <w:tcW w:w="5000" w:type="pct"/>
            <w:vAlign w:val="center"/>
          </w:tcPr>
          <w:p w14:paraId="1F7A492A" w14:textId="77777777" w:rsidR="00FF1095" w:rsidRPr="00422CCA" w:rsidRDefault="00FF1095" w:rsidP="00422CCA">
            <w:pPr>
              <w:numPr>
                <w:ilvl w:val="0"/>
                <w:numId w:val="5"/>
              </w:numPr>
              <w:rPr>
                <w:rFonts w:ascii="Arial Narrow" w:hAnsi="Arial Narrow"/>
                <w:iCs/>
                <w:sz w:val="20"/>
                <w:szCs w:val="20"/>
                <w:lang w:eastAsia="en-AU"/>
              </w:rPr>
            </w:pPr>
            <w:r w:rsidRPr="00422CCA">
              <w:rPr>
                <w:rFonts w:ascii="Arial Narrow" w:hAnsi="Arial Narrow"/>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24 months, (ii) 35 doses (based on a 3-weekly dose regimen), (iii) disease progression</w:t>
            </w:r>
          </w:p>
        </w:tc>
      </w:tr>
      <w:tr w:rsidR="00FF1095" w:rsidRPr="00190FBD" w14:paraId="5DD1BE10" w14:textId="77777777" w:rsidTr="00422CCA">
        <w:trPr>
          <w:trHeight w:val="330"/>
        </w:trPr>
        <w:tc>
          <w:tcPr>
            <w:tcW w:w="5000" w:type="pct"/>
            <w:vAlign w:val="center"/>
          </w:tcPr>
          <w:p w14:paraId="3DBEDA84" w14:textId="77777777" w:rsidR="00FF1095" w:rsidRPr="00422CCA" w:rsidRDefault="00FF1095" w:rsidP="00422CCA">
            <w:pPr>
              <w:rPr>
                <w:rFonts w:ascii="Arial Narrow" w:hAnsi="Arial Narrow"/>
                <w:sz w:val="20"/>
                <w:szCs w:val="20"/>
                <w:lang w:eastAsia="en-AU"/>
              </w:rPr>
            </w:pPr>
          </w:p>
        </w:tc>
      </w:tr>
      <w:tr w:rsidR="00FF1095" w:rsidRPr="00190FBD" w14:paraId="78A1C1F7" w14:textId="77777777" w:rsidTr="00422CCA">
        <w:tc>
          <w:tcPr>
            <w:tcW w:w="5000" w:type="pct"/>
            <w:tcBorders>
              <w:top w:val="single" w:sz="4" w:space="0" w:color="auto"/>
              <w:left w:val="single" w:sz="4" w:space="0" w:color="auto"/>
              <w:bottom w:val="single" w:sz="4" w:space="0" w:color="auto"/>
              <w:right w:val="single" w:sz="4" w:space="0" w:color="auto"/>
            </w:tcBorders>
          </w:tcPr>
          <w:p w14:paraId="527549EC" w14:textId="77777777" w:rsidR="00FF1095" w:rsidRPr="00422CCA" w:rsidRDefault="00FF1095" w:rsidP="00422CCA">
            <w:pPr>
              <w:rPr>
                <w:rFonts w:ascii="Arial Narrow" w:eastAsia="Calibri" w:hAnsi="Arial Narrow"/>
                <w:b/>
                <w:sz w:val="20"/>
                <w:szCs w:val="20"/>
              </w:rPr>
            </w:pPr>
            <w:r w:rsidRPr="00422CCA">
              <w:rPr>
                <w:rFonts w:ascii="Arial Narrow" w:eastAsia="Calibri" w:hAnsi="Arial Narrow"/>
                <w:b/>
                <w:sz w:val="20"/>
                <w:szCs w:val="20"/>
              </w:rPr>
              <w:t xml:space="preserve">Restriction Type: </w:t>
            </w:r>
            <w:r w:rsidRPr="00422CCA">
              <w:rPr>
                <w:rFonts w:ascii="Arial Narrow" w:eastAsia="Calibri" w:hAnsi="Arial Narrow"/>
                <w:sz w:val="20"/>
                <w:szCs w:val="20"/>
              </w:rPr>
              <w:fldChar w:fldCharType="begin">
                <w:ffData>
                  <w:name w:val=""/>
                  <w:enabled/>
                  <w:calcOnExit w:val="0"/>
                  <w:checkBox>
                    <w:sizeAuto/>
                    <w:default w:val="1"/>
                  </w:checkBox>
                </w:ffData>
              </w:fldChar>
            </w:r>
            <w:r w:rsidRPr="00422CCA">
              <w:rPr>
                <w:rFonts w:ascii="Arial Narrow" w:eastAsia="Calibri" w:hAnsi="Arial Narrow"/>
                <w:sz w:val="20"/>
                <w:szCs w:val="20"/>
              </w:rPr>
              <w:instrText xml:space="preserve"> FORMCHECKBOX </w:instrText>
            </w:r>
            <w:r w:rsidR="004F3736">
              <w:rPr>
                <w:rFonts w:ascii="Arial Narrow" w:eastAsia="Calibri" w:hAnsi="Arial Narrow"/>
                <w:sz w:val="20"/>
                <w:szCs w:val="20"/>
              </w:rPr>
            </w:r>
            <w:r w:rsidR="004F3736">
              <w:rPr>
                <w:rFonts w:ascii="Arial Narrow" w:eastAsia="Calibri" w:hAnsi="Arial Narrow"/>
                <w:sz w:val="20"/>
                <w:szCs w:val="20"/>
              </w:rPr>
              <w:fldChar w:fldCharType="separate"/>
            </w:r>
            <w:r w:rsidRPr="00422CCA">
              <w:rPr>
                <w:rFonts w:ascii="Arial Narrow" w:eastAsia="Calibri" w:hAnsi="Arial Narrow"/>
                <w:sz w:val="20"/>
                <w:szCs w:val="20"/>
              </w:rPr>
              <w:fldChar w:fldCharType="end"/>
            </w:r>
            <w:r w:rsidRPr="00422CCA">
              <w:rPr>
                <w:rFonts w:ascii="Arial Narrow" w:eastAsia="Calibri" w:hAnsi="Arial Narrow"/>
                <w:sz w:val="20"/>
                <w:szCs w:val="20"/>
              </w:rPr>
              <w:t xml:space="preserve"> Authority Required (Streamlined) [new code] </w:t>
            </w:r>
          </w:p>
        </w:tc>
      </w:tr>
      <w:tr w:rsidR="00FF1095" w:rsidRPr="00190FBD" w14:paraId="0984EB93" w14:textId="77777777" w:rsidTr="00422CCA">
        <w:tc>
          <w:tcPr>
            <w:tcW w:w="5000" w:type="pct"/>
            <w:vAlign w:val="center"/>
            <w:hideMark/>
          </w:tcPr>
          <w:p w14:paraId="709B1BC3"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Indication:</w:t>
            </w:r>
            <w:r w:rsidRPr="00422CCA">
              <w:rPr>
                <w:rFonts w:ascii="Arial Narrow" w:hAnsi="Arial Narrow"/>
                <w:sz w:val="20"/>
                <w:szCs w:val="20"/>
                <w:lang w:eastAsia="en-AU"/>
              </w:rPr>
              <w:t xml:space="preserve"> </w:t>
            </w:r>
            <w:r w:rsidRPr="00422CCA">
              <w:rPr>
                <w:rFonts w:ascii="Arial Narrow" w:hAnsi="Arial Narrow"/>
                <w:iCs/>
                <w:sz w:val="20"/>
                <w:szCs w:val="20"/>
                <w:lang w:eastAsia="en-AU"/>
              </w:rPr>
              <w:t>Advanced (Stage III) or metastatic (Stage IV) carcinoma of the following types: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xml:space="preserve">) Siewert type I adenocarcinoma of </w:t>
            </w:r>
            <w:proofErr w:type="spellStart"/>
            <w:r w:rsidRPr="00422CCA">
              <w:rPr>
                <w:rFonts w:ascii="Arial Narrow" w:hAnsi="Arial Narrow"/>
                <w:iCs/>
                <w:sz w:val="20"/>
                <w:szCs w:val="20"/>
                <w:lang w:eastAsia="en-AU"/>
              </w:rPr>
              <w:t>oesophagogastric</w:t>
            </w:r>
            <w:proofErr w:type="spellEnd"/>
            <w:r w:rsidRPr="00422CCA">
              <w:rPr>
                <w:rFonts w:ascii="Arial Narrow" w:hAnsi="Arial Narrow"/>
                <w:iCs/>
                <w:sz w:val="20"/>
                <w:szCs w:val="20"/>
                <w:lang w:eastAsia="en-AU"/>
              </w:rPr>
              <w:t xml:space="preserve"> junction, (ii) adenocarcinoma of oesophagus, (iii) squamous cell carcinoma of oesophagus</w:t>
            </w:r>
          </w:p>
        </w:tc>
      </w:tr>
      <w:tr w:rsidR="00FF1095" w:rsidRPr="00190FBD" w14:paraId="0CEAADEF" w14:textId="77777777" w:rsidTr="00422CCA">
        <w:tc>
          <w:tcPr>
            <w:tcW w:w="5000" w:type="pct"/>
            <w:vAlign w:val="center"/>
            <w:hideMark/>
          </w:tcPr>
          <w:p w14:paraId="4B4E10E3"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 xml:space="preserve">Treatment Phase: </w:t>
            </w:r>
            <w:r w:rsidRPr="00422CCA">
              <w:rPr>
                <w:rFonts w:ascii="Arial Narrow" w:hAnsi="Arial Narrow"/>
                <w:iCs/>
                <w:sz w:val="20"/>
                <w:szCs w:val="20"/>
                <w:lang w:eastAsia="en-AU"/>
              </w:rPr>
              <w:t>Transitioning from non-PBS to PBS-subsidised supply – ‘Grandfather’ arrangements</w:t>
            </w:r>
          </w:p>
        </w:tc>
      </w:tr>
      <w:tr w:rsidR="00FF1095" w:rsidRPr="00190FBD" w14:paraId="2798ECAA" w14:textId="77777777" w:rsidTr="00422CCA">
        <w:tc>
          <w:tcPr>
            <w:tcW w:w="5000" w:type="pct"/>
            <w:vAlign w:val="center"/>
            <w:hideMark/>
          </w:tcPr>
          <w:p w14:paraId="221F58A8" w14:textId="77777777" w:rsidR="00FF1095" w:rsidRPr="00422CCA" w:rsidRDefault="00FF1095" w:rsidP="00422CCA">
            <w:pPr>
              <w:rPr>
                <w:rFonts w:ascii="Arial Narrow" w:hAnsi="Arial Narrow"/>
                <w:sz w:val="20"/>
                <w:szCs w:val="20"/>
                <w:lang w:eastAsia="en-AU"/>
              </w:rPr>
            </w:pPr>
            <w:r w:rsidRPr="00422CCA">
              <w:rPr>
                <w:rFonts w:ascii="Arial Narrow" w:hAnsi="Arial Narrow"/>
                <w:b/>
                <w:bCs/>
                <w:sz w:val="20"/>
                <w:szCs w:val="20"/>
                <w:lang w:eastAsia="en-AU"/>
              </w:rPr>
              <w:t>Clinical criteria:</w:t>
            </w:r>
          </w:p>
        </w:tc>
      </w:tr>
      <w:tr w:rsidR="00FF1095" w:rsidRPr="00316DB1" w14:paraId="37A9C989" w14:textId="77777777" w:rsidTr="00422CCA">
        <w:trPr>
          <w:trHeight w:val="185"/>
        </w:trPr>
        <w:tc>
          <w:tcPr>
            <w:tcW w:w="5000" w:type="pct"/>
            <w:vAlign w:val="center"/>
            <w:hideMark/>
          </w:tcPr>
          <w:p w14:paraId="30BC021C" w14:textId="77777777" w:rsidR="00FF1095" w:rsidRPr="00422CCA" w:rsidRDefault="00FF1095" w:rsidP="00422CCA">
            <w:pPr>
              <w:spacing w:line="276" w:lineRule="auto"/>
              <w:rPr>
                <w:rFonts w:ascii="Arial Narrow" w:hAnsi="Arial Narrow"/>
                <w:sz w:val="20"/>
                <w:szCs w:val="20"/>
                <w:lang w:eastAsia="en-AU"/>
              </w:rPr>
            </w:pPr>
            <w:r w:rsidRPr="00422CCA">
              <w:rPr>
                <w:rFonts w:ascii="Arial Narrow" w:hAnsi="Arial Narrow"/>
                <w:sz w:val="20"/>
                <w:szCs w:val="20"/>
                <w:lang w:eastAsia="en-AU"/>
              </w:rPr>
              <w:t xml:space="preserve">Patient must </w:t>
            </w:r>
            <w:r w:rsidRPr="00422CCA">
              <w:rPr>
                <w:rFonts w:ascii="Arial Narrow" w:hAnsi="Arial Narrow"/>
                <w:iCs/>
                <w:sz w:val="20"/>
                <w:szCs w:val="20"/>
                <w:lang w:eastAsia="en-AU"/>
              </w:rPr>
              <w:t xml:space="preserve">be currently receiving treatment with this drug for this PBS indication, with treatment having commenced prior to </w:t>
            </w:r>
            <w:r w:rsidRPr="00422CCA">
              <w:rPr>
                <w:rFonts w:ascii="Arial Narrow" w:hAnsi="Arial Narrow"/>
                <w:sz w:val="20"/>
                <w:szCs w:val="20"/>
                <w:lang w:eastAsia="en-AU"/>
              </w:rPr>
              <w:t>[PBS listing date]</w:t>
            </w:r>
          </w:p>
        </w:tc>
      </w:tr>
      <w:tr w:rsidR="00FF1095" w:rsidRPr="00190FBD" w14:paraId="6B7BAD17" w14:textId="77777777" w:rsidTr="00422CCA">
        <w:trPr>
          <w:trHeight w:val="185"/>
        </w:trPr>
        <w:tc>
          <w:tcPr>
            <w:tcW w:w="5000" w:type="pct"/>
            <w:vAlign w:val="center"/>
          </w:tcPr>
          <w:p w14:paraId="07A54CB0" w14:textId="77777777" w:rsidR="00FF1095" w:rsidRPr="00422CCA" w:rsidRDefault="00FF1095" w:rsidP="00422CCA">
            <w:pPr>
              <w:spacing w:line="276" w:lineRule="auto"/>
              <w:rPr>
                <w:rFonts w:ascii="Arial Narrow" w:hAnsi="Arial Narrow"/>
                <w:b/>
                <w:bCs/>
                <w:sz w:val="20"/>
                <w:szCs w:val="20"/>
                <w:lang w:eastAsia="en-AU"/>
              </w:rPr>
            </w:pPr>
            <w:r w:rsidRPr="00422CCA">
              <w:rPr>
                <w:rFonts w:ascii="Arial Narrow" w:hAnsi="Arial Narrow"/>
                <w:b/>
                <w:bCs/>
                <w:sz w:val="20"/>
                <w:szCs w:val="20"/>
                <w:lang w:eastAsia="en-AU"/>
              </w:rPr>
              <w:t>AND</w:t>
            </w:r>
          </w:p>
        </w:tc>
      </w:tr>
      <w:tr w:rsidR="00FF1095" w:rsidRPr="00316DB1" w14:paraId="2201B691" w14:textId="77777777" w:rsidTr="00422CCA">
        <w:trPr>
          <w:trHeight w:val="185"/>
        </w:trPr>
        <w:tc>
          <w:tcPr>
            <w:tcW w:w="5000" w:type="pct"/>
            <w:vAlign w:val="center"/>
          </w:tcPr>
          <w:p w14:paraId="02AC2B31"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Clinical criteria:</w:t>
            </w:r>
          </w:p>
        </w:tc>
      </w:tr>
      <w:tr w:rsidR="00FF1095" w:rsidRPr="00F40420" w14:paraId="56EE96B1" w14:textId="77777777" w:rsidTr="00422CCA">
        <w:trPr>
          <w:trHeight w:val="185"/>
        </w:trPr>
        <w:tc>
          <w:tcPr>
            <w:tcW w:w="5000" w:type="pct"/>
            <w:vAlign w:val="center"/>
          </w:tcPr>
          <w:p w14:paraId="36C5A242" w14:textId="77777777" w:rsidR="00FF1095" w:rsidRPr="00422CCA" w:rsidRDefault="00FF1095" w:rsidP="00422CCA">
            <w:pPr>
              <w:spacing w:line="276" w:lineRule="auto"/>
              <w:rPr>
                <w:rFonts w:ascii="Arial Narrow" w:hAnsi="Arial Narrow"/>
                <w:iCs/>
                <w:sz w:val="20"/>
                <w:szCs w:val="20"/>
                <w:lang w:eastAsia="en-AU"/>
              </w:rPr>
            </w:pPr>
            <w:r w:rsidRPr="00422CCA">
              <w:rPr>
                <w:rFonts w:ascii="Arial Narrow" w:hAnsi="Arial Narrow"/>
                <w:iCs/>
                <w:sz w:val="20"/>
                <w:szCs w:val="20"/>
                <w:lang w:eastAsia="en-AU"/>
              </w:rPr>
              <w:t>Patient must have met all other PBS eligibility criteria that a non-‘Grandfather’ patient would ordinarily be required to meet, meaning that at the time non-PBS supply was commenced, the patient: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xml:space="preserve">) had a WHO performance status no greater than 1, (ii) was unsuitable for </w:t>
            </w:r>
            <w:r w:rsidRPr="00422CCA">
              <w:rPr>
                <w:rFonts w:ascii="Arial Narrow" w:hAnsi="Arial Narrow"/>
                <w:i/>
                <w:iCs/>
                <w:sz w:val="20"/>
                <w:szCs w:val="20"/>
                <w:lang w:eastAsia="en-AU"/>
              </w:rPr>
              <w:t>either</w:t>
            </w:r>
            <w:r w:rsidRPr="00422CCA">
              <w:rPr>
                <w:rFonts w:ascii="Arial Narrow" w:hAnsi="Arial Narrow"/>
                <w:iCs/>
                <w:sz w:val="20"/>
                <w:szCs w:val="20"/>
                <w:lang w:eastAsia="en-AU"/>
              </w:rPr>
              <w:t xml:space="preserve"> surgical resection </w:t>
            </w:r>
            <w:r w:rsidRPr="00422CCA">
              <w:rPr>
                <w:rFonts w:ascii="Arial Narrow" w:hAnsi="Arial Narrow"/>
                <w:i/>
                <w:iCs/>
                <w:sz w:val="20"/>
                <w:szCs w:val="20"/>
                <w:lang w:eastAsia="en-AU"/>
              </w:rPr>
              <w:t>or</w:t>
            </w:r>
            <w:r w:rsidRPr="00422CCA">
              <w:rPr>
                <w:rFonts w:ascii="Arial Narrow" w:hAnsi="Arial Narrow"/>
                <w:iCs/>
                <w:sz w:val="20"/>
                <w:szCs w:val="20"/>
                <w:lang w:eastAsia="en-AU"/>
              </w:rPr>
              <w:t xml:space="preserve"> chemoradiation, (iii) for a diagnosis of Siewert type I adenocarcinoma of </w:t>
            </w:r>
            <w:proofErr w:type="spellStart"/>
            <w:r w:rsidRPr="00422CCA">
              <w:rPr>
                <w:rFonts w:ascii="Arial Narrow" w:hAnsi="Arial Narrow"/>
                <w:iCs/>
                <w:sz w:val="20"/>
                <w:szCs w:val="20"/>
                <w:lang w:eastAsia="en-AU"/>
              </w:rPr>
              <w:t>oesophagogastric</w:t>
            </w:r>
            <w:proofErr w:type="spellEnd"/>
            <w:r w:rsidRPr="00422CCA">
              <w:rPr>
                <w:rFonts w:ascii="Arial Narrow" w:hAnsi="Arial Narrow"/>
                <w:iCs/>
                <w:sz w:val="20"/>
                <w:szCs w:val="20"/>
                <w:lang w:eastAsia="en-AU"/>
              </w:rPr>
              <w:t xml:space="preserve"> junction, there was evidence confirming HER2 negativity via immunohistochemistry in tumour material, (iv) was untreated with this drug, (v) for metastatic disease (Stage IV disease), the metastatic disease had yet to be treated with drug therapy, (vi) for locally advanced disease (Stage III disease), the locally advanced disease had yet to be treated with drug therapy </w:t>
            </w:r>
            <w:r w:rsidRPr="00422CCA">
              <w:rPr>
                <w:rFonts w:ascii="Arial Narrow" w:hAnsi="Arial Narrow"/>
                <w:i/>
                <w:iCs/>
                <w:sz w:val="20"/>
                <w:szCs w:val="20"/>
                <w:lang w:eastAsia="en-AU"/>
              </w:rPr>
              <w:t>or disease recurrence must not have occurred within 6 months of completion of systemic therapy in the neoadjuvant/adjuvant setting</w:t>
            </w:r>
            <w:r w:rsidRPr="00422CCA">
              <w:rPr>
                <w:rFonts w:ascii="Arial Narrow" w:hAnsi="Arial Narrow"/>
                <w:iCs/>
                <w:sz w:val="20"/>
                <w:szCs w:val="20"/>
                <w:lang w:eastAsia="en-AU"/>
              </w:rPr>
              <w:t>, (vii) was treated concomitantly with chemotherapy containing at least each of a platinum agent plus a fluoropyrimidine agent</w:t>
            </w:r>
          </w:p>
        </w:tc>
      </w:tr>
      <w:tr w:rsidR="00FF1095" w:rsidRPr="00F40420" w14:paraId="210DD89D" w14:textId="77777777" w:rsidTr="00422CCA">
        <w:trPr>
          <w:trHeight w:val="185"/>
        </w:trPr>
        <w:tc>
          <w:tcPr>
            <w:tcW w:w="5000" w:type="pct"/>
            <w:vAlign w:val="center"/>
          </w:tcPr>
          <w:p w14:paraId="1A17E08A"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AND</w:t>
            </w:r>
          </w:p>
        </w:tc>
      </w:tr>
      <w:tr w:rsidR="00FF1095" w:rsidRPr="00F40420" w14:paraId="2F66B8CB" w14:textId="77777777" w:rsidTr="00422CCA">
        <w:trPr>
          <w:trHeight w:val="185"/>
        </w:trPr>
        <w:tc>
          <w:tcPr>
            <w:tcW w:w="5000" w:type="pct"/>
            <w:vAlign w:val="center"/>
          </w:tcPr>
          <w:p w14:paraId="2B3BC7A4" w14:textId="77777777" w:rsidR="00FF1095" w:rsidRPr="00422CCA" w:rsidRDefault="00FF1095" w:rsidP="00422CCA">
            <w:pPr>
              <w:spacing w:line="276" w:lineRule="auto"/>
              <w:rPr>
                <w:rFonts w:ascii="Arial Narrow" w:hAnsi="Arial Narrow"/>
                <w:b/>
                <w:bCs/>
                <w:iCs/>
                <w:sz w:val="20"/>
                <w:szCs w:val="20"/>
                <w:lang w:eastAsia="en-AU"/>
              </w:rPr>
            </w:pPr>
            <w:r w:rsidRPr="00422CCA">
              <w:rPr>
                <w:rFonts w:ascii="Arial Narrow" w:hAnsi="Arial Narrow"/>
                <w:b/>
                <w:bCs/>
                <w:iCs/>
                <w:sz w:val="20"/>
                <w:szCs w:val="20"/>
                <w:lang w:eastAsia="en-AU"/>
              </w:rPr>
              <w:t>Clinical criteria:</w:t>
            </w:r>
          </w:p>
        </w:tc>
      </w:tr>
      <w:tr w:rsidR="00FF1095" w:rsidRPr="00F40420" w14:paraId="39D76957" w14:textId="77777777" w:rsidTr="00422CCA">
        <w:trPr>
          <w:trHeight w:val="185"/>
        </w:trPr>
        <w:tc>
          <w:tcPr>
            <w:tcW w:w="5000" w:type="pct"/>
            <w:vAlign w:val="center"/>
          </w:tcPr>
          <w:p w14:paraId="12CC11E6" w14:textId="77777777" w:rsidR="00FF1095" w:rsidRPr="00422CCA" w:rsidRDefault="00FF1095" w:rsidP="00422CCA">
            <w:pPr>
              <w:spacing w:line="276" w:lineRule="auto"/>
              <w:rPr>
                <w:rFonts w:ascii="Arial Narrow" w:hAnsi="Arial Narrow"/>
                <w:sz w:val="20"/>
                <w:szCs w:val="20"/>
                <w:lang w:eastAsia="en-AU"/>
              </w:rPr>
            </w:pPr>
            <w:r w:rsidRPr="00422CCA">
              <w:rPr>
                <w:rFonts w:ascii="Arial Narrow" w:hAnsi="Arial Narrow"/>
                <w:iCs/>
                <w:sz w:val="20"/>
                <w:szCs w:val="20"/>
                <w:lang w:eastAsia="en-AU"/>
              </w:rPr>
              <w:t xml:space="preserve">The condition must not have progressed </w:t>
            </w:r>
          </w:p>
        </w:tc>
      </w:tr>
      <w:tr w:rsidR="00FF1095" w:rsidRPr="00F40420" w14:paraId="13681FE7" w14:textId="77777777" w:rsidTr="00422CCA">
        <w:tc>
          <w:tcPr>
            <w:tcW w:w="5000" w:type="pct"/>
            <w:vAlign w:val="center"/>
          </w:tcPr>
          <w:p w14:paraId="17F0FEB5" w14:textId="77777777" w:rsidR="00FF1095" w:rsidRPr="00422CCA" w:rsidRDefault="00FF1095" w:rsidP="00422CCA">
            <w:pPr>
              <w:rPr>
                <w:rFonts w:ascii="Arial Narrow" w:hAnsi="Arial Narrow"/>
                <w:bCs/>
                <w:iCs/>
                <w:strike/>
                <w:sz w:val="20"/>
                <w:szCs w:val="20"/>
                <w:lang w:eastAsia="en-AU"/>
              </w:rPr>
            </w:pPr>
            <w:r w:rsidRPr="00422CCA">
              <w:rPr>
                <w:rFonts w:ascii="Arial Narrow" w:hAnsi="Arial Narrow"/>
                <w:b/>
                <w:bCs/>
                <w:iCs/>
                <w:sz w:val="20"/>
                <w:szCs w:val="20"/>
                <w:lang w:eastAsia="en-AU"/>
              </w:rPr>
              <w:t xml:space="preserve">Treatment criteria: </w:t>
            </w:r>
          </w:p>
        </w:tc>
      </w:tr>
      <w:tr w:rsidR="00FF1095" w:rsidRPr="00F40420" w14:paraId="3DB0BB78" w14:textId="77777777" w:rsidTr="00422CCA">
        <w:tc>
          <w:tcPr>
            <w:tcW w:w="5000" w:type="pct"/>
            <w:vAlign w:val="center"/>
          </w:tcPr>
          <w:p w14:paraId="1C9C9299" w14:textId="77777777" w:rsidR="00FF1095" w:rsidRPr="00422CCA" w:rsidRDefault="00FF1095" w:rsidP="00422CCA">
            <w:pPr>
              <w:rPr>
                <w:rFonts w:ascii="Arial Narrow" w:hAnsi="Arial Narrow"/>
                <w:bCs/>
                <w:iCs/>
                <w:strike/>
                <w:sz w:val="20"/>
                <w:szCs w:val="20"/>
                <w:lang w:eastAsia="en-AU"/>
              </w:rPr>
            </w:pPr>
            <w:r w:rsidRPr="00422CCA">
              <w:rPr>
                <w:rFonts w:ascii="Arial Narrow" w:hAnsi="Arial Narrow"/>
                <w:iCs/>
                <w:sz w:val="20"/>
                <w:szCs w:val="20"/>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w:t>
            </w:r>
            <w:proofErr w:type="spellStart"/>
            <w:r w:rsidRPr="00422CCA">
              <w:rPr>
                <w:rFonts w:ascii="Arial Narrow" w:hAnsi="Arial Narrow"/>
                <w:iCs/>
                <w:sz w:val="20"/>
                <w:szCs w:val="20"/>
                <w:lang w:eastAsia="en-AU"/>
              </w:rPr>
              <w:t>i</w:t>
            </w:r>
            <w:proofErr w:type="spellEnd"/>
            <w:r w:rsidRPr="00422CCA">
              <w:rPr>
                <w:rFonts w:ascii="Arial Narrow" w:hAnsi="Arial Narrow"/>
                <w:iCs/>
                <w:sz w:val="20"/>
                <w:szCs w:val="20"/>
                <w:lang w:eastAsia="en-AU"/>
              </w:rPr>
              <w:t>) 24 months, (ii) 35 doses (based on a 3-weekly dose regimen), (iii) disease progression</w:t>
            </w:r>
          </w:p>
        </w:tc>
      </w:tr>
      <w:tr w:rsidR="00FF1095" w:rsidRPr="00F40420" w14:paraId="13E9E74D" w14:textId="77777777" w:rsidTr="00422CCA">
        <w:tc>
          <w:tcPr>
            <w:tcW w:w="5000" w:type="pct"/>
          </w:tcPr>
          <w:p w14:paraId="4014B3CD"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t xml:space="preserve">Administrative advice: </w:t>
            </w:r>
          </w:p>
          <w:p w14:paraId="754284B4" w14:textId="77777777" w:rsidR="00FF1095" w:rsidRPr="00422CCA" w:rsidRDefault="00FF1095" w:rsidP="00422CCA">
            <w:pPr>
              <w:rPr>
                <w:rFonts w:ascii="Arial Narrow" w:hAnsi="Arial Narrow"/>
                <w:b/>
                <w:bCs/>
                <w:iCs/>
                <w:strike/>
                <w:sz w:val="20"/>
                <w:szCs w:val="20"/>
                <w:lang w:eastAsia="en-AU"/>
              </w:rPr>
            </w:pPr>
            <w:r w:rsidRPr="00422CCA">
              <w:rPr>
                <w:rFonts w:ascii="Arial Narrow" w:eastAsia="Calibri" w:hAnsi="Arial Narrow"/>
                <w:bCs/>
                <w:iCs/>
                <w:sz w:val="20"/>
                <w:szCs w:val="20"/>
              </w:rPr>
              <w:lastRenderedPageBreak/>
              <w:t>Patients may qualify for PBS-subsidised treatment under this restriction once only. For continuing PBS-subsidised treatment, a 'Grandfathered' patient must qualify under the 'Continuing treatment' criteria.</w:t>
            </w:r>
          </w:p>
        </w:tc>
      </w:tr>
      <w:tr w:rsidR="00FF1095" w:rsidRPr="00F40420" w14:paraId="48E1B86D" w14:textId="77777777" w:rsidTr="00422CCA">
        <w:tc>
          <w:tcPr>
            <w:tcW w:w="5000" w:type="pct"/>
          </w:tcPr>
          <w:p w14:paraId="0F5B3CD5" w14:textId="77777777" w:rsidR="00FF1095" w:rsidRPr="00422CCA" w:rsidRDefault="00FF1095" w:rsidP="00422CCA">
            <w:pPr>
              <w:rPr>
                <w:rFonts w:ascii="Arial Narrow" w:eastAsia="Calibri" w:hAnsi="Arial Narrow"/>
                <w:b/>
                <w:bCs/>
                <w:iCs/>
                <w:sz w:val="20"/>
                <w:szCs w:val="20"/>
              </w:rPr>
            </w:pPr>
            <w:r w:rsidRPr="00422CCA">
              <w:rPr>
                <w:rFonts w:ascii="Arial Narrow" w:eastAsia="Calibri" w:hAnsi="Arial Narrow"/>
                <w:b/>
                <w:bCs/>
                <w:iCs/>
                <w:sz w:val="20"/>
                <w:szCs w:val="20"/>
              </w:rPr>
              <w:lastRenderedPageBreak/>
              <w:t xml:space="preserve">Administrative advice: </w:t>
            </w:r>
          </w:p>
          <w:p w14:paraId="3A397246" w14:textId="77777777" w:rsidR="00FF1095" w:rsidRPr="00422CCA" w:rsidRDefault="00FF1095" w:rsidP="00422CCA">
            <w:pPr>
              <w:rPr>
                <w:rFonts w:ascii="Arial Narrow" w:hAnsi="Arial Narrow"/>
                <w:b/>
                <w:bCs/>
                <w:iCs/>
                <w:strike/>
                <w:sz w:val="20"/>
                <w:szCs w:val="20"/>
                <w:lang w:eastAsia="en-AU"/>
              </w:rPr>
            </w:pPr>
            <w:r w:rsidRPr="00422CCA">
              <w:rPr>
                <w:rFonts w:ascii="Arial Narrow" w:eastAsia="Calibri" w:hAnsi="Arial Narrow"/>
                <w:bCs/>
                <w:iCs/>
                <w:sz w:val="20"/>
                <w:szCs w:val="20"/>
              </w:rPr>
              <w:t>This grandfather restriction will cease to operate from 12 months after the date specified in the clinical criteria.</w:t>
            </w:r>
          </w:p>
        </w:tc>
      </w:tr>
    </w:tbl>
    <w:p w14:paraId="166D1500" w14:textId="77777777" w:rsidR="00FF1095" w:rsidRPr="00835EF0" w:rsidRDefault="00FF1095" w:rsidP="00FF1095">
      <w:pPr>
        <w:widowControl/>
        <w:rPr>
          <w:rFonts w:asciiTheme="minorHAnsi" w:hAnsiTheme="minorHAnsi"/>
          <w:szCs w:val="24"/>
          <w:lang w:eastAsia="en-AU"/>
        </w:rPr>
      </w:pPr>
    </w:p>
    <w:p w14:paraId="71CB6DF3" w14:textId="77777777" w:rsidR="00FF1095" w:rsidRPr="00BA23CA" w:rsidRDefault="00FF1095" w:rsidP="00FF1095">
      <w:pPr>
        <w:ind w:firstLine="720"/>
        <w:rPr>
          <w:rFonts w:asciiTheme="minorHAnsi" w:hAnsiTheme="minorHAnsi"/>
          <w:i/>
        </w:rPr>
      </w:pPr>
      <w:r w:rsidRPr="00BA23CA">
        <w:rPr>
          <w:rFonts w:asciiTheme="minorHAnsi" w:hAnsiTheme="minorHAnsi"/>
          <w:i/>
        </w:rPr>
        <w:t>For more detail on PBAC’s view, see sectio</w:t>
      </w:r>
      <w:r>
        <w:rPr>
          <w:rFonts w:asciiTheme="minorHAnsi" w:hAnsiTheme="minorHAnsi"/>
          <w:i/>
        </w:rPr>
        <w:t>n 11</w:t>
      </w:r>
      <w:r w:rsidRPr="00BA23CA">
        <w:rPr>
          <w:rFonts w:asciiTheme="minorHAnsi" w:hAnsiTheme="minorHAnsi"/>
          <w:i/>
        </w:rPr>
        <w:t xml:space="preserve"> PBAC outcome.</w:t>
      </w:r>
    </w:p>
    <w:p w14:paraId="2445F206" w14:textId="77777777" w:rsidR="00FF1095" w:rsidRPr="004A0898" w:rsidRDefault="00FF1095" w:rsidP="00FF1095">
      <w:pPr>
        <w:pStyle w:val="2-SectionHeading"/>
        <w:numPr>
          <w:ilvl w:val="0"/>
          <w:numId w:val="1"/>
        </w:numPr>
      </w:pPr>
      <w:r w:rsidRPr="004A0898">
        <w:t>Consideration of the evidence</w:t>
      </w:r>
    </w:p>
    <w:p w14:paraId="2A6295A4" w14:textId="77777777" w:rsidR="00FF1095" w:rsidRPr="00954953" w:rsidRDefault="00FF1095" w:rsidP="00FF1095">
      <w:pPr>
        <w:pStyle w:val="3-BodyText"/>
        <w:numPr>
          <w:ilvl w:val="1"/>
          <w:numId w:val="1"/>
        </w:numPr>
        <w:ind w:left="709"/>
        <w:jc w:val="both"/>
        <w:rPr>
          <w:b/>
        </w:rPr>
      </w:pPr>
      <w:r>
        <w:t xml:space="preserve">A summary of how the resubmission addressed the outstanding issues is provided in the table below. </w:t>
      </w:r>
    </w:p>
    <w:p w14:paraId="231376AB" w14:textId="60B9E0EA" w:rsidR="00FF1095" w:rsidRPr="005006AF" w:rsidRDefault="00FF1095" w:rsidP="00FF1095">
      <w:pPr>
        <w:keepNext/>
        <w:keepLines/>
        <w:rPr>
          <w:rStyle w:val="CommentReference"/>
          <w:bCs/>
        </w:rPr>
      </w:pPr>
      <w:r w:rsidRPr="005006AF">
        <w:rPr>
          <w:rStyle w:val="CommentReference"/>
          <w:bCs/>
        </w:rPr>
        <w:t xml:space="preserve">Table </w:t>
      </w:r>
      <w:r w:rsidRPr="005006AF">
        <w:rPr>
          <w:rStyle w:val="CommentReference"/>
          <w:bCs/>
        </w:rPr>
        <w:fldChar w:fldCharType="begin"/>
      </w:r>
      <w:r w:rsidRPr="005006AF">
        <w:rPr>
          <w:rStyle w:val="CommentReference"/>
          <w:bCs/>
        </w:rPr>
        <w:instrText xml:space="preserve"> SEQ Table \* MERGEFORMAT </w:instrText>
      </w:r>
      <w:r w:rsidRPr="005006AF">
        <w:rPr>
          <w:rStyle w:val="CommentReference"/>
          <w:bCs/>
        </w:rPr>
        <w:fldChar w:fldCharType="separate"/>
      </w:r>
      <w:r w:rsidR="004F3736">
        <w:rPr>
          <w:rStyle w:val="CommentReference"/>
          <w:bCs/>
          <w:noProof/>
        </w:rPr>
        <w:t>1</w:t>
      </w:r>
      <w:r w:rsidRPr="005006AF">
        <w:rPr>
          <w:rStyle w:val="CommentReference"/>
          <w:bCs/>
        </w:rPr>
        <w:fldChar w:fldCharType="end"/>
      </w:r>
      <w:r w:rsidRPr="005006AF">
        <w:rPr>
          <w:rStyle w:val="CommentReference"/>
          <w:bCs/>
        </w:rPr>
        <w:t xml:space="preserve">: Summary of changes made by the resubmission to address matters raised in the November 2021 PBAC </w:t>
      </w:r>
      <w:r w:rsidR="00DE0518">
        <w:rPr>
          <w:rStyle w:val="CommentReference"/>
          <w:bCs/>
        </w:rPr>
        <w:t>PSD</w:t>
      </w:r>
    </w:p>
    <w:tbl>
      <w:tblPr>
        <w:tblStyle w:val="MSDTableGrid1"/>
        <w:tblW w:w="5000" w:type="pct"/>
        <w:tblLook w:val="04A0" w:firstRow="1" w:lastRow="0" w:firstColumn="1" w:lastColumn="0" w:noHBand="0" w:noVBand="1"/>
      </w:tblPr>
      <w:tblGrid>
        <w:gridCol w:w="2264"/>
        <w:gridCol w:w="3518"/>
        <w:gridCol w:w="3235"/>
      </w:tblGrid>
      <w:tr w:rsidR="00FF1095" w:rsidRPr="00620250" w14:paraId="774DF114" w14:textId="77777777" w:rsidTr="00422CCA">
        <w:trPr>
          <w:tblHeader/>
        </w:trPr>
        <w:tc>
          <w:tcPr>
            <w:tcW w:w="1255" w:type="pct"/>
            <w:shd w:val="clear" w:color="auto" w:fill="auto"/>
          </w:tcPr>
          <w:p w14:paraId="3CBC398A" w14:textId="77777777" w:rsidR="00FF1095" w:rsidRPr="00620250" w:rsidRDefault="00FF1095" w:rsidP="00422CCA">
            <w:pPr>
              <w:keepNext/>
              <w:keepLines/>
              <w:jc w:val="left"/>
              <w:rPr>
                <w:rFonts w:ascii="Arial Narrow" w:hAnsi="Arial Narrow"/>
                <w:b/>
                <w:bCs/>
                <w:sz w:val="20"/>
                <w:szCs w:val="20"/>
              </w:rPr>
            </w:pPr>
            <w:r>
              <w:rPr>
                <w:rFonts w:ascii="Arial Narrow" w:hAnsi="Arial Narrow"/>
                <w:b/>
                <w:bCs/>
                <w:sz w:val="20"/>
                <w:szCs w:val="20"/>
              </w:rPr>
              <w:t>Parameter</w:t>
            </w:r>
          </w:p>
        </w:tc>
        <w:tc>
          <w:tcPr>
            <w:tcW w:w="1951" w:type="pct"/>
            <w:shd w:val="clear" w:color="auto" w:fill="auto"/>
          </w:tcPr>
          <w:p w14:paraId="1BF83E8C" w14:textId="77777777" w:rsidR="00FF1095" w:rsidRPr="00620250" w:rsidRDefault="00FF1095" w:rsidP="00422CCA">
            <w:pPr>
              <w:keepNext/>
              <w:keepLines/>
              <w:jc w:val="center"/>
              <w:rPr>
                <w:rFonts w:ascii="Arial Narrow" w:hAnsi="Arial Narrow"/>
                <w:b/>
                <w:bCs/>
                <w:sz w:val="20"/>
                <w:szCs w:val="20"/>
              </w:rPr>
            </w:pPr>
            <w:r w:rsidRPr="00620250">
              <w:rPr>
                <w:rFonts w:ascii="Arial Narrow" w:hAnsi="Arial Narrow"/>
                <w:b/>
                <w:bCs/>
                <w:sz w:val="20"/>
                <w:szCs w:val="20"/>
              </w:rPr>
              <w:t xml:space="preserve">Resubmission </w:t>
            </w:r>
            <w:r>
              <w:rPr>
                <w:rFonts w:ascii="Arial Narrow" w:hAnsi="Arial Narrow"/>
                <w:b/>
                <w:bCs/>
                <w:sz w:val="20"/>
                <w:szCs w:val="20"/>
              </w:rPr>
              <w:t>changes</w:t>
            </w:r>
          </w:p>
        </w:tc>
        <w:tc>
          <w:tcPr>
            <w:tcW w:w="1794" w:type="pct"/>
            <w:shd w:val="clear" w:color="auto" w:fill="auto"/>
          </w:tcPr>
          <w:p w14:paraId="1D844B6A" w14:textId="20696D10" w:rsidR="00FF1095" w:rsidRPr="00620250" w:rsidRDefault="00FF1095" w:rsidP="00422CCA">
            <w:pPr>
              <w:keepNext/>
              <w:keepLines/>
              <w:jc w:val="center"/>
              <w:rPr>
                <w:rFonts w:ascii="Arial Narrow" w:hAnsi="Arial Narrow"/>
                <w:b/>
                <w:bCs/>
                <w:sz w:val="20"/>
                <w:szCs w:val="20"/>
              </w:rPr>
            </w:pPr>
            <w:r>
              <w:rPr>
                <w:rFonts w:ascii="Arial Narrow" w:hAnsi="Arial Narrow"/>
                <w:b/>
                <w:bCs/>
                <w:sz w:val="20"/>
                <w:szCs w:val="20"/>
              </w:rPr>
              <w:t xml:space="preserve">Comparison with November 2021 PBAC </w:t>
            </w:r>
            <w:r w:rsidR="00DE0518">
              <w:rPr>
                <w:rFonts w:ascii="Arial Narrow" w:hAnsi="Arial Narrow"/>
                <w:b/>
                <w:bCs/>
                <w:sz w:val="20"/>
                <w:szCs w:val="20"/>
              </w:rPr>
              <w:t>PSD</w:t>
            </w:r>
          </w:p>
        </w:tc>
      </w:tr>
      <w:tr w:rsidR="00FF1095" w:rsidRPr="00620250" w14:paraId="38F279B2" w14:textId="77777777" w:rsidTr="00422CCA">
        <w:tc>
          <w:tcPr>
            <w:tcW w:w="1255" w:type="pct"/>
            <w:shd w:val="clear" w:color="auto" w:fill="auto"/>
          </w:tcPr>
          <w:p w14:paraId="042688BA"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Effective </w:t>
            </w:r>
            <w:r>
              <w:rPr>
                <w:rFonts w:ascii="Arial Narrow" w:hAnsi="Arial Narrow"/>
                <w:bCs/>
                <w:sz w:val="20"/>
                <w:szCs w:val="20"/>
              </w:rPr>
              <w:t xml:space="preserve">ex-manufacturer </w:t>
            </w:r>
            <w:r w:rsidRPr="00620250">
              <w:rPr>
                <w:rFonts w:ascii="Arial Narrow" w:hAnsi="Arial Narrow"/>
                <w:bCs/>
                <w:sz w:val="20"/>
                <w:szCs w:val="20"/>
              </w:rPr>
              <w:t xml:space="preserve">price per 100 mg vial </w:t>
            </w:r>
          </w:p>
        </w:tc>
        <w:tc>
          <w:tcPr>
            <w:tcW w:w="1951" w:type="pct"/>
            <w:vAlign w:val="center"/>
          </w:tcPr>
          <w:p w14:paraId="5557EFCE" w14:textId="0B9403D5" w:rsidR="00FF1095" w:rsidRPr="00620250" w:rsidRDefault="00FF1095" w:rsidP="00422CCA">
            <w:pPr>
              <w:keepNext/>
              <w:keepLines/>
              <w:jc w:val="left"/>
              <w:rPr>
                <w:rFonts w:ascii="Arial Narrow" w:hAnsi="Arial Narrow"/>
                <w:bCs/>
                <w:sz w:val="20"/>
                <w:szCs w:val="20"/>
              </w:rPr>
            </w:pPr>
            <w:r w:rsidRPr="00185C6C">
              <w:rPr>
                <w:rFonts w:ascii="Arial Narrow" w:hAnsi="Arial Narrow"/>
                <w:bCs/>
                <w:sz w:val="20"/>
                <w:szCs w:val="20"/>
              </w:rPr>
              <w:t>$</w:t>
            </w:r>
            <w:r w:rsidR="00995AD1" w:rsidRPr="00995AD1">
              <w:rPr>
                <w:rFonts w:ascii="Arial Narrow" w:hAnsi="Arial Narrow"/>
                <w:bCs/>
                <w:color w:val="000000"/>
                <w:spacing w:val="52"/>
                <w:sz w:val="20"/>
                <w:szCs w:val="20"/>
                <w:shd w:val="solid" w:color="000000" w:fill="000000"/>
                <w:fitText w:val="327" w:id="-1505494784"/>
                <w14:textFill>
                  <w14:solidFill>
                    <w14:srgbClr w14:val="000000">
                      <w14:alpha w14:val="100000"/>
                    </w14:srgbClr>
                  </w14:solidFill>
                </w14:textFill>
              </w:rPr>
              <w:t>|||</w:t>
            </w:r>
            <w:r w:rsidR="00995AD1" w:rsidRPr="00995AD1">
              <w:rPr>
                <w:rFonts w:ascii="Arial Narrow" w:hAnsi="Arial Narrow"/>
                <w:bCs/>
                <w:color w:val="000000"/>
                <w:spacing w:val="1"/>
                <w:sz w:val="20"/>
                <w:szCs w:val="20"/>
                <w:shd w:val="solid" w:color="000000" w:fill="000000"/>
                <w:fitText w:val="327" w:id="-1505494784"/>
                <w14:textFill>
                  <w14:solidFill>
                    <w14:srgbClr w14:val="000000">
                      <w14:alpha w14:val="100000"/>
                    </w14:srgbClr>
                  </w14:solidFill>
                </w14:textFill>
              </w:rPr>
              <w:t>|</w:t>
            </w:r>
          </w:p>
        </w:tc>
        <w:tc>
          <w:tcPr>
            <w:tcW w:w="1794" w:type="pct"/>
          </w:tcPr>
          <w:p w14:paraId="2997A06F" w14:textId="1739DE6F"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Compared to $</w:t>
            </w:r>
            <w:r w:rsidR="00995AD1" w:rsidRPr="00995AD1">
              <w:rPr>
                <w:rFonts w:ascii="Arial Narrow" w:hAnsi="Arial Narrow"/>
                <w:bCs/>
                <w:color w:val="000000"/>
                <w:spacing w:val="51"/>
                <w:sz w:val="20"/>
                <w:szCs w:val="20"/>
                <w:shd w:val="solid" w:color="000000" w:fill="000000"/>
                <w:fitText w:val="326" w:id="-1505494783"/>
                <w14:textFill>
                  <w14:solidFill>
                    <w14:srgbClr w14:val="000000">
                      <w14:alpha w14:val="100000"/>
                    </w14:srgbClr>
                  </w14:solidFill>
                </w14:textFill>
              </w:rPr>
              <w:t>|||</w:t>
            </w:r>
            <w:r w:rsidR="00995AD1" w:rsidRPr="00995AD1">
              <w:rPr>
                <w:rFonts w:ascii="Arial Narrow" w:hAnsi="Arial Narrow"/>
                <w:bCs/>
                <w:color w:val="000000"/>
                <w:spacing w:val="3"/>
                <w:sz w:val="20"/>
                <w:szCs w:val="20"/>
                <w:shd w:val="solid" w:color="000000" w:fill="000000"/>
                <w:fitText w:val="326" w:id="-1505494783"/>
                <w14:textFill>
                  <w14:solidFill>
                    <w14:srgbClr w14:val="000000">
                      <w14:alpha w14:val="100000"/>
                    </w14:srgbClr>
                  </w14:solidFill>
                </w14:textFill>
              </w:rPr>
              <w:t>|</w:t>
            </w:r>
            <w:r w:rsidRPr="00954953">
              <w:rPr>
                <w:rFonts w:ascii="Arial Narrow" w:hAnsi="Arial Narrow"/>
                <w:bCs/>
                <w:sz w:val="20"/>
                <w:szCs w:val="20"/>
              </w:rPr>
              <w:t xml:space="preserve"> in submission and $</w:t>
            </w:r>
            <w:r w:rsidR="00995AD1" w:rsidRPr="00995AD1">
              <w:rPr>
                <w:rFonts w:ascii="Arial Narrow" w:hAnsi="Arial Narrow"/>
                <w:bCs/>
                <w:color w:val="000000"/>
                <w:spacing w:val="52"/>
                <w:sz w:val="20"/>
                <w:szCs w:val="20"/>
                <w:shd w:val="solid" w:color="000000" w:fill="000000"/>
                <w:fitText w:val="327" w:id="-1505494782"/>
                <w14:textFill>
                  <w14:solidFill>
                    <w14:srgbClr w14:val="000000">
                      <w14:alpha w14:val="100000"/>
                    </w14:srgbClr>
                  </w14:solidFill>
                </w14:textFill>
              </w:rPr>
              <w:t>|||</w:t>
            </w:r>
            <w:r w:rsidR="00995AD1" w:rsidRPr="00995AD1">
              <w:rPr>
                <w:rFonts w:ascii="Arial Narrow" w:hAnsi="Arial Narrow"/>
                <w:bCs/>
                <w:color w:val="000000"/>
                <w:spacing w:val="1"/>
                <w:sz w:val="20"/>
                <w:szCs w:val="20"/>
                <w:shd w:val="solid" w:color="000000" w:fill="000000"/>
                <w:fitText w:val="327" w:id="-1505494782"/>
                <w14:textFill>
                  <w14:solidFill>
                    <w14:srgbClr w14:val="000000">
                      <w14:alpha w14:val="100000"/>
                    </w14:srgbClr>
                  </w14:solidFill>
                </w14:textFill>
              </w:rPr>
              <w:t>|</w:t>
            </w:r>
            <w:r w:rsidRPr="00954953">
              <w:rPr>
                <w:rFonts w:ascii="Arial Narrow" w:hAnsi="Arial Narrow"/>
                <w:bCs/>
                <w:sz w:val="20"/>
                <w:szCs w:val="20"/>
              </w:rPr>
              <w:t xml:space="preserve"> in PSCR. </w:t>
            </w:r>
            <w:r w:rsidR="00995AD1" w:rsidRPr="00995AD1">
              <w:rPr>
                <w:rFonts w:ascii="Arial Narrow" w:hAnsi="Arial Narrow"/>
                <w:bCs/>
                <w:color w:val="000000"/>
                <w:spacing w:val="51"/>
                <w:sz w:val="20"/>
                <w:szCs w:val="20"/>
                <w:shd w:val="solid" w:color="000000" w:fill="000000"/>
                <w:fitText w:val="326" w:id="-1505494781"/>
                <w14:textFill>
                  <w14:solidFill>
                    <w14:srgbClr w14:val="000000">
                      <w14:alpha w14:val="100000"/>
                    </w14:srgbClr>
                  </w14:solidFill>
                </w14:textFill>
              </w:rPr>
              <w:t>|||</w:t>
            </w:r>
            <w:r w:rsidR="00995AD1" w:rsidRPr="00995AD1">
              <w:rPr>
                <w:rFonts w:ascii="Arial Narrow" w:hAnsi="Arial Narrow"/>
                <w:bCs/>
                <w:color w:val="000000"/>
                <w:spacing w:val="3"/>
                <w:sz w:val="20"/>
                <w:szCs w:val="20"/>
                <w:shd w:val="solid" w:color="000000" w:fill="000000"/>
                <w:fitText w:val="326" w:id="-1505494781"/>
                <w14:textFill>
                  <w14:solidFill>
                    <w14:srgbClr w14:val="000000">
                      <w14:alpha w14:val="100000"/>
                    </w14:srgbClr>
                  </w14:solidFill>
                </w14:textFill>
              </w:rPr>
              <w:t>|</w:t>
            </w:r>
            <w:r w:rsidRPr="00954953">
              <w:rPr>
                <w:rFonts w:ascii="Arial Narrow" w:hAnsi="Arial Narrow"/>
                <w:bCs/>
                <w:sz w:val="20"/>
                <w:szCs w:val="20"/>
              </w:rPr>
              <w:t xml:space="preserve">% price reduction on PSCR price.  </w:t>
            </w:r>
          </w:p>
        </w:tc>
      </w:tr>
      <w:tr w:rsidR="00FF1095" w:rsidRPr="00620250" w14:paraId="0C125FB6" w14:textId="77777777" w:rsidTr="00422CCA">
        <w:trPr>
          <w:trHeight w:val="1427"/>
        </w:trPr>
        <w:tc>
          <w:tcPr>
            <w:tcW w:w="1255" w:type="pct"/>
            <w:shd w:val="clear" w:color="auto" w:fill="auto"/>
          </w:tcPr>
          <w:p w14:paraId="4933846B"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Restriction criteria </w:t>
            </w:r>
          </w:p>
        </w:tc>
        <w:tc>
          <w:tcPr>
            <w:tcW w:w="1951" w:type="pct"/>
          </w:tcPr>
          <w:p w14:paraId="586BE625" w14:textId="77777777" w:rsidR="00FF1095" w:rsidRPr="00620250" w:rsidRDefault="00FF1095" w:rsidP="00422CCA">
            <w:pPr>
              <w:keepNext/>
              <w:keepLines/>
              <w:jc w:val="left"/>
              <w:rPr>
                <w:rFonts w:ascii="Arial Narrow" w:hAnsi="Arial Narrow"/>
                <w:b/>
                <w:bCs/>
                <w:sz w:val="20"/>
                <w:szCs w:val="20"/>
              </w:rPr>
            </w:pPr>
            <w:r w:rsidRPr="00954953">
              <w:rPr>
                <w:rFonts w:ascii="Arial Narrow" w:hAnsi="Arial Narrow"/>
                <w:bCs/>
                <w:iCs/>
                <w:sz w:val="20"/>
                <w:szCs w:val="18"/>
              </w:rPr>
              <w:t>Proposed listing for advanced or metastatic (</w:t>
            </w:r>
            <w:proofErr w:type="spellStart"/>
            <w:r w:rsidRPr="00954953">
              <w:rPr>
                <w:rFonts w:ascii="Arial Narrow" w:hAnsi="Arial Narrow"/>
                <w:bCs/>
                <w:iCs/>
                <w:sz w:val="20"/>
                <w:szCs w:val="18"/>
              </w:rPr>
              <w:t>i</w:t>
            </w:r>
            <w:proofErr w:type="spellEnd"/>
            <w:r w:rsidRPr="00954953">
              <w:rPr>
                <w:rFonts w:ascii="Arial Narrow" w:hAnsi="Arial Narrow"/>
                <w:bCs/>
                <w:iCs/>
                <w:sz w:val="20"/>
                <w:szCs w:val="18"/>
              </w:rPr>
              <w:t xml:space="preserve">) </w:t>
            </w:r>
            <w:r w:rsidRPr="00954953">
              <w:rPr>
                <w:rFonts w:ascii="Arial Narrow" w:hAnsi="Arial Narrow"/>
                <w:bCs/>
                <w:i/>
                <w:iCs/>
                <w:sz w:val="20"/>
                <w:szCs w:val="18"/>
              </w:rPr>
              <w:t>[HER2 negative]</w:t>
            </w:r>
            <w:r w:rsidRPr="00954953">
              <w:rPr>
                <w:rFonts w:ascii="Arial Narrow" w:hAnsi="Arial Narrow"/>
                <w:bCs/>
                <w:iCs/>
                <w:sz w:val="20"/>
                <w:szCs w:val="18"/>
              </w:rPr>
              <w:t xml:space="preserve"> Siewert type I adenocarcinoma of GOJC, (ii) OAC, (iii) OSCC</w:t>
            </w:r>
          </w:p>
        </w:tc>
        <w:tc>
          <w:tcPr>
            <w:tcW w:w="1794" w:type="pct"/>
          </w:tcPr>
          <w:p w14:paraId="3E68FB26" w14:textId="17BBDD2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Not consistent with paragraph 7.5</w:t>
            </w:r>
            <w:r>
              <w:rPr>
                <w:rFonts w:ascii="Arial Narrow" w:hAnsi="Arial Narrow"/>
                <w:bCs/>
                <w:sz w:val="20"/>
                <w:szCs w:val="20"/>
              </w:rPr>
              <w:t xml:space="preserve">. The resubmission did not propose an aligned restriction across all </w:t>
            </w:r>
            <w:r w:rsidR="00327337">
              <w:rPr>
                <w:rFonts w:ascii="Arial Narrow" w:hAnsi="Arial Narrow"/>
                <w:bCs/>
                <w:sz w:val="20"/>
                <w:szCs w:val="20"/>
              </w:rPr>
              <w:t xml:space="preserve">gastric, </w:t>
            </w:r>
            <w:r>
              <w:rPr>
                <w:rFonts w:ascii="Arial Narrow" w:hAnsi="Arial Narrow"/>
                <w:bCs/>
                <w:sz w:val="20"/>
                <w:szCs w:val="20"/>
              </w:rPr>
              <w:t xml:space="preserve">GOJ, and oesophageal cancers. </w:t>
            </w:r>
          </w:p>
          <w:p w14:paraId="5C77B53F" w14:textId="77777777" w:rsidR="00FF1095" w:rsidRPr="00954953" w:rsidRDefault="00FF1095" w:rsidP="00422CCA">
            <w:pPr>
              <w:keepNext/>
              <w:keepLines/>
              <w:jc w:val="left"/>
              <w:rPr>
                <w:rFonts w:ascii="Arial Narrow" w:hAnsi="Arial Narrow"/>
                <w:bCs/>
                <w:sz w:val="20"/>
                <w:szCs w:val="20"/>
              </w:rPr>
            </w:pPr>
          </w:p>
          <w:p w14:paraId="777126EC"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Consistent with previous submission.</w:t>
            </w:r>
          </w:p>
          <w:p w14:paraId="4AEF214C" w14:textId="77777777" w:rsidR="00FF1095" w:rsidRPr="00954953" w:rsidRDefault="00FF1095" w:rsidP="00422CCA">
            <w:pPr>
              <w:keepNext/>
              <w:keepLines/>
              <w:jc w:val="left"/>
              <w:rPr>
                <w:rFonts w:ascii="Arial Narrow" w:hAnsi="Arial Narrow"/>
                <w:bCs/>
                <w:sz w:val="20"/>
                <w:szCs w:val="20"/>
              </w:rPr>
            </w:pPr>
          </w:p>
          <w:p w14:paraId="52DD3A4C" w14:textId="77777777" w:rsidR="00FF1095" w:rsidRPr="00954953" w:rsidRDefault="00FF1095" w:rsidP="00422CCA">
            <w:pPr>
              <w:keepNext/>
              <w:keepLines/>
              <w:spacing w:after="120"/>
              <w:jc w:val="left"/>
              <w:rPr>
                <w:rFonts w:ascii="Arial Narrow" w:hAnsi="Arial Narrow"/>
                <w:bCs/>
                <w:sz w:val="20"/>
                <w:szCs w:val="20"/>
              </w:rPr>
            </w:pPr>
          </w:p>
        </w:tc>
      </w:tr>
      <w:tr w:rsidR="00FF1095" w:rsidRPr="00620250" w14:paraId="54599771" w14:textId="77777777" w:rsidTr="00422CCA">
        <w:tc>
          <w:tcPr>
            <w:tcW w:w="5000" w:type="pct"/>
            <w:gridSpan w:val="3"/>
            <w:shd w:val="clear" w:color="auto" w:fill="auto"/>
          </w:tcPr>
          <w:p w14:paraId="37EE8463" w14:textId="77777777" w:rsidR="00FF1095" w:rsidRPr="00620250" w:rsidRDefault="00FF1095" w:rsidP="00422CCA">
            <w:pPr>
              <w:keepNext/>
              <w:keepLines/>
              <w:jc w:val="left"/>
              <w:rPr>
                <w:rFonts w:ascii="Arial Narrow" w:hAnsi="Arial Narrow"/>
                <w:b/>
                <w:bCs/>
                <w:sz w:val="20"/>
                <w:szCs w:val="20"/>
              </w:rPr>
            </w:pPr>
            <w:r w:rsidRPr="00620250">
              <w:rPr>
                <w:rFonts w:ascii="Arial Narrow" w:hAnsi="Arial Narrow"/>
                <w:b/>
                <w:bCs/>
                <w:sz w:val="20"/>
                <w:szCs w:val="20"/>
              </w:rPr>
              <w:t>Economic evaluation</w:t>
            </w:r>
          </w:p>
        </w:tc>
      </w:tr>
      <w:tr w:rsidR="00FF1095" w:rsidRPr="00620250" w14:paraId="79801BFD" w14:textId="77777777" w:rsidTr="00422CCA">
        <w:trPr>
          <w:trHeight w:val="129"/>
        </w:trPr>
        <w:tc>
          <w:tcPr>
            <w:tcW w:w="1255" w:type="pct"/>
            <w:shd w:val="clear" w:color="auto" w:fill="auto"/>
          </w:tcPr>
          <w:p w14:paraId="0C139CDA"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Time horizon</w:t>
            </w:r>
          </w:p>
        </w:tc>
        <w:tc>
          <w:tcPr>
            <w:tcW w:w="1951" w:type="pct"/>
            <w:shd w:val="clear" w:color="auto" w:fill="auto"/>
            <w:vAlign w:val="center"/>
          </w:tcPr>
          <w:p w14:paraId="6774FFA8"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7.5 years</w:t>
            </w:r>
          </w:p>
        </w:tc>
        <w:tc>
          <w:tcPr>
            <w:tcW w:w="1794" w:type="pct"/>
            <w:shd w:val="clear" w:color="auto" w:fill="auto"/>
          </w:tcPr>
          <w:p w14:paraId="0E80AD2C" w14:textId="77777777" w:rsidR="00FF1095" w:rsidRPr="00954953" w:rsidRDefault="00FF1095" w:rsidP="00422CCA">
            <w:pPr>
              <w:keepNext/>
              <w:keepLines/>
              <w:spacing w:after="120"/>
              <w:jc w:val="left"/>
              <w:rPr>
                <w:rFonts w:ascii="Arial Narrow" w:hAnsi="Arial Narrow"/>
                <w:bCs/>
                <w:sz w:val="20"/>
                <w:szCs w:val="20"/>
              </w:rPr>
            </w:pPr>
            <w:r>
              <w:rPr>
                <w:rFonts w:ascii="Arial Narrow" w:hAnsi="Arial Narrow"/>
                <w:bCs/>
                <w:sz w:val="20"/>
                <w:szCs w:val="20"/>
              </w:rPr>
              <w:t xml:space="preserve">Consistent with paragraph 7.15 </w:t>
            </w:r>
          </w:p>
        </w:tc>
      </w:tr>
      <w:tr w:rsidR="00FF1095" w:rsidRPr="00620250" w14:paraId="3BA4E63A" w14:textId="77777777" w:rsidTr="00422CCA">
        <w:tc>
          <w:tcPr>
            <w:tcW w:w="1255" w:type="pct"/>
            <w:tcBorders>
              <w:bottom w:val="nil"/>
            </w:tcBorders>
            <w:shd w:val="clear" w:color="auto" w:fill="auto"/>
          </w:tcPr>
          <w:p w14:paraId="42BEC327"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Terminal care costs</w:t>
            </w:r>
          </w:p>
        </w:tc>
        <w:tc>
          <w:tcPr>
            <w:tcW w:w="1951" w:type="pct"/>
            <w:tcBorders>
              <w:bottom w:val="nil"/>
            </w:tcBorders>
            <w:shd w:val="clear" w:color="auto" w:fill="auto"/>
            <w:vAlign w:val="center"/>
          </w:tcPr>
          <w:p w14:paraId="2B518DF4" w14:textId="77777777"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M</w:t>
            </w:r>
            <w:r w:rsidRPr="00185C6C">
              <w:rPr>
                <w:rFonts w:ascii="Arial Narrow" w:hAnsi="Arial Narrow"/>
                <w:bCs/>
                <w:sz w:val="20"/>
                <w:szCs w:val="20"/>
              </w:rPr>
              <w:t>odified to capture the small difference in terminal care costs generated by discounting alone</w:t>
            </w:r>
            <w:r>
              <w:rPr>
                <w:rFonts w:ascii="Arial Narrow" w:hAnsi="Arial Narrow"/>
                <w:bCs/>
                <w:sz w:val="20"/>
                <w:szCs w:val="20"/>
              </w:rPr>
              <w:t>.</w:t>
            </w:r>
          </w:p>
        </w:tc>
        <w:tc>
          <w:tcPr>
            <w:tcW w:w="1794" w:type="pct"/>
            <w:shd w:val="clear" w:color="auto" w:fill="auto"/>
          </w:tcPr>
          <w:p w14:paraId="72BF9ADC" w14:textId="44B9D82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Not consistent with paragraph 7.</w:t>
            </w:r>
            <w:r w:rsidR="00135973">
              <w:rPr>
                <w:rFonts w:ascii="Arial Narrow" w:hAnsi="Arial Narrow"/>
                <w:bCs/>
                <w:sz w:val="20"/>
                <w:szCs w:val="20"/>
              </w:rPr>
              <w:t>1</w:t>
            </w:r>
            <w:r w:rsidRPr="00954953">
              <w:rPr>
                <w:rFonts w:ascii="Arial Narrow" w:hAnsi="Arial Narrow"/>
                <w:bCs/>
                <w:sz w:val="20"/>
                <w:szCs w:val="20"/>
              </w:rPr>
              <w:t>5</w:t>
            </w:r>
            <w:r>
              <w:rPr>
                <w:rFonts w:ascii="Arial Narrow" w:hAnsi="Arial Narrow"/>
                <w:bCs/>
                <w:sz w:val="20"/>
                <w:szCs w:val="20"/>
              </w:rPr>
              <w:t>. Removing terminal care costs increased the ICER to $</w:t>
            </w:r>
            <w:r w:rsidR="00995AD1" w:rsidRPr="00995AD1">
              <w:rPr>
                <w:rFonts w:ascii="Arial Narrow" w:hAnsi="Arial Narrow"/>
                <w:bCs/>
                <w:color w:val="000000"/>
                <w:spacing w:val="51"/>
                <w:sz w:val="20"/>
                <w:szCs w:val="20"/>
                <w:shd w:val="solid" w:color="000000" w:fill="000000"/>
                <w:fitText w:val="326" w:id="-1505494780"/>
                <w14:textFill>
                  <w14:solidFill>
                    <w14:srgbClr w14:val="000000">
                      <w14:alpha w14:val="100000"/>
                    </w14:srgbClr>
                  </w14:solidFill>
                </w14:textFill>
              </w:rPr>
              <w:t>|||</w:t>
            </w:r>
            <w:r w:rsidR="00995AD1" w:rsidRPr="00995AD1">
              <w:rPr>
                <w:rFonts w:ascii="Arial Narrow" w:hAnsi="Arial Narrow"/>
                <w:bCs/>
                <w:color w:val="000000"/>
                <w:spacing w:val="3"/>
                <w:sz w:val="20"/>
                <w:szCs w:val="20"/>
                <w:shd w:val="solid" w:color="000000" w:fill="000000"/>
                <w:fitText w:val="326" w:id="-1505494780"/>
                <w14:textFill>
                  <w14:solidFill>
                    <w14:srgbClr w14:val="000000">
                      <w14:alpha w14:val="100000"/>
                    </w14:srgbClr>
                  </w14:solidFill>
                </w14:textFill>
              </w:rPr>
              <w:t>|</w:t>
            </w:r>
            <w:r w:rsidR="00221F7E">
              <w:rPr>
                <w:rFonts w:ascii="Arial Narrow" w:hAnsi="Arial Narrow"/>
                <w:bCs/>
                <w:sz w:val="20"/>
                <w:szCs w:val="20"/>
                <w:vertAlign w:val="superscript"/>
              </w:rPr>
              <w:t>1</w:t>
            </w:r>
            <w:r>
              <w:rPr>
                <w:rFonts w:ascii="Arial Narrow" w:hAnsi="Arial Narrow"/>
                <w:bCs/>
                <w:sz w:val="20"/>
                <w:szCs w:val="20"/>
              </w:rPr>
              <w:t>/ QALY.</w:t>
            </w:r>
          </w:p>
        </w:tc>
      </w:tr>
      <w:tr w:rsidR="00FF1095" w:rsidRPr="00620250" w14:paraId="2ACAE3D7" w14:textId="77777777" w:rsidTr="00422CCA">
        <w:tc>
          <w:tcPr>
            <w:tcW w:w="1255" w:type="pct"/>
            <w:shd w:val="clear" w:color="auto" w:fill="auto"/>
          </w:tcPr>
          <w:p w14:paraId="40212619"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Extrapolation function</w:t>
            </w:r>
          </w:p>
        </w:tc>
        <w:tc>
          <w:tcPr>
            <w:tcW w:w="1951" w:type="pct"/>
            <w:shd w:val="clear" w:color="auto" w:fill="auto"/>
            <w:vAlign w:val="center"/>
          </w:tcPr>
          <w:p w14:paraId="52BF5D8E" w14:textId="77777777" w:rsidR="00FF1095" w:rsidRPr="00620250" w:rsidRDefault="00FF1095" w:rsidP="00422CCA">
            <w:pPr>
              <w:keepNext/>
              <w:keepLines/>
              <w:jc w:val="left"/>
              <w:rPr>
                <w:rFonts w:ascii="Arial Narrow" w:hAnsi="Arial Narrow"/>
                <w:bCs/>
                <w:sz w:val="20"/>
                <w:szCs w:val="20"/>
              </w:rPr>
            </w:pPr>
            <w:proofErr w:type="spellStart"/>
            <w:r w:rsidRPr="00620250">
              <w:rPr>
                <w:rFonts w:ascii="Arial Narrow" w:hAnsi="Arial Narrow"/>
                <w:bCs/>
                <w:sz w:val="20"/>
                <w:szCs w:val="20"/>
              </w:rPr>
              <w:t>Gompertz</w:t>
            </w:r>
            <w:proofErr w:type="spellEnd"/>
            <w:r w:rsidRPr="00620250">
              <w:rPr>
                <w:rFonts w:ascii="Arial Narrow" w:hAnsi="Arial Narrow"/>
                <w:bCs/>
                <w:sz w:val="20"/>
                <w:szCs w:val="20"/>
              </w:rPr>
              <w:t xml:space="preserve"> (OS </w:t>
            </w:r>
            <w:r>
              <w:rPr>
                <w:rFonts w:ascii="Arial Narrow" w:hAnsi="Arial Narrow"/>
                <w:bCs/>
                <w:sz w:val="20"/>
                <w:szCs w:val="20"/>
              </w:rPr>
              <w:t>and PFS</w:t>
            </w:r>
            <w:r w:rsidRPr="00620250">
              <w:rPr>
                <w:rFonts w:ascii="Arial Narrow" w:hAnsi="Arial Narrow"/>
                <w:bCs/>
                <w:sz w:val="20"/>
                <w:szCs w:val="20"/>
              </w:rPr>
              <w:t>)</w:t>
            </w:r>
          </w:p>
        </w:tc>
        <w:tc>
          <w:tcPr>
            <w:tcW w:w="1794" w:type="pct"/>
            <w:shd w:val="clear" w:color="auto" w:fill="auto"/>
          </w:tcPr>
          <w:p w14:paraId="1274ED93"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Consis</w:t>
            </w:r>
            <w:r>
              <w:rPr>
                <w:rFonts w:ascii="Arial Narrow" w:hAnsi="Arial Narrow"/>
                <w:bCs/>
                <w:sz w:val="20"/>
                <w:szCs w:val="20"/>
              </w:rPr>
              <w:t>tent with paragraph 7.15</w:t>
            </w:r>
            <w:r w:rsidRPr="00954953">
              <w:rPr>
                <w:rFonts w:ascii="Arial Narrow" w:hAnsi="Arial Narrow"/>
                <w:bCs/>
                <w:sz w:val="20"/>
                <w:szCs w:val="20"/>
              </w:rPr>
              <w:t>.</w:t>
            </w:r>
          </w:p>
        </w:tc>
      </w:tr>
      <w:tr w:rsidR="00FF1095" w:rsidRPr="00620250" w14:paraId="339E01FD" w14:textId="77777777" w:rsidTr="00422CCA">
        <w:trPr>
          <w:trHeight w:val="157"/>
        </w:trPr>
        <w:tc>
          <w:tcPr>
            <w:tcW w:w="1255" w:type="pct"/>
            <w:shd w:val="clear" w:color="auto" w:fill="auto"/>
          </w:tcPr>
          <w:p w14:paraId="449374DD"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ICER</w:t>
            </w:r>
          </w:p>
        </w:tc>
        <w:tc>
          <w:tcPr>
            <w:tcW w:w="1951" w:type="pct"/>
            <w:shd w:val="clear" w:color="auto" w:fill="auto"/>
            <w:vAlign w:val="center"/>
          </w:tcPr>
          <w:p w14:paraId="67F7203E" w14:textId="49700568"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w:t>
            </w:r>
            <w:r w:rsidR="00995AD1" w:rsidRPr="00995AD1">
              <w:rPr>
                <w:rFonts w:ascii="Arial Narrow" w:hAnsi="Arial Narrow"/>
                <w:bCs/>
                <w:color w:val="000000"/>
                <w:spacing w:val="52"/>
                <w:sz w:val="20"/>
                <w:szCs w:val="20"/>
                <w:shd w:val="solid" w:color="000000" w:fill="000000"/>
                <w:fitText w:val="327" w:id="-1505494779"/>
                <w14:textFill>
                  <w14:solidFill>
                    <w14:srgbClr w14:val="000000">
                      <w14:alpha w14:val="100000"/>
                    </w14:srgbClr>
                  </w14:solidFill>
                </w14:textFill>
              </w:rPr>
              <w:t>|||</w:t>
            </w:r>
            <w:r w:rsidR="00995AD1" w:rsidRPr="00995AD1">
              <w:rPr>
                <w:rFonts w:ascii="Arial Narrow" w:hAnsi="Arial Narrow"/>
                <w:bCs/>
                <w:color w:val="000000"/>
                <w:spacing w:val="1"/>
                <w:sz w:val="20"/>
                <w:szCs w:val="20"/>
                <w:shd w:val="solid" w:color="000000" w:fill="000000"/>
                <w:fitText w:val="327" w:id="-1505494779"/>
                <w14:textFill>
                  <w14:solidFill>
                    <w14:srgbClr w14:val="000000">
                      <w14:alpha w14:val="100000"/>
                    </w14:srgbClr>
                  </w14:solidFill>
                </w14:textFill>
              </w:rPr>
              <w:t>|</w:t>
            </w:r>
            <w:r w:rsidR="006A25FF">
              <w:rPr>
                <w:rFonts w:ascii="Arial Narrow" w:hAnsi="Arial Narrow"/>
                <w:bCs/>
                <w:sz w:val="20"/>
                <w:szCs w:val="20"/>
                <w:vertAlign w:val="superscript"/>
              </w:rPr>
              <w:t>1</w:t>
            </w:r>
            <w:r w:rsidRPr="00D44F45">
              <w:rPr>
                <w:rFonts w:ascii="Arial Narrow" w:hAnsi="Arial Narrow"/>
                <w:bCs/>
                <w:sz w:val="20"/>
                <w:szCs w:val="20"/>
              </w:rPr>
              <w:t xml:space="preserve"> per QALY</w:t>
            </w:r>
          </w:p>
        </w:tc>
        <w:tc>
          <w:tcPr>
            <w:tcW w:w="1794" w:type="pct"/>
            <w:shd w:val="clear" w:color="auto" w:fill="auto"/>
          </w:tcPr>
          <w:p w14:paraId="0E9CE230" w14:textId="77777777" w:rsidR="00FF1095" w:rsidRPr="00954953" w:rsidRDefault="00FF1095" w:rsidP="00422CCA">
            <w:pPr>
              <w:keepNext/>
              <w:keepLines/>
              <w:jc w:val="left"/>
              <w:rPr>
                <w:rFonts w:ascii="Arial Narrow" w:hAnsi="Arial Narrow"/>
                <w:bCs/>
                <w:sz w:val="20"/>
                <w:szCs w:val="20"/>
              </w:rPr>
            </w:pPr>
            <w:r w:rsidRPr="00954953">
              <w:rPr>
                <w:rFonts w:ascii="Arial Narrow" w:hAnsi="Arial Narrow"/>
                <w:bCs/>
                <w:sz w:val="20"/>
                <w:szCs w:val="20"/>
              </w:rPr>
              <w:t xml:space="preserve">Consistent with paragraph 7.15 </w:t>
            </w:r>
          </w:p>
        </w:tc>
      </w:tr>
      <w:tr w:rsidR="00FF1095" w:rsidRPr="00620250" w14:paraId="6DF16A1D" w14:textId="77777777" w:rsidTr="00422CCA">
        <w:tc>
          <w:tcPr>
            <w:tcW w:w="5000" w:type="pct"/>
            <w:gridSpan w:val="3"/>
            <w:shd w:val="clear" w:color="auto" w:fill="auto"/>
          </w:tcPr>
          <w:p w14:paraId="4FBF0360" w14:textId="77777777" w:rsidR="00FF1095" w:rsidRPr="00620250" w:rsidRDefault="00FF1095" w:rsidP="00422CCA">
            <w:pPr>
              <w:keepNext/>
              <w:keepLines/>
              <w:jc w:val="left"/>
              <w:rPr>
                <w:rFonts w:ascii="Arial Narrow" w:hAnsi="Arial Narrow"/>
                <w:b/>
                <w:bCs/>
                <w:sz w:val="20"/>
                <w:szCs w:val="20"/>
              </w:rPr>
            </w:pPr>
            <w:r w:rsidRPr="00620250">
              <w:rPr>
                <w:rFonts w:ascii="Arial Narrow" w:hAnsi="Arial Narrow"/>
                <w:b/>
                <w:bCs/>
                <w:sz w:val="20"/>
                <w:szCs w:val="20"/>
              </w:rPr>
              <w:t>Financial estimates</w:t>
            </w:r>
          </w:p>
        </w:tc>
      </w:tr>
      <w:tr w:rsidR="00FF1095" w:rsidRPr="00620250" w14:paraId="165C0A8B" w14:textId="77777777" w:rsidTr="00422CCA">
        <w:tc>
          <w:tcPr>
            <w:tcW w:w="1255" w:type="pct"/>
          </w:tcPr>
          <w:p w14:paraId="6180DE7B"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Patient estimates</w:t>
            </w:r>
          </w:p>
        </w:tc>
        <w:tc>
          <w:tcPr>
            <w:tcW w:w="1951" w:type="pct"/>
            <w:vAlign w:val="center"/>
          </w:tcPr>
          <w:p w14:paraId="27E40FF1" w14:textId="77777777" w:rsidR="00FF1095" w:rsidRDefault="00FF1095" w:rsidP="00422CCA">
            <w:pPr>
              <w:keepNext/>
              <w:keepLines/>
              <w:jc w:val="left"/>
            </w:pPr>
            <w:r w:rsidRPr="006F18BA">
              <w:rPr>
                <w:rFonts w:ascii="Arial Narrow" w:hAnsi="Arial Narrow"/>
                <w:bCs/>
                <w:sz w:val="20"/>
                <w:szCs w:val="20"/>
              </w:rPr>
              <w:t>Adjusted the proportion of</w:t>
            </w:r>
            <w:r>
              <w:rPr>
                <w:rFonts w:ascii="Arial Narrow" w:hAnsi="Arial Narrow"/>
                <w:bCs/>
                <w:sz w:val="20"/>
                <w:szCs w:val="20"/>
              </w:rPr>
              <w:t xml:space="preserve"> GC patients</w:t>
            </w:r>
            <w:r w:rsidRPr="006F18BA">
              <w:rPr>
                <w:rFonts w:ascii="Arial Narrow" w:hAnsi="Arial Narrow"/>
                <w:bCs/>
                <w:sz w:val="20"/>
                <w:szCs w:val="20"/>
              </w:rPr>
              <w:t xml:space="preserve"> who are GOJ from 50% to 34%.</w:t>
            </w:r>
            <w:r>
              <w:t xml:space="preserve">  </w:t>
            </w:r>
          </w:p>
          <w:p w14:paraId="734462AB" w14:textId="77777777" w:rsidR="00FF1095" w:rsidRPr="00620250" w:rsidRDefault="00FF1095" w:rsidP="00422CCA">
            <w:pPr>
              <w:keepNext/>
              <w:keepLines/>
              <w:jc w:val="left"/>
              <w:rPr>
                <w:rFonts w:ascii="Arial Narrow" w:hAnsi="Arial Narrow"/>
                <w:bCs/>
                <w:sz w:val="20"/>
                <w:szCs w:val="20"/>
              </w:rPr>
            </w:pPr>
            <w:r w:rsidRPr="00861804">
              <w:rPr>
                <w:rFonts w:ascii="Arial Narrow" w:hAnsi="Arial Narrow"/>
                <w:bCs/>
                <w:sz w:val="20"/>
                <w:szCs w:val="20"/>
              </w:rPr>
              <w:t xml:space="preserve">Included </w:t>
            </w:r>
            <w:r>
              <w:rPr>
                <w:rFonts w:ascii="Arial Narrow" w:hAnsi="Arial Narrow"/>
                <w:bCs/>
                <w:sz w:val="20"/>
                <w:szCs w:val="20"/>
              </w:rPr>
              <w:t xml:space="preserve">a small number of additional prevalent </w:t>
            </w:r>
            <w:r w:rsidRPr="00861804">
              <w:rPr>
                <w:rFonts w:ascii="Arial Narrow" w:hAnsi="Arial Narrow"/>
                <w:bCs/>
                <w:sz w:val="20"/>
                <w:szCs w:val="20"/>
              </w:rPr>
              <w:t>patients</w:t>
            </w:r>
            <w:r>
              <w:t xml:space="preserve">. </w:t>
            </w:r>
          </w:p>
        </w:tc>
        <w:tc>
          <w:tcPr>
            <w:tcW w:w="1794" w:type="pct"/>
          </w:tcPr>
          <w:p w14:paraId="218A3D53" w14:textId="77777777" w:rsidR="00FF1095" w:rsidRDefault="00FF1095" w:rsidP="00422CCA">
            <w:pPr>
              <w:keepNext/>
              <w:keepLines/>
              <w:jc w:val="left"/>
              <w:rPr>
                <w:rFonts w:ascii="Arial Narrow" w:hAnsi="Arial Narrow"/>
                <w:bCs/>
                <w:sz w:val="20"/>
                <w:szCs w:val="20"/>
              </w:rPr>
            </w:pPr>
            <w:r>
              <w:rPr>
                <w:rFonts w:ascii="Arial Narrow" w:hAnsi="Arial Narrow"/>
                <w:bCs/>
                <w:sz w:val="20"/>
                <w:szCs w:val="20"/>
              </w:rPr>
              <w:t xml:space="preserve">Consistent with paragraph 7.13. However, the resubmission did not provide financial estimates across all GOJ, gastric and oesophageal cancers. </w:t>
            </w:r>
          </w:p>
          <w:p w14:paraId="4F5F4EBA" w14:textId="77777777" w:rsidR="00FF1095" w:rsidRPr="00954953" w:rsidRDefault="00FF1095" w:rsidP="00422CCA">
            <w:pPr>
              <w:keepNext/>
              <w:keepLines/>
              <w:jc w:val="left"/>
              <w:rPr>
                <w:rFonts w:ascii="Arial Narrow" w:hAnsi="Arial Narrow"/>
                <w:bCs/>
                <w:sz w:val="20"/>
                <w:szCs w:val="20"/>
              </w:rPr>
            </w:pPr>
          </w:p>
        </w:tc>
      </w:tr>
      <w:tr w:rsidR="00FF1095" w:rsidRPr="00620250" w14:paraId="36797370" w14:textId="77777777" w:rsidTr="00422CCA">
        <w:tc>
          <w:tcPr>
            <w:tcW w:w="1255" w:type="pct"/>
            <w:shd w:val="clear" w:color="auto" w:fill="auto"/>
          </w:tcPr>
          <w:p w14:paraId="640D2938"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Grandfathered patients</w:t>
            </w:r>
          </w:p>
        </w:tc>
        <w:tc>
          <w:tcPr>
            <w:tcW w:w="1951" w:type="pct"/>
            <w:vAlign w:val="center"/>
          </w:tcPr>
          <w:p w14:paraId="67F3486C" w14:textId="6ECB2F6E" w:rsidR="00FF1095" w:rsidRPr="006A25FF" w:rsidRDefault="00995AD1" w:rsidP="00422CCA">
            <w:pPr>
              <w:keepNext/>
              <w:keepLines/>
              <w:jc w:val="left"/>
              <w:rPr>
                <w:rFonts w:ascii="Arial Narrow" w:hAnsi="Arial Narrow"/>
                <w:bCs/>
                <w:sz w:val="20"/>
                <w:szCs w:val="20"/>
                <w:vertAlign w:val="superscript"/>
              </w:rPr>
            </w:pPr>
            <w:r w:rsidRPr="00995AD1">
              <w:rPr>
                <w:rFonts w:ascii="Arial Narrow" w:hAnsi="Arial Narrow"/>
                <w:bCs/>
                <w:color w:val="000000"/>
                <w:spacing w:val="50"/>
                <w:sz w:val="20"/>
                <w:szCs w:val="20"/>
                <w:shd w:val="solid" w:color="000000" w:fill="000000"/>
                <w:fitText w:val="333" w:id="-1505494778"/>
                <w14:textFill>
                  <w14:solidFill>
                    <w14:srgbClr w14:val="000000">
                      <w14:alpha w14:val="100000"/>
                    </w14:srgbClr>
                  </w14:solidFill>
                </w14:textFill>
              </w:rPr>
              <w:t>|||</w:t>
            </w:r>
            <w:r w:rsidRPr="00995AD1">
              <w:rPr>
                <w:rFonts w:ascii="Arial Narrow" w:hAnsi="Arial Narrow"/>
                <w:bCs/>
                <w:color w:val="000000"/>
                <w:spacing w:val="20"/>
                <w:sz w:val="20"/>
                <w:szCs w:val="20"/>
                <w:shd w:val="solid" w:color="000000" w:fill="000000"/>
                <w:fitText w:val="333" w:id="-1505494778"/>
                <w14:textFill>
                  <w14:solidFill>
                    <w14:srgbClr w14:val="000000">
                      <w14:alpha w14:val="100000"/>
                    </w14:srgbClr>
                  </w14:solidFill>
                </w14:textFill>
              </w:rPr>
              <w:t>|</w:t>
            </w:r>
            <w:r w:rsidR="006A25FF">
              <w:rPr>
                <w:rFonts w:ascii="Arial Narrow" w:hAnsi="Arial Narrow"/>
                <w:bCs/>
                <w:sz w:val="20"/>
                <w:szCs w:val="20"/>
                <w:vertAlign w:val="superscript"/>
              </w:rPr>
              <w:t>2</w:t>
            </w:r>
          </w:p>
        </w:tc>
        <w:tc>
          <w:tcPr>
            <w:tcW w:w="1794" w:type="pct"/>
          </w:tcPr>
          <w:p w14:paraId="7B2E3378" w14:textId="77777777" w:rsidR="00FF1095" w:rsidRPr="00954953" w:rsidRDefault="00FF1095" w:rsidP="00422CCA">
            <w:pPr>
              <w:keepNext/>
              <w:keepLines/>
              <w:spacing w:after="120"/>
              <w:jc w:val="left"/>
              <w:rPr>
                <w:rFonts w:ascii="Arial Narrow" w:hAnsi="Arial Narrow"/>
                <w:bCs/>
                <w:sz w:val="20"/>
                <w:szCs w:val="20"/>
              </w:rPr>
            </w:pPr>
            <w:r>
              <w:rPr>
                <w:rFonts w:ascii="Arial Narrow" w:hAnsi="Arial Narrow"/>
                <w:bCs/>
                <w:sz w:val="20"/>
                <w:szCs w:val="20"/>
              </w:rPr>
              <w:t>Unchanged from previous submission</w:t>
            </w:r>
          </w:p>
        </w:tc>
      </w:tr>
      <w:tr w:rsidR="00FF1095" w:rsidRPr="00620250" w14:paraId="2A7ACAB7" w14:textId="77777777" w:rsidTr="00422CCA">
        <w:tc>
          <w:tcPr>
            <w:tcW w:w="1255" w:type="pct"/>
          </w:tcPr>
          <w:p w14:paraId="6C4E5871" w14:textId="77777777" w:rsidR="00FF1095" w:rsidRPr="00620250" w:rsidRDefault="00FF1095" w:rsidP="00422CCA">
            <w:pPr>
              <w:keepNext/>
              <w:keepLines/>
              <w:jc w:val="left"/>
              <w:rPr>
                <w:rFonts w:ascii="Arial Narrow" w:hAnsi="Arial Narrow"/>
                <w:bCs/>
                <w:sz w:val="20"/>
                <w:szCs w:val="20"/>
              </w:rPr>
            </w:pPr>
            <w:r w:rsidRPr="00620250">
              <w:rPr>
                <w:rFonts w:ascii="Arial Narrow" w:hAnsi="Arial Narrow"/>
                <w:bCs/>
                <w:sz w:val="20"/>
                <w:szCs w:val="20"/>
              </w:rPr>
              <w:t xml:space="preserve"> RSA</w:t>
            </w:r>
          </w:p>
        </w:tc>
        <w:tc>
          <w:tcPr>
            <w:tcW w:w="1951" w:type="pct"/>
            <w:vAlign w:val="center"/>
          </w:tcPr>
          <w:p w14:paraId="14A3CF34" w14:textId="2CD7A080" w:rsidR="00FF1095" w:rsidRPr="00620250" w:rsidRDefault="00FF1095" w:rsidP="00422CCA">
            <w:pPr>
              <w:keepNext/>
              <w:keepLines/>
              <w:jc w:val="left"/>
              <w:rPr>
                <w:rFonts w:ascii="Arial Narrow" w:hAnsi="Arial Narrow"/>
                <w:bCs/>
                <w:sz w:val="20"/>
                <w:szCs w:val="20"/>
              </w:rPr>
            </w:pPr>
            <w:r>
              <w:rPr>
                <w:rFonts w:ascii="Arial Narrow" w:hAnsi="Arial Narrow"/>
                <w:bCs/>
                <w:sz w:val="20"/>
                <w:szCs w:val="20"/>
              </w:rPr>
              <w:t xml:space="preserve">Proposed a rebate of </w:t>
            </w:r>
            <w:r w:rsidR="00995AD1" w:rsidRPr="00995AD1">
              <w:rPr>
                <w:rFonts w:ascii="Arial Narrow" w:hAnsi="Arial Narrow"/>
                <w:bCs/>
                <w:color w:val="000000"/>
                <w:spacing w:val="51"/>
                <w:sz w:val="20"/>
                <w:szCs w:val="20"/>
                <w:shd w:val="solid" w:color="000000" w:fill="000000"/>
                <w:fitText w:val="326" w:id="-1505494777"/>
                <w14:textFill>
                  <w14:solidFill>
                    <w14:srgbClr w14:val="000000">
                      <w14:alpha w14:val="100000"/>
                    </w14:srgbClr>
                  </w14:solidFill>
                </w14:textFill>
              </w:rPr>
              <w:t>|||</w:t>
            </w:r>
            <w:r w:rsidR="00995AD1" w:rsidRPr="00995AD1">
              <w:rPr>
                <w:rFonts w:ascii="Arial Narrow" w:hAnsi="Arial Narrow"/>
                <w:bCs/>
                <w:color w:val="000000"/>
                <w:spacing w:val="3"/>
                <w:sz w:val="20"/>
                <w:szCs w:val="20"/>
                <w:shd w:val="solid" w:color="000000" w:fill="000000"/>
                <w:fitText w:val="326" w:id="-1505494777"/>
                <w14:textFill>
                  <w14:solidFill>
                    <w14:srgbClr w14:val="000000">
                      <w14:alpha w14:val="100000"/>
                    </w14:srgbClr>
                  </w14:solidFill>
                </w14:textFill>
              </w:rPr>
              <w:t>|</w:t>
            </w:r>
            <w:r>
              <w:rPr>
                <w:rFonts w:ascii="Arial Narrow" w:hAnsi="Arial Narrow"/>
                <w:bCs/>
                <w:sz w:val="20"/>
                <w:szCs w:val="20"/>
              </w:rPr>
              <w:t xml:space="preserve">% on expenditure above the cap.  </w:t>
            </w:r>
          </w:p>
        </w:tc>
        <w:tc>
          <w:tcPr>
            <w:tcW w:w="1794" w:type="pct"/>
          </w:tcPr>
          <w:p w14:paraId="6B50C3F2" w14:textId="77777777" w:rsidR="00FF1095" w:rsidRPr="00954953" w:rsidRDefault="00FF1095" w:rsidP="00422CCA">
            <w:pPr>
              <w:pStyle w:val="3-BodyText"/>
              <w:keepNext/>
              <w:keepLines/>
              <w:ind w:left="0" w:firstLine="0"/>
              <w:rPr>
                <w:rFonts w:ascii="Arial Narrow" w:hAnsi="Arial Narrow"/>
                <w:bCs/>
                <w:sz w:val="20"/>
                <w:szCs w:val="20"/>
              </w:rPr>
            </w:pPr>
            <w:r w:rsidRPr="00954953">
              <w:rPr>
                <w:rFonts w:ascii="Arial Narrow" w:hAnsi="Arial Narrow"/>
                <w:bCs/>
                <w:sz w:val="20"/>
                <w:szCs w:val="20"/>
              </w:rPr>
              <w:t>Consis</w:t>
            </w:r>
            <w:r>
              <w:rPr>
                <w:rFonts w:ascii="Arial Narrow" w:hAnsi="Arial Narrow"/>
                <w:bCs/>
                <w:sz w:val="20"/>
                <w:szCs w:val="20"/>
              </w:rPr>
              <w:t xml:space="preserve">tent with paragraph 7.15 </w:t>
            </w:r>
          </w:p>
          <w:p w14:paraId="147A14C0" w14:textId="77777777" w:rsidR="00FF1095" w:rsidRPr="00954953" w:rsidRDefault="00FF1095" w:rsidP="00422CCA">
            <w:pPr>
              <w:keepNext/>
              <w:keepLines/>
              <w:jc w:val="left"/>
              <w:rPr>
                <w:rFonts w:ascii="Arial Narrow" w:hAnsi="Arial Narrow"/>
                <w:bCs/>
                <w:sz w:val="20"/>
                <w:szCs w:val="20"/>
              </w:rPr>
            </w:pPr>
          </w:p>
        </w:tc>
      </w:tr>
    </w:tbl>
    <w:p w14:paraId="52055867" w14:textId="4B00512B" w:rsidR="006A25FF" w:rsidRDefault="00DE0518" w:rsidP="006A25FF">
      <w:pPr>
        <w:keepNext/>
        <w:keepLines/>
        <w:widowControl/>
        <w:rPr>
          <w:rFonts w:ascii="Arial Narrow" w:hAnsi="Arial Narrow"/>
          <w:sz w:val="18"/>
        </w:rPr>
      </w:pPr>
      <w:r>
        <w:rPr>
          <w:rFonts w:ascii="Arial Narrow" w:hAnsi="Arial Narrow"/>
          <w:sz w:val="18"/>
        </w:rPr>
        <w:t xml:space="preserve">PSD = Public Summary Document; </w:t>
      </w:r>
      <w:r w:rsidR="00D20DBF" w:rsidRPr="00D20DBF">
        <w:rPr>
          <w:rFonts w:ascii="Arial Narrow" w:hAnsi="Arial Narrow"/>
          <w:sz w:val="18"/>
        </w:rPr>
        <w:t>PSCR = Pre-Sub-Committee Response</w:t>
      </w:r>
      <w:r w:rsidR="00D20DBF">
        <w:rPr>
          <w:rFonts w:ascii="Arial Narrow" w:hAnsi="Arial Narrow"/>
          <w:sz w:val="18"/>
        </w:rPr>
        <w:t xml:space="preserve">; </w:t>
      </w:r>
      <w:r w:rsidR="00FF1095">
        <w:rPr>
          <w:rFonts w:ascii="Arial Narrow" w:hAnsi="Arial Narrow"/>
          <w:sz w:val="18"/>
        </w:rPr>
        <w:t xml:space="preserve">GOJ= gastro-oesophageal junction; ICER = incremental cost effectiveness ratio; </w:t>
      </w:r>
      <w:r w:rsidR="00FF1095" w:rsidRPr="001609D7">
        <w:rPr>
          <w:rFonts w:ascii="Arial Narrow" w:hAnsi="Arial Narrow"/>
          <w:sz w:val="18"/>
        </w:rPr>
        <w:t>OAC</w:t>
      </w:r>
      <w:r w:rsidR="00FF1095">
        <w:rPr>
          <w:rFonts w:ascii="Arial Narrow" w:hAnsi="Arial Narrow"/>
          <w:sz w:val="18"/>
        </w:rPr>
        <w:t xml:space="preserve"> = oesophageal adenocarcinoma; OS = overall survival; OSCC = oesophageal squamous cell carcinoma; QALY = quality adjusted life years; RSA = risk sharing arrangement</w:t>
      </w:r>
    </w:p>
    <w:p w14:paraId="3CB1CEAD" w14:textId="77777777"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0C52A143" w14:textId="4030F61B"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6A25FF">
        <w:rPr>
          <w:rFonts w:ascii="Arial Narrow" w:hAnsi="Arial Narrow"/>
          <w:i/>
          <w:sz w:val="18"/>
          <w:szCs w:val="18"/>
          <w:lang w:eastAsia="en-AU"/>
        </w:rPr>
        <w:t>$75,000 to &lt; $95,000</w:t>
      </w:r>
    </w:p>
    <w:p w14:paraId="2A6CEA13" w14:textId="56FEC2ED" w:rsidR="006A25FF" w:rsidRPr="006A25FF" w:rsidRDefault="006A25FF" w:rsidP="006A25FF">
      <w:pPr>
        <w:spacing w:after="120"/>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6A25FF">
        <w:rPr>
          <w:rFonts w:ascii="Arial Narrow" w:hAnsi="Arial Narrow"/>
          <w:i/>
          <w:sz w:val="18"/>
          <w:szCs w:val="18"/>
          <w:lang w:eastAsia="en-AU"/>
        </w:rPr>
        <w:t>&lt; 500</w:t>
      </w:r>
    </w:p>
    <w:p w14:paraId="27AF65BC" w14:textId="77777777" w:rsidR="00FF1095" w:rsidRPr="00954953" w:rsidRDefault="00FF1095" w:rsidP="00FF1095">
      <w:pPr>
        <w:pStyle w:val="ListParagraph"/>
        <w:numPr>
          <w:ilvl w:val="1"/>
          <w:numId w:val="1"/>
        </w:numPr>
        <w:rPr>
          <w:rFonts w:asciiTheme="minorHAnsi" w:hAnsiTheme="minorHAnsi"/>
          <w:szCs w:val="24"/>
          <w:lang w:eastAsia="en-AU"/>
        </w:rPr>
      </w:pPr>
      <w:r w:rsidRPr="00954953">
        <w:rPr>
          <w:rFonts w:asciiTheme="minorHAnsi" w:hAnsiTheme="minorHAnsi"/>
          <w:szCs w:val="24"/>
          <w:lang w:eastAsia="en-AU"/>
        </w:rPr>
        <w:t>The table below outlines the financial implications estimated in the resubmission.</w:t>
      </w:r>
    </w:p>
    <w:p w14:paraId="0EDEA23C" w14:textId="66CCFF8B" w:rsidR="00FF1095" w:rsidRPr="004F370F" w:rsidRDefault="00FF1095" w:rsidP="00FF1095">
      <w:pPr>
        <w:keepNext/>
        <w:keepLines/>
        <w:widowControl/>
        <w:jc w:val="left"/>
        <w:rPr>
          <w:rFonts w:ascii="Arial Narrow" w:eastAsiaTheme="majorEastAsia" w:hAnsi="Arial Narrow" w:cstheme="majorBidi"/>
          <w:b/>
          <w:bCs/>
          <w:snapToGrid/>
          <w:sz w:val="20"/>
          <w:szCs w:val="24"/>
          <w:lang w:eastAsia="en-AU"/>
        </w:rPr>
      </w:pPr>
      <w:bookmarkStart w:id="60" w:name="_Ref96499289"/>
      <w:r w:rsidRPr="004F370F">
        <w:rPr>
          <w:rFonts w:ascii="Arial Narrow" w:eastAsiaTheme="majorEastAsia" w:hAnsi="Arial Narrow" w:cstheme="majorBidi"/>
          <w:b/>
          <w:bCs/>
          <w:snapToGrid/>
          <w:sz w:val="20"/>
          <w:szCs w:val="24"/>
          <w:lang w:eastAsia="en-AU"/>
        </w:rPr>
        <w:lastRenderedPageBreak/>
        <w:t xml:space="preserve">Table </w:t>
      </w:r>
      <w:r w:rsidRPr="004F370F">
        <w:rPr>
          <w:rFonts w:ascii="Arial Narrow" w:eastAsiaTheme="majorEastAsia" w:hAnsi="Arial Narrow" w:cstheme="majorBidi"/>
          <w:b/>
          <w:bCs/>
          <w:snapToGrid/>
          <w:sz w:val="20"/>
          <w:szCs w:val="24"/>
          <w:lang w:eastAsia="en-AU"/>
        </w:rPr>
        <w:fldChar w:fldCharType="begin"/>
      </w:r>
      <w:r w:rsidRPr="004F370F">
        <w:rPr>
          <w:rFonts w:ascii="Arial Narrow" w:eastAsiaTheme="majorEastAsia" w:hAnsi="Arial Narrow" w:cstheme="majorBidi"/>
          <w:b/>
          <w:bCs/>
          <w:snapToGrid/>
          <w:sz w:val="20"/>
          <w:szCs w:val="24"/>
          <w:lang w:eastAsia="en-AU"/>
        </w:rPr>
        <w:instrText xml:space="preserve"> SEQ Table \* MERGEFORMAT </w:instrText>
      </w:r>
      <w:r w:rsidRPr="004F370F">
        <w:rPr>
          <w:rFonts w:ascii="Arial Narrow" w:eastAsiaTheme="majorEastAsia" w:hAnsi="Arial Narrow" w:cstheme="majorBidi"/>
          <w:b/>
          <w:bCs/>
          <w:snapToGrid/>
          <w:sz w:val="20"/>
          <w:szCs w:val="24"/>
          <w:lang w:eastAsia="en-AU"/>
        </w:rPr>
        <w:fldChar w:fldCharType="separate"/>
      </w:r>
      <w:r w:rsidR="004F3736">
        <w:rPr>
          <w:rFonts w:ascii="Arial Narrow" w:eastAsiaTheme="majorEastAsia" w:hAnsi="Arial Narrow" w:cstheme="majorBidi"/>
          <w:b/>
          <w:bCs/>
          <w:noProof/>
          <w:snapToGrid/>
          <w:sz w:val="20"/>
          <w:szCs w:val="24"/>
          <w:lang w:eastAsia="en-AU"/>
        </w:rPr>
        <w:t>2</w:t>
      </w:r>
      <w:r w:rsidRPr="004F370F">
        <w:rPr>
          <w:rFonts w:ascii="Arial Narrow" w:eastAsiaTheme="majorEastAsia" w:hAnsi="Arial Narrow" w:cstheme="majorBidi"/>
          <w:b/>
          <w:bCs/>
          <w:snapToGrid/>
          <w:sz w:val="20"/>
          <w:szCs w:val="24"/>
          <w:lang w:eastAsia="en-AU"/>
        </w:rPr>
        <w:fldChar w:fldCharType="end"/>
      </w:r>
      <w:bookmarkEnd w:id="60"/>
      <w:r w:rsidRPr="004F370F">
        <w:rPr>
          <w:rFonts w:ascii="Arial Narrow" w:eastAsiaTheme="majorEastAsia" w:hAnsi="Arial Narrow" w:cstheme="majorBidi"/>
          <w:b/>
          <w:bCs/>
          <w:snapToGrid/>
          <w:sz w:val="20"/>
          <w:szCs w:val="24"/>
          <w:lang w:eastAsia="en-AU"/>
        </w:rPr>
        <w:t>: Estimated use and financial implications</w:t>
      </w:r>
    </w:p>
    <w:tbl>
      <w:tblPr>
        <w:tblStyle w:val="Dossiertable1"/>
        <w:tblW w:w="5028" w:type="pct"/>
        <w:tblLayout w:type="fixed"/>
        <w:tblLook w:val="04A0" w:firstRow="1" w:lastRow="0" w:firstColumn="1" w:lastColumn="0" w:noHBand="0" w:noVBand="1"/>
      </w:tblPr>
      <w:tblGrid>
        <w:gridCol w:w="1555"/>
        <w:gridCol w:w="1248"/>
        <w:gridCol w:w="1246"/>
        <w:gridCol w:w="1246"/>
        <w:gridCol w:w="1246"/>
        <w:gridCol w:w="1246"/>
        <w:gridCol w:w="1280"/>
      </w:tblGrid>
      <w:tr w:rsidR="006A25FF" w:rsidRPr="004F370F" w14:paraId="0D8E07EC" w14:textId="77777777" w:rsidTr="006A25FF">
        <w:trPr>
          <w:trHeight w:val="20"/>
        </w:trPr>
        <w:tc>
          <w:tcPr>
            <w:tcW w:w="858" w:type="pct"/>
          </w:tcPr>
          <w:p w14:paraId="0E028F79" w14:textId="77777777" w:rsidR="00FF1095" w:rsidRPr="004F370F" w:rsidRDefault="00FF1095" w:rsidP="00422CCA">
            <w:pPr>
              <w:keepNext/>
              <w:keepLines/>
              <w:widowControl/>
              <w:jc w:val="center"/>
              <w:rPr>
                <w:rFonts w:ascii="Arial Narrow" w:hAnsi="Arial Narrow" w:cs="Times New Roman"/>
                <w:b/>
                <w:snapToGrid/>
                <w:sz w:val="20"/>
                <w:szCs w:val="24"/>
                <w:lang w:val="en-US"/>
              </w:rPr>
            </w:pPr>
          </w:p>
        </w:tc>
        <w:tc>
          <w:tcPr>
            <w:tcW w:w="688" w:type="pct"/>
          </w:tcPr>
          <w:p w14:paraId="1346C6DD"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1</w:t>
            </w:r>
          </w:p>
        </w:tc>
        <w:tc>
          <w:tcPr>
            <w:tcW w:w="687" w:type="pct"/>
          </w:tcPr>
          <w:p w14:paraId="1D47BEB7"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2</w:t>
            </w:r>
          </w:p>
        </w:tc>
        <w:tc>
          <w:tcPr>
            <w:tcW w:w="687" w:type="pct"/>
          </w:tcPr>
          <w:p w14:paraId="646C2F52"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3</w:t>
            </w:r>
          </w:p>
        </w:tc>
        <w:tc>
          <w:tcPr>
            <w:tcW w:w="687" w:type="pct"/>
          </w:tcPr>
          <w:p w14:paraId="25604983"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4</w:t>
            </w:r>
          </w:p>
        </w:tc>
        <w:tc>
          <w:tcPr>
            <w:tcW w:w="687" w:type="pct"/>
          </w:tcPr>
          <w:p w14:paraId="79F0EF91"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5</w:t>
            </w:r>
          </w:p>
        </w:tc>
        <w:tc>
          <w:tcPr>
            <w:tcW w:w="706" w:type="pct"/>
          </w:tcPr>
          <w:p w14:paraId="2B238ABC" w14:textId="77777777" w:rsidR="00FF1095" w:rsidRPr="004F370F" w:rsidRDefault="00FF1095" w:rsidP="00422CCA">
            <w:pPr>
              <w:keepNext/>
              <w:keepLines/>
              <w:widowControl/>
              <w:jc w:val="center"/>
              <w:rPr>
                <w:rFonts w:ascii="Arial Narrow" w:hAnsi="Arial Narrow" w:cs="Times New Roman"/>
                <w:b/>
                <w:snapToGrid/>
                <w:sz w:val="20"/>
                <w:szCs w:val="24"/>
                <w:lang w:val="en-US"/>
              </w:rPr>
            </w:pPr>
            <w:r w:rsidRPr="004F370F">
              <w:rPr>
                <w:rFonts w:ascii="Arial Narrow" w:hAnsi="Arial Narrow" w:cs="Times New Roman"/>
                <w:b/>
                <w:snapToGrid/>
                <w:sz w:val="20"/>
                <w:szCs w:val="24"/>
                <w:lang w:val="en-US"/>
              </w:rPr>
              <w:t>Year 6</w:t>
            </w:r>
          </w:p>
        </w:tc>
      </w:tr>
      <w:tr w:rsidR="00FF1095" w:rsidRPr="004F370F" w14:paraId="54EB0A5E" w14:textId="77777777" w:rsidTr="006A25FF">
        <w:trPr>
          <w:trHeight w:val="20"/>
        </w:trPr>
        <w:tc>
          <w:tcPr>
            <w:tcW w:w="5000" w:type="pct"/>
            <w:gridSpan w:val="7"/>
          </w:tcPr>
          <w:p w14:paraId="1CD29000" w14:textId="77777777" w:rsidR="00FF1095" w:rsidRPr="004F370F" w:rsidRDefault="00FF1095" w:rsidP="00422CCA">
            <w:pPr>
              <w:keepNext/>
              <w:keepLines/>
              <w:widowControl/>
              <w:jc w:val="left"/>
              <w:rPr>
                <w:rFonts w:ascii="Arial Narrow" w:hAnsi="Arial Narrow" w:cs="Times New Roman"/>
                <w:b/>
                <w:bCs/>
                <w:snapToGrid/>
                <w:sz w:val="20"/>
                <w:szCs w:val="24"/>
                <w:lang w:val="en-US"/>
              </w:rPr>
            </w:pPr>
            <w:r w:rsidRPr="004F370F">
              <w:rPr>
                <w:rFonts w:ascii="Arial Narrow" w:hAnsi="Arial Narrow" w:cs="Times New Roman"/>
                <w:b/>
                <w:bCs/>
                <w:snapToGrid/>
                <w:sz w:val="20"/>
                <w:szCs w:val="24"/>
              </w:rPr>
              <w:t>Number of patients treated</w:t>
            </w:r>
            <w:r w:rsidRPr="004F370F">
              <w:rPr>
                <w:rFonts w:ascii="Arial Narrow" w:hAnsi="Arial Narrow" w:cs="Times New Roman"/>
                <w:b/>
                <w:bCs/>
                <w:snapToGrid/>
                <w:sz w:val="20"/>
                <w:szCs w:val="24"/>
                <w:lang w:val="en-US"/>
              </w:rPr>
              <w:t xml:space="preserve"> </w:t>
            </w:r>
          </w:p>
        </w:tc>
      </w:tr>
      <w:tr w:rsidR="006A25FF" w:rsidRPr="004F370F" w14:paraId="5F510581" w14:textId="77777777" w:rsidTr="006A25FF">
        <w:trPr>
          <w:trHeight w:val="20"/>
        </w:trPr>
        <w:tc>
          <w:tcPr>
            <w:tcW w:w="858" w:type="pct"/>
          </w:tcPr>
          <w:p w14:paraId="57F9A518" w14:textId="77777777" w:rsidR="00FF1095" w:rsidRPr="004F370F" w:rsidRDefault="00FF1095" w:rsidP="00422CCA">
            <w:pPr>
              <w:keepNext/>
              <w:keepLines/>
              <w:widowControl/>
              <w:jc w:val="left"/>
              <w:rPr>
                <w:rFonts w:ascii="Arial Narrow" w:hAnsi="Arial Narrow" w:cs="Times New Roman"/>
                <w:bCs/>
                <w:snapToGrid/>
                <w:sz w:val="20"/>
                <w:szCs w:val="24"/>
              </w:rPr>
            </w:pPr>
            <w:r w:rsidRPr="004F370F">
              <w:rPr>
                <w:rFonts w:ascii="Arial Narrow" w:hAnsi="Arial Narrow" w:cs="Times New Roman"/>
                <w:bCs/>
                <w:snapToGrid/>
                <w:sz w:val="20"/>
                <w:szCs w:val="24"/>
              </w:rPr>
              <w:t>Total patients treated</w:t>
            </w:r>
          </w:p>
        </w:tc>
        <w:tc>
          <w:tcPr>
            <w:tcW w:w="688" w:type="pct"/>
          </w:tcPr>
          <w:p w14:paraId="1F3F679B" w14:textId="12DD76B4" w:rsidR="00FF1095" w:rsidRPr="006A25FF" w:rsidRDefault="00995AD1" w:rsidP="00422CCA">
            <w:pPr>
              <w:keepNext/>
              <w:keepLines/>
              <w:widowControl/>
              <w:jc w:val="center"/>
              <w:rPr>
                <w:rFonts w:ascii="Arial Narrow" w:hAnsi="Arial Narrow"/>
                <w:bCs/>
                <w:snapToGrid/>
                <w:sz w:val="20"/>
                <w:szCs w:val="24"/>
                <w:highlight w:val="yellow"/>
                <w:vertAlign w:val="superscript"/>
              </w:rPr>
            </w:pPr>
            <w:r w:rsidRPr="00995AD1">
              <w:rPr>
                <w:rFonts w:ascii="Arial Narrow" w:hAnsi="Arial Narrow" w:hint="eastAsia"/>
                <w:bCs/>
                <w:snapToGrid/>
                <w:color w:val="000000"/>
                <w:w w:val="15"/>
                <w:sz w:val="20"/>
                <w:szCs w:val="24"/>
                <w:shd w:val="solid" w:color="000000" w:fill="000000"/>
                <w:fitText w:val="60" w:id="-1505494776"/>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60" w:id="-1505494776"/>
                <w14:textFill>
                  <w14:solidFill>
                    <w14:srgbClr w14:val="000000">
                      <w14:alpha w14:val="100000"/>
                    </w14:srgbClr>
                  </w14:solidFill>
                </w14:textFill>
              </w:rPr>
              <w:t>|</w:t>
            </w:r>
            <w:r w:rsidRPr="00995AD1">
              <w:rPr>
                <w:rFonts w:ascii="Arial Narrow" w:hAnsi="Arial Narrow" w:hint="eastAsia"/>
                <w:bCs/>
                <w:snapToGrid/>
                <w:color w:val="000000"/>
                <w:spacing w:val="-5"/>
                <w:w w:val="15"/>
                <w:sz w:val="20"/>
                <w:szCs w:val="24"/>
                <w:shd w:val="solid" w:color="000000" w:fill="000000"/>
                <w:fitText w:val="60" w:id="-1505494776"/>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5E766FA3" w14:textId="75EDF575" w:rsidR="00FF1095" w:rsidRPr="006A25FF" w:rsidRDefault="00995AD1" w:rsidP="00422CCA">
            <w:pPr>
              <w:keepNext/>
              <w:keepLines/>
              <w:widowControl/>
              <w:jc w:val="center"/>
              <w:rPr>
                <w:rFonts w:ascii="Arial Narrow" w:hAnsi="Arial Narrow"/>
                <w:bCs/>
                <w:snapToGrid/>
                <w:sz w:val="20"/>
                <w:szCs w:val="24"/>
                <w:highlight w:val="yellow"/>
              </w:rPr>
            </w:pPr>
            <w:r w:rsidRPr="00995AD1">
              <w:rPr>
                <w:rFonts w:ascii="Arial Narrow" w:hAnsi="Arial Narrow" w:hint="eastAsia"/>
                <w:bCs/>
                <w:snapToGrid/>
                <w:color w:val="000000"/>
                <w:w w:val="15"/>
                <w:sz w:val="20"/>
                <w:szCs w:val="24"/>
                <w:shd w:val="solid" w:color="000000" w:fill="000000"/>
                <w:fitText w:val="66" w:id="-1505494775"/>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66" w:id="-1505494775"/>
                <w14:textFill>
                  <w14:solidFill>
                    <w14:srgbClr w14:val="000000">
                      <w14:alpha w14:val="100000"/>
                    </w14:srgbClr>
                  </w14:solidFill>
                </w14:textFill>
              </w:rPr>
              <w:t>|</w:t>
            </w:r>
            <w:r w:rsidRPr="00995AD1">
              <w:rPr>
                <w:rFonts w:ascii="Arial Narrow" w:hAnsi="Arial Narrow" w:hint="eastAsia"/>
                <w:bCs/>
                <w:snapToGrid/>
                <w:color w:val="000000"/>
                <w:w w:val="15"/>
                <w:sz w:val="20"/>
                <w:szCs w:val="24"/>
                <w:shd w:val="solid" w:color="000000" w:fill="000000"/>
                <w:fitText w:val="66" w:id="-1505494775"/>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00A5A140" w14:textId="0DA9BB55" w:rsidR="00FF1095" w:rsidRPr="006A25FF" w:rsidRDefault="00995AD1" w:rsidP="00422CCA">
            <w:pPr>
              <w:keepNext/>
              <w:keepLines/>
              <w:widowControl/>
              <w:jc w:val="center"/>
              <w:rPr>
                <w:rFonts w:ascii="Arial Narrow" w:hAnsi="Arial Narrow"/>
                <w:bCs/>
                <w:snapToGrid/>
                <w:sz w:val="20"/>
                <w:szCs w:val="24"/>
                <w:highlight w:val="yellow"/>
              </w:rPr>
            </w:pPr>
            <w:r w:rsidRPr="00995AD1">
              <w:rPr>
                <w:rFonts w:ascii="Arial Narrow" w:hAnsi="Arial Narrow" w:hint="eastAsia"/>
                <w:bCs/>
                <w:snapToGrid/>
                <w:color w:val="000000"/>
                <w:w w:val="15"/>
                <w:sz w:val="20"/>
                <w:szCs w:val="24"/>
                <w:shd w:val="solid" w:color="000000" w:fill="000000"/>
                <w:fitText w:val="67" w:id="-1505494774"/>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67" w:id="-1505494774"/>
                <w14:textFill>
                  <w14:solidFill>
                    <w14:srgbClr w14:val="000000">
                      <w14:alpha w14:val="100000"/>
                    </w14:srgbClr>
                  </w14:solidFill>
                </w14:textFill>
              </w:rPr>
              <w:t>|</w:t>
            </w:r>
            <w:r w:rsidRPr="00995AD1">
              <w:rPr>
                <w:rFonts w:ascii="Arial Narrow" w:hAnsi="Arial Narrow" w:hint="eastAsia"/>
                <w:bCs/>
                <w:snapToGrid/>
                <w:color w:val="000000"/>
                <w:spacing w:val="1"/>
                <w:w w:val="15"/>
                <w:sz w:val="20"/>
                <w:szCs w:val="24"/>
                <w:shd w:val="solid" w:color="000000" w:fill="000000"/>
                <w:fitText w:val="67" w:id="-1505494774"/>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6D27D057" w14:textId="0C1398FB" w:rsidR="00FF1095" w:rsidRPr="006A25FF" w:rsidRDefault="00995AD1" w:rsidP="00422CCA">
            <w:pPr>
              <w:keepNext/>
              <w:keepLines/>
              <w:widowControl/>
              <w:jc w:val="center"/>
              <w:rPr>
                <w:rFonts w:ascii="Arial Narrow" w:hAnsi="Arial Narrow"/>
                <w:bCs/>
                <w:snapToGrid/>
                <w:sz w:val="20"/>
                <w:szCs w:val="24"/>
                <w:highlight w:val="yellow"/>
              </w:rPr>
            </w:pPr>
            <w:r w:rsidRPr="00995AD1">
              <w:rPr>
                <w:rFonts w:ascii="Arial Narrow" w:hAnsi="Arial Narrow" w:hint="eastAsia"/>
                <w:bCs/>
                <w:snapToGrid/>
                <w:color w:val="000000"/>
                <w:w w:val="15"/>
                <w:sz w:val="20"/>
                <w:szCs w:val="24"/>
                <w:shd w:val="solid" w:color="000000" w:fill="000000"/>
                <w:fitText w:val="67" w:id="-1505494773"/>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67" w:id="-1505494773"/>
                <w14:textFill>
                  <w14:solidFill>
                    <w14:srgbClr w14:val="000000">
                      <w14:alpha w14:val="100000"/>
                    </w14:srgbClr>
                  </w14:solidFill>
                </w14:textFill>
              </w:rPr>
              <w:t>|</w:t>
            </w:r>
            <w:r w:rsidRPr="00995AD1">
              <w:rPr>
                <w:rFonts w:ascii="Arial Narrow" w:hAnsi="Arial Narrow" w:hint="eastAsia"/>
                <w:bCs/>
                <w:snapToGrid/>
                <w:color w:val="000000"/>
                <w:spacing w:val="1"/>
                <w:w w:val="15"/>
                <w:sz w:val="20"/>
                <w:szCs w:val="24"/>
                <w:shd w:val="solid" w:color="000000" w:fill="000000"/>
                <w:fitText w:val="67" w:id="-1505494773"/>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tcPr>
          <w:p w14:paraId="2B708D5F" w14:textId="3AD86A45" w:rsidR="00FF1095" w:rsidRPr="006A25FF" w:rsidRDefault="00995AD1" w:rsidP="00422CCA">
            <w:pPr>
              <w:keepNext/>
              <w:keepLines/>
              <w:widowControl/>
              <w:jc w:val="center"/>
              <w:rPr>
                <w:rFonts w:ascii="Arial Narrow" w:hAnsi="Arial Narrow"/>
                <w:bCs/>
                <w:snapToGrid/>
                <w:sz w:val="20"/>
                <w:szCs w:val="24"/>
                <w:highlight w:val="yellow"/>
              </w:rPr>
            </w:pPr>
            <w:r w:rsidRPr="00995AD1">
              <w:rPr>
                <w:rFonts w:ascii="Arial Narrow" w:hAnsi="Arial Narrow" w:hint="eastAsia"/>
                <w:bCs/>
                <w:snapToGrid/>
                <w:color w:val="000000"/>
                <w:w w:val="15"/>
                <w:sz w:val="20"/>
                <w:szCs w:val="24"/>
                <w:shd w:val="solid" w:color="000000" w:fill="000000"/>
                <w:fitText w:val="66" w:id="-1505494772"/>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66" w:id="-1505494772"/>
                <w14:textFill>
                  <w14:solidFill>
                    <w14:srgbClr w14:val="000000">
                      <w14:alpha w14:val="100000"/>
                    </w14:srgbClr>
                  </w14:solidFill>
                </w14:textFill>
              </w:rPr>
              <w:t>|</w:t>
            </w:r>
            <w:r w:rsidRPr="00995AD1">
              <w:rPr>
                <w:rFonts w:ascii="Arial Narrow" w:hAnsi="Arial Narrow" w:hint="eastAsia"/>
                <w:bCs/>
                <w:snapToGrid/>
                <w:color w:val="000000"/>
                <w:w w:val="15"/>
                <w:sz w:val="20"/>
                <w:szCs w:val="24"/>
                <w:shd w:val="solid" w:color="000000" w:fill="000000"/>
                <w:fitText w:val="66" w:id="-1505494772"/>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706" w:type="pct"/>
          </w:tcPr>
          <w:p w14:paraId="17EC4CF5" w14:textId="20A6E01B" w:rsidR="00FF1095" w:rsidRPr="006A25FF" w:rsidRDefault="00995AD1" w:rsidP="00422CCA">
            <w:pPr>
              <w:keepNext/>
              <w:keepLines/>
              <w:widowControl/>
              <w:jc w:val="center"/>
              <w:rPr>
                <w:rFonts w:ascii="Arial Narrow" w:hAnsi="Arial Narrow"/>
                <w:bCs/>
                <w:snapToGrid/>
                <w:sz w:val="20"/>
                <w:szCs w:val="24"/>
                <w:highlight w:val="yellow"/>
              </w:rPr>
            </w:pPr>
            <w:r w:rsidRPr="00995AD1">
              <w:rPr>
                <w:rFonts w:ascii="Arial Narrow" w:hAnsi="Arial Narrow" w:hint="eastAsia"/>
                <w:bCs/>
                <w:snapToGrid/>
                <w:color w:val="000000"/>
                <w:w w:val="15"/>
                <w:sz w:val="20"/>
                <w:szCs w:val="24"/>
                <w:shd w:val="solid" w:color="000000" w:fill="000000"/>
                <w:fitText w:val="40" w:id="-1505494771"/>
                <w14:textFill>
                  <w14:solidFill>
                    <w14:srgbClr w14:val="000000">
                      <w14:alpha w14:val="100000"/>
                    </w14:srgbClr>
                  </w14:solidFill>
                </w14:textFill>
              </w:rPr>
              <w:t xml:space="preserve">　</w:t>
            </w:r>
            <w:r w:rsidRPr="00995AD1">
              <w:rPr>
                <w:rFonts w:ascii="Arial Narrow" w:hAnsi="Arial Narrow"/>
                <w:bCs/>
                <w:snapToGrid/>
                <w:color w:val="000000"/>
                <w:w w:val="15"/>
                <w:sz w:val="20"/>
                <w:szCs w:val="24"/>
                <w:shd w:val="solid" w:color="000000" w:fill="000000"/>
                <w:fitText w:val="40" w:id="-1505494771"/>
                <w14:textFill>
                  <w14:solidFill>
                    <w14:srgbClr w14:val="000000">
                      <w14:alpha w14:val="100000"/>
                    </w14:srgbClr>
                  </w14:solidFill>
                </w14:textFill>
              </w:rPr>
              <w:t>|</w:t>
            </w:r>
            <w:r w:rsidRPr="00995AD1">
              <w:rPr>
                <w:rFonts w:ascii="Arial Narrow" w:hAnsi="Arial Narrow" w:hint="eastAsia"/>
                <w:bCs/>
                <w:snapToGrid/>
                <w:color w:val="000000"/>
                <w:spacing w:val="-25"/>
                <w:w w:val="15"/>
                <w:sz w:val="20"/>
                <w:szCs w:val="24"/>
                <w:shd w:val="solid" w:color="000000" w:fill="000000"/>
                <w:fitText w:val="40" w:id="-1505494771"/>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r>
      <w:tr w:rsidR="00FF1095" w:rsidRPr="004F370F" w14:paraId="216D11DF" w14:textId="77777777" w:rsidTr="006A25FF">
        <w:trPr>
          <w:trHeight w:val="20"/>
        </w:trPr>
        <w:tc>
          <w:tcPr>
            <w:tcW w:w="5000" w:type="pct"/>
            <w:gridSpan w:val="7"/>
          </w:tcPr>
          <w:p w14:paraId="424D1009" w14:textId="77777777" w:rsidR="00FF1095" w:rsidRPr="004F370F" w:rsidRDefault="00FF1095" w:rsidP="00422CCA">
            <w:pPr>
              <w:keepNext/>
              <w:keepLines/>
              <w:widowControl/>
              <w:jc w:val="left"/>
              <w:rPr>
                <w:rFonts w:ascii="Arial Narrow" w:hAnsi="Arial Narrow"/>
                <w:bCs/>
                <w:snapToGrid/>
                <w:sz w:val="20"/>
                <w:szCs w:val="24"/>
              </w:rPr>
            </w:pPr>
            <w:r w:rsidRPr="00D86EC7">
              <w:rPr>
                <w:rFonts w:ascii="Arial Narrow" w:hAnsi="Arial Narrow"/>
                <w:b/>
                <w:bCs/>
                <w:sz w:val="20"/>
                <w:szCs w:val="20"/>
              </w:rPr>
              <w:t>Net financial implications</w:t>
            </w:r>
          </w:p>
        </w:tc>
      </w:tr>
      <w:tr w:rsidR="006A25FF" w:rsidRPr="004F370F" w14:paraId="25851EE9" w14:textId="77777777" w:rsidTr="006A25FF">
        <w:trPr>
          <w:trHeight w:val="20"/>
        </w:trPr>
        <w:tc>
          <w:tcPr>
            <w:tcW w:w="858" w:type="pct"/>
          </w:tcPr>
          <w:p w14:paraId="7053615D" w14:textId="77777777" w:rsidR="00FF1095" w:rsidRPr="005F67A8" w:rsidRDefault="00FF1095" w:rsidP="00422CCA">
            <w:pPr>
              <w:keepNext/>
              <w:keepLines/>
              <w:widowControl/>
              <w:jc w:val="left"/>
              <w:rPr>
                <w:rFonts w:ascii="Arial Narrow" w:hAnsi="Arial Narrow" w:cs="Times New Roman"/>
                <w:bCs/>
                <w:snapToGrid/>
                <w:sz w:val="20"/>
                <w:szCs w:val="20"/>
              </w:rPr>
            </w:pPr>
            <w:r w:rsidRPr="005F67A8">
              <w:rPr>
                <w:rFonts w:ascii="Arial Narrow" w:hAnsi="Arial Narrow"/>
                <w:sz w:val="20"/>
                <w:szCs w:val="20"/>
              </w:rPr>
              <w:t>Net cost to PBS/RPBS</w:t>
            </w:r>
          </w:p>
        </w:tc>
        <w:tc>
          <w:tcPr>
            <w:tcW w:w="688" w:type="pct"/>
          </w:tcPr>
          <w:p w14:paraId="49CB2652" w14:textId="39A6387B"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5"/>
                <w:sz w:val="20"/>
                <w:szCs w:val="20"/>
                <w:shd w:val="solid" w:color="000000" w:fill="000000"/>
                <w:fitText w:val="113" w:id="-1505494770"/>
                <w14:textFill>
                  <w14:solidFill>
                    <w14:srgbClr w14:val="000000">
                      <w14:alpha w14:val="100000"/>
                    </w14:srgbClr>
                  </w14:solidFill>
                </w14:textFill>
              </w:rPr>
              <w:t xml:space="preserve">　</w:t>
            </w:r>
            <w:r w:rsidR="00995AD1" w:rsidRPr="00995AD1">
              <w:rPr>
                <w:rFonts w:ascii="Arial Narrow" w:hAnsi="Arial Narrow"/>
                <w:bCs/>
                <w:color w:val="000000"/>
                <w:w w:val="25"/>
                <w:sz w:val="20"/>
                <w:szCs w:val="20"/>
                <w:shd w:val="solid" w:color="000000" w:fill="000000"/>
                <w:fitText w:val="113" w:id="-1505494770"/>
                <w14:textFill>
                  <w14:solidFill>
                    <w14:srgbClr w14:val="000000">
                      <w14:alpha w14:val="100000"/>
                    </w14:srgbClr>
                  </w14:solidFill>
                </w14:textFill>
              </w:rPr>
              <w:t>|</w:t>
            </w:r>
            <w:r w:rsidR="00995AD1" w:rsidRPr="00995AD1">
              <w:rPr>
                <w:rFonts w:ascii="Arial Narrow" w:hAnsi="Arial Narrow" w:hint="eastAsia"/>
                <w:bCs/>
                <w:color w:val="000000"/>
                <w:spacing w:val="2"/>
                <w:w w:val="25"/>
                <w:sz w:val="20"/>
                <w:szCs w:val="20"/>
                <w:shd w:val="solid" w:color="000000" w:fill="000000"/>
                <w:fitText w:val="113" w:id="-1505494770"/>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1189E33F" w14:textId="70CA5B9E"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69"/>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69"/>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69"/>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71DF97FD" w14:textId="6821D0A6"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68"/>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68"/>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68"/>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29D6B647" w14:textId="44B5B230"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3"/>
                <w:sz w:val="20"/>
                <w:szCs w:val="20"/>
                <w:shd w:val="solid" w:color="000000" w:fill="000000"/>
                <w:fitText w:val="106" w:id="-1505494784"/>
                <w14:textFill>
                  <w14:solidFill>
                    <w14:srgbClr w14:val="000000">
                      <w14:alpha w14:val="100000"/>
                    </w14:srgbClr>
                  </w14:solidFill>
                </w14:textFill>
              </w:rPr>
              <w:t xml:space="preserve">　</w:t>
            </w:r>
            <w:r w:rsidR="00995AD1" w:rsidRPr="00995AD1">
              <w:rPr>
                <w:rFonts w:ascii="Arial Narrow" w:hAnsi="Arial Narrow"/>
                <w:bCs/>
                <w:color w:val="000000"/>
                <w:w w:val="23"/>
                <w:sz w:val="20"/>
                <w:szCs w:val="20"/>
                <w:shd w:val="solid" w:color="000000" w:fill="000000"/>
                <w:fitText w:val="106" w:id="-1505494784"/>
                <w14:textFill>
                  <w14:solidFill>
                    <w14:srgbClr w14:val="000000">
                      <w14:alpha w14:val="100000"/>
                    </w14:srgbClr>
                  </w14:solidFill>
                </w14:textFill>
              </w:rPr>
              <w:t>|</w:t>
            </w:r>
            <w:r w:rsidR="00995AD1" w:rsidRPr="00995AD1">
              <w:rPr>
                <w:rFonts w:ascii="Arial Narrow" w:hAnsi="Arial Narrow" w:hint="eastAsia"/>
                <w:bCs/>
                <w:color w:val="000000"/>
                <w:spacing w:val="5"/>
                <w:w w:val="23"/>
                <w:sz w:val="20"/>
                <w:szCs w:val="20"/>
                <w:shd w:val="solid" w:color="000000" w:fill="000000"/>
                <w:fitText w:val="106" w:id="-1505494784"/>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2D1B94E4" w14:textId="2D81DE75"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83"/>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83"/>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83"/>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706" w:type="pct"/>
          </w:tcPr>
          <w:p w14:paraId="162BB32A" w14:textId="5029CCD1" w:rsidR="00FF1095" w:rsidRPr="005F67A8" w:rsidRDefault="00FF1095" w:rsidP="00422CCA">
            <w:pPr>
              <w:keepNext/>
              <w:keepLines/>
              <w:widowControl/>
              <w:jc w:val="center"/>
              <w:rPr>
                <w:rFonts w:ascii="Arial Narrow" w:hAnsi="Arial Narrow"/>
                <w:bCs/>
                <w:snapToGrid/>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19"/>
                <w:sz w:val="20"/>
                <w:szCs w:val="20"/>
                <w:shd w:val="solid" w:color="000000" w:fill="000000"/>
                <w:fitText w:val="87" w:id="-1505494782"/>
                <w14:textFill>
                  <w14:solidFill>
                    <w14:srgbClr w14:val="000000">
                      <w14:alpha w14:val="100000"/>
                    </w14:srgbClr>
                  </w14:solidFill>
                </w14:textFill>
              </w:rPr>
              <w:t xml:space="preserve">　</w:t>
            </w:r>
            <w:r w:rsidR="00995AD1" w:rsidRPr="00995AD1">
              <w:rPr>
                <w:rFonts w:ascii="Arial Narrow" w:hAnsi="Arial Narrow"/>
                <w:bCs/>
                <w:color w:val="000000"/>
                <w:w w:val="19"/>
                <w:sz w:val="20"/>
                <w:szCs w:val="20"/>
                <w:shd w:val="solid" w:color="000000" w:fill="000000"/>
                <w:fitText w:val="87" w:id="-1505494782"/>
                <w14:textFill>
                  <w14:solidFill>
                    <w14:srgbClr w14:val="000000">
                      <w14:alpha w14:val="100000"/>
                    </w14:srgbClr>
                  </w14:solidFill>
                </w14:textFill>
              </w:rPr>
              <w:t>|</w:t>
            </w:r>
            <w:r w:rsidR="00995AD1" w:rsidRPr="00995AD1">
              <w:rPr>
                <w:rFonts w:ascii="Arial Narrow" w:hAnsi="Arial Narrow" w:hint="eastAsia"/>
                <w:bCs/>
                <w:color w:val="000000"/>
                <w:spacing w:val="3"/>
                <w:w w:val="19"/>
                <w:sz w:val="20"/>
                <w:szCs w:val="20"/>
                <w:shd w:val="solid" w:color="000000" w:fill="000000"/>
                <w:fitText w:val="87" w:id="-1505494782"/>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r>
      <w:tr w:rsidR="006A25FF" w:rsidRPr="004F370F" w14:paraId="4839DEA3" w14:textId="77777777" w:rsidTr="006A25FF">
        <w:trPr>
          <w:trHeight w:val="20"/>
        </w:trPr>
        <w:tc>
          <w:tcPr>
            <w:tcW w:w="858" w:type="pct"/>
          </w:tcPr>
          <w:p w14:paraId="7EFFA383"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MBS</w:t>
            </w:r>
          </w:p>
        </w:tc>
        <w:tc>
          <w:tcPr>
            <w:tcW w:w="688" w:type="pct"/>
          </w:tcPr>
          <w:p w14:paraId="3030D4BF" w14:textId="76231E9C"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5"/>
                <w:sz w:val="20"/>
                <w:szCs w:val="20"/>
                <w:shd w:val="solid" w:color="000000" w:fill="000000"/>
                <w:fitText w:val="113" w:id="-1505494781"/>
                <w14:textFill>
                  <w14:solidFill>
                    <w14:srgbClr w14:val="000000">
                      <w14:alpha w14:val="100000"/>
                    </w14:srgbClr>
                  </w14:solidFill>
                </w14:textFill>
              </w:rPr>
              <w:t xml:space="preserve">　</w:t>
            </w:r>
            <w:r w:rsidR="00995AD1" w:rsidRPr="00995AD1">
              <w:rPr>
                <w:rFonts w:ascii="Arial Narrow" w:hAnsi="Arial Narrow"/>
                <w:bCs/>
                <w:color w:val="000000"/>
                <w:w w:val="25"/>
                <w:sz w:val="20"/>
                <w:szCs w:val="20"/>
                <w:shd w:val="solid" w:color="000000" w:fill="000000"/>
                <w:fitText w:val="113" w:id="-1505494781"/>
                <w14:textFill>
                  <w14:solidFill>
                    <w14:srgbClr w14:val="000000">
                      <w14:alpha w14:val="100000"/>
                    </w14:srgbClr>
                  </w14:solidFill>
                </w14:textFill>
              </w:rPr>
              <w:t>|</w:t>
            </w:r>
            <w:r w:rsidR="00995AD1" w:rsidRPr="00995AD1">
              <w:rPr>
                <w:rFonts w:ascii="Arial Narrow" w:hAnsi="Arial Narrow" w:hint="eastAsia"/>
                <w:bCs/>
                <w:color w:val="000000"/>
                <w:spacing w:val="2"/>
                <w:w w:val="25"/>
                <w:sz w:val="20"/>
                <w:szCs w:val="20"/>
                <w:shd w:val="solid" w:color="000000" w:fill="000000"/>
                <w:fitText w:val="113" w:id="-1505494781"/>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5C5E7C7A" w14:textId="69467A3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80"/>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80"/>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80"/>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2FDA2D09" w14:textId="7FA752F3"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79"/>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79"/>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79"/>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5FFE8E81" w14:textId="632228C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3"/>
                <w:sz w:val="20"/>
                <w:szCs w:val="20"/>
                <w:shd w:val="solid" w:color="000000" w:fill="000000"/>
                <w:fitText w:val="106" w:id="-1505494778"/>
                <w14:textFill>
                  <w14:solidFill>
                    <w14:srgbClr w14:val="000000">
                      <w14:alpha w14:val="100000"/>
                    </w14:srgbClr>
                  </w14:solidFill>
                </w14:textFill>
              </w:rPr>
              <w:t xml:space="preserve">　</w:t>
            </w:r>
            <w:r w:rsidR="00995AD1" w:rsidRPr="00995AD1">
              <w:rPr>
                <w:rFonts w:ascii="Arial Narrow" w:hAnsi="Arial Narrow"/>
                <w:bCs/>
                <w:color w:val="000000"/>
                <w:w w:val="23"/>
                <w:sz w:val="20"/>
                <w:szCs w:val="20"/>
                <w:shd w:val="solid" w:color="000000" w:fill="000000"/>
                <w:fitText w:val="106" w:id="-1505494778"/>
                <w14:textFill>
                  <w14:solidFill>
                    <w14:srgbClr w14:val="000000">
                      <w14:alpha w14:val="100000"/>
                    </w14:srgbClr>
                  </w14:solidFill>
                </w14:textFill>
              </w:rPr>
              <w:t>|</w:t>
            </w:r>
            <w:r w:rsidR="00995AD1" w:rsidRPr="00995AD1">
              <w:rPr>
                <w:rFonts w:ascii="Arial Narrow" w:hAnsi="Arial Narrow" w:hint="eastAsia"/>
                <w:bCs/>
                <w:color w:val="000000"/>
                <w:spacing w:val="5"/>
                <w:w w:val="23"/>
                <w:sz w:val="20"/>
                <w:szCs w:val="20"/>
                <w:shd w:val="solid" w:color="000000" w:fill="000000"/>
                <w:fitText w:val="106" w:id="-1505494778"/>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687" w:type="pct"/>
          </w:tcPr>
          <w:p w14:paraId="43ADDBB5" w14:textId="63A20422"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24"/>
                <w:sz w:val="20"/>
                <w:szCs w:val="20"/>
                <w:shd w:val="solid" w:color="000000" w:fill="000000"/>
                <w:fitText w:val="107" w:id="-1505494777"/>
                <w14:textFill>
                  <w14:solidFill>
                    <w14:srgbClr w14:val="000000">
                      <w14:alpha w14:val="100000"/>
                    </w14:srgbClr>
                  </w14:solidFill>
                </w14:textFill>
              </w:rPr>
              <w:t xml:space="preserve">　</w:t>
            </w:r>
            <w:r w:rsidR="00995AD1" w:rsidRPr="00995AD1">
              <w:rPr>
                <w:rFonts w:ascii="Arial Narrow" w:hAnsi="Arial Narrow"/>
                <w:bCs/>
                <w:color w:val="000000"/>
                <w:w w:val="24"/>
                <w:sz w:val="20"/>
                <w:szCs w:val="20"/>
                <w:shd w:val="solid" w:color="000000" w:fill="000000"/>
                <w:fitText w:val="107" w:id="-1505494777"/>
                <w14:textFill>
                  <w14:solidFill>
                    <w14:srgbClr w14:val="000000">
                      <w14:alpha w14:val="100000"/>
                    </w14:srgbClr>
                  </w14:solidFill>
                </w14:textFill>
              </w:rPr>
              <w:t>|</w:t>
            </w:r>
            <w:r w:rsidR="00995AD1" w:rsidRPr="00995AD1">
              <w:rPr>
                <w:rFonts w:ascii="Arial Narrow" w:hAnsi="Arial Narrow" w:hint="eastAsia"/>
                <w:bCs/>
                <w:color w:val="000000"/>
                <w:spacing w:val="3"/>
                <w:w w:val="24"/>
                <w:sz w:val="20"/>
                <w:szCs w:val="20"/>
                <w:shd w:val="solid" w:color="000000" w:fill="000000"/>
                <w:fitText w:val="107" w:id="-1505494777"/>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c>
          <w:tcPr>
            <w:tcW w:w="706" w:type="pct"/>
          </w:tcPr>
          <w:p w14:paraId="7FD2775B" w14:textId="59330E6A"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bCs/>
                <w:color w:val="000000"/>
                <w:sz w:val="20"/>
                <w:szCs w:val="20"/>
              </w:rPr>
              <w:t>$</w:t>
            </w:r>
            <w:r w:rsidR="00995AD1" w:rsidRPr="00995AD1">
              <w:rPr>
                <w:rFonts w:ascii="Arial Narrow" w:hAnsi="Arial Narrow" w:hint="eastAsia"/>
                <w:bCs/>
                <w:color w:val="000000"/>
                <w:w w:val="19"/>
                <w:sz w:val="20"/>
                <w:szCs w:val="20"/>
                <w:shd w:val="solid" w:color="000000" w:fill="000000"/>
                <w:fitText w:val="87" w:id="-1505494776"/>
                <w14:textFill>
                  <w14:solidFill>
                    <w14:srgbClr w14:val="000000">
                      <w14:alpha w14:val="100000"/>
                    </w14:srgbClr>
                  </w14:solidFill>
                </w14:textFill>
              </w:rPr>
              <w:t xml:space="preserve">　</w:t>
            </w:r>
            <w:r w:rsidR="00995AD1" w:rsidRPr="00995AD1">
              <w:rPr>
                <w:rFonts w:ascii="Arial Narrow" w:hAnsi="Arial Narrow"/>
                <w:bCs/>
                <w:color w:val="000000"/>
                <w:w w:val="19"/>
                <w:sz w:val="20"/>
                <w:szCs w:val="20"/>
                <w:shd w:val="solid" w:color="000000" w:fill="000000"/>
                <w:fitText w:val="87" w:id="-1505494776"/>
                <w14:textFill>
                  <w14:solidFill>
                    <w14:srgbClr w14:val="000000">
                      <w14:alpha w14:val="100000"/>
                    </w14:srgbClr>
                  </w14:solidFill>
                </w14:textFill>
              </w:rPr>
              <w:t>|</w:t>
            </w:r>
            <w:r w:rsidR="00995AD1" w:rsidRPr="00995AD1">
              <w:rPr>
                <w:rFonts w:ascii="Arial Narrow" w:hAnsi="Arial Narrow" w:hint="eastAsia"/>
                <w:bCs/>
                <w:color w:val="000000"/>
                <w:spacing w:val="3"/>
                <w:w w:val="19"/>
                <w:sz w:val="20"/>
                <w:szCs w:val="20"/>
                <w:shd w:val="solid" w:color="000000" w:fill="000000"/>
                <w:fitText w:val="87" w:id="-1505494776"/>
                <w14:textFill>
                  <w14:solidFill>
                    <w14:srgbClr w14:val="000000">
                      <w14:alpha w14:val="100000"/>
                    </w14:srgbClr>
                  </w14:solidFill>
                </w14:textFill>
              </w:rPr>
              <w:t xml:space="preserve">　</w:t>
            </w:r>
            <w:r w:rsidR="006A25FF" w:rsidRPr="006A25FF">
              <w:rPr>
                <w:rFonts w:ascii="Arial Narrow" w:hAnsi="Arial Narrow"/>
                <w:bCs/>
                <w:color w:val="000000"/>
                <w:sz w:val="20"/>
                <w:szCs w:val="20"/>
                <w:vertAlign w:val="superscript"/>
              </w:rPr>
              <w:t>3</w:t>
            </w:r>
          </w:p>
        </w:tc>
      </w:tr>
      <w:tr w:rsidR="006A25FF" w:rsidRPr="004F370F" w14:paraId="1AE0175E" w14:textId="77777777" w:rsidTr="006A25FF">
        <w:trPr>
          <w:trHeight w:val="20"/>
        </w:trPr>
        <w:tc>
          <w:tcPr>
            <w:tcW w:w="858" w:type="pct"/>
          </w:tcPr>
          <w:p w14:paraId="6F1EE15D"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PBS/RPBS/ MBS</w:t>
            </w:r>
          </w:p>
        </w:tc>
        <w:tc>
          <w:tcPr>
            <w:tcW w:w="688" w:type="pct"/>
          </w:tcPr>
          <w:p w14:paraId="0EB897F0" w14:textId="2CFB8A04"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25"/>
                <w:sz w:val="20"/>
                <w:szCs w:val="20"/>
                <w:shd w:val="solid" w:color="000000" w:fill="000000"/>
                <w:fitText w:val="113" w:id="-1505494775"/>
                <w14:textFill>
                  <w14:solidFill>
                    <w14:srgbClr w14:val="000000">
                      <w14:alpha w14:val="100000"/>
                    </w14:srgbClr>
                  </w14:solidFill>
                </w14:textFill>
              </w:rPr>
              <w:t xml:space="preserve">　</w:t>
            </w:r>
            <w:r w:rsidR="00995AD1" w:rsidRPr="00995AD1">
              <w:rPr>
                <w:rFonts w:ascii="Arial Narrow" w:hAnsi="Arial Narrow"/>
                <w:color w:val="000000"/>
                <w:w w:val="25"/>
                <w:sz w:val="20"/>
                <w:szCs w:val="20"/>
                <w:shd w:val="solid" w:color="000000" w:fill="000000"/>
                <w:fitText w:val="113" w:id="-1505494775"/>
                <w14:textFill>
                  <w14:solidFill>
                    <w14:srgbClr w14:val="000000">
                      <w14:alpha w14:val="100000"/>
                    </w14:srgbClr>
                  </w14:solidFill>
                </w14:textFill>
              </w:rPr>
              <w:t>|</w:t>
            </w:r>
            <w:r w:rsidR="00995AD1" w:rsidRPr="00995AD1">
              <w:rPr>
                <w:rFonts w:ascii="Arial Narrow" w:hAnsi="Arial Narrow" w:hint="eastAsia"/>
                <w:color w:val="000000"/>
                <w:spacing w:val="2"/>
                <w:w w:val="25"/>
                <w:sz w:val="20"/>
                <w:szCs w:val="20"/>
                <w:shd w:val="solid" w:color="000000" w:fill="000000"/>
                <w:fitText w:val="113" w:id="-1505494775"/>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5AA97C12" w14:textId="5781D022"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24"/>
                <w:sz w:val="20"/>
                <w:szCs w:val="20"/>
                <w:shd w:val="solid" w:color="000000" w:fill="000000"/>
                <w:fitText w:val="107" w:id="-1505494774"/>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4"/>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4"/>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3309ACFC" w14:textId="7A61E14A"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24"/>
                <w:sz w:val="20"/>
                <w:szCs w:val="20"/>
                <w:shd w:val="solid" w:color="000000" w:fill="000000"/>
                <w:fitText w:val="107" w:id="-1505494773"/>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3"/>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3"/>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153E0F59" w14:textId="13315DD3"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23"/>
                <w:sz w:val="20"/>
                <w:szCs w:val="20"/>
                <w:shd w:val="solid" w:color="000000" w:fill="000000"/>
                <w:fitText w:val="106" w:id="-1505494772"/>
                <w14:textFill>
                  <w14:solidFill>
                    <w14:srgbClr w14:val="000000">
                      <w14:alpha w14:val="100000"/>
                    </w14:srgbClr>
                  </w14:solidFill>
                </w14:textFill>
              </w:rPr>
              <w:t xml:space="preserve">　</w:t>
            </w:r>
            <w:r w:rsidR="00995AD1" w:rsidRPr="00995AD1">
              <w:rPr>
                <w:rFonts w:ascii="Arial Narrow" w:hAnsi="Arial Narrow"/>
                <w:color w:val="000000"/>
                <w:w w:val="23"/>
                <w:sz w:val="20"/>
                <w:szCs w:val="20"/>
                <w:shd w:val="solid" w:color="000000" w:fill="000000"/>
                <w:fitText w:val="106" w:id="-1505494772"/>
                <w14:textFill>
                  <w14:solidFill>
                    <w14:srgbClr w14:val="000000">
                      <w14:alpha w14:val="100000"/>
                    </w14:srgbClr>
                  </w14:solidFill>
                </w14:textFill>
              </w:rPr>
              <w:t>|</w:t>
            </w:r>
            <w:r w:rsidR="00995AD1" w:rsidRPr="00995AD1">
              <w:rPr>
                <w:rFonts w:ascii="Arial Narrow" w:hAnsi="Arial Narrow" w:hint="eastAsia"/>
                <w:color w:val="000000"/>
                <w:spacing w:val="5"/>
                <w:w w:val="23"/>
                <w:sz w:val="20"/>
                <w:szCs w:val="20"/>
                <w:shd w:val="solid" w:color="000000" w:fill="000000"/>
                <w:fitText w:val="106" w:id="-1505494772"/>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687" w:type="pct"/>
          </w:tcPr>
          <w:p w14:paraId="08DF8DF8" w14:textId="0148C1FD"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24"/>
                <w:sz w:val="20"/>
                <w:szCs w:val="20"/>
                <w:shd w:val="solid" w:color="000000" w:fill="000000"/>
                <w:fitText w:val="107" w:id="-1505494771"/>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1"/>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1"/>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c>
          <w:tcPr>
            <w:tcW w:w="706" w:type="pct"/>
          </w:tcPr>
          <w:p w14:paraId="03562542" w14:textId="0A7C2B34" w:rsidR="00FF1095" w:rsidRPr="005F67A8" w:rsidRDefault="00FF1095" w:rsidP="00422CCA">
            <w:pPr>
              <w:keepNext/>
              <w:keepLines/>
              <w:widowControl/>
              <w:jc w:val="center"/>
              <w:rPr>
                <w:rFonts w:ascii="Arial Narrow" w:hAnsi="Arial Narrow"/>
                <w:bCs/>
                <w:color w:val="000000"/>
                <w:sz w:val="20"/>
                <w:szCs w:val="20"/>
              </w:rPr>
            </w:pPr>
            <w:r w:rsidRPr="005F67A8">
              <w:rPr>
                <w:rFonts w:ascii="Arial Narrow" w:hAnsi="Arial Narrow"/>
                <w:color w:val="000000"/>
                <w:sz w:val="20"/>
                <w:szCs w:val="20"/>
              </w:rPr>
              <w:t>$</w:t>
            </w:r>
            <w:r w:rsidR="00995AD1" w:rsidRPr="00995AD1">
              <w:rPr>
                <w:rFonts w:ascii="Arial Narrow" w:hAnsi="Arial Narrow" w:hint="eastAsia"/>
                <w:color w:val="000000"/>
                <w:w w:val="19"/>
                <w:sz w:val="20"/>
                <w:szCs w:val="20"/>
                <w:shd w:val="solid" w:color="000000" w:fill="000000"/>
                <w:fitText w:val="87" w:id="-1505494770"/>
                <w14:textFill>
                  <w14:solidFill>
                    <w14:srgbClr w14:val="000000">
                      <w14:alpha w14:val="100000"/>
                    </w14:srgbClr>
                  </w14:solidFill>
                </w14:textFill>
              </w:rPr>
              <w:t xml:space="preserve">　</w:t>
            </w:r>
            <w:r w:rsidR="00995AD1" w:rsidRPr="00995AD1">
              <w:rPr>
                <w:rFonts w:ascii="Arial Narrow" w:hAnsi="Arial Narrow"/>
                <w:color w:val="000000"/>
                <w:w w:val="19"/>
                <w:sz w:val="20"/>
                <w:szCs w:val="20"/>
                <w:shd w:val="solid" w:color="000000" w:fill="000000"/>
                <w:fitText w:val="87" w:id="-1505494770"/>
                <w14:textFill>
                  <w14:solidFill>
                    <w14:srgbClr w14:val="000000">
                      <w14:alpha w14:val="100000"/>
                    </w14:srgbClr>
                  </w14:solidFill>
                </w14:textFill>
              </w:rPr>
              <w:t>|</w:t>
            </w:r>
            <w:r w:rsidR="00995AD1" w:rsidRPr="00995AD1">
              <w:rPr>
                <w:rFonts w:ascii="Arial Narrow" w:hAnsi="Arial Narrow" w:hint="eastAsia"/>
                <w:color w:val="000000"/>
                <w:spacing w:val="3"/>
                <w:w w:val="19"/>
                <w:sz w:val="20"/>
                <w:szCs w:val="20"/>
                <w:shd w:val="solid" w:color="000000" w:fill="000000"/>
                <w:fitText w:val="87" w:id="-1505494770"/>
                <w14:textFill>
                  <w14:solidFill>
                    <w14:srgbClr w14:val="000000">
                      <w14:alpha w14:val="100000"/>
                    </w14:srgbClr>
                  </w14:solidFill>
                </w14:textFill>
              </w:rPr>
              <w:t xml:space="preserve">　</w:t>
            </w:r>
            <w:r w:rsidR="006A25FF">
              <w:rPr>
                <w:rFonts w:ascii="Arial Narrow" w:hAnsi="Arial Narrow"/>
                <w:bCs/>
                <w:snapToGrid/>
                <w:sz w:val="20"/>
                <w:szCs w:val="24"/>
                <w:vertAlign w:val="superscript"/>
              </w:rPr>
              <w:t>2</w:t>
            </w:r>
          </w:p>
        </w:tc>
      </w:tr>
      <w:tr w:rsidR="00FF1095" w:rsidRPr="004F370F" w14:paraId="21412432" w14:textId="77777777" w:rsidTr="006A25FF">
        <w:trPr>
          <w:trHeight w:val="20"/>
        </w:trPr>
        <w:tc>
          <w:tcPr>
            <w:tcW w:w="5000" w:type="pct"/>
            <w:gridSpan w:val="7"/>
            <w:shd w:val="clear" w:color="auto" w:fill="F2F2F2" w:themeFill="background1" w:themeFillShade="F2"/>
          </w:tcPr>
          <w:p w14:paraId="21ED2214" w14:textId="77777777" w:rsidR="00FF1095" w:rsidRPr="004F370F" w:rsidRDefault="00FF1095" w:rsidP="00422CCA">
            <w:pPr>
              <w:keepNext/>
              <w:keepLines/>
              <w:widowControl/>
              <w:jc w:val="left"/>
              <w:rPr>
                <w:rFonts w:ascii="Arial Narrow" w:hAnsi="Arial Narrow"/>
                <w:bCs/>
                <w:snapToGrid/>
                <w:sz w:val="20"/>
                <w:szCs w:val="24"/>
              </w:rPr>
            </w:pPr>
            <w:r w:rsidRPr="00620250">
              <w:rPr>
                <w:rFonts w:ascii="Arial Narrow" w:hAnsi="Arial Narrow"/>
                <w:b/>
                <w:sz w:val="20"/>
                <w:szCs w:val="20"/>
              </w:rPr>
              <w:t>Previous submission</w:t>
            </w:r>
            <w:r>
              <w:rPr>
                <w:rFonts w:ascii="Arial Narrow" w:hAnsi="Arial Narrow"/>
                <w:b/>
                <w:sz w:val="20"/>
                <w:szCs w:val="20"/>
              </w:rPr>
              <w:t xml:space="preserve"> (as provided in pre-PBAC response)</w:t>
            </w:r>
          </w:p>
        </w:tc>
      </w:tr>
      <w:tr w:rsidR="006A25FF" w:rsidRPr="004F370F" w14:paraId="74570EA2" w14:textId="77777777" w:rsidTr="006A25FF">
        <w:trPr>
          <w:trHeight w:val="20"/>
        </w:trPr>
        <w:tc>
          <w:tcPr>
            <w:tcW w:w="858" w:type="pct"/>
            <w:shd w:val="clear" w:color="auto" w:fill="F2F2F2" w:themeFill="background1" w:themeFillShade="F2"/>
          </w:tcPr>
          <w:p w14:paraId="5B165E37" w14:textId="77777777" w:rsidR="00FF1095" w:rsidRPr="005F67A8" w:rsidRDefault="00FF1095" w:rsidP="00422CCA">
            <w:pPr>
              <w:keepNext/>
              <w:keepLines/>
              <w:widowControl/>
              <w:jc w:val="left"/>
              <w:rPr>
                <w:rFonts w:ascii="Arial Narrow" w:hAnsi="Arial Narrow"/>
                <w:b/>
                <w:sz w:val="20"/>
                <w:szCs w:val="20"/>
              </w:rPr>
            </w:pPr>
            <w:r w:rsidRPr="005F67A8">
              <w:rPr>
                <w:rFonts w:ascii="Arial Narrow" w:hAnsi="Arial Narrow"/>
                <w:sz w:val="20"/>
                <w:szCs w:val="20"/>
              </w:rPr>
              <w:t>Number of patients treated</w:t>
            </w:r>
          </w:p>
        </w:tc>
        <w:tc>
          <w:tcPr>
            <w:tcW w:w="688" w:type="pct"/>
            <w:shd w:val="clear" w:color="auto" w:fill="F2F2F2" w:themeFill="background1" w:themeFillShade="F2"/>
          </w:tcPr>
          <w:p w14:paraId="04294BD6" w14:textId="7C29B274"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60" w:id="-1505494769"/>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60" w:id="-1505494769"/>
                <w14:textFill>
                  <w14:solidFill>
                    <w14:srgbClr w14:val="000000">
                      <w14:alpha w14:val="100000"/>
                    </w14:srgbClr>
                  </w14:solidFill>
                </w14:textFill>
              </w:rPr>
              <w:t>|</w:t>
            </w:r>
            <w:r w:rsidRPr="00995AD1">
              <w:rPr>
                <w:rFonts w:ascii="Arial Narrow" w:hAnsi="Arial Narrow" w:hint="eastAsia"/>
                <w:color w:val="000000"/>
                <w:spacing w:val="-5"/>
                <w:w w:val="15"/>
                <w:sz w:val="20"/>
                <w:szCs w:val="20"/>
                <w:shd w:val="solid" w:color="000000" w:fill="000000"/>
                <w:fitText w:val="60" w:id="-1505494769"/>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3F4EFAC7" w14:textId="6176A8F9"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66" w:id="-1505494768"/>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66" w:id="-1505494768"/>
                <w14:textFill>
                  <w14:solidFill>
                    <w14:srgbClr w14:val="000000">
                      <w14:alpha w14:val="100000"/>
                    </w14:srgbClr>
                  </w14:solidFill>
                </w14:textFill>
              </w:rPr>
              <w:t>|</w:t>
            </w:r>
            <w:r w:rsidRPr="00995AD1">
              <w:rPr>
                <w:rFonts w:ascii="Arial Narrow" w:hAnsi="Arial Narrow" w:hint="eastAsia"/>
                <w:color w:val="000000"/>
                <w:w w:val="15"/>
                <w:sz w:val="20"/>
                <w:szCs w:val="20"/>
                <w:shd w:val="solid" w:color="000000" w:fill="000000"/>
                <w:fitText w:val="66" w:id="-1505494768"/>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53F77A4F" w14:textId="62D3D069"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67" w:id="-1505494784"/>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67" w:id="-1505494784"/>
                <w14:textFill>
                  <w14:solidFill>
                    <w14:srgbClr w14:val="000000">
                      <w14:alpha w14:val="100000"/>
                    </w14:srgbClr>
                  </w14:solidFill>
                </w14:textFill>
              </w:rPr>
              <w:t>|</w:t>
            </w:r>
            <w:r w:rsidRPr="00995AD1">
              <w:rPr>
                <w:rFonts w:ascii="Arial Narrow" w:hAnsi="Arial Narrow" w:hint="eastAsia"/>
                <w:color w:val="000000"/>
                <w:spacing w:val="1"/>
                <w:w w:val="15"/>
                <w:sz w:val="20"/>
                <w:szCs w:val="20"/>
                <w:shd w:val="solid" w:color="000000" w:fill="000000"/>
                <w:fitText w:val="67" w:id="-1505494784"/>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581C169E" w14:textId="52ABBC48"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67" w:id="-1505494783"/>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67" w:id="-1505494783"/>
                <w14:textFill>
                  <w14:solidFill>
                    <w14:srgbClr w14:val="000000">
                      <w14:alpha w14:val="100000"/>
                    </w14:srgbClr>
                  </w14:solidFill>
                </w14:textFill>
              </w:rPr>
              <w:t>|</w:t>
            </w:r>
            <w:r w:rsidRPr="00995AD1">
              <w:rPr>
                <w:rFonts w:ascii="Arial Narrow" w:hAnsi="Arial Narrow" w:hint="eastAsia"/>
                <w:color w:val="000000"/>
                <w:spacing w:val="1"/>
                <w:w w:val="15"/>
                <w:sz w:val="20"/>
                <w:szCs w:val="20"/>
                <w:shd w:val="solid" w:color="000000" w:fill="000000"/>
                <w:fitText w:val="67" w:id="-1505494783"/>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687" w:type="pct"/>
            <w:shd w:val="clear" w:color="auto" w:fill="F2F2F2" w:themeFill="background1" w:themeFillShade="F2"/>
          </w:tcPr>
          <w:p w14:paraId="489C9725" w14:textId="0D787F8D"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66" w:id="-1505494782"/>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66" w:id="-1505494782"/>
                <w14:textFill>
                  <w14:solidFill>
                    <w14:srgbClr w14:val="000000">
                      <w14:alpha w14:val="100000"/>
                    </w14:srgbClr>
                  </w14:solidFill>
                </w14:textFill>
              </w:rPr>
              <w:t>|</w:t>
            </w:r>
            <w:r w:rsidRPr="00995AD1">
              <w:rPr>
                <w:rFonts w:ascii="Arial Narrow" w:hAnsi="Arial Narrow" w:hint="eastAsia"/>
                <w:color w:val="000000"/>
                <w:w w:val="15"/>
                <w:sz w:val="20"/>
                <w:szCs w:val="20"/>
                <w:shd w:val="solid" w:color="000000" w:fill="000000"/>
                <w:fitText w:val="66" w:id="-1505494782"/>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c>
          <w:tcPr>
            <w:tcW w:w="706" w:type="pct"/>
            <w:shd w:val="clear" w:color="auto" w:fill="F2F2F2" w:themeFill="background1" w:themeFillShade="F2"/>
          </w:tcPr>
          <w:p w14:paraId="3A5F47EC" w14:textId="78374F41" w:rsidR="00FF1095" w:rsidRPr="006A25FF" w:rsidRDefault="00995AD1" w:rsidP="00422CCA">
            <w:pPr>
              <w:keepNext/>
              <w:keepLines/>
              <w:widowControl/>
              <w:jc w:val="center"/>
              <w:rPr>
                <w:rFonts w:ascii="Arial Narrow" w:hAnsi="Arial Narrow"/>
                <w:bCs/>
                <w:snapToGrid/>
                <w:sz w:val="20"/>
                <w:szCs w:val="20"/>
                <w:highlight w:val="yellow"/>
              </w:rPr>
            </w:pPr>
            <w:r w:rsidRPr="00995AD1">
              <w:rPr>
                <w:rFonts w:ascii="Arial Narrow" w:hAnsi="Arial Narrow" w:hint="eastAsia"/>
                <w:color w:val="000000"/>
                <w:w w:val="15"/>
                <w:sz w:val="20"/>
                <w:szCs w:val="20"/>
                <w:shd w:val="solid" w:color="000000" w:fill="000000"/>
                <w:fitText w:val="40" w:id="-1505494781"/>
                <w14:textFill>
                  <w14:solidFill>
                    <w14:srgbClr w14:val="000000">
                      <w14:alpha w14:val="100000"/>
                    </w14:srgbClr>
                  </w14:solidFill>
                </w14:textFill>
              </w:rPr>
              <w:t xml:space="preserve">　</w:t>
            </w:r>
            <w:r w:rsidRPr="00995AD1">
              <w:rPr>
                <w:rFonts w:ascii="Arial Narrow" w:hAnsi="Arial Narrow"/>
                <w:color w:val="000000"/>
                <w:w w:val="15"/>
                <w:sz w:val="20"/>
                <w:szCs w:val="20"/>
                <w:shd w:val="solid" w:color="000000" w:fill="000000"/>
                <w:fitText w:val="40" w:id="-1505494781"/>
                <w14:textFill>
                  <w14:solidFill>
                    <w14:srgbClr w14:val="000000">
                      <w14:alpha w14:val="100000"/>
                    </w14:srgbClr>
                  </w14:solidFill>
                </w14:textFill>
              </w:rPr>
              <w:t>|</w:t>
            </w:r>
            <w:r w:rsidRPr="00995AD1">
              <w:rPr>
                <w:rFonts w:ascii="Arial Narrow" w:hAnsi="Arial Narrow" w:hint="eastAsia"/>
                <w:color w:val="000000"/>
                <w:spacing w:val="-25"/>
                <w:w w:val="15"/>
                <w:sz w:val="20"/>
                <w:szCs w:val="20"/>
                <w:shd w:val="solid" w:color="000000" w:fill="000000"/>
                <w:fitText w:val="40" w:id="-1505494781"/>
                <w14:textFill>
                  <w14:solidFill>
                    <w14:srgbClr w14:val="000000">
                      <w14:alpha w14:val="100000"/>
                    </w14:srgbClr>
                  </w14:solidFill>
                </w14:textFill>
              </w:rPr>
              <w:t xml:space="preserve">　</w:t>
            </w:r>
            <w:r w:rsidR="006A25FF" w:rsidRPr="006A25FF">
              <w:rPr>
                <w:rFonts w:ascii="Arial Narrow" w:hAnsi="Arial Narrow"/>
                <w:bCs/>
                <w:snapToGrid/>
                <w:sz w:val="20"/>
                <w:szCs w:val="24"/>
                <w:vertAlign w:val="superscript"/>
              </w:rPr>
              <w:t>1</w:t>
            </w:r>
          </w:p>
        </w:tc>
      </w:tr>
      <w:tr w:rsidR="006A25FF" w:rsidRPr="004F370F" w14:paraId="028BB07C" w14:textId="77777777" w:rsidTr="006A25FF">
        <w:trPr>
          <w:trHeight w:val="20"/>
        </w:trPr>
        <w:tc>
          <w:tcPr>
            <w:tcW w:w="858" w:type="pct"/>
            <w:shd w:val="clear" w:color="auto" w:fill="F2F2F2" w:themeFill="background1" w:themeFillShade="F2"/>
          </w:tcPr>
          <w:p w14:paraId="4AD95E41" w14:textId="77777777" w:rsidR="00FF1095" w:rsidRPr="005F67A8" w:rsidRDefault="00FF1095" w:rsidP="00422CCA">
            <w:pPr>
              <w:keepNext/>
              <w:keepLines/>
              <w:widowControl/>
              <w:jc w:val="left"/>
              <w:rPr>
                <w:rFonts w:ascii="Arial Narrow" w:hAnsi="Arial Narrow"/>
                <w:sz w:val="20"/>
                <w:szCs w:val="20"/>
              </w:rPr>
            </w:pPr>
            <w:r w:rsidRPr="005F67A8">
              <w:rPr>
                <w:rFonts w:ascii="Arial Narrow" w:hAnsi="Arial Narrow"/>
                <w:sz w:val="20"/>
                <w:szCs w:val="20"/>
              </w:rPr>
              <w:t>Net cost to PBS/RPBS</w:t>
            </w:r>
          </w:p>
        </w:tc>
        <w:tc>
          <w:tcPr>
            <w:tcW w:w="688" w:type="pct"/>
            <w:shd w:val="clear" w:color="auto" w:fill="F2F2F2" w:themeFill="background1" w:themeFillShade="F2"/>
          </w:tcPr>
          <w:p w14:paraId="1001B1C4" w14:textId="659CA10D"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25"/>
                <w:sz w:val="20"/>
                <w:szCs w:val="20"/>
                <w:shd w:val="solid" w:color="000000" w:fill="000000"/>
                <w:fitText w:val="113" w:id="-1505494780"/>
                <w14:textFill>
                  <w14:solidFill>
                    <w14:srgbClr w14:val="000000">
                      <w14:alpha w14:val="100000"/>
                    </w14:srgbClr>
                  </w14:solidFill>
                </w14:textFill>
              </w:rPr>
              <w:t xml:space="preserve">　</w:t>
            </w:r>
            <w:r w:rsidR="00995AD1" w:rsidRPr="00995AD1">
              <w:rPr>
                <w:rFonts w:ascii="Arial Narrow" w:hAnsi="Arial Narrow"/>
                <w:color w:val="000000"/>
                <w:w w:val="25"/>
                <w:sz w:val="20"/>
                <w:szCs w:val="20"/>
                <w:shd w:val="solid" w:color="000000" w:fill="000000"/>
                <w:fitText w:val="113" w:id="-1505494780"/>
                <w14:textFill>
                  <w14:solidFill>
                    <w14:srgbClr w14:val="000000">
                      <w14:alpha w14:val="100000"/>
                    </w14:srgbClr>
                  </w14:solidFill>
                </w14:textFill>
              </w:rPr>
              <w:t>|</w:t>
            </w:r>
            <w:r w:rsidR="00995AD1" w:rsidRPr="00995AD1">
              <w:rPr>
                <w:rFonts w:ascii="Arial Narrow" w:hAnsi="Arial Narrow" w:hint="eastAsia"/>
                <w:color w:val="000000"/>
                <w:spacing w:val="2"/>
                <w:w w:val="25"/>
                <w:sz w:val="20"/>
                <w:szCs w:val="20"/>
                <w:shd w:val="solid" w:color="000000" w:fill="000000"/>
                <w:fitText w:val="113" w:id="-1505494780"/>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2C0D70FD" w14:textId="0062E5F8"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24"/>
                <w:sz w:val="20"/>
                <w:szCs w:val="20"/>
                <w:shd w:val="solid" w:color="000000" w:fill="000000"/>
                <w:fitText w:val="107" w:id="-1505494779"/>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9"/>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9"/>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1AB46A03" w14:textId="0D15FA31"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24"/>
                <w:sz w:val="20"/>
                <w:szCs w:val="20"/>
                <w:shd w:val="solid" w:color="000000" w:fill="000000"/>
                <w:fitText w:val="107" w:id="-1505494778"/>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8"/>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8"/>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1653AF3D" w14:textId="73169BEE"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23"/>
                <w:sz w:val="20"/>
                <w:szCs w:val="20"/>
                <w:shd w:val="solid" w:color="000000" w:fill="000000"/>
                <w:fitText w:val="106" w:id="-1505494777"/>
                <w14:textFill>
                  <w14:solidFill>
                    <w14:srgbClr w14:val="000000">
                      <w14:alpha w14:val="100000"/>
                    </w14:srgbClr>
                  </w14:solidFill>
                </w14:textFill>
              </w:rPr>
              <w:t xml:space="preserve">　</w:t>
            </w:r>
            <w:r w:rsidR="00995AD1" w:rsidRPr="00995AD1">
              <w:rPr>
                <w:rFonts w:ascii="Arial Narrow" w:hAnsi="Arial Narrow"/>
                <w:color w:val="000000"/>
                <w:w w:val="23"/>
                <w:sz w:val="20"/>
                <w:szCs w:val="20"/>
                <w:shd w:val="solid" w:color="000000" w:fill="000000"/>
                <w:fitText w:val="106" w:id="-1505494777"/>
                <w14:textFill>
                  <w14:solidFill>
                    <w14:srgbClr w14:val="000000">
                      <w14:alpha w14:val="100000"/>
                    </w14:srgbClr>
                  </w14:solidFill>
                </w14:textFill>
              </w:rPr>
              <w:t>|</w:t>
            </w:r>
            <w:r w:rsidR="00995AD1" w:rsidRPr="00995AD1">
              <w:rPr>
                <w:rFonts w:ascii="Arial Narrow" w:hAnsi="Arial Narrow" w:hint="eastAsia"/>
                <w:color w:val="000000"/>
                <w:spacing w:val="5"/>
                <w:w w:val="23"/>
                <w:sz w:val="20"/>
                <w:szCs w:val="20"/>
                <w:shd w:val="solid" w:color="000000" w:fill="000000"/>
                <w:fitText w:val="106" w:id="-1505494777"/>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687" w:type="pct"/>
            <w:shd w:val="clear" w:color="auto" w:fill="F2F2F2" w:themeFill="background1" w:themeFillShade="F2"/>
          </w:tcPr>
          <w:p w14:paraId="237668D7" w14:textId="2D37BAB0"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24"/>
                <w:sz w:val="20"/>
                <w:szCs w:val="20"/>
                <w:shd w:val="solid" w:color="000000" w:fill="000000"/>
                <w:fitText w:val="107" w:id="-1505494776"/>
                <w14:textFill>
                  <w14:solidFill>
                    <w14:srgbClr w14:val="000000">
                      <w14:alpha w14:val="100000"/>
                    </w14:srgbClr>
                  </w14:solidFill>
                </w14:textFill>
              </w:rPr>
              <w:t xml:space="preserve">　</w:t>
            </w:r>
            <w:r w:rsidR="00995AD1" w:rsidRPr="00995AD1">
              <w:rPr>
                <w:rFonts w:ascii="Arial Narrow" w:hAnsi="Arial Narrow"/>
                <w:color w:val="000000"/>
                <w:w w:val="24"/>
                <w:sz w:val="20"/>
                <w:szCs w:val="20"/>
                <w:shd w:val="solid" w:color="000000" w:fill="000000"/>
                <w:fitText w:val="107" w:id="-1505494776"/>
                <w14:textFill>
                  <w14:solidFill>
                    <w14:srgbClr w14:val="000000">
                      <w14:alpha w14:val="100000"/>
                    </w14:srgbClr>
                  </w14:solidFill>
                </w14:textFill>
              </w:rPr>
              <w:t>|</w:t>
            </w:r>
            <w:r w:rsidR="00995AD1" w:rsidRPr="00995AD1">
              <w:rPr>
                <w:rFonts w:ascii="Arial Narrow" w:hAnsi="Arial Narrow" w:hint="eastAsia"/>
                <w:color w:val="000000"/>
                <w:spacing w:val="3"/>
                <w:w w:val="24"/>
                <w:sz w:val="20"/>
                <w:szCs w:val="20"/>
                <w:shd w:val="solid" w:color="000000" w:fill="000000"/>
                <w:fitText w:val="107" w:id="-1505494776"/>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c>
          <w:tcPr>
            <w:tcW w:w="706" w:type="pct"/>
            <w:shd w:val="clear" w:color="auto" w:fill="F2F2F2" w:themeFill="background1" w:themeFillShade="F2"/>
          </w:tcPr>
          <w:p w14:paraId="10A0C3FE" w14:textId="13BBCDBA" w:rsidR="00FF1095" w:rsidRPr="00D22124" w:rsidRDefault="00FF1095" w:rsidP="00422CCA">
            <w:pPr>
              <w:keepNext/>
              <w:keepLines/>
              <w:widowControl/>
              <w:jc w:val="center"/>
              <w:rPr>
                <w:rFonts w:ascii="Arial Narrow" w:hAnsi="Arial Narrow"/>
                <w:bCs/>
                <w:snapToGrid/>
                <w:sz w:val="20"/>
                <w:szCs w:val="20"/>
              </w:rPr>
            </w:pPr>
            <w:r w:rsidRPr="00D22124">
              <w:rPr>
                <w:rFonts w:ascii="Arial Narrow" w:hAnsi="Arial Narrow"/>
                <w:sz w:val="20"/>
                <w:szCs w:val="20"/>
              </w:rPr>
              <w:t>$</w:t>
            </w:r>
            <w:r w:rsidR="00995AD1" w:rsidRPr="00995AD1">
              <w:rPr>
                <w:rFonts w:ascii="Arial Narrow" w:hAnsi="Arial Narrow" w:hint="eastAsia"/>
                <w:color w:val="000000"/>
                <w:w w:val="19"/>
                <w:sz w:val="20"/>
                <w:szCs w:val="20"/>
                <w:shd w:val="solid" w:color="000000" w:fill="000000"/>
                <w:fitText w:val="87" w:id="-1505494775"/>
                <w14:textFill>
                  <w14:solidFill>
                    <w14:srgbClr w14:val="000000">
                      <w14:alpha w14:val="100000"/>
                    </w14:srgbClr>
                  </w14:solidFill>
                </w14:textFill>
              </w:rPr>
              <w:t xml:space="preserve">　</w:t>
            </w:r>
            <w:r w:rsidR="00995AD1" w:rsidRPr="00995AD1">
              <w:rPr>
                <w:rFonts w:ascii="Arial Narrow" w:hAnsi="Arial Narrow"/>
                <w:color w:val="000000"/>
                <w:w w:val="19"/>
                <w:sz w:val="20"/>
                <w:szCs w:val="20"/>
                <w:shd w:val="solid" w:color="000000" w:fill="000000"/>
                <w:fitText w:val="87" w:id="-1505494775"/>
                <w14:textFill>
                  <w14:solidFill>
                    <w14:srgbClr w14:val="000000">
                      <w14:alpha w14:val="100000"/>
                    </w14:srgbClr>
                  </w14:solidFill>
                </w14:textFill>
              </w:rPr>
              <w:t>|</w:t>
            </w:r>
            <w:r w:rsidR="00995AD1" w:rsidRPr="00995AD1">
              <w:rPr>
                <w:rFonts w:ascii="Arial Narrow" w:hAnsi="Arial Narrow" w:hint="eastAsia"/>
                <w:color w:val="000000"/>
                <w:spacing w:val="3"/>
                <w:w w:val="19"/>
                <w:sz w:val="20"/>
                <w:szCs w:val="20"/>
                <w:shd w:val="solid" w:color="000000" w:fill="000000"/>
                <w:fitText w:val="87" w:id="-1505494775"/>
                <w14:textFill>
                  <w14:solidFill>
                    <w14:srgbClr w14:val="000000">
                      <w14:alpha w14:val="100000"/>
                    </w14:srgbClr>
                  </w14:solidFill>
                </w14:textFill>
              </w:rPr>
              <w:t xml:space="preserve">　</w:t>
            </w:r>
            <w:r w:rsidR="00221F7E" w:rsidRPr="00221F7E">
              <w:rPr>
                <w:rFonts w:ascii="Arial Narrow" w:hAnsi="Arial Narrow"/>
                <w:sz w:val="20"/>
                <w:szCs w:val="20"/>
                <w:vertAlign w:val="superscript"/>
              </w:rPr>
              <w:t>4</w:t>
            </w:r>
          </w:p>
        </w:tc>
      </w:tr>
    </w:tbl>
    <w:p w14:paraId="43FE23EB" w14:textId="2ECDE789" w:rsidR="00FF1095" w:rsidRDefault="00FF1095" w:rsidP="006A25FF">
      <w:pPr>
        <w:widowControl/>
        <w:rPr>
          <w:rFonts w:ascii="Arial Narrow" w:hAnsi="Arial Narrow"/>
          <w:sz w:val="18"/>
          <w:szCs w:val="24"/>
          <w:lang w:eastAsia="en-AU"/>
        </w:rPr>
      </w:pPr>
      <w:r w:rsidRPr="00BD23A6">
        <w:rPr>
          <w:rFonts w:ascii="Arial Narrow" w:hAnsi="Arial Narrow"/>
          <w:sz w:val="18"/>
          <w:szCs w:val="24"/>
          <w:lang w:eastAsia="en-AU"/>
        </w:rPr>
        <w:t>Source:</w:t>
      </w:r>
      <w:r>
        <w:rPr>
          <w:rFonts w:ascii="Arial Narrow" w:hAnsi="Arial Narrow"/>
          <w:sz w:val="18"/>
          <w:szCs w:val="24"/>
          <w:lang w:eastAsia="en-AU"/>
        </w:rPr>
        <w:t xml:space="preserve"> Table 14 and Section 4 workbook provided with resubmission. </w:t>
      </w:r>
    </w:p>
    <w:p w14:paraId="03143A0F" w14:textId="77777777"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3A041051" w14:textId="396FDEF1"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6A25FF">
        <w:rPr>
          <w:rFonts w:ascii="Arial Narrow" w:hAnsi="Arial Narrow"/>
          <w:i/>
          <w:sz w:val="18"/>
          <w:szCs w:val="18"/>
          <w:lang w:eastAsia="en-AU"/>
        </w:rPr>
        <w:t>500 to &lt; 5,000</w:t>
      </w:r>
    </w:p>
    <w:p w14:paraId="48F2B61D" w14:textId="7740D979" w:rsidR="006A25FF" w:rsidRPr="009A6D58"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6A25FF">
        <w:rPr>
          <w:rFonts w:ascii="Arial Narrow" w:hAnsi="Arial Narrow"/>
          <w:i/>
          <w:sz w:val="18"/>
          <w:szCs w:val="18"/>
          <w:lang w:eastAsia="en-AU"/>
        </w:rPr>
        <w:t>$20 million to &lt; $30 million</w:t>
      </w:r>
    </w:p>
    <w:p w14:paraId="22415A57" w14:textId="68ACB9A7" w:rsidR="006A25FF" w:rsidRDefault="006A25FF" w:rsidP="006A25FF">
      <w:pPr>
        <w:rPr>
          <w:rFonts w:ascii="Arial Narrow" w:hAnsi="Arial Narrow"/>
          <w:i/>
          <w:sz w:val="18"/>
          <w:szCs w:val="18"/>
          <w:lang w:eastAsia="en-AU"/>
        </w:rPr>
      </w:pPr>
      <w:r w:rsidRPr="009A6D58">
        <w:rPr>
          <w:rFonts w:ascii="Arial Narrow" w:hAnsi="Arial Narrow"/>
          <w:i/>
          <w:sz w:val="18"/>
          <w:szCs w:val="18"/>
          <w:vertAlign w:val="superscript"/>
          <w:lang w:eastAsia="en-AU"/>
        </w:rPr>
        <w:t>3</w:t>
      </w:r>
      <w:r>
        <w:rPr>
          <w:rFonts w:ascii="Arial Narrow" w:hAnsi="Arial Narrow"/>
          <w:i/>
          <w:sz w:val="18"/>
          <w:szCs w:val="18"/>
          <w:lang w:eastAsia="en-AU"/>
        </w:rPr>
        <w:t xml:space="preserve"> </w:t>
      </w:r>
      <w:r w:rsidRPr="006A25FF">
        <w:rPr>
          <w:rFonts w:ascii="Arial Narrow" w:hAnsi="Arial Narrow"/>
          <w:i/>
          <w:sz w:val="18"/>
          <w:szCs w:val="18"/>
          <w:lang w:eastAsia="en-AU"/>
        </w:rPr>
        <w:t>$0 to &lt; $10 million</w:t>
      </w:r>
    </w:p>
    <w:p w14:paraId="2C383349" w14:textId="06914BEA" w:rsidR="006A25FF" w:rsidRPr="006A25FF" w:rsidRDefault="006A25FF" w:rsidP="00221F7E">
      <w:pPr>
        <w:spacing w:after="120"/>
        <w:rPr>
          <w:rFonts w:ascii="Arial Narrow" w:hAnsi="Arial Narrow"/>
          <w:i/>
          <w:sz w:val="18"/>
          <w:szCs w:val="18"/>
          <w:lang w:eastAsia="en-AU"/>
        </w:rPr>
      </w:pPr>
      <w:r>
        <w:rPr>
          <w:rFonts w:ascii="Arial Narrow" w:hAnsi="Arial Narrow"/>
          <w:i/>
          <w:sz w:val="18"/>
          <w:szCs w:val="18"/>
          <w:vertAlign w:val="superscript"/>
          <w:lang w:eastAsia="en-AU"/>
        </w:rPr>
        <w:t>4</w:t>
      </w:r>
      <w:r>
        <w:rPr>
          <w:rFonts w:ascii="Arial Narrow" w:hAnsi="Arial Narrow"/>
          <w:i/>
          <w:sz w:val="18"/>
          <w:szCs w:val="18"/>
          <w:lang w:eastAsia="en-AU"/>
        </w:rPr>
        <w:t xml:space="preserve"> </w:t>
      </w:r>
      <w:r w:rsidR="00221F7E" w:rsidRPr="00221F7E">
        <w:rPr>
          <w:rFonts w:ascii="Arial Narrow" w:hAnsi="Arial Narrow"/>
          <w:i/>
          <w:sz w:val="18"/>
          <w:szCs w:val="18"/>
          <w:lang w:eastAsia="en-AU"/>
        </w:rPr>
        <w:t>$30 million to &lt; $40 million</w:t>
      </w:r>
    </w:p>
    <w:p w14:paraId="07B4C1EC" w14:textId="77777777" w:rsidR="00FF1095"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 xml:space="preserve">The resubmission reduced the proportion of patients with gastric cancer (GC) who have GOJ from 50% to 34% and included a small number of additional prevalent GOJ patients.  </w:t>
      </w:r>
    </w:p>
    <w:p w14:paraId="3C803328" w14:textId="31778D4B" w:rsidR="00FF1095" w:rsidRPr="00221F7E" w:rsidRDefault="00FF1095" w:rsidP="00221F7E">
      <w:pPr>
        <w:pStyle w:val="ListParagraph"/>
        <w:numPr>
          <w:ilvl w:val="1"/>
          <w:numId w:val="1"/>
        </w:numPr>
        <w:rPr>
          <w:rFonts w:asciiTheme="minorHAnsi" w:hAnsiTheme="minorHAnsi"/>
          <w:szCs w:val="24"/>
          <w:lang w:eastAsia="en-AU"/>
        </w:rPr>
      </w:pPr>
      <w:r w:rsidRPr="00D22124">
        <w:rPr>
          <w:rFonts w:asciiTheme="minorHAnsi" w:hAnsiTheme="minorHAnsi"/>
          <w:szCs w:val="24"/>
          <w:lang w:eastAsia="en-AU"/>
        </w:rPr>
        <w:t>The total net cost to the PBS/ RPBS of listing</w:t>
      </w:r>
      <w:r>
        <w:rPr>
          <w:rFonts w:asciiTheme="minorHAnsi" w:hAnsiTheme="minorHAnsi"/>
          <w:szCs w:val="24"/>
          <w:lang w:eastAsia="en-AU"/>
        </w:rPr>
        <w:t xml:space="preserve"> pembrolizumab</w:t>
      </w:r>
      <w:r w:rsidRPr="00D22124">
        <w:rPr>
          <w:rFonts w:asciiTheme="minorHAnsi" w:hAnsiTheme="minorHAnsi"/>
          <w:szCs w:val="24"/>
          <w:lang w:eastAsia="en-AU"/>
        </w:rPr>
        <w:t xml:space="preserve"> </w:t>
      </w:r>
      <w:r>
        <w:rPr>
          <w:rFonts w:asciiTheme="minorHAnsi" w:hAnsiTheme="minorHAnsi"/>
          <w:szCs w:val="24"/>
          <w:lang w:eastAsia="en-AU"/>
        </w:rPr>
        <w:t xml:space="preserve">was estimated to be </w:t>
      </w:r>
      <w:r w:rsidR="00221F7E" w:rsidRPr="00221F7E">
        <w:rPr>
          <w:rFonts w:asciiTheme="minorHAnsi" w:hAnsiTheme="minorHAnsi"/>
          <w:szCs w:val="24"/>
          <w:lang w:eastAsia="en-AU"/>
        </w:rPr>
        <w:t>$100 million to &lt; $200 million</w:t>
      </w:r>
      <w:r w:rsidR="00221F7E" w:rsidRPr="00221F7E" w:rsidDel="00221F7E">
        <w:rPr>
          <w:rFonts w:asciiTheme="minorHAnsi" w:hAnsiTheme="minorHAnsi"/>
          <w:szCs w:val="24"/>
          <w:lang w:eastAsia="en-AU"/>
        </w:rPr>
        <w:t xml:space="preserve"> </w:t>
      </w:r>
      <w:r w:rsidRPr="00221F7E">
        <w:rPr>
          <w:rFonts w:asciiTheme="minorHAnsi" w:hAnsiTheme="minorHAnsi"/>
          <w:szCs w:val="24"/>
          <w:lang w:eastAsia="en-AU"/>
        </w:rPr>
        <w:t xml:space="preserve">over the first six years of listing (compared to </w:t>
      </w:r>
      <w:r w:rsidR="00221F7E" w:rsidRPr="00221F7E">
        <w:rPr>
          <w:rFonts w:asciiTheme="minorHAnsi" w:hAnsiTheme="minorHAnsi"/>
          <w:szCs w:val="24"/>
          <w:lang w:eastAsia="en-AU"/>
        </w:rPr>
        <w:t>$200 million to &lt; $300 million</w:t>
      </w:r>
      <w:r w:rsidR="00221F7E" w:rsidRPr="00221F7E" w:rsidDel="00221F7E">
        <w:rPr>
          <w:rFonts w:asciiTheme="minorHAnsi" w:hAnsiTheme="minorHAnsi"/>
          <w:szCs w:val="24"/>
          <w:lang w:eastAsia="en-AU"/>
        </w:rPr>
        <w:t xml:space="preserve"> </w:t>
      </w:r>
      <w:r w:rsidRPr="00221F7E">
        <w:rPr>
          <w:rFonts w:asciiTheme="minorHAnsi" w:hAnsiTheme="minorHAnsi"/>
          <w:szCs w:val="24"/>
          <w:lang w:eastAsia="en-AU"/>
        </w:rPr>
        <w:t xml:space="preserve">in the previous submission).   </w:t>
      </w:r>
    </w:p>
    <w:p w14:paraId="1D3756C2" w14:textId="7408BCE9" w:rsidR="00FF1095"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The resubmission stated the sponsor</w:t>
      </w:r>
      <w:r w:rsidRPr="00D22124">
        <w:rPr>
          <w:rFonts w:asciiTheme="minorHAnsi" w:hAnsiTheme="minorHAnsi"/>
          <w:szCs w:val="24"/>
          <w:lang w:eastAsia="en-AU"/>
        </w:rPr>
        <w:t xml:space="preserve"> </w:t>
      </w:r>
      <w:r>
        <w:rPr>
          <w:rFonts w:asciiTheme="minorHAnsi" w:hAnsiTheme="minorHAnsi"/>
          <w:szCs w:val="24"/>
          <w:lang w:eastAsia="en-AU"/>
        </w:rPr>
        <w:t xml:space="preserve">is willing to </w:t>
      </w:r>
      <w:proofErr w:type="gramStart"/>
      <w:r>
        <w:rPr>
          <w:rFonts w:asciiTheme="minorHAnsi" w:hAnsiTheme="minorHAnsi"/>
          <w:szCs w:val="24"/>
          <w:lang w:eastAsia="en-AU"/>
        </w:rPr>
        <w:t>enter into</w:t>
      </w:r>
      <w:proofErr w:type="gramEnd"/>
      <w:r>
        <w:rPr>
          <w:rFonts w:asciiTheme="minorHAnsi" w:hAnsiTheme="minorHAnsi"/>
          <w:szCs w:val="24"/>
          <w:lang w:eastAsia="en-AU"/>
        </w:rPr>
        <w:t xml:space="preserve"> a risk sharing arrangement (</w:t>
      </w:r>
      <w:r w:rsidRPr="003905A8">
        <w:rPr>
          <w:rFonts w:asciiTheme="minorHAnsi" w:hAnsiTheme="minorHAnsi"/>
          <w:szCs w:val="24"/>
          <w:lang w:eastAsia="en-AU"/>
        </w:rPr>
        <w:t>RSA</w:t>
      </w:r>
      <w:r>
        <w:rPr>
          <w:rFonts w:asciiTheme="minorHAnsi" w:hAnsiTheme="minorHAnsi"/>
          <w:szCs w:val="24"/>
          <w:lang w:eastAsia="en-AU"/>
        </w:rPr>
        <w:t>)</w:t>
      </w:r>
      <w:r w:rsidRPr="003905A8">
        <w:rPr>
          <w:rFonts w:asciiTheme="minorHAnsi" w:hAnsiTheme="minorHAnsi"/>
          <w:szCs w:val="24"/>
          <w:lang w:eastAsia="en-AU"/>
        </w:rPr>
        <w:t xml:space="preserve"> with the Commonwealth on sharing the costs of the Commonwealth subsidy for supply of pembrolizumab for the first line treatment of patients with unresectable locally advanced or metastatic oesophageal carcinoma or HER2-negative Siewert Type 1 adenocarcinoma of the GOJ, in order to manage any risk to the overall cost to the PBS. </w:t>
      </w:r>
      <w:r>
        <w:rPr>
          <w:rFonts w:asciiTheme="minorHAnsi" w:hAnsiTheme="minorHAnsi"/>
          <w:szCs w:val="24"/>
          <w:lang w:eastAsia="en-AU"/>
        </w:rPr>
        <w:t xml:space="preserve">The resubmission proposed a </w:t>
      </w:r>
      <w:proofErr w:type="gramStart"/>
      <w:r w:rsidR="00995AD1" w:rsidRPr="004F3736">
        <w:rPr>
          <w:rFonts w:asciiTheme="minorHAnsi" w:hAnsiTheme="minorHAnsi"/>
          <w:color w:val="000000"/>
          <w:w w:val="15"/>
          <w:szCs w:val="24"/>
          <w:shd w:val="solid" w:color="000000" w:fill="000000"/>
          <w:fitText w:val="-20" w:id="-1505494774"/>
          <w:lang w:eastAsia="en-AU"/>
          <w14:textFill>
            <w14:solidFill>
              <w14:srgbClr w14:val="000000">
                <w14:alpha w14:val="100000"/>
              </w14:srgbClr>
            </w14:solidFill>
          </w14:textFill>
        </w:rPr>
        <w:t xml:space="preserve">|  </w:t>
      </w:r>
      <w:r w:rsidR="00995AD1" w:rsidRPr="004F3736">
        <w:rPr>
          <w:rFonts w:asciiTheme="minorHAnsi" w:hAnsiTheme="minorHAnsi"/>
          <w:color w:val="000000"/>
          <w:spacing w:val="-69"/>
          <w:w w:val="15"/>
          <w:szCs w:val="24"/>
          <w:shd w:val="solid" w:color="000000" w:fill="000000"/>
          <w:fitText w:val="-20" w:id="-1505494774"/>
          <w:lang w:eastAsia="en-AU"/>
          <w14:textFill>
            <w14:solidFill>
              <w14:srgbClr w14:val="000000">
                <w14:alpha w14:val="100000"/>
              </w14:srgbClr>
            </w14:solidFill>
          </w14:textFill>
        </w:rPr>
        <w:t>|</w:t>
      </w:r>
      <w:proofErr w:type="gramEnd"/>
      <w:r>
        <w:rPr>
          <w:rFonts w:asciiTheme="minorHAnsi" w:hAnsiTheme="minorHAnsi"/>
          <w:szCs w:val="24"/>
          <w:lang w:eastAsia="en-AU"/>
        </w:rPr>
        <w:t xml:space="preserve">% rebate on expenditure above the cap. </w:t>
      </w:r>
    </w:p>
    <w:p w14:paraId="6F08000E" w14:textId="77777777" w:rsidR="00FF1095" w:rsidRPr="00D22124" w:rsidRDefault="00FF1095" w:rsidP="00FF1095">
      <w:pPr>
        <w:pStyle w:val="ListParagraph"/>
        <w:numPr>
          <w:ilvl w:val="1"/>
          <w:numId w:val="1"/>
        </w:numPr>
        <w:rPr>
          <w:rFonts w:asciiTheme="minorHAnsi" w:hAnsiTheme="minorHAnsi"/>
          <w:szCs w:val="24"/>
          <w:lang w:eastAsia="en-AU"/>
        </w:rPr>
      </w:pPr>
      <w:r>
        <w:rPr>
          <w:rFonts w:asciiTheme="minorHAnsi" w:hAnsiTheme="minorHAnsi"/>
          <w:szCs w:val="24"/>
          <w:lang w:eastAsia="en-AU"/>
        </w:rPr>
        <w:t>The resubmission noted</w:t>
      </w:r>
      <w:r w:rsidRPr="003905A8">
        <w:rPr>
          <w:rFonts w:asciiTheme="minorHAnsi" w:hAnsiTheme="minorHAnsi"/>
          <w:szCs w:val="24"/>
          <w:lang w:eastAsia="en-AU"/>
        </w:rPr>
        <w:t xml:space="preserve"> PBAC’s preference for “an aligned restriction across all gastric, GOJ and oesophageal cancers” which would be reflected in a combined cap across </w:t>
      </w:r>
      <w:r>
        <w:rPr>
          <w:rFonts w:asciiTheme="minorHAnsi" w:hAnsiTheme="minorHAnsi"/>
          <w:szCs w:val="24"/>
          <w:lang w:eastAsia="en-AU"/>
        </w:rPr>
        <w:t>populations. The sponsor i</w:t>
      </w:r>
      <w:r w:rsidRPr="003905A8">
        <w:rPr>
          <w:rFonts w:asciiTheme="minorHAnsi" w:hAnsiTheme="minorHAnsi"/>
          <w:szCs w:val="24"/>
          <w:lang w:eastAsia="en-AU"/>
        </w:rPr>
        <w:t>s willing to work with the PBAC and the Commonwealth to explore this possibility</w:t>
      </w:r>
      <w:r>
        <w:rPr>
          <w:rFonts w:asciiTheme="minorHAnsi" w:hAnsiTheme="minorHAnsi"/>
          <w:szCs w:val="24"/>
          <w:lang w:eastAsia="en-AU"/>
        </w:rPr>
        <w:t xml:space="preserve">; however, raised </w:t>
      </w:r>
      <w:proofErr w:type="gramStart"/>
      <w:r>
        <w:rPr>
          <w:rFonts w:asciiTheme="minorHAnsi" w:hAnsiTheme="minorHAnsi"/>
          <w:szCs w:val="24"/>
          <w:lang w:eastAsia="en-AU"/>
        </w:rPr>
        <w:t>a number of</w:t>
      </w:r>
      <w:proofErr w:type="gramEnd"/>
      <w:r>
        <w:rPr>
          <w:rFonts w:asciiTheme="minorHAnsi" w:hAnsiTheme="minorHAnsi"/>
          <w:szCs w:val="24"/>
          <w:lang w:eastAsia="en-AU"/>
        </w:rPr>
        <w:t xml:space="preserve"> issues that would need to be resolved, including the need for transparency in agreeing patient numbers and adequately accounting for the different indications.  </w:t>
      </w:r>
    </w:p>
    <w:p w14:paraId="20F7000A" w14:textId="77777777" w:rsidR="00FF1095" w:rsidRPr="0046360F" w:rsidRDefault="00FF1095" w:rsidP="00FF1095">
      <w:pPr>
        <w:pStyle w:val="2-SectionHeading"/>
        <w:numPr>
          <w:ilvl w:val="0"/>
          <w:numId w:val="1"/>
        </w:numPr>
      </w:pPr>
      <w:r w:rsidRPr="0046360F">
        <w:lastRenderedPageBreak/>
        <w:t>PBAC Outcome</w:t>
      </w:r>
    </w:p>
    <w:p w14:paraId="3EC9494A" w14:textId="77777777" w:rsidR="00FF1095" w:rsidRDefault="00FF1095" w:rsidP="00FF1095">
      <w:pPr>
        <w:pStyle w:val="3-BodyText"/>
        <w:numPr>
          <w:ilvl w:val="1"/>
          <w:numId w:val="1"/>
        </w:numPr>
        <w:ind w:left="709"/>
        <w:jc w:val="both"/>
      </w:pPr>
      <w:r w:rsidRPr="00C74C0B">
        <w:t>The PBAC</w:t>
      </w:r>
      <w:r>
        <w:t xml:space="preserve"> deferred making a recommendation to </w:t>
      </w:r>
      <w:r w:rsidRPr="00C74C0B">
        <w:t>list</w:t>
      </w:r>
      <w:r>
        <w:t xml:space="preserve"> pembrolizumab in combination with chemotherapy </w:t>
      </w:r>
      <w:r w:rsidRPr="00C74C0B">
        <w:t xml:space="preserve">for the </w:t>
      </w:r>
      <w:r>
        <w:t xml:space="preserve">first line </w:t>
      </w:r>
      <w:r w:rsidRPr="00C74C0B">
        <w:t xml:space="preserve">treatment of </w:t>
      </w:r>
      <w:r>
        <w:t>advanced or metastatic gastro-</w:t>
      </w:r>
      <w:proofErr w:type="spellStart"/>
      <w:r>
        <w:t>oesophageal</w:t>
      </w:r>
      <w:proofErr w:type="spellEnd"/>
      <w:r>
        <w:t xml:space="preserve"> cancers as defined by the specific </w:t>
      </w:r>
      <w:proofErr w:type="spellStart"/>
      <w:r>
        <w:t>tumour</w:t>
      </w:r>
      <w:proofErr w:type="spellEnd"/>
      <w:r>
        <w:t xml:space="preserve"> types included in the approved TGA indications</w:t>
      </w:r>
      <w:r w:rsidRPr="00C74C0B">
        <w:t xml:space="preserve">. </w:t>
      </w:r>
      <w:r>
        <w:t xml:space="preserve">The PBAC advised further discussions were required regarding appropriate restriction criteria, a cost-effective price and parameters for a risk sharing arrangement.   </w:t>
      </w:r>
    </w:p>
    <w:p w14:paraId="4B0D6490" w14:textId="77777777" w:rsidR="00FF1095" w:rsidDel="00D03C82" w:rsidRDefault="00FF1095" w:rsidP="00FF1095">
      <w:pPr>
        <w:pStyle w:val="3-BodyText"/>
        <w:numPr>
          <w:ilvl w:val="1"/>
          <w:numId w:val="1"/>
        </w:numPr>
        <w:jc w:val="both"/>
      </w:pPr>
      <w:r w:rsidRPr="00C80E91" w:rsidDel="00D03C82">
        <w:t>The PBAC</w:t>
      </w:r>
      <w:r>
        <w:t xml:space="preserve"> considered pembrolizumab’s cost-effectiveness </w:t>
      </w:r>
      <w:r w:rsidRPr="00915CF5" w:rsidDel="00D03C82">
        <w:t xml:space="preserve">(as a first line treatment) </w:t>
      </w:r>
      <w:r>
        <w:t>would be</w:t>
      </w:r>
      <w:r w:rsidRPr="00915CF5" w:rsidDel="00D03C82">
        <w:t xml:space="preserve"> acceptable </w:t>
      </w:r>
      <w:r>
        <w:t>at the same or lower cost per 3 weekly treatment cycle as for nivolumab (as a first line treatment) for gastro-</w:t>
      </w:r>
      <w:proofErr w:type="spellStart"/>
      <w:r>
        <w:t>oesophageal</w:t>
      </w:r>
      <w:proofErr w:type="spellEnd"/>
      <w:r>
        <w:t xml:space="preserve"> cancers</w:t>
      </w:r>
      <w:r w:rsidRPr="00915CF5" w:rsidDel="00D03C82">
        <w:t>.</w:t>
      </w:r>
      <w:r w:rsidDel="00D03C82">
        <w:t xml:space="preserve"> </w:t>
      </w:r>
    </w:p>
    <w:p w14:paraId="5BD7C97E" w14:textId="77777777" w:rsidR="00FF1095"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The PBAC noted the restriction criteri</w:t>
      </w:r>
      <w:r>
        <w:rPr>
          <w:rFonts w:asciiTheme="minorHAnsi" w:hAnsiTheme="minorHAnsi"/>
          <w:snapToGrid/>
          <w:szCs w:val="24"/>
          <w:lang w:val="en-US"/>
        </w:rPr>
        <w:t>a proposed in the resubmission did not address</w:t>
      </w:r>
      <w:r w:rsidRPr="00EC741D">
        <w:rPr>
          <w:rFonts w:asciiTheme="minorHAnsi" w:hAnsiTheme="minorHAnsi"/>
          <w:snapToGrid/>
          <w:szCs w:val="24"/>
          <w:lang w:val="en-US"/>
        </w:rPr>
        <w:t xml:space="preserve"> the Committee’s preference for an aligned restriction for patients with gastric, gastro-</w:t>
      </w:r>
      <w:proofErr w:type="spellStart"/>
      <w:r w:rsidRPr="00EC741D">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junction and </w:t>
      </w:r>
      <w:proofErr w:type="spellStart"/>
      <w:r w:rsidRPr="00EC741D">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cancers. </w:t>
      </w:r>
      <w:r>
        <w:rPr>
          <w:rFonts w:asciiTheme="minorHAnsi" w:hAnsiTheme="minorHAnsi"/>
          <w:snapToGrid/>
          <w:szCs w:val="24"/>
          <w:lang w:val="en-US"/>
        </w:rPr>
        <w:t xml:space="preserve">The PBAC considered that, </w:t>
      </w:r>
      <w:r w:rsidRPr="00EC741D">
        <w:rPr>
          <w:rFonts w:asciiTheme="minorHAnsi" w:hAnsiTheme="minorHAnsi"/>
          <w:snapToGrid/>
          <w:szCs w:val="24"/>
          <w:lang w:val="en-US"/>
        </w:rPr>
        <w:t xml:space="preserve">given the significant overlap in the anatomical distribution of these cancers, </w:t>
      </w:r>
      <w:r>
        <w:rPr>
          <w:rFonts w:asciiTheme="minorHAnsi" w:hAnsiTheme="minorHAnsi"/>
          <w:snapToGrid/>
          <w:szCs w:val="24"/>
          <w:lang w:val="en-US"/>
        </w:rPr>
        <w:t xml:space="preserve">it </w:t>
      </w:r>
      <w:r w:rsidRPr="00EC741D">
        <w:rPr>
          <w:rFonts w:asciiTheme="minorHAnsi" w:hAnsiTheme="minorHAnsi"/>
          <w:snapToGrid/>
          <w:szCs w:val="24"/>
          <w:lang w:val="en-US"/>
        </w:rPr>
        <w:t xml:space="preserve">would be appropriate </w:t>
      </w:r>
      <w:r>
        <w:rPr>
          <w:rFonts w:asciiTheme="minorHAnsi" w:hAnsiTheme="minorHAnsi"/>
          <w:snapToGrid/>
          <w:szCs w:val="24"/>
          <w:lang w:val="en-US"/>
        </w:rPr>
        <w:t>for pembrolizumab (and nivolumab</w:t>
      </w:r>
      <w:r w:rsidRPr="00EC741D">
        <w:rPr>
          <w:rFonts w:asciiTheme="minorHAnsi" w:hAnsiTheme="minorHAnsi"/>
          <w:snapToGrid/>
          <w:szCs w:val="24"/>
          <w:lang w:val="en-US"/>
        </w:rPr>
        <w:t>, should it be recommended) to be available for the first line treatment of advanced or metastatic ‘gastro-</w:t>
      </w:r>
      <w:proofErr w:type="spellStart"/>
      <w:r w:rsidRPr="00EC741D">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cancers’ as defined by the specific </w:t>
      </w:r>
      <w:proofErr w:type="spellStart"/>
      <w:r w:rsidRPr="00EC741D">
        <w:rPr>
          <w:rFonts w:asciiTheme="minorHAnsi" w:hAnsiTheme="minorHAnsi"/>
          <w:snapToGrid/>
          <w:szCs w:val="24"/>
          <w:lang w:val="en-US"/>
        </w:rPr>
        <w:t>tumour</w:t>
      </w:r>
      <w:proofErr w:type="spellEnd"/>
      <w:r w:rsidRPr="00EC741D">
        <w:rPr>
          <w:rFonts w:asciiTheme="minorHAnsi" w:hAnsiTheme="minorHAnsi"/>
          <w:snapToGrid/>
          <w:szCs w:val="24"/>
          <w:lang w:val="en-US"/>
        </w:rPr>
        <w:t xml:space="preserve"> types included in the approved TGA Product Information document. The PBAC noted that, of the gastro-</w:t>
      </w:r>
      <w:proofErr w:type="spellStart"/>
      <w:r>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cancers,</w:t>
      </w:r>
      <w:r>
        <w:rPr>
          <w:rFonts w:asciiTheme="minorHAnsi" w:hAnsiTheme="minorHAnsi"/>
          <w:snapToGrid/>
          <w:szCs w:val="24"/>
          <w:lang w:val="en-US"/>
        </w:rPr>
        <w:t xml:space="preserve"> pembrolizumab</w:t>
      </w:r>
      <w:r w:rsidRPr="00EC741D">
        <w:rPr>
          <w:rFonts w:asciiTheme="minorHAnsi" w:hAnsiTheme="minorHAnsi"/>
          <w:snapToGrid/>
          <w:szCs w:val="24"/>
          <w:lang w:val="en-US"/>
        </w:rPr>
        <w:t xml:space="preserve"> is currently approved by the TGA for the first line treatment of advanced or metastatic </w:t>
      </w:r>
      <w:r>
        <w:rPr>
          <w:rFonts w:asciiTheme="minorHAnsi" w:hAnsiTheme="minorHAnsi"/>
          <w:snapToGrid/>
          <w:szCs w:val="24"/>
          <w:lang w:val="en-US"/>
        </w:rPr>
        <w:t xml:space="preserve">Siewert Type 1 adenocarcinoma of the </w:t>
      </w:r>
      <w:r>
        <w:t>GOJ, OAC and OSCC</w:t>
      </w:r>
      <w:r w:rsidRPr="00EC741D">
        <w:rPr>
          <w:rFonts w:asciiTheme="minorHAnsi" w:hAnsiTheme="minorHAnsi"/>
          <w:snapToGrid/>
          <w:szCs w:val="24"/>
          <w:lang w:val="en-US"/>
        </w:rPr>
        <w:t xml:space="preserve">. </w:t>
      </w:r>
    </w:p>
    <w:p w14:paraId="0059D72C" w14:textId="77777777" w:rsidR="00FF1095"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The PBAC noted an early resolution resubmission for</w:t>
      </w:r>
      <w:r>
        <w:rPr>
          <w:rFonts w:asciiTheme="minorHAnsi" w:hAnsiTheme="minorHAnsi"/>
          <w:snapToGrid/>
          <w:szCs w:val="24"/>
          <w:lang w:val="en-US"/>
        </w:rPr>
        <w:t xml:space="preserve"> nivolumab</w:t>
      </w:r>
      <w:r w:rsidRPr="00EC741D">
        <w:rPr>
          <w:rFonts w:asciiTheme="minorHAnsi" w:hAnsiTheme="minorHAnsi"/>
          <w:snapToGrid/>
          <w:szCs w:val="24"/>
          <w:lang w:val="en-US"/>
        </w:rPr>
        <w:t xml:space="preserve"> is concurrently being considered</w:t>
      </w:r>
      <w:r>
        <w:rPr>
          <w:rFonts w:asciiTheme="minorHAnsi" w:hAnsiTheme="minorHAnsi"/>
          <w:snapToGrid/>
          <w:szCs w:val="24"/>
          <w:lang w:val="en-US"/>
        </w:rPr>
        <w:t>.</w:t>
      </w:r>
      <w:r w:rsidRPr="00EC741D">
        <w:rPr>
          <w:rFonts w:asciiTheme="minorHAnsi" w:hAnsiTheme="minorHAnsi"/>
          <w:snapToGrid/>
          <w:szCs w:val="24"/>
          <w:lang w:val="en-US"/>
        </w:rPr>
        <w:t xml:space="preserve"> The PBAC noted that, of the gastro-</w:t>
      </w:r>
      <w:proofErr w:type="spellStart"/>
      <w:r>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cancers,</w:t>
      </w:r>
      <w:r>
        <w:rPr>
          <w:rFonts w:asciiTheme="minorHAnsi" w:hAnsiTheme="minorHAnsi"/>
          <w:snapToGrid/>
          <w:szCs w:val="24"/>
          <w:lang w:val="en-US"/>
        </w:rPr>
        <w:t xml:space="preserve"> nivolumab</w:t>
      </w:r>
      <w:r w:rsidRPr="00EC741D">
        <w:rPr>
          <w:rFonts w:asciiTheme="minorHAnsi" w:hAnsiTheme="minorHAnsi"/>
          <w:snapToGrid/>
          <w:szCs w:val="24"/>
          <w:lang w:val="en-US"/>
        </w:rPr>
        <w:t xml:space="preserve"> is currently approved by the TGA for the first line treatment of advanced or metastatic </w:t>
      </w:r>
      <w:r>
        <w:t>GOJ, GC and OAC and for the second line treatment of OSCC</w:t>
      </w:r>
      <w:r w:rsidRPr="00EC741D">
        <w:rPr>
          <w:rFonts w:asciiTheme="minorHAnsi" w:hAnsiTheme="minorHAnsi"/>
          <w:snapToGrid/>
          <w:szCs w:val="24"/>
          <w:lang w:val="en-US"/>
        </w:rPr>
        <w:t>.</w:t>
      </w:r>
      <w:r>
        <w:rPr>
          <w:rFonts w:asciiTheme="minorHAnsi" w:hAnsiTheme="minorHAnsi"/>
          <w:snapToGrid/>
          <w:szCs w:val="24"/>
          <w:lang w:val="en-US"/>
        </w:rPr>
        <w:t xml:space="preserve"> </w:t>
      </w:r>
    </w:p>
    <w:p w14:paraId="11A051C8" w14:textId="65146F14" w:rsidR="00FF1095" w:rsidRPr="00EC741D" w:rsidRDefault="00FF1095" w:rsidP="00FF1095">
      <w:pPr>
        <w:pStyle w:val="ListParagraph"/>
        <w:numPr>
          <w:ilvl w:val="1"/>
          <w:numId w:val="1"/>
        </w:numPr>
        <w:rPr>
          <w:rFonts w:asciiTheme="minorHAnsi" w:hAnsiTheme="minorHAnsi"/>
          <w:snapToGrid/>
          <w:szCs w:val="24"/>
          <w:lang w:val="en-US"/>
        </w:rPr>
      </w:pPr>
      <w:r w:rsidRPr="00EC741D">
        <w:rPr>
          <w:rFonts w:asciiTheme="minorHAnsi" w:hAnsiTheme="minorHAnsi"/>
          <w:snapToGrid/>
          <w:szCs w:val="24"/>
          <w:lang w:val="en-US"/>
        </w:rPr>
        <w:t xml:space="preserve">The PBAC reiterated its view that, although the indications are not fully aligned, there was likely to be significant overlap in patients </w:t>
      </w:r>
      <w:r>
        <w:rPr>
          <w:rFonts w:asciiTheme="minorHAnsi" w:hAnsiTheme="minorHAnsi"/>
          <w:snapToGrid/>
          <w:szCs w:val="24"/>
          <w:lang w:val="en-US"/>
        </w:rPr>
        <w:t>that are</w:t>
      </w:r>
      <w:r w:rsidRPr="00EC741D">
        <w:rPr>
          <w:rFonts w:asciiTheme="minorHAnsi" w:hAnsiTheme="minorHAnsi"/>
          <w:snapToGrid/>
          <w:szCs w:val="24"/>
          <w:lang w:val="en-US"/>
        </w:rPr>
        <w:t xml:space="preserve"> treated with </w:t>
      </w:r>
      <w:r>
        <w:rPr>
          <w:rFonts w:asciiTheme="minorHAnsi" w:hAnsiTheme="minorHAnsi"/>
          <w:snapToGrid/>
          <w:szCs w:val="24"/>
          <w:lang w:val="en-US"/>
        </w:rPr>
        <w:t xml:space="preserve">pembrolizumab or nivolumab </w:t>
      </w:r>
      <w:r w:rsidRPr="00EC741D">
        <w:rPr>
          <w:rFonts w:asciiTheme="minorHAnsi" w:hAnsiTheme="minorHAnsi"/>
          <w:snapToGrid/>
          <w:szCs w:val="24"/>
          <w:lang w:val="en-US"/>
        </w:rPr>
        <w:t>in clinical practice. The PBAC considered a single listing for gastro-</w:t>
      </w:r>
      <w:proofErr w:type="spellStart"/>
      <w:r w:rsidRPr="00EC741D">
        <w:rPr>
          <w:rFonts w:asciiTheme="minorHAnsi" w:hAnsiTheme="minorHAnsi"/>
          <w:snapToGrid/>
          <w:szCs w:val="24"/>
          <w:lang w:val="en-US"/>
        </w:rPr>
        <w:t>oesophageal</w:t>
      </w:r>
      <w:proofErr w:type="spellEnd"/>
      <w:r w:rsidRPr="00EC741D">
        <w:rPr>
          <w:rFonts w:asciiTheme="minorHAnsi" w:hAnsiTheme="minorHAnsi"/>
          <w:snapToGrid/>
          <w:szCs w:val="24"/>
          <w:lang w:val="en-US"/>
        </w:rPr>
        <w:t xml:space="preserve"> cancers that allows treatment choice according to the TGA approved specific </w:t>
      </w:r>
      <w:proofErr w:type="spellStart"/>
      <w:r w:rsidRPr="00EC741D">
        <w:rPr>
          <w:rFonts w:asciiTheme="minorHAnsi" w:hAnsiTheme="minorHAnsi"/>
          <w:snapToGrid/>
          <w:szCs w:val="24"/>
          <w:lang w:val="en-US"/>
        </w:rPr>
        <w:t>tumour</w:t>
      </w:r>
      <w:proofErr w:type="spellEnd"/>
      <w:r w:rsidRPr="00EC741D">
        <w:rPr>
          <w:rFonts w:asciiTheme="minorHAnsi" w:hAnsiTheme="minorHAnsi"/>
          <w:snapToGrid/>
          <w:szCs w:val="24"/>
          <w:lang w:val="en-US"/>
        </w:rPr>
        <w:t xml:space="preserve"> types for each medicine was appropriate. </w:t>
      </w:r>
    </w:p>
    <w:p w14:paraId="4E6E323C" w14:textId="77777777" w:rsidR="00FF1095" w:rsidRDefault="00FF1095" w:rsidP="00FF1095">
      <w:pPr>
        <w:pStyle w:val="3-BodyText"/>
        <w:numPr>
          <w:ilvl w:val="1"/>
          <w:numId w:val="1"/>
        </w:numPr>
        <w:ind w:left="709"/>
        <w:jc w:val="both"/>
      </w:pPr>
      <w:bookmarkStart w:id="61" w:name="_Ref96691260"/>
      <w:r>
        <w:t>The PBAC noted there were differences in design and patient populations across the pembrolizumab and nivolumab trials, but considered that, overall, there was unlikely to be any difference between pembrolizumab and nivolumab in clinical practice for the first line treatment of gastro-</w:t>
      </w:r>
      <w:proofErr w:type="spellStart"/>
      <w:r>
        <w:t>oesophageal</w:t>
      </w:r>
      <w:proofErr w:type="spellEnd"/>
      <w:r>
        <w:t xml:space="preserve"> cancers in terms of clinical benefit, </w:t>
      </w:r>
      <w:proofErr w:type="gramStart"/>
      <w:r>
        <w:t>tolerability</w:t>
      </w:r>
      <w:proofErr w:type="gramEnd"/>
      <w:r>
        <w:t xml:space="preserve"> and treatment duration.</w:t>
      </w:r>
      <w:bookmarkEnd w:id="61"/>
      <w:r>
        <w:t xml:space="preserve">  </w:t>
      </w:r>
    </w:p>
    <w:p w14:paraId="748A0210" w14:textId="5F5018E9" w:rsidR="00FF1095" w:rsidRDefault="00FF1095" w:rsidP="00FF1095">
      <w:pPr>
        <w:pStyle w:val="3-BodyText"/>
        <w:numPr>
          <w:ilvl w:val="1"/>
          <w:numId w:val="1"/>
        </w:numPr>
        <w:ind w:left="709"/>
        <w:jc w:val="both"/>
      </w:pPr>
      <w:r>
        <w:t xml:space="preserve">The PBAC noted </w:t>
      </w:r>
      <w:proofErr w:type="gramStart"/>
      <w:r>
        <w:t>with the exception of</w:t>
      </w:r>
      <w:proofErr w:type="gramEnd"/>
      <w:r>
        <w:t xml:space="preserve"> the terminal care costs, the revisions to the economic model were consistent with the November 2021 </w:t>
      </w:r>
      <w:r w:rsidR="00DE0518">
        <w:t>PSD</w:t>
      </w:r>
      <w:r>
        <w:t xml:space="preserve">. The PBAC noted the approach to costing terminal care was revised and as a result the ICER was appropriately not sensitive to this cost. </w:t>
      </w:r>
    </w:p>
    <w:p w14:paraId="1B17C5C5" w14:textId="1C14A6DE" w:rsidR="00FF1095" w:rsidRPr="00916DD2" w:rsidRDefault="00FF1095" w:rsidP="00221F7E">
      <w:pPr>
        <w:pStyle w:val="3-BodyText"/>
        <w:numPr>
          <w:ilvl w:val="1"/>
          <w:numId w:val="1"/>
        </w:numPr>
        <w:jc w:val="both"/>
      </w:pPr>
      <w:r>
        <w:lastRenderedPageBreak/>
        <w:t xml:space="preserve">The PBAC considered an RSA would be required to appropriately manage the risk of use outside the proposed patient population. The PBAC considered the patient numbers included in the resubmission for the specific </w:t>
      </w:r>
      <w:proofErr w:type="spellStart"/>
      <w:r>
        <w:t>tumour</w:t>
      </w:r>
      <w:proofErr w:type="spellEnd"/>
      <w:r>
        <w:t xml:space="preserve"> types were reasonable but considered expenditure caps for gastro-</w:t>
      </w:r>
      <w:proofErr w:type="spellStart"/>
      <w:r>
        <w:t>oesophageal</w:t>
      </w:r>
      <w:proofErr w:type="spellEnd"/>
      <w:r>
        <w:t xml:space="preserve"> cancer </w:t>
      </w:r>
      <w:r w:rsidRPr="00916DD2">
        <w:t xml:space="preserve">covering all </w:t>
      </w:r>
      <w:proofErr w:type="spellStart"/>
      <w:r w:rsidRPr="00916DD2">
        <w:t>tumour</w:t>
      </w:r>
      <w:proofErr w:type="spellEnd"/>
      <w:r w:rsidRPr="00916DD2">
        <w:t xml:space="preserve"> types would need to </w:t>
      </w:r>
      <w:r>
        <w:t xml:space="preserve">be </w:t>
      </w:r>
      <w:proofErr w:type="spellStart"/>
      <w:r>
        <w:t>f</w:t>
      </w:r>
      <w:r w:rsidRPr="00916DD2">
        <w:t>inalised</w:t>
      </w:r>
      <w:proofErr w:type="spellEnd"/>
      <w:r w:rsidRPr="00916DD2">
        <w:t xml:space="preserve"> with the Department.  </w:t>
      </w:r>
    </w:p>
    <w:p w14:paraId="7A0AE35D" w14:textId="77777777" w:rsidR="00FF1095" w:rsidRPr="00916DD2" w:rsidRDefault="00FF1095" w:rsidP="00FF1095">
      <w:pPr>
        <w:pStyle w:val="3-BodyText"/>
        <w:spacing w:after="0"/>
        <w:ind w:left="0" w:firstLine="0"/>
        <w:jc w:val="both"/>
        <w:rPr>
          <w:b/>
        </w:rPr>
      </w:pPr>
      <w:r w:rsidRPr="00916DD2">
        <w:rPr>
          <w:b/>
        </w:rPr>
        <w:t>Outcome:</w:t>
      </w:r>
    </w:p>
    <w:p w14:paraId="58319947" w14:textId="761E89F5" w:rsidR="00FF1095" w:rsidRPr="00422CCA" w:rsidRDefault="00FF1095" w:rsidP="00422CCA">
      <w:pPr>
        <w:pStyle w:val="3-BodyText"/>
        <w:ind w:left="0" w:firstLine="0"/>
        <w:jc w:val="both"/>
      </w:pPr>
      <w:r>
        <w:t>Deferred</w:t>
      </w:r>
    </w:p>
    <w:p w14:paraId="24583D60" w14:textId="77777777" w:rsidR="00422CCA" w:rsidRDefault="00422CCA" w:rsidP="00422CCA">
      <w:pPr>
        <w:pStyle w:val="2-SectionHeading"/>
        <w:numPr>
          <w:ilvl w:val="0"/>
          <w:numId w:val="1"/>
        </w:numPr>
        <w:rPr>
          <w:bCs/>
          <w:lang w:val="en-GB"/>
        </w:rPr>
      </w:pPr>
      <w:r w:rsidRPr="00C07617">
        <w:t>Context for Decision</w:t>
      </w:r>
    </w:p>
    <w:p w14:paraId="68375B12" w14:textId="77777777" w:rsidR="00422CCA" w:rsidRPr="007129F2" w:rsidRDefault="00422CCA" w:rsidP="00422CCA">
      <w:pPr>
        <w:spacing w:after="120"/>
        <w:ind w:left="720"/>
        <w:contextualSpacing/>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bCs/>
        </w:rPr>
        <w:t>regarding</w:t>
      </w:r>
      <w:r w:rsidRPr="007129F2">
        <w:rPr>
          <w:rFonts w:asciiTheme="minorHAnsi" w:hAnsiTheme="minorHAnsi"/>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EADC185" w14:textId="77777777" w:rsidR="00422CCA" w:rsidRPr="00C07617" w:rsidRDefault="00422CCA" w:rsidP="00422CCA">
      <w:pPr>
        <w:pStyle w:val="2-SectionHeading"/>
        <w:numPr>
          <w:ilvl w:val="0"/>
          <w:numId w:val="1"/>
        </w:numPr>
        <w:rPr>
          <w:b w:val="0"/>
        </w:rPr>
      </w:pPr>
      <w:r>
        <w:t>Sponsor’s Comment</w:t>
      </w:r>
    </w:p>
    <w:p w14:paraId="3C39B362" w14:textId="19952407" w:rsidR="00422CCA" w:rsidRPr="00C07617" w:rsidRDefault="006057A8" w:rsidP="00422CCA">
      <w:pPr>
        <w:spacing w:after="120"/>
        <w:ind w:left="720"/>
        <w:contextualSpacing/>
        <w:rPr>
          <w:rFonts w:asciiTheme="minorHAnsi" w:hAnsiTheme="minorHAnsi"/>
          <w:bCs/>
        </w:rPr>
      </w:pPr>
      <w:r w:rsidRPr="006057A8">
        <w:rPr>
          <w:rFonts w:asciiTheme="minorHAnsi" w:hAnsiTheme="minorHAnsi"/>
          <w:bCs/>
          <w:lang w:val="en-GB"/>
        </w:rPr>
        <w:t>MSD is concerned with the decision to defer making a recommendation for pembrolizumab in combination with chemotherapy for the treatment of gastro-oesophageal cancers given MSD committed to the early resolution pathway in December 2021. MSD notes the broad listing approach in line with TGA indications under consideration will create complexities in developing an RSA that will be acceptable to all Sponsors.</w:t>
      </w:r>
    </w:p>
    <w:p w14:paraId="5814784E" w14:textId="77777777" w:rsidR="00422CCA" w:rsidRPr="00EE15E4" w:rsidRDefault="00422CCA" w:rsidP="00422CCA">
      <w:pPr>
        <w:rPr>
          <w:highlight w:val="yellow"/>
        </w:rPr>
      </w:pPr>
    </w:p>
    <w:sectPr w:rsidR="00422CCA" w:rsidRPr="00EE15E4" w:rsidSect="005869CA">
      <w:headerReference w:type="default" r:id="rId11"/>
      <w:footerReference w:type="default" r:id="rId1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E104F" w14:textId="77777777" w:rsidR="00826F08" w:rsidRDefault="00826F08" w:rsidP="00124A51">
      <w:r>
        <w:separator/>
      </w:r>
    </w:p>
    <w:p w14:paraId="47744A11" w14:textId="77777777" w:rsidR="00826F08" w:rsidRDefault="00826F08"/>
  </w:endnote>
  <w:endnote w:type="continuationSeparator" w:id="0">
    <w:p w14:paraId="6232A4B6" w14:textId="77777777" w:rsidR="00826F08" w:rsidRDefault="00826F08" w:rsidP="00124A51">
      <w:r>
        <w:continuationSeparator/>
      </w:r>
    </w:p>
    <w:p w14:paraId="4BE5CAE2" w14:textId="77777777" w:rsidR="00826F08" w:rsidRDefault="00826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7C386" w14:textId="77777777" w:rsidR="00826F08" w:rsidRDefault="00826F08">
    <w:pPr>
      <w:pStyle w:val="Footer"/>
      <w:jc w:val="center"/>
    </w:pPr>
  </w:p>
  <w:p w14:paraId="2304AE98" w14:textId="544A1E8C" w:rsidR="00826F08" w:rsidRDefault="004F3736">
    <w:pPr>
      <w:pStyle w:val="Footer"/>
      <w:jc w:val="center"/>
    </w:pPr>
    <w:sdt>
      <w:sdtPr>
        <w:id w:val="1704594310"/>
        <w:docPartObj>
          <w:docPartGallery w:val="Page Numbers (Bottom of Page)"/>
          <w:docPartUnique/>
        </w:docPartObj>
      </w:sdtPr>
      <w:sdtEndPr>
        <w:rPr>
          <w:noProof/>
        </w:rPr>
      </w:sdtEndPr>
      <w:sdtContent>
        <w:r w:rsidR="00826F08" w:rsidRPr="000D6FF4">
          <w:rPr>
            <w:b/>
          </w:rPr>
          <w:fldChar w:fldCharType="begin"/>
        </w:r>
        <w:r w:rsidR="00826F08" w:rsidRPr="000D6FF4">
          <w:rPr>
            <w:b/>
          </w:rPr>
          <w:instrText xml:space="preserve"> PAGE   \* MERGEFORMAT </w:instrText>
        </w:r>
        <w:r w:rsidR="00826F08" w:rsidRPr="000D6FF4">
          <w:rPr>
            <w:b/>
          </w:rPr>
          <w:fldChar w:fldCharType="separate"/>
        </w:r>
        <w:r w:rsidR="00826F08">
          <w:rPr>
            <w:b/>
            <w:noProof/>
          </w:rPr>
          <w:t>33</w:t>
        </w:r>
        <w:r w:rsidR="00826F08" w:rsidRPr="000D6FF4">
          <w:rPr>
            <w:b/>
            <w:noProof/>
          </w:rPr>
          <w:fldChar w:fldCharType="end"/>
        </w:r>
      </w:sdtContent>
    </w:sdt>
  </w:p>
  <w:p w14:paraId="05AAB891" w14:textId="77777777" w:rsidR="00826F08" w:rsidRPr="007C1CD9" w:rsidRDefault="00826F08" w:rsidP="00015886">
    <w:pPr>
      <w:ind w:right="36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8854" w14:textId="77777777" w:rsidR="00826F08" w:rsidRDefault="00826F08" w:rsidP="00124A51">
      <w:r>
        <w:separator/>
      </w:r>
    </w:p>
    <w:p w14:paraId="2291B238" w14:textId="77777777" w:rsidR="00826F08" w:rsidRDefault="00826F08"/>
  </w:footnote>
  <w:footnote w:type="continuationSeparator" w:id="0">
    <w:p w14:paraId="17F71ECD" w14:textId="77777777" w:rsidR="00826F08" w:rsidRDefault="00826F08" w:rsidP="00124A51">
      <w:r>
        <w:continuationSeparator/>
      </w:r>
    </w:p>
    <w:p w14:paraId="7E656E58" w14:textId="77777777" w:rsidR="00826F08" w:rsidRDefault="00826F08"/>
  </w:footnote>
  <w:footnote w:id="1">
    <w:p w14:paraId="1A817609" w14:textId="77777777" w:rsidR="00826F08" w:rsidRPr="00074641" w:rsidRDefault="00826F08" w:rsidP="004E0DA6">
      <w:pPr>
        <w:pStyle w:val="FootnoteText"/>
        <w:rPr>
          <w:lang w:val="en-US"/>
        </w:rPr>
      </w:pPr>
      <w:r w:rsidRPr="00074641">
        <w:rPr>
          <w:rStyle w:val="FootnoteReference"/>
        </w:rPr>
        <w:footnoteRef/>
      </w:r>
      <w:r w:rsidRPr="00074641">
        <w:t xml:space="preserve"> </w:t>
      </w:r>
      <w:r w:rsidRPr="00074641">
        <w:rPr>
          <w:lang w:val="en-US"/>
        </w:rPr>
        <w:t xml:space="preserve">Saltzman JR. Clinical manifestations, diagnosis, and staging of esophageal cancer. UptoDate. 2021 [last updated July 23, 2021]. </w:t>
      </w:r>
    </w:p>
    <w:p w14:paraId="7399EC8A" w14:textId="77777777" w:rsidR="00826F08" w:rsidRPr="00F15A2D" w:rsidRDefault="00826F08" w:rsidP="004E0DA6">
      <w:pPr>
        <w:pStyle w:val="FootnoteText"/>
        <w:rPr>
          <w:lang w:val="en-US"/>
        </w:rPr>
      </w:pPr>
      <w:r w:rsidRPr="00F15A2D">
        <w:rPr>
          <w:lang w:val="en-US"/>
        </w:rPr>
        <w:t>https://www.uptodate.com/contents/clinical-manifestations-diagnosis-and-staging-of-esophageal-cancer?search=esophageal%20cancer&amp;source=search_result&amp;selectedTitle=1~150&amp;usage_type=default&amp;display_rank=1</w:t>
      </w:r>
    </w:p>
  </w:footnote>
  <w:footnote w:id="2">
    <w:p w14:paraId="73146FF4" w14:textId="77777777" w:rsidR="00826F08" w:rsidRDefault="00826F08" w:rsidP="00912877">
      <w:pPr>
        <w:pStyle w:val="FootnoteText"/>
      </w:pPr>
      <w:r>
        <w:rPr>
          <w:rStyle w:val="FootnoteReference"/>
        </w:rPr>
        <w:footnoteRef/>
      </w:r>
      <w:r>
        <w:t xml:space="preserve"> Nguyen T-MN; Hummel R; Bright T; Thompson SK; </w:t>
      </w:r>
      <w:r>
        <w:t xml:space="preserve">Tornqvist B; Watson DI. </w:t>
      </w:r>
      <w:r w:rsidRPr="00074641">
        <w:t>Pattern of care for cancer of the oesophagus in a western population</w:t>
      </w:r>
      <w:r>
        <w:t xml:space="preserve">. </w:t>
      </w:r>
      <w:r w:rsidRPr="00912877">
        <w:t>ANZ J Surg 89 (2019) E15–E19</w:t>
      </w:r>
      <w:r>
        <w:t>.</w:t>
      </w:r>
    </w:p>
  </w:footnote>
  <w:footnote w:id="3">
    <w:p w14:paraId="7217CD5D" w14:textId="77777777" w:rsidR="00826F08" w:rsidRPr="001620B8" w:rsidRDefault="00826F08" w:rsidP="00ED6353">
      <w:pPr>
        <w:pStyle w:val="FootnoteText"/>
        <w:rPr>
          <w:rFonts w:asciiTheme="minorHAnsi" w:hAnsiTheme="minorHAnsi" w:cstheme="minorHAnsi"/>
        </w:rPr>
      </w:pPr>
      <w:r w:rsidRPr="001620B8">
        <w:rPr>
          <w:rStyle w:val="FootnoteReference"/>
          <w:rFonts w:asciiTheme="minorHAnsi" w:hAnsiTheme="minorHAnsi" w:cstheme="minorHAnsi"/>
        </w:rPr>
        <w:footnoteRef/>
      </w:r>
      <w:r w:rsidRPr="001620B8">
        <w:rPr>
          <w:rFonts w:asciiTheme="minorHAnsi" w:hAnsiTheme="minorHAnsi" w:cstheme="minorHAnsi"/>
        </w:rPr>
        <w:t xml:space="preserve"> </w:t>
      </w:r>
      <w:r w:rsidRPr="001620B8">
        <w:rPr>
          <w:rFonts w:asciiTheme="minorHAnsi" w:hAnsiTheme="minorHAnsi" w:cstheme="minorHAnsi"/>
          <w:bCs/>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4318" w14:textId="4B73C8BC" w:rsidR="00826F08" w:rsidRPr="00056684" w:rsidRDefault="00826F08" w:rsidP="00FF1095">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r>
      <w:rPr>
        <w:rFonts w:asciiTheme="minorHAnsi" w:hAnsiTheme="minorHAnsi"/>
        <w:i/>
        <w:color w:val="808080"/>
      </w:rPr>
      <w:t xml:space="preserve"> with March 2022 Addendum</w:t>
    </w:r>
  </w:p>
  <w:p w14:paraId="03E4BBC7" w14:textId="261ED0B1" w:rsidR="00826F08" w:rsidRDefault="00826F08" w:rsidP="00FF1095">
    <w:pPr>
      <w:pStyle w:val="Header"/>
      <w:keepNext/>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51AAB5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320582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4247B"/>
    <w:multiLevelType w:val="hybridMultilevel"/>
    <w:tmpl w:val="8E56E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835CA"/>
    <w:multiLevelType w:val="hybridMultilevel"/>
    <w:tmpl w:val="A7D6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D363E"/>
    <w:multiLevelType w:val="hybridMultilevel"/>
    <w:tmpl w:val="32F8C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88327A"/>
    <w:multiLevelType w:val="hybridMultilevel"/>
    <w:tmpl w:val="EA24FCA6"/>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D4891"/>
    <w:multiLevelType w:val="hybridMultilevel"/>
    <w:tmpl w:val="664A98E4"/>
    <w:lvl w:ilvl="0" w:tplc="D1403B8A">
      <w:start w:val="1"/>
      <w:numFmt w:val="bullet"/>
      <w:lvlText w:val="•"/>
      <w:lvlJc w:val="left"/>
      <w:pPr>
        <w:tabs>
          <w:tab w:val="num" w:pos="720"/>
        </w:tabs>
        <w:ind w:left="720" w:hanging="360"/>
      </w:pPr>
      <w:rPr>
        <w:rFonts w:ascii="Arial" w:hAnsi="Arial" w:hint="default"/>
      </w:rPr>
    </w:lvl>
    <w:lvl w:ilvl="1" w:tplc="66E85414" w:tentative="1">
      <w:start w:val="1"/>
      <w:numFmt w:val="bullet"/>
      <w:lvlText w:val="•"/>
      <w:lvlJc w:val="left"/>
      <w:pPr>
        <w:tabs>
          <w:tab w:val="num" w:pos="1440"/>
        </w:tabs>
        <w:ind w:left="1440" w:hanging="360"/>
      </w:pPr>
      <w:rPr>
        <w:rFonts w:ascii="Arial" w:hAnsi="Arial" w:hint="default"/>
      </w:rPr>
    </w:lvl>
    <w:lvl w:ilvl="2" w:tplc="FADC7A74" w:tentative="1">
      <w:start w:val="1"/>
      <w:numFmt w:val="bullet"/>
      <w:lvlText w:val="•"/>
      <w:lvlJc w:val="left"/>
      <w:pPr>
        <w:tabs>
          <w:tab w:val="num" w:pos="2160"/>
        </w:tabs>
        <w:ind w:left="2160" w:hanging="360"/>
      </w:pPr>
      <w:rPr>
        <w:rFonts w:ascii="Arial" w:hAnsi="Arial" w:hint="default"/>
      </w:rPr>
    </w:lvl>
    <w:lvl w:ilvl="3" w:tplc="1780046C" w:tentative="1">
      <w:start w:val="1"/>
      <w:numFmt w:val="bullet"/>
      <w:lvlText w:val="•"/>
      <w:lvlJc w:val="left"/>
      <w:pPr>
        <w:tabs>
          <w:tab w:val="num" w:pos="2880"/>
        </w:tabs>
        <w:ind w:left="2880" w:hanging="360"/>
      </w:pPr>
      <w:rPr>
        <w:rFonts w:ascii="Arial" w:hAnsi="Arial" w:hint="default"/>
      </w:rPr>
    </w:lvl>
    <w:lvl w:ilvl="4" w:tplc="1C5EC024" w:tentative="1">
      <w:start w:val="1"/>
      <w:numFmt w:val="bullet"/>
      <w:lvlText w:val="•"/>
      <w:lvlJc w:val="left"/>
      <w:pPr>
        <w:tabs>
          <w:tab w:val="num" w:pos="3600"/>
        </w:tabs>
        <w:ind w:left="3600" w:hanging="360"/>
      </w:pPr>
      <w:rPr>
        <w:rFonts w:ascii="Arial" w:hAnsi="Arial" w:hint="default"/>
      </w:rPr>
    </w:lvl>
    <w:lvl w:ilvl="5" w:tplc="B7AE086E" w:tentative="1">
      <w:start w:val="1"/>
      <w:numFmt w:val="bullet"/>
      <w:lvlText w:val="•"/>
      <w:lvlJc w:val="left"/>
      <w:pPr>
        <w:tabs>
          <w:tab w:val="num" w:pos="4320"/>
        </w:tabs>
        <w:ind w:left="4320" w:hanging="360"/>
      </w:pPr>
      <w:rPr>
        <w:rFonts w:ascii="Arial" w:hAnsi="Arial" w:hint="default"/>
      </w:rPr>
    </w:lvl>
    <w:lvl w:ilvl="6" w:tplc="E0B41B28" w:tentative="1">
      <w:start w:val="1"/>
      <w:numFmt w:val="bullet"/>
      <w:lvlText w:val="•"/>
      <w:lvlJc w:val="left"/>
      <w:pPr>
        <w:tabs>
          <w:tab w:val="num" w:pos="5040"/>
        </w:tabs>
        <w:ind w:left="5040" w:hanging="360"/>
      </w:pPr>
      <w:rPr>
        <w:rFonts w:ascii="Arial" w:hAnsi="Arial" w:hint="default"/>
      </w:rPr>
    </w:lvl>
    <w:lvl w:ilvl="7" w:tplc="220A4DF0" w:tentative="1">
      <w:start w:val="1"/>
      <w:numFmt w:val="bullet"/>
      <w:lvlText w:val="•"/>
      <w:lvlJc w:val="left"/>
      <w:pPr>
        <w:tabs>
          <w:tab w:val="num" w:pos="5760"/>
        </w:tabs>
        <w:ind w:left="5760" w:hanging="360"/>
      </w:pPr>
      <w:rPr>
        <w:rFonts w:ascii="Arial" w:hAnsi="Arial" w:hint="default"/>
      </w:rPr>
    </w:lvl>
    <w:lvl w:ilvl="8" w:tplc="575E21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253C68"/>
    <w:multiLevelType w:val="hybridMultilevel"/>
    <w:tmpl w:val="4C304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BB0097"/>
    <w:multiLevelType w:val="hybridMultilevel"/>
    <w:tmpl w:val="B3D6BC12"/>
    <w:lvl w:ilvl="0" w:tplc="0C090001">
      <w:start w:val="1"/>
      <w:numFmt w:val="bullet"/>
      <w:lvlText w:val=""/>
      <w:lvlJc w:val="left"/>
      <w:pPr>
        <w:ind w:left="2904" w:hanging="360"/>
      </w:pPr>
      <w:rPr>
        <w:rFonts w:ascii="Symbol" w:hAnsi="Symbol" w:hint="default"/>
      </w:rPr>
    </w:lvl>
    <w:lvl w:ilvl="1" w:tplc="0C090003" w:tentative="1">
      <w:start w:val="1"/>
      <w:numFmt w:val="bullet"/>
      <w:lvlText w:val="o"/>
      <w:lvlJc w:val="left"/>
      <w:pPr>
        <w:ind w:left="3624" w:hanging="360"/>
      </w:pPr>
      <w:rPr>
        <w:rFonts w:ascii="Courier New" w:hAnsi="Courier New" w:cs="Courier New" w:hint="default"/>
      </w:rPr>
    </w:lvl>
    <w:lvl w:ilvl="2" w:tplc="0C090005" w:tentative="1">
      <w:start w:val="1"/>
      <w:numFmt w:val="bullet"/>
      <w:lvlText w:val=""/>
      <w:lvlJc w:val="left"/>
      <w:pPr>
        <w:ind w:left="4344" w:hanging="360"/>
      </w:pPr>
      <w:rPr>
        <w:rFonts w:ascii="Wingdings" w:hAnsi="Wingdings" w:hint="default"/>
      </w:rPr>
    </w:lvl>
    <w:lvl w:ilvl="3" w:tplc="0C090001" w:tentative="1">
      <w:start w:val="1"/>
      <w:numFmt w:val="bullet"/>
      <w:lvlText w:val=""/>
      <w:lvlJc w:val="left"/>
      <w:pPr>
        <w:ind w:left="5064" w:hanging="360"/>
      </w:pPr>
      <w:rPr>
        <w:rFonts w:ascii="Symbol" w:hAnsi="Symbol" w:hint="default"/>
      </w:rPr>
    </w:lvl>
    <w:lvl w:ilvl="4" w:tplc="0C090003" w:tentative="1">
      <w:start w:val="1"/>
      <w:numFmt w:val="bullet"/>
      <w:lvlText w:val="o"/>
      <w:lvlJc w:val="left"/>
      <w:pPr>
        <w:ind w:left="5784" w:hanging="360"/>
      </w:pPr>
      <w:rPr>
        <w:rFonts w:ascii="Courier New" w:hAnsi="Courier New" w:cs="Courier New" w:hint="default"/>
      </w:rPr>
    </w:lvl>
    <w:lvl w:ilvl="5" w:tplc="0C090005" w:tentative="1">
      <w:start w:val="1"/>
      <w:numFmt w:val="bullet"/>
      <w:lvlText w:val=""/>
      <w:lvlJc w:val="left"/>
      <w:pPr>
        <w:ind w:left="6504" w:hanging="360"/>
      </w:pPr>
      <w:rPr>
        <w:rFonts w:ascii="Wingdings" w:hAnsi="Wingdings" w:hint="default"/>
      </w:rPr>
    </w:lvl>
    <w:lvl w:ilvl="6" w:tplc="0C090001" w:tentative="1">
      <w:start w:val="1"/>
      <w:numFmt w:val="bullet"/>
      <w:lvlText w:val=""/>
      <w:lvlJc w:val="left"/>
      <w:pPr>
        <w:ind w:left="7224" w:hanging="360"/>
      </w:pPr>
      <w:rPr>
        <w:rFonts w:ascii="Symbol" w:hAnsi="Symbol" w:hint="default"/>
      </w:rPr>
    </w:lvl>
    <w:lvl w:ilvl="7" w:tplc="0C090003" w:tentative="1">
      <w:start w:val="1"/>
      <w:numFmt w:val="bullet"/>
      <w:lvlText w:val="o"/>
      <w:lvlJc w:val="left"/>
      <w:pPr>
        <w:ind w:left="7944" w:hanging="360"/>
      </w:pPr>
      <w:rPr>
        <w:rFonts w:ascii="Courier New" w:hAnsi="Courier New" w:cs="Courier New" w:hint="default"/>
      </w:rPr>
    </w:lvl>
    <w:lvl w:ilvl="8" w:tplc="0C090005" w:tentative="1">
      <w:start w:val="1"/>
      <w:numFmt w:val="bullet"/>
      <w:lvlText w:val=""/>
      <w:lvlJc w:val="left"/>
      <w:pPr>
        <w:ind w:left="8664" w:hanging="360"/>
      </w:pPr>
      <w:rPr>
        <w:rFonts w:ascii="Wingdings" w:hAnsi="Wingdings" w:hint="default"/>
      </w:rPr>
    </w:lvl>
  </w:abstractNum>
  <w:abstractNum w:abstractNumId="12" w15:restartNumberingAfterBreak="0">
    <w:nsid w:val="222764C9"/>
    <w:multiLevelType w:val="hybridMultilevel"/>
    <w:tmpl w:val="CF101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35B"/>
    <w:multiLevelType w:val="hybridMultilevel"/>
    <w:tmpl w:val="7C7044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04557E"/>
    <w:multiLevelType w:val="hybridMultilevel"/>
    <w:tmpl w:val="16B4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840D78"/>
    <w:multiLevelType w:val="hybridMultilevel"/>
    <w:tmpl w:val="DF0C629C"/>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4F066B"/>
    <w:multiLevelType w:val="hybridMultilevel"/>
    <w:tmpl w:val="DEDAD9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0EB516A"/>
    <w:multiLevelType w:val="hybridMultilevel"/>
    <w:tmpl w:val="30E894CC"/>
    <w:lvl w:ilvl="0" w:tplc="FAA67466">
      <w:start w:val="1"/>
      <w:numFmt w:val="bullet"/>
      <w:lvlText w:val="•"/>
      <w:lvlJc w:val="left"/>
      <w:pPr>
        <w:tabs>
          <w:tab w:val="num" w:pos="720"/>
        </w:tabs>
        <w:ind w:left="720" w:hanging="360"/>
      </w:pPr>
      <w:rPr>
        <w:rFonts w:ascii="Arial" w:hAnsi="Arial" w:hint="default"/>
      </w:rPr>
    </w:lvl>
    <w:lvl w:ilvl="1" w:tplc="F33AA71C">
      <w:start w:val="248"/>
      <w:numFmt w:val="bullet"/>
      <w:lvlText w:val="•"/>
      <w:lvlJc w:val="left"/>
      <w:pPr>
        <w:tabs>
          <w:tab w:val="num" w:pos="1440"/>
        </w:tabs>
        <w:ind w:left="1440" w:hanging="360"/>
      </w:pPr>
      <w:rPr>
        <w:rFonts w:ascii="Arial" w:hAnsi="Arial" w:hint="default"/>
      </w:rPr>
    </w:lvl>
    <w:lvl w:ilvl="2" w:tplc="6CBE29E6" w:tentative="1">
      <w:start w:val="1"/>
      <w:numFmt w:val="bullet"/>
      <w:lvlText w:val="•"/>
      <w:lvlJc w:val="left"/>
      <w:pPr>
        <w:tabs>
          <w:tab w:val="num" w:pos="2160"/>
        </w:tabs>
        <w:ind w:left="2160" w:hanging="360"/>
      </w:pPr>
      <w:rPr>
        <w:rFonts w:ascii="Arial" w:hAnsi="Arial" w:hint="default"/>
      </w:rPr>
    </w:lvl>
    <w:lvl w:ilvl="3" w:tplc="C0DC53C0" w:tentative="1">
      <w:start w:val="1"/>
      <w:numFmt w:val="bullet"/>
      <w:lvlText w:val="•"/>
      <w:lvlJc w:val="left"/>
      <w:pPr>
        <w:tabs>
          <w:tab w:val="num" w:pos="2880"/>
        </w:tabs>
        <w:ind w:left="2880" w:hanging="360"/>
      </w:pPr>
      <w:rPr>
        <w:rFonts w:ascii="Arial" w:hAnsi="Arial" w:hint="default"/>
      </w:rPr>
    </w:lvl>
    <w:lvl w:ilvl="4" w:tplc="727EA918" w:tentative="1">
      <w:start w:val="1"/>
      <w:numFmt w:val="bullet"/>
      <w:lvlText w:val="•"/>
      <w:lvlJc w:val="left"/>
      <w:pPr>
        <w:tabs>
          <w:tab w:val="num" w:pos="3600"/>
        </w:tabs>
        <w:ind w:left="3600" w:hanging="360"/>
      </w:pPr>
      <w:rPr>
        <w:rFonts w:ascii="Arial" w:hAnsi="Arial" w:hint="default"/>
      </w:rPr>
    </w:lvl>
    <w:lvl w:ilvl="5" w:tplc="7B7E1D7E" w:tentative="1">
      <w:start w:val="1"/>
      <w:numFmt w:val="bullet"/>
      <w:lvlText w:val="•"/>
      <w:lvlJc w:val="left"/>
      <w:pPr>
        <w:tabs>
          <w:tab w:val="num" w:pos="4320"/>
        </w:tabs>
        <w:ind w:left="4320" w:hanging="360"/>
      </w:pPr>
      <w:rPr>
        <w:rFonts w:ascii="Arial" w:hAnsi="Arial" w:hint="default"/>
      </w:rPr>
    </w:lvl>
    <w:lvl w:ilvl="6" w:tplc="AB186C3C" w:tentative="1">
      <w:start w:val="1"/>
      <w:numFmt w:val="bullet"/>
      <w:lvlText w:val="•"/>
      <w:lvlJc w:val="left"/>
      <w:pPr>
        <w:tabs>
          <w:tab w:val="num" w:pos="5040"/>
        </w:tabs>
        <w:ind w:left="5040" w:hanging="360"/>
      </w:pPr>
      <w:rPr>
        <w:rFonts w:ascii="Arial" w:hAnsi="Arial" w:hint="default"/>
      </w:rPr>
    </w:lvl>
    <w:lvl w:ilvl="7" w:tplc="A314CCBC" w:tentative="1">
      <w:start w:val="1"/>
      <w:numFmt w:val="bullet"/>
      <w:lvlText w:val="•"/>
      <w:lvlJc w:val="left"/>
      <w:pPr>
        <w:tabs>
          <w:tab w:val="num" w:pos="5760"/>
        </w:tabs>
        <w:ind w:left="5760" w:hanging="360"/>
      </w:pPr>
      <w:rPr>
        <w:rFonts w:ascii="Arial" w:hAnsi="Arial" w:hint="default"/>
      </w:rPr>
    </w:lvl>
    <w:lvl w:ilvl="8" w:tplc="00CA9A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311CCE"/>
    <w:multiLevelType w:val="hybridMultilevel"/>
    <w:tmpl w:val="ACEA3934"/>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2" w15:restartNumberingAfterBreak="0">
    <w:nsid w:val="3CDE4E2B"/>
    <w:multiLevelType w:val="hybridMultilevel"/>
    <w:tmpl w:val="FAA6639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3D523AAB"/>
    <w:multiLevelType w:val="hybridMultilevel"/>
    <w:tmpl w:val="DA963A76"/>
    <w:lvl w:ilvl="0" w:tplc="3C24B6C8">
      <w:start w:val="1"/>
      <w:numFmt w:val="bullet"/>
      <w:lvlText w:val="•"/>
      <w:lvlJc w:val="left"/>
      <w:pPr>
        <w:tabs>
          <w:tab w:val="num" w:pos="720"/>
        </w:tabs>
        <w:ind w:left="720" w:hanging="360"/>
      </w:pPr>
      <w:rPr>
        <w:rFonts w:ascii="Arial" w:hAnsi="Arial" w:hint="default"/>
      </w:rPr>
    </w:lvl>
    <w:lvl w:ilvl="1" w:tplc="C83C2BFA" w:tentative="1">
      <w:start w:val="1"/>
      <w:numFmt w:val="bullet"/>
      <w:lvlText w:val="•"/>
      <w:lvlJc w:val="left"/>
      <w:pPr>
        <w:tabs>
          <w:tab w:val="num" w:pos="1440"/>
        </w:tabs>
        <w:ind w:left="1440" w:hanging="360"/>
      </w:pPr>
      <w:rPr>
        <w:rFonts w:ascii="Arial" w:hAnsi="Arial" w:hint="default"/>
      </w:rPr>
    </w:lvl>
    <w:lvl w:ilvl="2" w:tplc="9538EC4E" w:tentative="1">
      <w:start w:val="1"/>
      <w:numFmt w:val="bullet"/>
      <w:lvlText w:val="•"/>
      <w:lvlJc w:val="left"/>
      <w:pPr>
        <w:tabs>
          <w:tab w:val="num" w:pos="2160"/>
        </w:tabs>
        <w:ind w:left="2160" w:hanging="360"/>
      </w:pPr>
      <w:rPr>
        <w:rFonts w:ascii="Arial" w:hAnsi="Arial" w:hint="default"/>
      </w:rPr>
    </w:lvl>
    <w:lvl w:ilvl="3" w:tplc="13A4DC24" w:tentative="1">
      <w:start w:val="1"/>
      <w:numFmt w:val="bullet"/>
      <w:lvlText w:val="•"/>
      <w:lvlJc w:val="left"/>
      <w:pPr>
        <w:tabs>
          <w:tab w:val="num" w:pos="2880"/>
        </w:tabs>
        <w:ind w:left="2880" w:hanging="360"/>
      </w:pPr>
      <w:rPr>
        <w:rFonts w:ascii="Arial" w:hAnsi="Arial" w:hint="default"/>
      </w:rPr>
    </w:lvl>
    <w:lvl w:ilvl="4" w:tplc="D1125B04" w:tentative="1">
      <w:start w:val="1"/>
      <w:numFmt w:val="bullet"/>
      <w:lvlText w:val="•"/>
      <w:lvlJc w:val="left"/>
      <w:pPr>
        <w:tabs>
          <w:tab w:val="num" w:pos="3600"/>
        </w:tabs>
        <w:ind w:left="3600" w:hanging="360"/>
      </w:pPr>
      <w:rPr>
        <w:rFonts w:ascii="Arial" w:hAnsi="Arial" w:hint="default"/>
      </w:rPr>
    </w:lvl>
    <w:lvl w:ilvl="5" w:tplc="4050D0E0" w:tentative="1">
      <w:start w:val="1"/>
      <w:numFmt w:val="bullet"/>
      <w:lvlText w:val="•"/>
      <w:lvlJc w:val="left"/>
      <w:pPr>
        <w:tabs>
          <w:tab w:val="num" w:pos="4320"/>
        </w:tabs>
        <w:ind w:left="4320" w:hanging="360"/>
      </w:pPr>
      <w:rPr>
        <w:rFonts w:ascii="Arial" w:hAnsi="Arial" w:hint="default"/>
      </w:rPr>
    </w:lvl>
    <w:lvl w:ilvl="6" w:tplc="DDC093BE" w:tentative="1">
      <w:start w:val="1"/>
      <w:numFmt w:val="bullet"/>
      <w:lvlText w:val="•"/>
      <w:lvlJc w:val="left"/>
      <w:pPr>
        <w:tabs>
          <w:tab w:val="num" w:pos="5040"/>
        </w:tabs>
        <w:ind w:left="5040" w:hanging="360"/>
      </w:pPr>
      <w:rPr>
        <w:rFonts w:ascii="Arial" w:hAnsi="Arial" w:hint="default"/>
      </w:rPr>
    </w:lvl>
    <w:lvl w:ilvl="7" w:tplc="8B9ECB8C" w:tentative="1">
      <w:start w:val="1"/>
      <w:numFmt w:val="bullet"/>
      <w:lvlText w:val="•"/>
      <w:lvlJc w:val="left"/>
      <w:pPr>
        <w:tabs>
          <w:tab w:val="num" w:pos="5760"/>
        </w:tabs>
        <w:ind w:left="5760" w:hanging="360"/>
      </w:pPr>
      <w:rPr>
        <w:rFonts w:ascii="Arial" w:hAnsi="Arial" w:hint="default"/>
      </w:rPr>
    </w:lvl>
    <w:lvl w:ilvl="8" w:tplc="3D264B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304AC"/>
    <w:multiLevelType w:val="hybridMultilevel"/>
    <w:tmpl w:val="F642FA28"/>
    <w:lvl w:ilvl="0" w:tplc="89A2B2AE">
      <w:start w:val="1"/>
      <w:numFmt w:val="bullet"/>
      <w:lvlText w:val="•"/>
      <w:lvlJc w:val="left"/>
      <w:pPr>
        <w:tabs>
          <w:tab w:val="num" w:pos="720"/>
        </w:tabs>
        <w:ind w:left="720" w:hanging="360"/>
      </w:pPr>
      <w:rPr>
        <w:rFonts w:ascii="Arial" w:hAnsi="Arial" w:hint="default"/>
      </w:rPr>
    </w:lvl>
    <w:lvl w:ilvl="1" w:tplc="46C41E16" w:tentative="1">
      <w:start w:val="1"/>
      <w:numFmt w:val="bullet"/>
      <w:lvlText w:val="•"/>
      <w:lvlJc w:val="left"/>
      <w:pPr>
        <w:tabs>
          <w:tab w:val="num" w:pos="1440"/>
        </w:tabs>
        <w:ind w:left="1440" w:hanging="360"/>
      </w:pPr>
      <w:rPr>
        <w:rFonts w:ascii="Arial" w:hAnsi="Arial" w:hint="default"/>
      </w:rPr>
    </w:lvl>
    <w:lvl w:ilvl="2" w:tplc="928C7058" w:tentative="1">
      <w:start w:val="1"/>
      <w:numFmt w:val="bullet"/>
      <w:lvlText w:val="•"/>
      <w:lvlJc w:val="left"/>
      <w:pPr>
        <w:tabs>
          <w:tab w:val="num" w:pos="2160"/>
        </w:tabs>
        <w:ind w:left="2160" w:hanging="360"/>
      </w:pPr>
      <w:rPr>
        <w:rFonts w:ascii="Arial" w:hAnsi="Arial" w:hint="default"/>
      </w:rPr>
    </w:lvl>
    <w:lvl w:ilvl="3" w:tplc="4DF2C9B0" w:tentative="1">
      <w:start w:val="1"/>
      <w:numFmt w:val="bullet"/>
      <w:lvlText w:val="•"/>
      <w:lvlJc w:val="left"/>
      <w:pPr>
        <w:tabs>
          <w:tab w:val="num" w:pos="2880"/>
        </w:tabs>
        <w:ind w:left="2880" w:hanging="360"/>
      </w:pPr>
      <w:rPr>
        <w:rFonts w:ascii="Arial" w:hAnsi="Arial" w:hint="default"/>
      </w:rPr>
    </w:lvl>
    <w:lvl w:ilvl="4" w:tplc="0BC83816" w:tentative="1">
      <w:start w:val="1"/>
      <w:numFmt w:val="bullet"/>
      <w:lvlText w:val="•"/>
      <w:lvlJc w:val="left"/>
      <w:pPr>
        <w:tabs>
          <w:tab w:val="num" w:pos="3600"/>
        </w:tabs>
        <w:ind w:left="3600" w:hanging="360"/>
      </w:pPr>
      <w:rPr>
        <w:rFonts w:ascii="Arial" w:hAnsi="Arial" w:hint="default"/>
      </w:rPr>
    </w:lvl>
    <w:lvl w:ilvl="5" w:tplc="FA16AA92" w:tentative="1">
      <w:start w:val="1"/>
      <w:numFmt w:val="bullet"/>
      <w:lvlText w:val="•"/>
      <w:lvlJc w:val="left"/>
      <w:pPr>
        <w:tabs>
          <w:tab w:val="num" w:pos="4320"/>
        </w:tabs>
        <w:ind w:left="4320" w:hanging="360"/>
      </w:pPr>
      <w:rPr>
        <w:rFonts w:ascii="Arial" w:hAnsi="Arial" w:hint="default"/>
      </w:rPr>
    </w:lvl>
    <w:lvl w:ilvl="6" w:tplc="40102910" w:tentative="1">
      <w:start w:val="1"/>
      <w:numFmt w:val="bullet"/>
      <w:lvlText w:val="•"/>
      <w:lvlJc w:val="left"/>
      <w:pPr>
        <w:tabs>
          <w:tab w:val="num" w:pos="5040"/>
        </w:tabs>
        <w:ind w:left="5040" w:hanging="360"/>
      </w:pPr>
      <w:rPr>
        <w:rFonts w:ascii="Arial" w:hAnsi="Arial" w:hint="default"/>
      </w:rPr>
    </w:lvl>
    <w:lvl w:ilvl="7" w:tplc="C346C73A" w:tentative="1">
      <w:start w:val="1"/>
      <w:numFmt w:val="bullet"/>
      <w:lvlText w:val="•"/>
      <w:lvlJc w:val="left"/>
      <w:pPr>
        <w:tabs>
          <w:tab w:val="num" w:pos="5760"/>
        </w:tabs>
        <w:ind w:left="5760" w:hanging="360"/>
      </w:pPr>
      <w:rPr>
        <w:rFonts w:ascii="Arial" w:hAnsi="Arial" w:hint="default"/>
      </w:rPr>
    </w:lvl>
    <w:lvl w:ilvl="8" w:tplc="B03A2E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442297"/>
    <w:multiLevelType w:val="hybridMultilevel"/>
    <w:tmpl w:val="E71EFB32"/>
    <w:lvl w:ilvl="0" w:tplc="F3687428">
      <w:start w:val="1"/>
      <w:numFmt w:val="bullet"/>
      <w:pStyle w:val="Bulletpoints"/>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F175A"/>
    <w:multiLevelType w:val="hybridMultilevel"/>
    <w:tmpl w:val="129A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B8C0A17"/>
    <w:multiLevelType w:val="hybridMultilevel"/>
    <w:tmpl w:val="951495E4"/>
    <w:lvl w:ilvl="0" w:tplc="05AAB4D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221D0"/>
    <w:multiLevelType w:val="hybridMultilevel"/>
    <w:tmpl w:val="D2C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15:restartNumberingAfterBreak="0">
    <w:nsid w:val="550278DD"/>
    <w:multiLevelType w:val="hybridMultilevel"/>
    <w:tmpl w:val="25C2E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093178"/>
    <w:multiLevelType w:val="hybridMultilevel"/>
    <w:tmpl w:val="004C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D033C"/>
    <w:multiLevelType w:val="multilevel"/>
    <w:tmpl w:val="6D9212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6"/>
  </w:num>
  <w:num w:numId="3">
    <w:abstractNumId w:val="27"/>
  </w:num>
  <w:num w:numId="4">
    <w:abstractNumId w:val="28"/>
  </w:num>
  <w:num w:numId="5">
    <w:abstractNumId w:val="29"/>
  </w:num>
  <w:num w:numId="6">
    <w:abstractNumId w:val="25"/>
  </w:num>
  <w:num w:numId="7">
    <w:abstractNumId w:val="0"/>
  </w:num>
  <w:num w:numId="8">
    <w:abstractNumId w:val="17"/>
  </w:num>
  <w:num w:numId="9">
    <w:abstractNumId w:val="8"/>
  </w:num>
  <w:num w:numId="10">
    <w:abstractNumId w:val="1"/>
  </w:num>
  <w:num w:numId="11">
    <w:abstractNumId w:val="30"/>
  </w:num>
  <w:num w:numId="12">
    <w:abstractNumId w:val="3"/>
  </w:num>
  <w:num w:numId="13">
    <w:abstractNumId w:val="19"/>
  </w:num>
  <w:num w:numId="14">
    <w:abstractNumId w:val="35"/>
  </w:num>
  <w:num w:numId="15">
    <w:abstractNumId w:val="37"/>
  </w:num>
  <w:num w:numId="16">
    <w:abstractNumId w:val="7"/>
  </w:num>
  <w:num w:numId="17">
    <w:abstractNumId w:val="15"/>
  </w:num>
  <w:num w:numId="18">
    <w:abstractNumId w:val="10"/>
  </w:num>
  <w:num w:numId="19">
    <w:abstractNumId w:val="5"/>
  </w:num>
  <w:num w:numId="20">
    <w:abstractNumId w:val="31"/>
  </w:num>
  <w:num w:numId="21">
    <w:abstractNumId w:val="4"/>
  </w:num>
  <w:num w:numId="22">
    <w:abstractNumId w:val="32"/>
  </w:num>
  <w:num w:numId="23">
    <w:abstractNumId w:val="34"/>
  </w:num>
  <w:num w:numId="24">
    <w:abstractNumId w:val="6"/>
  </w:num>
  <w:num w:numId="25">
    <w:abstractNumId w:val="2"/>
  </w:num>
  <w:num w:numId="26">
    <w:abstractNumId w:val="14"/>
  </w:num>
  <w:num w:numId="27">
    <w:abstractNumId w:val="18"/>
  </w:num>
  <w:num w:numId="28">
    <w:abstractNumId w:val="13"/>
  </w:num>
  <w:num w:numId="2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2"/>
  </w:num>
  <w:num w:numId="32">
    <w:abstractNumId w:val="39"/>
  </w:num>
  <w:num w:numId="33">
    <w:abstractNumId w:val="16"/>
  </w:num>
  <w:num w:numId="34">
    <w:abstractNumId w:val="21"/>
  </w:num>
  <w:num w:numId="35">
    <w:abstractNumId w:val="11"/>
  </w:num>
  <w:num w:numId="36">
    <w:abstractNumId w:val="9"/>
  </w:num>
  <w:num w:numId="37">
    <w:abstractNumId w:val="20"/>
  </w:num>
  <w:num w:numId="38">
    <w:abstractNumId w:val="23"/>
  </w:num>
  <w:num w:numId="39">
    <w:abstractNumId w:val="24"/>
  </w:num>
  <w:num w:numId="40">
    <w:abstractNumId w:val="40"/>
  </w:num>
  <w:num w:numId="41">
    <w:abstractNumId w:val="40"/>
  </w:num>
  <w:num w:numId="42">
    <w:abstractNumId w:val="40"/>
  </w:num>
  <w:num w:numId="43">
    <w:abstractNumId w:val="22"/>
  </w:num>
  <w:num w:numId="4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52B"/>
    <w:rsid w:val="00003499"/>
    <w:rsid w:val="000039B7"/>
    <w:rsid w:val="00003B1B"/>
    <w:rsid w:val="00004D84"/>
    <w:rsid w:val="0000559D"/>
    <w:rsid w:val="00007D89"/>
    <w:rsid w:val="000126BE"/>
    <w:rsid w:val="000126F2"/>
    <w:rsid w:val="00013247"/>
    <w:rsid w:val="00013E71"/>
    <w:rsid w:val="00014EE2"/>
    <w:rsid w:val="00015886"/>
    <w:rsid w:val="000162EF"/>
    <w:rsid w:val="00016AC1"/>
    <w:rsid w:val="00017C02"/>
    <w:rsid w:val="0002225F"/>
    <w:rsid w:val="00022D44"/>
    <w:rsid w:val="00023763"/>
    <w:rsid w:val="000239C7"/>
    <w:rsid w:val="000242F5"/>
    <w:rsid w:val="00025A42"/>
    <w:rsid w:val="00027EE4"/>
    <w:rsid w:val="00030D59"/>
    <w:rsid w:val="00031534"/>
    <w:rsid w:val="00032907"/>
    <w:rsid w:val="00033761"/>
    <w:rsid w:val="000337BE"/>
    <w:rsid w:val="00033863"/>
    <w:rsid w:val="00035DC0"/>
    <w:rsid w:val="00036829"/>
    <w:rsid w:val="000403A0"/>
    <w:rsid w:val="00040895"/>
    <w:rsid w:val="00040A5F"/>
    <w:rsid w:val="00041A15"/>
    <w:rsid w:val="00042921"/>
    <w:rsid w:val="00043C37"/>
    <w:rsid w:val="00045008"/>
    <w:rsid w:val="00045017"/>
    <w:rsid w:val="0004530E"/>
    <w:rsid w:val="00045A2B"/>
    <w:rsid w:val="0004698F"/>
    <w:rsid w:val="000506DC"/>
    <w:rsid w:val="00051DA1"/>
    <w:rsid w:val="0005317B"/>
    <w:rsid w:val="000539D0"/>
    <w:rsid w:val="00053B5B"/>
    <w:rsid w:val="00054621"/>
    <w:rsid w:val="000546D7"/>
    <w:rsid w:val="00055294"/>
    <w:rsid w:val="0005561F"/>
    <w:rsid w:val="00056D7F"/>
    <w:rsid w:val="00060419"/>
    <w:rsid w:val="00061440"/>
    <w:rsid w:val="000622E8"/>
    <w:rsid w:val="00062412"/>
    <w:rsid w:val="00064033"/>
    <w:rsid w:val="00065457"/>
    <w:rsid w:val="00066360"/>
    <w:rsid w:val="0006680F"/>
    <w:rsid w:val="00066D92"/>
    <w:rsid w:val="00067791"/>
    <w:rsid w:val="00071248"/>
    <w:rsid w:val="000720B9"/>
    <w:rsid w:val="000737ED"/>
    <w:rsid w:val="000737F7"/>
    <w:rsid w:val="0007395E"/>
    <w:rsid w:val="00074285"/>
    <w:rsid w:val="0007445D"/>
    <w:rsid w:val="00074641"/>
    <w:rsid w:val="000759D0"/>
    <w:rsid w:val="00076623"/>
    <w:rsid w:val="0007672F"/>
    <w:rsid w:val="000774F0"/>
    <w:rsid w:val="00080909"/>
    <w:rsid w:val="000812CA"/>
    <w:rsid w:val="00081D79"/>
    <w:rsid w:val="000821BC"/>
    <w:rsid w:val="0008258D"/>
    <w:rsid w:val="00083E99"/>
    <w:rsid w:val="00084074"/>
    <w:rsid w:val="000856C5"/>
    <w:rsid w:val="00086673"/>
    <w:rsid w:val="0008723C"/>
    <w:rsid w:val="0008745C"/>
    <w:rsid w:val="00090054"/>
    <w:rsid w:val="00090C7E"/>
    <w:rsid w:val="00092600"/>
    <w:rsid w:val="0009262B"/>
    <w:rsid w:val="00092B3E"/>
    <w:rsid w:val="00093310"/>
    <w:rsid w:val="0009445C"/>
    <w:rsid w:val="0009534E"/>
    <w:rsid w:val="00095A3A"/>
    <w:rsid w:val="00095FE5"/>
    <w:rsid w:val="00096284"/>
    <w:rsid w:val="0009663C"/>
    <w:rsid w:val="00096DCB"/>
    <w:rsid w:val="00097EE1"/>
    <w:rsid w:val="00097F74"/>
    <w:rsid w:val="000A04C9"/>
    <w:rsid w:val="000A3285"/>
    <w:rsid w:val="000A3B16"/>
    <w:rsid w:val="000A504C"/>
    <w:rsid w:val="000A6FB3"/>
    <w:rsid w:val="000A7D08"/>
    <w:rsid w:val="000B0670"/>
    <w:rsid w:val="000B0A05"/>
    <w:rsid w:val="000B0E75"/>
    <w:rsid w:val="000B1C65"/>
    <w:rsid w:val="000B4AA6"/>
    <w:rsid w:val="000B5E84"/>
    <w:rsid w:val="000B6311"/>
    <w:rsid w:val="000B6CAC"/>
    <w:rsid w:val="000B7612"/>
    <w:rsid w:val="000C1255"/>
    <w:rsid w:val="000C2D87"/>
    <w:rsid w:val="000C3129"/>
    <w:rsid w:val="000C3805"/>
    <w:rsid w:val="000C3DF9"/>
    <w:rsid w:val="000C5B2C"/>
    <w:rsid w:val="000C6289"/>
    <w:rsid w:val="000C6713"/>
    <w:rsid w:val="000C740C"/>
    <w:rsid w:val="000C774E"/>
    <w:rsid w:val="000D0049"/>
    <w:rsid w:val="000D1A4A"/>
    <w:rsid w:val="000D1BFC"/>
    <w:rsid w:val="000D26F2"/>
    <w:rsid w:val="000D281A"/>
    <w:rsid w:val="000D326A"/>
    <w:rsid w:val="000D434A"/>
    <w:rsid w:val="000D51FB"/>
    <w:rsid w:val="000D6314"/>
    <w:rsid w:val="000D6FF4"/>
    <w:rsid w:val="000D784A"/>
    <w:rsid w:val="000E135D"/>
    <w:rsid w:val="000E37F0"/>
    <w:rsid w:val="000E4F5C"/>
    <w:rsid w:val="000E5E9A"/>
    <w:rsid w:val="000E665E"/>
    <w:rsid w:val="000E6C33"/>
    <w:rsid w:val="000E7673"/>
    <w:rsid w:val="000E7F75"/>
    <w:rsid w:val="000F00BA"/>
    <w:rsid w:val="000F316A"/>
    <w:rsid w:val="000F3C74"/>
    <w:rsid w:val="000F3FE8"/>
    <w:rsid w:val="000F47CE"/>
    <w:rsid w:val="000F4BB8"/>
    <w:rsid w:val="000F5457"/>
    <w:rsid w:val="000F6B8D"/>
    <w:rsid w:val="000F7127"/>
    <w:rsid w:val="000F71B8"/>
    <w:rsid w:val="000F7E9B"/>
    <w:rsid w:val="001009D9"/>
    <w:rsid w:val="00100F8A"/>
    <w:rsid w:val="00105AE2"/>
    <w:rsid w:val="00106B80"/>
    <w:rsid w:val="0010750B"/>
    <w:rsid w:val="001079FB"/>
    <w:rsid w:val="0011032E"/>
    <w:rsid w:val="00110A26"/>
    <w:rsid w:val="00112B6B"/>
    <w:rsid w:val="00112C47"/>
    <w:rsid w:val="0011348B"/>
    <w:rsid w:val="001154B4"/>
    <w:rsid w:val="00115982"/>
    <w:rsid w:val="001159D7"/>
    <w:rsid w:val="00116C53"/>
    <w:rsid w:val="001177DF"/>
    <w:rsid w:val="00121799"/>
    <w:rsid w:val="001222FC"/>
    <w:rsid w:val="0012260C"/>
    <w:rsid w:val="0012264A"/>
    <w:rsid w:val="001231FE"/>
    <w:rsid w:val="001235E3"/>
    <w:rsid w:val="00124A18"/>
    <w:rsid w:val="00124A51"/>
    <w:rsid w:val="001259E3"/>
    <w:rsid w:val="00126237"/>
    <w:rsid w:val="00126621"/>
    <w:rsid w:val="00127730"/>
    <w:rsid w:val="00127B8B"/>
    <w:rsid w:val="001301E9"/>
    <w:rsid w:val="00131D82"/>
    <w:rsid w:val="00133216"/>
    <w:rsid w:val="00133380"/>
    <w:rsid w:val="00133D36"/>
    <w:rsid w:val="00134C9D"/>
    <w:rsid w:val="001356A4"/>
    <w:rsid w:val="00135973"/>
    <w:rsid w:val="00136CFF"/>
    <w:rsid w:val="00137645"/>
    <w:rsid w:val="0014015A"/>
    <w:rsid w:val="00140342"/>
    <w:rsid w:val="00140E99"/>
    <w:rsid w:val="001452B1"/>
    <w:rsid w:val="00145491"/>
    <w:rsid w:val="00145540"/>
    <w:rsid w:val="001456B0"/>
    <w:rsid w:val="001474DA"/>
    <w:rsid w:val="00151E96"/>
    <w:rsid w:val="00152CE4"/>
    <w:rsid w:val="00152EA2"/>
    <w:rsid w:val="00153185"/>
    <w:rsid w:val="00154544"/>
    <w:rsid w:val="00156C8C"/>
    <w:rsid w:val="00157130"/>
    <w:rsid w:val="001576B1"/>
    <w:rsid w:val="00157E77"/>
    <w:rsid w:val="00160A4C"/>
    <w:rsid w:val="00160CD6"/>
    <w:rsid w:val="00161325"/>
    <w:rsid w:val="00161B78"/>
    <w:rsid w:val="001620B8"/>
    <w:rsid w:val="00162913"/>
    <w:rsid w:val="001635A0"/>
    <w:rsid w:val="001636C3"/>
    <w:rsid w:val="00163EFF"/>
    <w:rsid w:val="001641A2"/>
    <w:rsid w:val="001648E5"/>
    <w:rsid w:val="001661FB"/>
    <w:rsid w:val="00166F4A"/>
    <w:rsid w:val="00171867"/>
    <w:rsid w:val="001727B4"/>
    <w:rsid w:val="00173565"/>
    <w:rsid w:val="0017373F"/>
    <w:rsid w:val="00173B07"/>
    <w:rsid w:val="00175006"/>
    <w:rsid w:val="00175DA9"/>
    <w:rsid w:val="00177404"/>
    <w:rsid w:val="0018075E"/>
    <w:rsid w:val="00181D9C"/>
    <w:rsid w:val="001826D2"/>
    <w:rsid w:val="0018290D"/>
    <w:rsid w:val="001841F5"/>
    <w:rsid w:val="0018752F"/>
    <w:rsid w:val="00187963"/>
    <w:rsid w:val="001901A2"/>
    <w:rsid w:val="00190296"/>
    <w:rsid w:val="001911A9"/>
    <w:rsid w:val="001937B9"/>
    <w:rsid w:val="00193FD5"/>
    <w:rsid w:val="00195222"/>
    <w:rsid w:val="00195E82"/>
    <w:rsid w:val="001975D8"/>
    <w:rsid w:val="001A4114"/>
    <w:rsid w:val="001A43FA"/>
    <w:rsid w:val="001A4CE3"/>
    <w:rsid w:val="001A59FB"/>
    <w:rsid w:val="001A5E2A"/>
    <w:rsid w:val="001A6354"/>
    <w:rsid w:val="001A7AE8"/>
    <w:rsid w:val="001B204E"/>
    <w:rsid w:val="001B3443"/>
    <w:rsid w:val="001B3455"/>
    <w:rsid w:val="001B3FEE"/>
    <w:rsid w:val="001B42DD"/>
    <w:rsid w:val="001B49B5"/>
    <w:rsid w:val="001B4D20"/>
    <w:rsid w:val="001B52EC"/>
    <w:rsid w:val="001B6AF8"/>
    <w:rsid w:val="001B77B7"/>
    <w:rsid w:val="001C1D08"/>
    <w:rsid w:val="001C2A9B"/>
    <w:rsid w:val="001C2B95"/>
    <w:rsid w:val="001C4299"/>
    <w:rsid w:val="001C59D8"/>
    <w:rsid w:val="001C5F94"/>
    <w:rsid w:val="001C6903"/>
    <w:rsid w:val="001C6E66"/>
    <w:rsid w:val="001C7B36"/>
    <w:rsid w:val="001D10D8"/>
    <w:rsid w:val="001D138D"/>
    <w:rsid w:val="001D29F4"/>
    <w:rsid w:val="001D3011"/>
    <w:rsid w:val="001D303C"/>
    <w:rsid w:val="001D4D0E"/>
    <w:rsid w:val="001D5826"/>
    <w:rsid w:val="001D67B0"/>
    <w:rsid w:val="001D7397"/>
    <w:rsid w:val="001E09A6"/>
    <w:rsid w:val="001E0B4C"/>
    <w:rsid w:val="001E0CCB"/>
    <w:rsid w:val="001E238E"/>
    <w:rsid w:val="001E2483"/>
    <w:rsid w:val="001E2B1E"/>
    <w:rsid w:val="001E30D4"/>
    <w:rsid w:val="001E3B67"/>
    <w:rsid w:val="001E4499"/>
    <w:rsid w:val="001E4835"/>
    <w:rsid w:val="001E5250"/>
    <w:rsid w:val="001E52EB"/>
    <w:rsid w:val="001E57AA"/>
    <w:rsid w:val="001E5A2F"/>
    <w:rsid w:val="001E61D2"/>
    <w:rsid w:val="001E7252"/>
    <w:rsid w:val="001E740C"/>
    <w:rsid w:val="001F1235"/>
    <w:rsid w:val="001F1CB3"/>
    <w:rsid w:val="001F2CD0"/>
    <w:rsid w:val="001F38B5"/>
    <w:rsid w:val="001F3DA0"/>
    <w:rsid w:val="001F4332"/>
    <w:rsid w:val="001F54C4"/>
    <w:rsid w:val="001F5BAD"/>
    <w:rsid w:val="001F5C1A"/>
    <w:rsid w:val="001F5C4E"/>
    <w:rsid w:val="001F6EE4"/>
    <w:rsid w:val="001F7361"/>
    <w:rsid w:val="002011B0"/>
    <w:rsid w:val="002018B2"/>
    <w:rsid w:val="0020203B"/>
    <w:rsid w:val="00202F2A"/>
    <w:rsid w:val="00203181"/>
    <w:rsid w:val="002031A0"/>
    <w:rsid w:val="002032EB"/>
    <w:rsid w:val="002036AB"/>
    <w:rsid w:val="00203783"/>
    <w:rsid w:val="0020385F"/>
    <w:rsid w:val="00204523"/>
    <w:rsid w:val="0020504B"/>
    <w:rsid w:val="00207021"/>
    <w:rsid w:val="0020732F"/>
    <w:rsid w:val="00207D00"/>
    <w:rsid w:val="00207E05"/>
    <w:rsid w:val="002101A9"/>
    <w:rsid w:val="002105C1"/>
    <w:rsid w:val="002136D6"/>
    <w:rsid w:val="00213E38"/>
    <w:rsid w:val="002145A8"/>
    <w:rsid w:val="0022048C"/>
    <w:rsid w:val="00221F7E"/>
    <w:rsid w:val="002222F3"/>
    <w:rsid w:val="00223B49"/>
    <w:rsid w:val="00224DD4"/>
    <w:rsid w:val="00226565"/>
    <w:rsid w:val="00227089"/>
    <w:rsid w:val="002309CC"/>
    <w:rsid w:val="002315F9"/>
    <w:rsid w:val="00231675"/>
    <w:rsid w:val="00231761"/>
    <w:rsid w:val="0023209F"/>
    <w:rsid w:val="002321DE"/>
    <w:rsid w:val="00232ED3"/>
    <w:rsid w:val="00235939"/>
    <w:rsid w:val="0023629D"/>
    <w:rsid w:val="00237255"/>
    <w:rsid w:val="002400CD"/>
    <w:rsid w:val="002402F6"/>
    <w:rsid w:val="002424AF"/>
    <w:rsid w:val="002439DC"/>
    <w:rsid w:val="00244DC8"/>
    <w:rsid w:val="002452A4"/>
    <w:rsid w:val="002452E6"/>
    <w:rsid w:val="002458BA"/>
    <w:rsid w:val="00245BB9"/>
    <w:rsid w:val="0024636C"/>
    <w:rsid w:val="0024763C"/>
    <w:rsid w:val="00247925"/>
    <w:rsid w:val="002502DD"/>
    <w:rsid w:val="002517B1"/>
    <w:rsid w:val="0025246D"/>
    <w:rsid w:val="00254DCF"/>
    <w:rsid w:val="0025534B"/>
    <w:rsid w:val="002556CB"/>
    <w:rsid w:val="00255AAD"/>
    <w:rsid w:val="00255BB7"/>
    <w:rsid w:val="00257541"/>
    <w:rsid w:val="00257C4B"/>
    <w:rsid w:val="002601C2"/>
    <w:rsid w:val="002603CC"/>
    <w:rsid w:val="002608F1"/>
    <w:rsid w:val="00262A1A"/>
    <w:rsid w:val="00262A87"/>
    <w:rsid w:val="00263614"/>
    <w:rsid w:val="00264D26"/>
    <w:rsid w:val="00265720"/>
    <w:rsid w:val="00267642"/>
    <w:rsid w:val="00267AEA"/>
    <w:rsid w:val="002700E6"/>
    <w:rsid w:val="00270608"/>
    <w:rsid w:val="002707D4"/>
    <w:rsid w:val="00270FAC"/>
    <w:rsid w:val="0027294B"/>
    <w:rsid w:val="00274F23"/>
    <w:rsid w:val="00275C5A"/>
    <w:rsid w:val="00277897"/>
    <w:rsid w:val="00280F87"/>
    <w:rsid w:val="00281014"/>
    <w:rsid w:val="002816C6"/>
    <w:rsid w:val="00281834"/>
    <w:rsid w:val="00282655"/>
    <w:rsid w:val="002835F5"/>
    <w:rsid w:val="00284D6B"/>
    <w:rsid w:val="0029251E"/>
    <w:rsid w:val="00294021"/>
    <w:rsid w:val="00296AA3"/>
    <w:rsid w:val="002A14AB"/>
    <w:rsid w:val="002A15FC"/>
    <w:rsid w:val="002A26E2"/>
    <w:rsid w:val="002A2F50"/>
    <w:rsid w:val="002A34E8"/>
    <w:rsid w:val="002A5685"/>
    <w:rsid w:val="002A5BE1"/>
    <w:rsid w:val="002A5C65"/>
    <w:rsid w:val="002A5C87"/>
    <w:rsid w:val="002A5CD3"/>
    <w:rsid w:val="002A73A8"/>
    <w:rsid w:val="002B01E7"/>
    <w:rsid w:val="002B09A4"/>
    <w:rsid w:val="002B1C1F"/>
    <w:rsid w:val="002B432F"/>
    <w:rsid w:val="002B62B3"/>
    <w:rsid w:val="002B6754"/>
    <w:rsid w:val="002B6CCE"/>
    <w:rsid w:val="002C1FEB"/>
    <w:rsid w:val="002C2510"/>
    <w:rsid w:val="002C2775"/>
    <w:rsid w:val="002C27C1"/>
    <w:rsid w:val="002C3FB9"/>
    <w:rsid w:val="002C5099"/>
    <w:rsid w:val="002C57CA"/>
    <w:rsid w:val="002C5889"/>
    <w:rsid w:val="002C58CB"/>
    <w:rsid w:val="002C5F4F"/>
    <w:rsid w:val="002C609A"/>
    <w:rsid w:val="002C6CEF"/>
    <w:rsid w:val="002C71CE"/>
    <w:rsid w:val="002D18D8"/>
    <w:rsid w:val="002D338D"/>
    <w:rsid w:val="002D55ED"/>
    <w:rsid w:val="002D577C"/>
    <w:rsid w:val="002E004A"/>
    <w:rsid w:val="002E15B9"/>
    <w:rsid w:val="002E2158"/>
    <w:rsid w:val="002E32E3"/>
    <w:rsid w:val="002E3763"/>
    <w:rsid w:val="002E3D51"/>
    <w:rsid w:val="002E59BE"/>
    <w:rsid w:val="002E5AB3"/>
    <w:rsid w:val="002E5DE4"/>
    <w:rsid w:val="002E6F49"/>
    <w:rsid w:val="002E7722"/>
    <w:rsid w:val="002F07BA"/>
    <w:rsid w:val="002F0DA9"/>
    <w:rsid w:val="002F2639"/>
    <w:rsid w:val="002F4961"/>
    <w:rsid w:val="002F643C"/>
    <w:rsid w:val="002F71C0"/>
    <w:rsid w:val="00300C11"/>
    <w:rsid w:val="00301017"/>
    <w:rsid w:val="0030121A"/>
    <w:rsid w:val="0030155F"/>
    <w:rsid w:val="0030182E"/>
    <w:rsid w:val="00303ED9"/>
    <w:rsid w:val="00303FB5"/>
    <w:rsid w:val="0030587B"/>
    <w:rsid w:val="00306D98"/>
    <w:rsid w:val="00306E7D"/>
    <w:rsid w:val="0030786C"/>
    <w:rsid w:val="00307CE7"/>
    <w:rsid w:val="0031031A"/>
    <w:rsid w:val="00310981"/>
    <w:rsid w:val="003120A7"/>
    <w:rsid w:val="00312980"/>
    <w:rsid w:val="00314663"/>
    <w:rsid w:val="00315498"/>
    <w:rsid w:val="00316A62"/>
    <w:rsid w:val="00321007"/>
    <w:rsid w:val="00322107"/>
    <w:rsid w:val="003223B7"/>
    <w:rsid w:val="003223C2"/>
    <w:rsid w:val="00322846"/>
    <w:rsid w:val="00322AC8"/>
    <w:rsid w:val="00322E1B"/>
    <w:rsid w:val="00322E1F"/>
    <w:rsid w:val="00322E52"/>
    <w:rsid w:val="003254C7"/>
    <w:rsid w:val="00325523"/>
    <w:rsid w:val="00326DA7"/>
    <w:rsid w:val="003270E4"/>
    <w:rsid w:val="00327337"/>
    <w:rsid w:val="003305F6"/>
    <w:rsid w:val="00330F5C"/>
    <w:rsid w:val="003310CE"/>
    <w:rsid w:val="003331F0"/>
    <w:rsid w:val="0033402C"/>
    <w:rsid w:val="00335F8F"/>
    <w:rsid w:val="003366C9"/>
    <w:rsid w:val="00337167"/>
    <w:rsid w:val="003371B0"/>
    <w:rsid w:val="00340DF1"/>
    <w:rsid w:val="0034288F"/>
    <w:rsid w:val="003440B8"/>
    <w:rsid w:val="0034447B"/>
    <w:rsid w:val="00344ACE"/>
    <w:rsid w:val="003462BD"/>
    <w:rsid w:val="0034643A"/>
    <w:rsid w:val="00346577"/>
    <w:rsid w:val="003465EE"/>
    <w:rsid w:val="00350046"/>
    <w:rsid w:val="00350913"/>
    <w:rsid w:val="003517F9"/>
    <w:rsid w:val="00354D1B"/>
    <w:rsid w:val="0035620E"/>
    <w:rsid w:val="00356651"/>
    <w:rsid w:val="00357BCB"/>
    <w:rsid w:val="003604EA"/>
    <w:rsid w:val="003624C4"/>
    <w:rsid w:val="00363ABA"/>
    <w:rsid w:val="00364F37"/>
    <w:rsid w:val="003654AC"/>
    <w:rsid w:val="00367BDF"/>
    <w:rsid w:val="0037094B"/>
    <w:rsid w:val="003710CF"/>
    <w:rsid w:val="0037358A"/>
    <w:rsid w:val="00373927"/>
    <w:rsid w:val="003750F6"/>
    <w:rsid w:val="00375207"/>
    <w:rsid w:val="00375776"/>
    <w:rsid w:val="003760FC"/>
    <w:rsid w:val="00377FA3"/>
    <w:rsid w:val="003815AD"/>
    <w:rsid w:val="00382E79"/>
    <w:rsid w:val="0038365C"/>
    <w:rsid w:val="0038369B"/>
    <w:rsid w:val="003837FE"/>
    <w:rsid w:val="00383B78"/>
    <w:rsid w:val="00385A9D"/>
    <w:rsid w:val="003902B1"/>
    <w:rsid w:val="0039133A"/>
    <w:rsid w:val="003947F4"/>
    <w:rsid w:val="0039591D"/>
    <w:rsid w:val="003961C7"/>
    <w:rsid w:val="00396896"/>
    <w:rsid w:val="00396B59"/>
    <w:rsid w:val="00396FD0"/>
    <w:rsid w:val="003A01A2"/>
    <w:rsid w:val="003A1713"/>
    <w:rsid w:val="003A1A7A"/>
    <w:rsid w:val="003A2392"/>
    <w:rsid w:val="003A2831"/>
    <w:rsid w:val="003A2C2D"/>
    <w:rsid w:val="003A3ED1"/>
    <w:rsid w:val="003A4556"/>
    <w:rsid w:val="003A4AB4"/>
    <w:rsid w:val="003A4AF3"/>
    <w:rsid w:val="003A6BC9"/>
    <w:rsid w:val="003A6DC1"/>
    <w:rsid w:val="003B0309"/>
    <w:rsid w:val="003B3F04"/>
    <w:rsid w:val="003B481C"/>
    <w:rsid w:val="003B4EE6"/>
    <w:rsid w:val="003B5B61"/>
    <w:rsid w:val="003B5BF2"/>
    <w:rsid w:val="003B6346"/>
    <w:rsid w:val="003B6EDE"/>
    <w:rsid w:val="003C0B50"/>
    <w:rsid w:val="003C0DF0"/>
    <w:rsid w:val="003C1654"/>
    <w:rsid w:val="003C317D"/>
    <w:rsid w:val="003C492F"/>
    <w:rsid w:val="003C6060"/>
    <w:rsid w:val="003C67D4"/>
    <w:rsid w:val="003C76F8"/>
    <w:rsid w:val="003C7D19"/>
    <w:rsid w:val="003C7E2A"/>
    <w:rsid w:val="003D1828"/>
    <w:rsid w:val="003D19ED"/>
    <w:rsid w:val="003D1DE4"/>
    <w:rsid w:val="003D20F2"/>
    <w:rsid w:val="003D2422"/>
    <w:rsid w:val="003D39A1"/>
    <w:rsid w:val="003D3FBF"/>
    <w:rsid w:val="003D49EF"/>
    <w:rsid w:val="003D4A30"/>
    <w:rsid w:val="003D79BB"/>
    <w:rsid w:val="003D7C98"/>
    <w:rsid w:val="003D7DEE"/>
    <w:rsid w:val="003E01DD"/>
    <w:rsid w:val="003E0543"/>
    <w:rsid w:val="003E092D"/>
    <w:rsid w:val="003E175D"/>
    <w:rsid w:val="003E1CC6"/>
    <w:rsid w:val="003E2438"/>
    <w:rsid w:val="003E6EC7"/>
    <w:rsid w:val="003E7EC5"/>
    <w:rsid w:val="003E7ECD"/>
    <w:rsid w:val="003F0212"/>
    <w:rsid w:val="003F17EF"/>
    <w:rsid w:val="003F2DDA"/>
    <w:rsid w:val="003F3331"/>
    <w:rsid w:val="003F4156"/>
    <w:rsid w:val="003F4C37"/>
    <w:rsid w:val="003F671C"/>
    <w:rsid w:val="003F707C"/>
    <w:rsid w:val="003F7D6D"/>
    <w:rsid w:val="00400B29"/>
    <w:rsid w:val="004012F0"/>
    <w:rsid w:val="00404FF6"/>
    <w:rsid w:val="0040504B"/>
    <w:rsid w:val="00410708"/>
    <w:rsid w:val="00410EC7"/>
    <w:rsid w:val="00411B39"/>
    <w:rsid w:val="00412831"/>
    <w:rsid w:val="00413A1E"/>
    <w:rsid w:val="00414476"/>
    <w:rsid w:val="00414C2E"/>
    <w:rsid w:val="004151CF"/>
    <w:rsid w:val="00416364"/>
    <w:rsid w:val="00417DA1"/>
    <w:rsid w:val="00417EC3"/>
    <w:rsid w:val="00420AA6"/>
    <w:rsid w:val="00420B9F"/>
    <w:rsid w:val="00421B01"/>
    <w:rsid w:val="00421D17"/>
    <w:rsid w:val="00422260"/>
    <w:rsid w:val="00422CCA"/>
    <w:rsid w:val="00423575"/>
    <w:rsid w:val="0042413F"/>
    <w:rsid w:val="004248A9"/>
    <w:rsid w:val="00424EF8"/>
    <w:rsid w:val="00426076"/>
    <w:rsid w:val="00430A81"/>
    <w:rsid w:val="00430BD1"/>
    <w:rsid w:val="004319F8"/>
    <w:rsid w:val="00431E55"/>
    <w:rsid w:val="004321F6"/>
    <w:rsid w:val="00433044"/>
    <w:rsid w:val="00433941"/>
    <w:rsid w:val="00435E92"/>
    <w:rsid w:val="00435F21"/>
    <w:rsid w:val="00436EDC"/>
    <w:rsid w:val="004375B9"/>
    <w:rsid w:val="00437ED4"/>
    <w:rsid w:val="00440525"/>
    <w:rsid w:val="00440777"/>
    <w:rsid w:val="00441690"/>
    <w:rsid w:val="004428D0"/>
    <w:rsid w:val="004443A7"/>
    <w:rsid w:val="0044442C"/>
    <w:rsid w:val="00444783"/>
    <w:rsid w:val="00445941"/>
    <w:rsid w:val="004464EB"/>
    <w:rsid w:val="00447D26"/>
    <w:rsid w:val="00447EB1"/>
    <w:rsid w:val="00447EBA"/>
    <w:rsid w:val="00447F2B"/>
    <w:rsid w:val="004507CD"/>
    <w:rsid w:val="00453190"/>
    <w:rsid w:val="00454299"/>
    <w:rsid w:val="00454512"/>
    <w:rsid w:val="004549A1"/>
    <w:rsid w:val="00455D45"/>
    <w:rsid w:val="004564FB"/>
    <w:rsid w:val="00460609"/>
    <w:rsid w:val="00464595"/>
    <w:rsid w:val="00465859"/>
    <w:rsid w:val="00466762"/>
    <w:rsid w:val="00470D8F"/>
    <w:rsid w:val="0047119F"/>
    <w:rsid w:val="004721A6"/>
    <w:rsid w:val="004723BE"/>
    <w:rsid w:val="00472A79"/>
    <w:rsid w:val="00473B9F"/>
    <w:rsid w:val="00473C6C"/>
    <w:rsid w:val="00473F19"/>
    <w:rsid w:val="00475A1D"/>
    <w:rsid w:val="00475E22"/>
    <w:rsid w:val="00477D15"/>
    <w:rsid w:val="00480457"/>
    <w:rsid w:val="0048088E"/>
    <w:rsid w:val="00481B15"/>
    <w:rsid w:val="00482720"/>
    <w:rsid w:val="0048290F"/>
    <w:rsid w:val="004835E7"/>
    <w:rsid w:val="00483757"/>
    <w:rsid w:val="00483B34"/>
    <w:rsid w:val="00483D2A"/>
    <w:rsid w:val="00483FA9"/>
    <w:rsid w:val="004858D8"/>
    <w:rsid w:val="004867E2"/>
    <w:rsid w:val="00486FBF"/>
    <w:rsid w:val="0049069B"/>
    <w:rsid w:val="00491B3A"/>
    <w:rsid w:val="00492CFD"/>
    <w:rsid w:val="004949A6"/>
    <w:rsid w:val="00494DD5"/>
    <w:rsid w:val="004961BB"/>
    <w:rsid w:val="004962D2"/>
    <w:rsid w:val="00497B9B"/>
    <w:rsid w:val="004A0DA1"/>
    <w:rsid w:val="004A2093"/>
    <w:rsid w:val="004A3B97"/>
    <w:rsid w:val="004A3FA6"/>
    <w:rsid w:val="004A52E9"/>
    <w:rsid w:val="004A643C"/>
    <w:rsid w:val="004A6597"/>
    <w:rsid w:val="004A7848"/>
    <w:rsid w:val="004A7FBC"/>
    <w:rsid w:val="004B046D"/>
    <w:rsid w:val="004B1CB4"/>
    <w:rsid w:val="004B2CB3"/>
    <w:rsid w:val="004B2F18"/>
    <w:rsid w:val="004B3C2B"/>
    <w:rsid w:val="004B3DDB"/>
    <w:rsid w:val="004B44FD"/>
    <w:rsid w:val="004B5CFC"/>
    <w:rsid w:val="004B774D"/>
    <w:rsid w:val="004C4AED"/>
    <w:rsid w:val="004C4B34"/>
    <w:rsid w:val="004C5FC8"/>
    <w:rsid w:val="004D110E"/>
    <w:rsid w:val="004D23D4"/>
    <w:rsid w:val="004D29AE"/>
    <w:rsid w:val="004D2C2D"/>
    <w:rsid w:val="004D3C6B"/>
    <w:rsid w:val="004D3EA7"/>
    <w:rsid w:val="004D6D82"/>
    <w:rsid w:val="004D7227"/>
    <w:rsid w:val="004E0DA6"/>
    <w:rsid w:val="004E0E7F"/>
    <w:rsid w:val="004E0EB8"/>
    <w:rsid w:val="004E1677"/>
    <w:rsid w:val="004E2ADC"/>
    <w:rsid w:val="004E346F"/>
    <w:rsid w:val="004E3707"/>
    <w:rsid w:val="004E3E76"/>
    <w:rsid w:val="004E43B2"/>
    <w:rsid w:val="004E4589"/>
    <w:rsid w:val="004E5660"/>
    <w:rsid w:val="004E72CC"/>
    <w:rsid w:val="004E73B4"/>
    <w:rsid w:val="004F101B"/>
    <w:rsid w:val="004F1D02"/>
    <w:rsid w:val="004F2679"/>
    <w:rsid w:val="004F2F21"/>
    <w:rsid w:val="004F3170"/>
    <w:rsid w:val="004F3736"/>
    <w:rsid w:val="004F403E"/>
    <w:rsid w:val="004F6913"/>
    <w:rsid w:val="004F7865"/>
    <w:rsid w:val="00500392"/>
    <w:rsid w:val="0050219B"/>
    <w:rsid w:val="0050244A"/>
    <w:rsid w:val="00503F17"/>
    <w:rsid w:val="00504545"/>
    <w:rsid w:val="00504E96"/>
    <w:rsid w:val="005051CB"/>
    <w:rsid w:val="00505A28"/>
    <w:rsid w:val="00506928"/>
    <w:rsid w:val="00510B13"/>
    <w:rsid w:val="005110EA"/>
    <w:rsid w:val="005118DA"/>
    <w:rsid w:val="00512760"/>
    <w:rsid w:val="005138F3"/>
    <w:rsid w:val="005152B5"/>
    <w:rsid w:val="0052085E"/>
    <w:rsid w:val="00520F4A"/>
    <w:rsid w:val="00520FE7"/>
    <w:rsid w:val="00521319"/>
    <w:rsid w:val="00521511"/>
    <w:rsid w:val="00521E1C"/>
    <w:rsid w:val="00522BC8"/>
    <w:rsid w:val="00523C28"/>
    <w:rsid w:val="00523E57"/>
    <w:rsid w:val="005248C2"/>
    <w:rsid w:val="0052690E"/>
    <w:rsid w:val="00526E26"/>
    <w:rsid w:val="0052734B"/>
    <w:rsid w:val="00532CA6"/>
    <w:rsid w:val="0053313A"/>
    <w:rsid w:val="00534D41"/>
    <w:rsid w:val="005361B0"/>
    <w:rsid w:val="00536F42"/>
    <w:rsid w:val="00537182"/>
    <w:rsid w:val="00537657"/>
    <w:rsid w:val="005378BA"/>
    <w:rsid w:val="00540B82"/>
    <w:rsid w:val="00541C05"/>
    <w:rsid w:val="00542210"/>
    <w:rsid w:val="00542743"/>
    <w:rsid w:val="0054283E"/>
    <w:rsid w:val="00542C2D"/>
    <w:rsid w:val="005430C8"/>
    <w:rsid w:val="00545B54"/>
    <w:rsid w:val="005509E0"/>
    <w:rsid w:val="00551985"/>
    <w:rsid w:val="00552BD3"/>
    <w:rsid w:val="0055399E"/>
    <w:rsid w:val="00554777"/>
    <w:rsid w:val="005549E0"/>
    <w:rsid w:val="00555109"/>
    <w:rsid w:val="005553FB"/>
    <w:rsid w:val="00556E62"/>
    <w:rsid w:val="0056026E"/>
    <w:rsid w:val="0056329B"/>
    <w:rsid w:val="005660C8"/>
    <w:rsid w:val="0056696F"/>
    <w:rsid w:val="00567257"/>
    <w:rsid w:val="00567C3F"/>
    <w:rsid w:val="00572269"/>
    <w:rsid w:val="0057244A"/>
    <w:rsid w:val="005737B8"/>
    <w:rsid w:val="005740E2"/>
    <w:rsid w:val="005757C2"/>
    <w:rsid w:val="00575D8D"/>
    <w:rsid w:val="005761A1"/>
    <w:rsid w:val="0057660C"/>
    <w:rsid w:val="00576972"/>
    <w:rsid w:val="00580B85"/>
    <w:rsid w:val="00581FBC"/>
    <w:rsid w:val="00582006"/>
    <w:rsid w:val="00583699"/>
    <w:rsid w:val="00583AB9"/>
    <w:rsid w:val="00584CC8"/>
    <w:rsid w:val="00585043"/>
    <w:rsid w:val="00585CDD"/>
    <w:rsid w:val="005869CA"/>
    <w:rsid w:val="00586BAA"/>
    <w:rsid w:val="00587058"/>
    <w:rsid w:val="00587AFC"/>
    <w:rsid w:val="00587E20"/>
    <w:rsid w:val="00590FAB"/>
    <w:rsid w:val="00591957"/>
    <w:rsid w:val="00593E98"/>
    <w:rsid w:val="005945BC"/>
    <w:rsid w:val="0059753A"/>
    <w:rsid w:val="00597BF9"/>
    <w:rsid w:val="005A077F"/>
    <w:rsid w:val="005A196B"/>
    <w:rsid w:val="005A3177"/>
    <w:rsid w:val="005A373D"/>
    <w:rsid w:val="005A3F8B"/>
    <w:rsid w:val="005B1BAD"/>
    <w:rsid w:val="005B33DD"/>
    <w:rsid w:val="005B4B80"/>
    <w:rsid w:val="005B4D56"/>
    <w:rsid w:val="005B5857"/>
    <w:rsid w:val="005B5E67"/>
    <w:rsid w:val="005B6C2A"/>
    <w:rsid w:val="005C0809"/>
    <w:rsid w:val="005C1B83"/>
    <w:rsid w:val="005C1BDA"/>
    <w:rsid w:val="005C1CAC"/>
    <w:rsid w:val="005C2193"/>
    <w:rsid w:val="005C2D55"/>
    <w:rsid w:val="005C346B"/>
    <w:rsid w:val="005C3D1D"/>
    <w:rsid w:val="005C3FB8"/>
    <w:rsid w:val="005C4100"/>
    <w:rsid w:val="005C41EE"/>
    <w:rsid w:val="005C4B49"/>
    <w:rsid w:val="005C659A"/>
    <w:rsid w:val="005C755D"/>
    <w:rsid w:val="005D044D"/>
    <w:rsid w:val="005D0ABD"/>
    <w:rsid w:val="005D18AD"/>
    <w:rsid w:val="005D26B4"/>
    <w:rsid w:val="005D27C9"/>
    <w:rsid w:val="005D506B"/>
    <w:rsid w:val="005D715C"/>
    <w:rsid w:val="005E019E"/>
    <w:rsid w:val="005E0302"/>
    <w:rsid w:val="005E32B5"/>
    <w:rsid w:val="005E4266"/>
    <w:rsid w:val="005E543C"/>
    <w:rsid w:val="005E6CBC"/>
    <w:rsid w:val="005E706D"/>
    <w:rsid w:val="005E73C0"/>
    <w:rsid w:val="005E7549"/>
    <w:rsid w:val="005F1B93"/>
    <w:rsid w:val="005F1BDF"/>
    <w:rsid w:val="005F1CA9"/>
    <w:rsid w:val="005F1E8E"/>
    <w:rsid w:val="005F201C"/>
    <w:rsid w:val="005F21B2"/>
    <w:rsid w:val="005F2706"/>
    <w:rsid w:val="005F45AB"/>
    <w:rsid w:val="005F58E5"/>
    <w:rsid w:val="005F6A8F"/>
    <w:rsid w:val="00600318"/>
    <w:rsid w:val="006004BD"/>
    <w:rsid w:val="006034DC"/>
    <w:rsid w:val="00603DB9"/>
    <w:rsid w:val="006057A8"/>
    <w:rsid w:val="00607669"/>
    <w:rsid w:val="00607AFD"/>
    <w:rsid w:val="00607F66"/>
    <w:rsid w:val="00610470"/>
    <w:rsid w:val="006109CE"/>
    <w:rsid w:val="006117B4"/>
    <w:rsid w:val="00612535"/>
    <w:rsid w:val="00612F97"/>
    <w:rsid w:val="0061345D"/>
    <w:rsid w:val="00613C2E"/>
    <w:rsid w:val="006147E1"/>
    <w:rsid w:val="00616475"/>
    <w:rsid w:val="00616802"/>
    <w:rsid w:val="00617090"/>
    <w:rsid w:val="00617E12"/>
    <w:rsid w:val="00621477"/>
    <w:rsid w:val="00621BE6"/>
    <w:rsid w:val="00621EBD"/>
    <w:rsid w:val="006247AE"/>
    <w:rsid w:val="00625815"/>
    <w:rsid w:val="0062660D"/>
    <w:rsid w:val="0063043C"/>
    <w:rsid w:val="0063158F"/>
    <w:rsid w:val="00631D6B"/>
    <w:rsid w:val="0063287E"/>
    <w:rsid w:val="006328D9"/>
    <w:rsid w:val="006330A1"/>
    <w:rsid w:val="006339B8"/>
    <w:rsid w:val="0063479F"/>
    <w:rsid w:val="00635271"/>
    <w:rsid w:val="006353F0"/>
    <w:rsid w:val="006364A1"/>
    <w:rsid w:val="00636DC5"/>
    <w:rsid w:val="00637BFD"/>
    <w:rsid w:val="006415C6"/>
    <w:rsid w:val="00641C4E"/>
    <w:rsid w:val="00641C53"/>
    <w:rsid w:val="00647036"/>
    <w:rsid w:val="006471CC"/>
    <w:rsid w:val="00647BD0"/>
    <w:rsid w:val="0065079F"/>
    <w:rsid w:val="00651A36"/>
    <w:rsid w:val="006530A9"/>
    <w:rsid w:val="0065379F"/>
    <w:rsid w:val="006571AA"/>
    <w:rsid w:val="00657888"/>
    <w:rsid w:val="00660994"/>
    <w:rsid w:val="0066188B"/>
    <w:rsid w:val="00661C6B"/>
    <w:rsid w:val="006649A7"/>
    <w:rsid w:val="006649DA"/>
    <w:rsid w:val="00671CFB"/>
    <w:rsid w:val="00673296"/>
    <w:rsid w:val="006733D5"/>
    <w:rsid w:val="0067362B"/>
    <w:rsid w:val="00674AD4"/>
    <w:rsid w:val="00674E42"/>
    <w:rsid w:val="006758BB"/>
    <w:rsid w:val="00676D6A"/>
    <w:rsid w:val="00682112"/>
    <w:rsid w:val="00682CD2"/>
    <w:rsid w:val="00682CDA"/>
    <w:rsid w:val="00683C80"/>
    <w:rsid w:val="0068513B"/>
    <w:rsid w:val="006860EF"/>
    <w:rsid w:val="00686957"/>
    <w:rsid w:val="006872BA"/>
    <w:rsid w:val="00687BE1"/>
    <w:rsid w:val="00690AEE"/>
    <w:rsid w:val="00691648"/>
    <w:rsid w:val="006917D7"/>
    <w:rsid w:val="00692B19"/>
    <w:rsid w:val="0069349D"/>
    <w:rsid w:val="00694F44"/>
    <w:rsid w:val="006A0794"/>
    <w:rsid w:val="006A25FF"/>
    <w:rsid w:val="006A5B27"/>
    <w:rsid w:val="006A76E5"/>
    <w:rsid w:val="006A7771"/>
    <w:rsid w:val="006A7E5F"/>
    <w:rsid w:val="006B261B"/>
    <w:rsid w:val="006B2687"/>
    <w:rsid w:val="006B2C90"/>
    <w:rsid w:val="006B60B8"/>
    <w:rsid w:val="006B6DD0"/>
    <w:rsid w:val="006C0319"/>
    <w:rsid w:val="006C25D3"/>
    <w:rsid w:val="006C2A8E"/>
    <w:rsid w:val="006C2BFC"/>
    <w:rsid w:val="006C4FE0"/>
    <w:rsid w:val="006C558F"/>
    <w:rsid w:val="006C77FB"/>
    <w:rsid w:val="006D03E2"/>
    <w:rsid w:val="006D0753"/>
    <w:rsid w:val="006D1669"/>
    <w:rsid w:val="006D37BB"/>
    <w:rsid w:val="006D3C7D"/>
    <w:rsid w:val="006D46AC"/>
    <w:rsid w:val="006D5C7E"/>
    <w:rsid w:val="006D5D5F"/>
    <w:rsid w:val="006D7B5E"/>
    <w:rsid w:val="006D7CD5"/>
    <w:rsid w:val="006E0BA8"/>
    <w:rsid w:val="006E132E"/>
    <w:rsid w:val="006E1989"/>
    <w:rsid w:val="006E1A52"/>
    <w:rsid w:val="006E1BC8"/>
    <w:rsid w:val="006E2D21"/>
    <w:rsid w:val="006E4414"/>
    <w:rsid w:val="006F1EC0"/>
    <w:rsid w:val="006F306C"/>
    <w:rsid w:val="006F3DDC"/>
    <w:rsid w:val="006F4997"/>
    <w:rsid w:val="006F4FFA"/>
    <w:rsid w:val="006F5421"/>
    <w:rsid w:val="006F5B44"/>
    <w:rsid w:val="006F63A5"/>
    <w:rsid w:val="006F75F0"/>
    <w:rsid w:val="007004B5"/>
    <w:rsid w:val="0070142B"/>
    <w:rsid w:val="0070276E"/>
    <w:rsid w:val="00702F8F"/>
    <w:rsid w:val="007037C0"/>
    <w:rsid w:val="00703E0F"/>
    <w:rsid w:val="0070542F"/>
    <w:rsid w:val="007056D6"/>
    <w:rsid w:val="00706488"/>
    <w:rsid w:val="007065C6"/>
    <w:rsid w:val="00706C07"/>
    <w:rsid w:val="00707E51"/>
    <w:rsid w:val="00707F0F"/>
    <w:rsid w:val="00710D67"/>
    <w:rsid w:val="00711A36"/>
    <w:rsid w:val="00712293"/>
    <w:rsid w:val="00712EB1"/>
    <w:rsid w:val="007142AF"/>
    <w:rsid w:val="00715117"/>
    <w:rsid w:val="0071529C"/>
    <w:rsid w:val="007165DE"/>
    <w:rsid w:val="007172AD"/>
    <w:rsid w:val="00720BAA"/>
    <w:rsid w:val="007215B5"/>
    <w:rsid w:val="00721601"/>
    <w:rsid w:val="00721702"/>
    <w:rsid w:val="00722B1B"/>
    <w:rsid w:val="0072416F"/>
    <w:rsid w:val="007264A7"/>
    <w:rsid w:val="007272CE"/>
    <w:rsid w:val="00727AA8"/>
    <w:rsid w:val="00727C94"/>
    <w:rsid w:val="00731EAE"/>
    <w:rsid w:val="00732C32"/>
    <w:rsid w:val="00735033"/>
    <w:rsid w:val="00735328"/>
    <w:rsid w:val="00735E0A"/>
    <w:rsid w:val="00735F5E"/>
    <w:rsid w:val="00736154"/>
    <w:rsid w:val="0073685B"/>
    <w:rsid w:val="00736A8A"/>
    <w:rsid w:val="007378CE"/>
    <w:rsid w:val="00737D69"/>
    <w:rsid w:val="0074330D"/>
    <w:rsid w:val="00743E55"/>
    <w:rsid w:val="00746B4A"/>
    <w:rsid w:val="007471DA"/>
    <w:rsid w:val="00747409"/>
    <w:rsid w:val="00747CB3"/>
    <w:rsid w:val="00747DDC"/>
    <w:rsid w:val="007512BA"/>
    <w:rsid w:val="00752142"/>
    <w:rsid w:val="007523F9"/>
    <w:rsid w:val="007534F2"/>
    <w:rsid w:val="007573E8"/>
    <w:rsid w:val="007574F6"/>
    <w:rsid w:val="00760C4E"/>
    <w:rsid w:val="00765B1A"/>
    <w:rsid w:val="007675F7"/>
    <w:rsid w:val="00770718"/>
    <w:rsid w:val="00770963"/>
    <w:rsid w:val="00771155"/>
    <w:rsid w:val="00771B45"/>
    <w:rsid w:val="00771CDA"/>
    <w:rsid w:val="00772069"/>
    <w:rsid w:val="007725A0"/>
    <w:rsid w:val="007729A2"/>
    <w:rsid w:val="00772F99"/>
    <w:rsid w:val="00775053"/>
    <w:rsid w:val="00777A43"/>
    <w:rsid w:val="00777EA6"/>
    <w:rsid w:val="00780271"/>
    <w:rsid w:val="00781055"/>
    <w:rsid w:val="007843F2"/>
    <w:rsid w:val="00785D68"/>
    <w:rsid w:val="00786396"/>
    <w:rsid w:val="00786D9A"/>
    <w:rsid w:val="007873B3"/>
    <w:rsid w:val="00792AF9"/>
    <w:rsid w:val="00793782"/>
    <w:rsid w:val="00795E1C"/>
    <w:rsid w:val="00796542"/>
    <w:rsid w:val="007A0A12"/>
    <w:rsid w:val="007A132D"/>
    <w:rsid w:val="007A44DD"/>
    <w:rsid w:val="007A4935"/>
    <w:rsid w:val="007A5662"/>
    <w:rsid w:val="007B0269"/>
    <w:rsid w:val="007B0D68"/>
    <w:rsid w:val="007B251D"/>
    <w:rsid w:val="007B3ED2"/>
    <w:rsid w:val="007B4B61"/>
    <w:rsid w:val="007B4F58"/>
    <w:rsid w:val="007B528D"/>
    <w:rsid w:val="007B64AC"/>
    <w:rsid w:val="007B69BD"/>
    <w:rsid w:val="007B77D1"/>
    <w:rsid w:val="007C0761"/>
    <w:rsid w:val="007C1B71"/>
    <w:rsid w:val="007C1CD9"/>
    <w:rsid w:val="007C361D"/>
    <w:rsid w:val="007C3B2C"/>
    <w:rsid w:val="007C4B84"/>
    <w:rsid w:val="007D004F"/>
    <w:rsid w:val="007D0B38"/>
    <w:rsid w:val="007D1827"/>
    <w:rsid w:val="007D38EF"/>
    <w:rsid w:val="007D5440"/>
    <w:rsid w:val="007D5464"/>
    <w:rsid w:val="007D5BA8"/>
    <w:rsid w:val="007E0914"/>
    <w:rsid w:val="007E381E"/>
    <w:rsid w:val="007E59E4"/>
    <w:rsid w:val="007E7CC6"/>
    <w:rsid w:val="007F1017"/>
    <w:rsid w:val="007F19A5"/>
    <w:rsid w:val="007F2BA5"/>
    <w:rsid w:val="007F4A3F"/>
    <w:rsid w:val="007F4A61"/>
    <w:rsid w:val="007F6024"/>
    <w:rsid w:val="007F61C2"/>
    <w:rsid w:val="0080431A"/>
    <w:rsid w:val="00805142"/>
    <w:rsid w:val="00805AEC"/>
    <w:rsid w:val="008075F0"/>
    <w:rsid w:val="00807A8B"/>
    <w:rsid w:val="00807EAB"/>
    <w:rsid w:val="0081074B"/>
    <w:rsid w:val="00811383"/>
    <w:rsid w:val="0081184D"/>
    <w:rsid w:val="00811A2D"/>
    <w:rsid w:val="00811E7E"/>
    <w:rsid w:val="00812121"/>
    <w:rsid w:val="00812149"/>
    <w:rsid w:val="00812CAC"/>
    <w:rsid w:val="00812EB8"/>
    <w:rsid w:val="00815229"/>
    <w:rsid w:val="008166EF"/>
    <w:rsid w:val="00817A30"/>
    <w:rsid w:val="00821E4A"/>
    <w:rsid w:val="008239D3"/>
    <w:rsid w:val="00824DFF"/>
    <w:rsid w:val="00825751"/>
    <w:rsid w:val="008264EB"/>
    <w:rsid w:val="00826F08"/>
    <w:rsid w:val="00831395"/>
    <w:rsid w:val="00831E85"/>
    <w:rsid w:val="00833A28"/>
    <w:rsid w:val="00833B05"/>
    <w:rsid w:val="00834EE0"/>
    <w:rsid w:val="008362B4"/>
    <w:rsid w:val="00837665"/>
    <w:rsid w:val="00837AA2"/>
    <w:rsid w:val="00837CD0"/>
    <w:rsid w:val="00840CA2"/>
    <w:rsid w:val="00842675"/>
    <w:rsid w:val="00842881"/>
    <w:rsid w:val="00842FA4"/>
    <w:rsid w:val="0084374F"/>
    <w:rsid w:val="008442A0"/>
    <w:rsid w:val="00844A3D"/>
    <w:rsid w:val="00845D99"/>
    <w:rsid w:val="008469AD"/>
    <w:rsid w:val="00846B81"/>
    <w:rsid w:val="008473F9"/>
    <w:rsid w:val="00847ABE"/>
    <w:rsid w:val="00847DF5"/>
    <w:rsid w:val="0085309D"/>
    <w:rsid w:val="00856897"/>
    <w:rsid w:val="00856945"/>
    <w:rsid w:val="00856E9A"/>
    <w:rsid w:val="0086075D"/>
    <w:rsid w:val="00862502"/>
    <w:rsid w:val="00863BE8"/>
    <w:rsid w:val="00863C38"/>
    <w:rsid w:val="008660D4"/>
    <w:rsid w:val="00870064"/>
    <w:rsid w:val="00870786"/>
    <w:rsid w:val="00870DBC"/>
    <w:rsid w:val="00871008"/>
    <w:rsid w:val="008711BA"/>
    <w:rsid w:val="00871CAA"/>
    <w:rsid w:val="00871FA9"/>
    <w:rsid w:val="008728E9"/>
    <w:rsid w:val="00872DB8"/>
    <w:rsid w:val="00875FDA"/>
    <w:rsid w:val="008767B0"/>
    <w:rsid w:val="00877148"/>
    <w:rsid w:val="008773AE"/>
    <w:rsid w:val="0088073D"/>
    <w:rsid w:val="008822AC"/>
    <w:rsid w:val="0088267D"/>
    <w:rsid w:val="00882819"/>
    <w:rsid w:val="00882874"/>
    <w:rsid w:val="00883787"/>
    <w:rsid w:val="00883BA6"/>
    <w:rsid w:val="00884CC9"/>
    <w:rsid w:val="00886CD2"/>
    <w:rsid w:val="008915C3"/>
    <w:rsid w:val="00892A36"/>
    <w:rsid w:val="00893239"/>
    <w:rsid w:val="008935B2"/>
    <w:rsid w:val="00894051"/>
    <w:rsid w:val="00894489"/>
    <w:rsid w:val="008963A5"/>
    <w:rsid w:val="00896C15"/>
    <w:rsid w:val="008A0714"/>
    <w:rsid w:val="008A3112"/>
    <w:rsid w:val="008A3363"/>
    <w:rsid w:val="008A3371"/>
    <w:rsid w:val="008A3428"/>
    <w:rsid w:val="008A3C3E"/>
    <w:rsid w:val="008A3FDC"/>
    <w:rsid w:val="008A4F48"/>
    <w:rsid w:val="008A5212"/>
    <w:rsid w:val="008A5643"/>
    <w:rsid w:val="008A7428"/>
    <w:rsid w:val="008A79DE"/>
    <w:rsid w:val="008B1757"/>
    <w:rsid w:val="008B2082"/>
    <w:rsid w:val="008B2996"/>
    <w:rsid w:val="008B4129"/>
    <w:rsid w:val="008B4328"/>
    <w:rsid w:val="008B476F"/>
    <w:rsid w:val="008B57B0"/>
    <w:rsid w:val="008B63CE"/>
    <w:rsid w:val="008B6AE9"/>
    <w:rsid w:val="008B7D7E"/>
    <w:rsid w:val="008C0319"/>
    <w:rsid w:val="008C19F1"/>
    <w:rsid w:val="008C4CA9"/>
    <w:rsid w:val="008C55FA"/>
    <w:rsid w:val="008C5C23"/>
    <w:rsid w:val="008C7ECB"/>
    <w:rsid w:val="008D01A8"/>
    <w:rsid w:val="008D2415"/>
    <w:rsid w:val="008D2B1B"/>
    <w:rsid w:val="008D4551"/>
    <w:rsid w:val="008D4755"/>
    <w:rsid w:val="008D4C3D"/>
    <w:rsid w:val="008D5731"/>
    <w:rsid w:val="008D68A7"/>
    <w:rsid w:val="008E0D3C"/>
    <w:rsid w:val="008E1B9E"/>
    <w:rsid w:val="008E1D84"/>
    <w:rsid w:val="008E5320"/>
    <w:rsid w:val="008E55AB"/>
    <w:rsid w:val="008E7371"/>
    <w:rsid w:val="008E77DC"/>
    <w:rsid w:val="008F120A"/>
    <w:rsid w:val="008F277B"/>
    <w:rsid w:val="008F27E0"/>
    <w:rsid w:val="008F28F8"/>
    <w:rsid w:val="008F2AAA"/>
    <w:rsid w:val="008F4568"/>
    <w:rsid w:val="008F48EB"/>
    <w:rsid w:val="008F4D4B"/>
    <w:rsid w:val="008F4F0B"/>
    <w:rsid w:val="008F4FCD"/>
    <w:rsid w:val="008F653B"/>
    <w:rsid w:val="00900E74"/>
    <w:rsid w:val="0090191C"/>
    <w:rsid w:val="00902BAE"/>
    <w:rsid w:val="0090466C"/>
    <w:rsid w:val="009046C4"/>
    <w:rsid w:val="009052A9"/>
    <w:rsid w:val="0090532B"/>
    <w:rsid w:val="009062A5"/>
    <w:rsid w:val="0091084C"/>
    <w:rsid w:val="00911272"/>
    <w:rsid w:val="00911819"/>
    <w:rsid w:val="00912877"/>
    <w:rsid w:val="00912BFD"/>
    <w:rsid w:val="009135D6"/>
    <w:rsid w:val="00914C77"/>
    <w:rsid w:val="0091546D"/>
    <w:rsid w:val="009157EC"/>
    <w:rsid w:val="00915D87"/>
    <w:rsid w:val="00916F24"/>
    <w:rsid w:val="00921343"/>
    <w:rsid w:val="009228BA"/>
    <w:rsid w:val="00922C3E"/>
    <w:rsid w:val="0092369B"/>
    <w:rsid w:val="009241BE"/>
    <w:rsid w:val="009245DB"/>
    <w:rsid w:val="009251F3"/>
    <w:rsid w:val="00930173"/>
    <w:rsid w:val="00931DE4"/>
    <w:rsid w:val="009336B1"/>
    <w:rsid w:val="00934BE4"/>
    <w:rsid w:val="00935EE9"/>
    <w:rsid w:val="00936438"/>
    <w:rsid w:val="00937156"/>
    <w:rsid w:val="00941900"/>
    <w:rsid w:val="009436C0"/>
    <w:rsid w:val="00945FE6"/>
    <w:rsid w:val="00946541"/>
    <w:rsid w:val="00946F42"/>
    <w:rsid w:val="00950305"/>
    <w:rsid w:val="009510A2"/>
    <w:rsid w:val="009512A9"/>
    <w:rsid w:val="009519B1"/>
    <w:rsid w:val="00952E2D"/>
    <w:rsid w:val="00953257"/>
    <w:rsid w:val="00956356"/>
    <w:rsid w:val="00962CB9"/>
    <w:rsid w:val="00963B25"/>
    <w:rsid w:val="009642D1"/>
    <w:rsid w:val="00964312"/>
    <w:rsid w:val="0096433F"/>
    <w:rsid w:val="00965B8A"/>
    <w:rsid w:val="0096716B"/>
    <w:rsid w:val="009717AC"/>
    <w:rsid w:val="00973BDE"/>
    <w:rsid w:val="00981864"/>
    <w:rsid w:val="00983E57"/>
    <w:rsid w:val="00985A46"/>
    <w:rsid w:val="0098675D"/>
    <w:rsid w:val="00986A4E"/>
    <w:rsid w:val="00987D1A"/>
    <w:rsid w:val="00990D75"/>
    <w:rsid w:val="0099196C"/>
    <w:rsid w:val="00991FB8"/>
    <w:rsid w:val="00995AD1"/>
    <w:rsid w:val="009961C9"/>
    <w:rsid w:val="00996AC8"/>
    <w:rsid w:val="00996B1A"/>
    <w:rsid w:val="009A311C"/>
    <w:rsid w:val="009A5971"/>
    <w:rsid w:val="009A7F10"/>
    <w:rsid w:val="009B0542"/>
    <w:rsid w:val="009B3E26"/>
    <w:rsid w:val="009B6342"/>
    <w:rsid w:val="009C0678"/>
    <w:rsid w:val="009C1EFC"/>
    <w:rsid w:val="009C2F63"/>
    <w:rsid w:val="009C3B9A"/>
    <w:rsid w:val="009C43E0"/>
    <w:rsid w:val="009C6503"/>
    <w:rsid w:val="009C6CEA"/>
    <w:rsid w:val="009C7B85"/>
    <w:rsid w:val="009D1FA2"/>
    <w:rsid w:val="009D537D"/>
    <w:rsid w:val="009D53D1"/>
    <w:rsid w:val="009D594D"/>
    <w:rsid w:val="009D5B91"/>
    <w:rsid w:val="009D792E"/>
    <w:rsid w:val="009D7D63"/>
    <w:rsid w:val="009D7E6B"/>
    <w:rsid w:val="009E046F"/>
    <w:rsid w:val="009E0DFE"/>
    <w:rsid w:val="009E0ED0"/>
    <w:rsid w:val="009E3B52"/>
    <w:rsid w:val="009E45D7"/>
    <w:rsid w:val="009E4C07"/>
    <w:rsid w:val="009E5CBC"/>
    <w:rsid w:val="009E5FBF"/>
    <w:rsid w:val="009E61FF"/>
    <w:rsid w:val="009F1680"/>
    <w:rsid w:val="009F282A"/>
    <w:rsid w:val="009F4125"/>
    <w:rsid w:val="009F6A35"/>
    <w:rsid w:val="009F6E4D"/>
    <w:rsid w:val="009F7D7E"/>
    <w:rsid w:val="00A01184"/>
    <w:rsid w:val="00A03A9A"/>
    <w:rsid w:val="00A03D43"/>
    <w:rsid w:val="00A04380"/>
    <w:rsid w:val="00A064D5"/>
    <w:rsid w:val="00A07A93"/>
    <w:rsid w:val="00A100D4"/>
    <w:rsid w:val="00A1129E"/>
    <w:rsid w:val="00A11716"/>
    <w:rsid w:val="00A11CD0"/>
    <w:rsid w:val="00A13948"/>
    <w:rsid w:val="00A153C5"/>
    <w:rsid w:val="00A1555B"/>
    <w:rsid w:val="00A155C5"/>
    <w:rsid w:val="00A156DB"/>
    <w:rsid w:val="00A16471"/>
    <w:rsid w:val="00A165E9"/>
    <w:rsid w:val="00A16AD8"/>
    <w:rsid w:val="00A21CF3"/>
    <w:rsid w:val="00A2259C"/>
    <w:rsid w:val="00A24123"/>
    <w:rsid w:val="00A24ACF"/>
    <w:rsid w:val="00A27AEC"/>
    <w:rsid w:val="00A3016C"/>
    <w:rsid w:val="00A316D5"/>
    <w:rsid w:val="00A320DB"/>
    <w:rsid w:val="00A32712"/>
    <w:rsid w:val="00A3323B"/>
    <w:rsid w:val="00A349F5"/>
    <w:rsid w:val="00A35539"/>
    <w:rsid w:val="00A35D16"/>
    <w:rsid w:val="00A37BCD"/>
    <w:rsid w:val="00A408A0"/>
    <w:rsid w:val="00A4098B"/>
    <w:rsid w:val="00A41841"/>
    <w:rsid w:val="00A4338E"/>
    <w:rsid w:val="00A43B05"/>
    <w:rsid w:val="00A43C59"/>
    <w:rsid w:val="00A444A8"/>
    <w:rsid w:val="00A44A66"/>
    <w:rsid w:val="00A46D54"/>
    <w:rsid w:val="00A46F30"/>
    <w:rsid w:val="00A50594"/>
    <w:rsid w:val="00A50ECD"/>
    <w:rsid w:val="00A518F3"/>
    <w:rsid w:val="00A52729"/>
    <w:rsid w:val="00A53675"/>
    <w:rsid w:val="00A54A82"/>
    <w:rsid w:val="00A54F9E"/>
    <w:rsid w:val="00A55C4B"/>
    <w:rsid w:val="00A564D7"/>
    <w:rsid w:val="00A56B6A"/>
    <w:rsid w:val="00A578DC"/>
    <w:rsid w:val="00A60AA6"/>
    <w:rsid w:val="00A62DCF"/>
    <w:rsid w:val="00A631B1"/>
    <w:rsid w:val="00A6322D"/>
    <w:rsid w:val="00A63CB7"/>
    <w:rsid w:val="00A64723"/>
    <w:rsid w:val="00A64B11"/>
    <w:rsid w:val="00A65F9D"/>
    <w:rsid w:val="00A6697E"/>
    <w:rsid w:val="00A6725B"/>
    <w:rsid w:val="00A6757C"/>
    <w:rsid w:val="00A70605"/>
    <w:rsid w:val="00A73134"/>
    <w:rsid w:val="00A73774"/>
    <w:rsid w:val="00A77165"/>
    <w:rsid w:val="00A771E8"/>
    <w:rsid w:val="00A7731A"/>
    <w:rsid w:val="00A777B2"/>
    <w:rsid w:val="00A80C7A"/>
    <w:rsid w:val="00A80DED"/>
    <w:rsid w:val="00A80EA2"/>
    <w:rsid w:val="00A81300"/>
    <w:rsid w:val="00A81BC6"/>
    <w:rsid w:val="00A836DE"/>
    <w:rsid w:val="00A844C8"/>
    <w:rsid w:val="00A8591D"/>
    <w:rsid w:val="00A86D7D"/>
    <w:rsid w:val="00A86E8B"/>
    <w:rsid w:val="00A87164"/>
    <w:rsid w:val="00A93072"/>
    <w:rsid w:val="00A93953"/>
    <w:rsid w:val="00A947E7"/>
    <w:rsid w:val="00A94CDE"/>
    <w:rsid w:val="00A94D48"/>
    <w:rsid w:val="00A959D8"/>
    <w:rsid w:val="00A95CB7"/>
    <w:rsid w:val="00A9775F"/>
    <w:rsid w:val="00AA113D"/>
    <w:rsid w:val="00AA14EE"/>
    <w:rsid w:val="00AA2233"/>
    <w:rsid w:val="00AA362C"/>
    <w:rsid w:val="00AA54F9"/>
    <w:rsid w:val="00AA65D1"/>
    <w:rsid w:val="00AA6C7D"/>
    <w:rsid w:val="00AA7FD6"/>
    <w:rsid w:val="00AB042A"/>
    <w:rsid w:val="00AB0754"/>
    <w:rsid w:val="00AB17DB"/>
    <w:rsid w:val="00AB2C44"/>
    <w:rsid w:val="00AB2CA1"/>
    <w:rsid w:val="00AB2D34"/>
    <w:rsid w:val="00AB3430"/>
    <w:rsid w:val="00AB4AD1"/>
    <w:rsid w:val="00AB5894"/>
    <w:rsid w:val="00AB63D9"/>
    <w:rsid w:val="00AB723D"/>
    <w:rsid w:val="00AB7CFA"/>
    <w:rsid w:val="00AC2E07"/>
    <w:rsid w:val="00AC46FA"/>
    <w:rsid w:val="00AC4769"/>
    <w:rsid w:val="00AC5B48"/>
    <w:rsid w:val="00AC672B"/>
    <w:rsid w:val="00AC72F1"/>
    <w:rsid w:val="00AD14E4"/>
    <w:rsid w:val="00AD371A"/>
    <w:rsid w:val="00AD5F5D"/>
    <w:rsid w:val="00AD6502"/>
    <w:rsid w:val="00AD67EA"/>
    <w:rsid w:val="00AD74DD"/>
    <w:rsid w:val="00AE110F"/>
    <w:rsid w:val="00AE359F"/>
    <w:rsid w:val="00AE449D"/>
    <w:rsid w:val="00AE5D9E"/>
    <w:rsid w:val="00AE73ED"/>
    <w:rsid w:val="00AF02D9"/>
    <w:rsid w:val="00AF1315"/>
    <w:rsid w:val="00AF19BF"/>
    <w:rsid w:val="00AF2DC3"/>
    <w:rsid w:val="00AF33E5"/>
    <w:rsid w:val="00AF40E0"/>
    <w:rsid w:val="00AF45BB"/>
    <w:rsid w:val="00AF5B76"/>
    <w:rsid w:val="00AF6DDC"/>
    <w:rsid w:val="00B02B0A"/>
    <w:rsid w:val="00B033E5"/>
    <w:rsid w:val="00B03A63"/>
    <w:rsid w:val="00B03E30"/>
    <w:rsid w:val="00B05CA0"/>
    <w:rsid w:val="00B05EE0"/>
    <w:rsid w:val="00B0703A"/>
    <w:rsid w:val="00B075FC"/>
    <w:rsid w:val="00B078BE"/>
    <w:rsid w:val="00B108A2"/>
    <w:rsid w:val="00B12C1D"/>
    <w:rsid w:val="00B13ABD"/>
    <w:rsid w:val="00B167C3"/>
    <w:rsid w:val="00B201A4"/>
    <w:rsid w:val="00B21371"/>
    <w:rsid w:val="00B213A6"/>
    <w:rsid w:val="00B23142"/>
    <w:rsid w:val="00B24DF6"/>
    <w:rsid w:val="00B25515"/>
    <w:rsid w:val="00B25524"/>
    <w:rsid w:val="00B25CDC"/>
    <w:rsid w:val="00B26359"/>
    <w:rsid w:val="00B27D48"/>
    <w:rsid w:val="00B3119C"/>
    <w:rsid w:val="00B32734"/>
    <w:rsid w:val="00B3275A"/>
    <w:rsid w:val="00B334FB"/>
    <w:rsid w:val="00B34FE2"/>
    <w:rsid w:val="00B35650"/>
    <w:rsid w:val="00B357D8"/>
    <w:rsid w:val="00B35935"/>
    <w:rsid w:val="00B37BFC"/>
    <w:rsid w:val="00B40358"/>
    <w:rsid w:val="00B41614"/>
    <w:rsid w:val="00B42851"/>
    <w:rsid w:val="00B42F57"/>
    <w:rsid w:val="00B42F80"/>
    <w:rsid w:val="00B42FF9"/>
    <w:rsid w:val="00B435CB"/>
    <w:rsid w:val="00B43D8E"/>
    <w:rsid w:val="00B4517F"/>
    <w:rsid w:val="00B451B8"/>
    <w:rsid w:val="00B46F47"/>
    <w:rsid w:val="00B46FD4"/>
    <w:rsid w:val="00B50AB6"/>
    <w:rsid w:val="00B50D82"/>
    <w:rsid w:val="00B50DB8"/>
    <w:rsid w:val="00B53654"/>
    <w:rsid w:val="00B53905"/>
    <w:rsid w:val="00B54B5B"/>
    <w:rsid w:val="00B5562E"/>
    <w:rsid w:val="00B56ADA"/>
    <w:rsid w:val="00B57000"/>
    <w:rsid w:val="00B603FA"/>
    <w:rsid w:val="00B60939"/>
    <w:rsid w:val="00B60AFD"/>
    <w:rsid w:val="00B61526"/>
    <w:rsid w:val="00B6162F"/>
    <w:rsid w:val="00B62715"/>
    <w:rsid w:val="00B63B93"/>
    <w:rsid w:val="00B64FF4"/>
    <w:rsid w:val="00B65944"/>
    <w:rsid w:val="00B66920"/>
    <w:rsid w:val="00B72DA3"/>
    <w:rsid w:val="00B73694"/>
    <w:rsid w:val="00B736AA"/>
    <w:rsid w:val="00B768F2"/>
    <w:rsid w:val="00B77AB3"/>
    <w:rsid w:val="00B805B7"/>
    <w:rsid w:val="00B80795"/>
    <w:rsid w:val="00B80ECB"/>
    <w:rsid w:val="00B810C3"/>
    <w:rsid w:val="00B818A4"/>
    <w:rsid w:val="00B84117"/>
    <w:rsid w:val="00B84A39"/>
    <w:rsid w:val="00B85AA2"/>
    <w:rsid w:val="00B8649C"/>
    <w:rsid w:val="00B87A82"/>
    <w:rsid w:val="00B87F0A"/>
    <w:rsid w:val="00B9059B"/>
    <w:rsid w:val="00B9060A"/>
    <w:rsid w:val="00B91387"/>
    <w:rsid w:val="00B914D6"/>
    <w:rsid w:val="00B917DB"/>
    <w:rsid w:val="00B92D0B"/>
    <w:rsid w:val="00B94945"/>
    <w:rsid w:val="00B957D6"/>
    <w:rsid w:val="00BA078A"/>
    <w:rsid w:val="00BA322D"/>
    <w:rsid w:val="00BA46CB"/>
    <w:rsid w:val="00BA4FFB"/>
    <w:rsid w:val="00BA650C"/>
    <w:rsid w:val="00BA7960"/>
    <w:rsid w:val="00BB0BDD"/>
    <w:rsid w:val="00BB27C1"/>
    <w:rsid w:val="00BB2A73"/>
    <w:rsid w:val="00BB2E30"/>
    <w:rsid w:val="00BB3594"/>
    <w:rsid w:val="00BB481D"/>
    <w:rsid w:val="00BB4ACC"/>
    <w:rsid w:val="00BB5AE3"/>
    <w:rsid w:val="00BB618B"/>
    <w:rsid w:val="00BB67C3"/>
    <w:rsid w:val="00BB6886"/>
    <w:rsid w:val="00BB703E"/>
    <w:rsid w:val="00BB7405"/>
    <w:rsid w:val="00BB7A29"/>
    <w:rsid w:val="00BC09B6"/>
    <w:rsid w:val="00BC1F86"/>
    <w:rsid w:val="00BC28A1"/>
    <w:rsid w:val="00BC3631"/>
    <w:rsid w:val="00BC3665"/>
    <w:rsid w:val="00BC5B76"/>
    <w:rsid w:val="00BD04D5"/>
    <w:rsid w:val="00BD2003"/>
    <w:rsid w:val="00BD5A47"/>
    <w:rsid w:val="00BD68A3"/>
    <w:rsid w:val="00BD6938"/>
    <w:rsid w:val="00BD6CF3"/>
    <w:rsid w:val="00BE0131"/>
    <w:rsid w:val="00BE2180"/>
    <w:rsid w:val="00BE21F2"/>
    <w:rsid w:val="00BE2D62"/>
    <w:rsid w:val="00BE3624"/>
    <w:rsid w:val="00BE4275"/>
    <w:rsid w:val="00BE4F9E"/>
    <w:rsid w:val="00BE6BEB"/>
    <w:rsid w:val="00BF0537"/>
    <w:rsid w:val="00BF0F95"/>
    <w:rsid w:val="00BF1E38"/>
    <w:rsid w:val="00BF2433"/>
    <w:rsid w:val="00BF430D"/>
    <w:rsid w:val="00BF479B"/>
    <w:rsid w:val="00BF61C9"/>
    <w:rsid w:val="00BF627E"/>
    <w:rsid w:val="00BF6C94"/>
    <w:rsid w:val="00BF7E81"/>
    <w:rsid w:val="00BF7ECB"/>
    <w:rsid w:val="00C00424"/>
    <w:rsid w:val="00C007A2"/>
    <w:rsid w:val="00C00912"/>
    <w:rsid w:val="00C02982"/>
    <w:rsid w:val="00C061B1"/>
    <w:rsid w:val="00C11F1C"/>
    <w:rsid w:val="00C12C14"/>
    <w:rsid w:val="00C17CE3"/>
    <w:rsid w:val="00C200AA"/>
    <w:rsid w:val="00C20D64"/>
    <w:rsid w:val="00C20E8D"/>
    <w:rsid w:val="00C2150C"/>
    <w:rsid w:val="00C216A0"/>
    <w:rsid w:val="00C237ED"/>
    <w:rsid w:val="00C24622"/>
    <w:rsid w:val="00C24632"/>
    <w:rsid w:val="00C25418"/>
    <w:rsid w:val="00C25D9C"/>
    <w:rsid w:val="00C26D7A"/>
    <w:rsid w:val="00C2778B"/>
    <w:rsid w:val="00C27AB6"/>
    <w:rsid w:val="00C3085F"/>
    <w:rsid w:val="00C30D60"/>
    <w:rsid w:val="00C31649"/>
    <w:rsid w:val="00C33475"/>
    <w:rsid w:val="00C33C79"/>
    <w:rsid w:val="00C33F2C"/>
    <w:rsid w:val="00C36A49"/>
    <w:rsid w:val="00C36C3D"/>
    <w:rsid w:val="00C37291"/>
    <w:rsid w:val="00C4012C"/>
    <w:rsid w:val="00C40222"/>
    <w:rsid w:val="00C4036C"/>
    <w:rsid w:val="00C40385"/>
    <w:rsid w:val="00C41C97"/>
    <w:rsid w:val="00C41D0D"/>
    <w:rsid w:val="00C422A5"/>
    <w:rsid w:val="00C45938"/>
    <w:rsid w:val="00C46395"/>
    <w:rsid w:val="00C475AA"/>
    <w:rsid w:val="00C5221D"/>
    <w:rsid w:val="00C52D85"/>
    <w:rsid w:val="00C52E2A"/>
    <w:rsid w:val="00C530FA"/>
    <w:rsid w:val="00C5575E"/>
    <w:rsid w:val="00C61681"/>
    <w:rsid w:val="00C62C77"/>
    <w:rsid w:val="00C62FE3"/>
    <w:rsid w:val="00C64530"/>
    <w:rsid w:val="00C65576"/>
    <w:rsid w:val="00C66165"/>
    <w:rsid w:val="00C66EBC"/>
    <w:rsid w:val="00C7151A"/>
    <w:rsid w:val="00C71881"/>
    <w:rsid w:val="00C71F60"/>
    <w:rsid w:val="00C72241"/>
    <w:rsid w:val="00C730C7"/>
    <w:rsid w:val="00C7416C"/>
    <w:rsid w:val="00C741C0"/>
    <w:rsid w:val="00C750C8"/>
    <w:rsid w:val="00C7560F"/>
    <w:rsid w:val="00C7614F"/>
    <w:rsid w:val="00C77879"/>
    <w:rsid w:val="00C80A0E"/>
    <w:rsid w:val="00C8213F"/>
    <w:rsid w:val="00C824D3"/>
    <w:rsid w:val="00C832DC"/>
    <w:rsid w:val="00C85AD1"/>
    <w:rsid w:val="00C86331"/>
    <w:rsid w:val="00C8797A"/>
    <w:rsid w:val="00C87C8B"/>
    <w:rsid w:val="00C900B8"/>
    <w:rsid w:val="00C90C71"/>
    <w:rsid w:val="00C91C96"/>
    <w:rsid w:val="00C931CF"/>
    <w:rsid w:val="00C938CF"/>
    <w:rsid w:val="00C95675"/>
    <w:rsid w:val="00C9624D"/>
    <w:rsid w:val="00C9652E"/>
    <w:rsid w:val="00C969DA"/>
    <w:rsid w:val="00C96BED"/>
    <w:rsid w:val="00C9701C"/>
    <w:rsid w:val="00CA0122"/>
    <w:rsid w:val="00CA2C77"/>
    <w:rsid w:val="00CA3027"/>
    <w:rsid w:val="00CA4226"/>
    <w:rsid w:val="00CA444F"/>
    <w:rsid w:val="00CA49C7"/>
    <w:rsid w:val="00CA5245"/>
    <w:rsid w:val="00CA5D82"/>
    <w:rsid w:val="00CA5DCA"/>
    <w:rsid w:val="00CA68FB"/>
    <w:rsid w:val="00CA71F4"/>
    <w:rsid w:val="00CA7B09"/>
    <w:rsid w:val="00CA7C9C"/>
    <w:rsid w:val="00CB2351"/>
    <w:rsid w:val="00CB2700"/>
    <w:rsid w:val="00CB2ABE"/>
    <w:rsid w:val="00CB2F2A"/>
    <w:rsid w:val="00CB4383"/>
    <w:rsid w:val="00CB5B1A"/>
    <w:rsid w:val="00CB6B22"/>
    <w:rsid w:val="00CB71C3"/>
    <w:rsid w:val="00CB71F0"/>
    <w:rsid w:val="00CB7F5F"/>
    <w:rsid w:val="00CC1A54"/>
    <w:rsid w:val="00CC1B39"/>
    <w:rsid w:val="00CC48F0"/>
    <w:rsid w:val="00CC56FD"/>
    <w:rsid w:val="00CC78BA"/>
    <w:rsid w:val="00CD060B"/>
    <w:rsid w:val="00CD2DC1"/>
    <w:rsid w:val="00CD44CD"/>
    <w:rsid w:val="00CD5315"/>
    <w:rsid w:val="00CD6ADC"/>
    <w:rsid w:val="00CE0E54"/>
    <w:rsid w:val="00CE1D05"/>
    <w:rsid w:val="00CE20ED"/>
    <w:rsid w:val="00CE21F5"/>
    <w:rsid w:val="00CE45DD"/>
    <w:rsid w:val="00CE5AB4"/>
    <w:rsid w:val="00CE6274"/>
    <w:rsid w:val="00CE7BDF"/>
    <w:rsid w:val="00CF0047"/>
    <w:rsid w:val="00CF024D"/>
    <w:rsid w:val="00CF2916"/>
    <w:rsid w:val="00CF2B8D"/>
    <w:rsid w:val="00CF31D0"/>
    <w:rsid w:val="00CF456B"/>
    <w:rsid w:val="00CF5A22"/>
    <w:rsid w:val="00D0262E"/>
    <w:rsid w:val="00D03922"/>
    <w:rsid w:val="00D0433E"/>
    <w:rsid w:val="00D043F2"/>
    <w:rsid w:val="00D07E73"/>
    <w:rsid w:val="00D110BD"/>
    <w:rsid w:val="00D13675"/>
    <w:rsid w:val="00D141E1"/>
    <w:rsid w:val="00D14A06"/>
    <w:rsid w:val="00D15E4E"/>
    <w:rsid w:val="00D16AE4"/>
    <w:rsid w:val="00D1728D"/>
    <w:rsid w:val="00D17D6C"/>
    <w:rsid w:val="00D205AD"/>
    <w:rsid w:val="00D20DBF"/>
    <w:rsid w:val="00D22B19"/>
    <w:rsid w:val="00D22C6B"/>
    <w:rsid w:val="00D23468"/>
    <w:rsid w:val="00D2754D"/>
    <w:rsid w:val="00D27B27"/>
    <w:rsid w:val="00D27D0E"/>
    <w:rsid w:val="00D305FA"/>
    <w:rsid w:val="00D33BE9"/>
    <w:rsid w:val="00D3415F"/>
    <w:rsid w:val="00D343ED"/>
    <w:rsid w:val="00D35493"/>
    <w:rsid w:val="00D357FF"/>
    <w:rsid w:val="00D42022"/>
    <w:rsid w:val="00D424C7"/>
    <w:rsid w:val="00D424D0"/>
    <w:rsid w:val="00D43B2A"/>
    <w:rsid w:val="00D451EA"/>
    <w:rsid w:val="00D46597"/>
    <w:rsid w:val="00D47575"/>
    <w:rsid w:val="00D50A2E"/>
    <w:rsid w:val="00D51570"/>
    <w:rsid w:val="00D518ED"/>
    <w:rsid w:val="00D5341C"/>
    <w:rsid w:val="00D555A0"/>
    <w:rsid w:val="00D55D94"/>
    <w:rsid w:val="00D5637E"/>
    <w:rsid w:val="00D607DE"/>
    <w:rsid w:val="00D61A55"/>
    <w:rsid w:val="00D62027"/>
    <w:rsid w:val="00D63833"/>
    <w:rsid w:val="00D6389D"/>
    <w:rsid w:val="00D6421E"/>
    <w:rsid w:val="00D67344"/>
    <w:rsid w:val="00D70F16"/>
    <w:rsid w:val="00D718DF"/>
    <w:rsid w:val="00D71C8D"/>
    <w:rsid w:val="00D72D94"/>
    <w:rsid w:val="00D73D5A"/>
    <w:rsid w:val="00D76A44"/>
    <w:rsid w:val="00D80304"/>
    <w:rsid w:val="00D80A1F"/>
    <w:rsid w:val="00D814AD"/>
    <w:rsid w:val="00D815EF"/>
    <w:rsid w:val="00D85FF6"/>
    <w:rsid w:val="00D870EB"/>
    <w:rsid w:val="00D907A0"/>
    <w:rsid w:val="00D90D79"/>
    <w:rsid w:val="00D91923"/>
    <w:rsid w:val="00D92D2C"/>
    <w:rsid w:val="00D92F57"/>
    <w:rsid w:val="00D934C0"/>
    <w:rsid w:val="00D93753"/>
    <w:rsid w:val="00D949A8"/>
    <w:rsid w:val="00D97869"/>
    <w:rsid w:val="00DA1280"/>
    <w:rsid w:val="00DA1B08"/>
    <w:rsid w:val="00DA1E12"/>
    <w:rsid w:val="00DA24DB"/>
    <w:rsid w:val="00DA3167"/>
    <w:rsid w:val="00DA41B8"/>
    <w:rsid w:val="00DA4DC3"/>
    <w:rsid w:val="00DA5431"/>
    <w:rsid w:val="00DA6284"/>
    <w:rsid w:val="00DA77A5"/>
    <w:rsid w:val="00DB484F"/>
    <w:rsid w:val="00DB4E37"/>
    <w:rsid w:val="00DB5628"/>
    <w:rsid w:val="00DB6A2B"/>
    <w:rsid w:val="00DC04F6"/>
    <w:rsid w:val="00DC1175"/>
    <w:rsid w:val="00DC1192"/>
    <w:rsid w:val="00DC1C45"/>
    <w:rsid w:val="00DC3659"/>
    <w:rsid w:val="00DC3C57"/>
    <w:rsid w:val="00DC5501"/>
    <w:rsid w:val="00DC606B"/>
    <w:rsid w:val="00DC65F1"/>
    <w:rsid w:val="00DC689A"/>
    <w:rsid w:val="00DC745C"/>
    <w:rsid w:val="00DD104C"/>
    <w:rsid w:val="00DD12D5"/>
    <w:rsid w:val="00DD273C"/>
    <w:rsid w:val="00DD30C6"/>
    <w:rsid w:val="00DD3F28"/>
    <w:rsid w:val="00DD4537"/>
    <w:rsid w:val="00DD4E15"/>
    <w:rsid w:val="00DD5883"/>
    <w:rsid w:val="00DD68A1"/>
    <w:rsid w:val="00DE0518"/>
    <w:rsid w:val="00DE0C36"/>
    <w:rsid w:val="00DE3138"/>
    <w:rsid w:val="00DE37F8"/>
    <w:rsid w:val="00DE4C82"/>
    <w:rsid w:val="00DE4FCB"/>
    <w:rsid w:val="00DE6895"/>
    <w:rsid w:val="00DE76EA"/>
    <w:rsid w:val="00DE7832"/>
    <w:rsid w:val="00DF046A"/>
    <w:rsid w:val="00DF0EDA"/>
    <w:rsid w:val="00DF18FC"/>
    <w:rsid w:val="00DF19F0"/>
    <w:rsid w:val="00DF2708"/>
    <w:rsid w:val="00DF3688"/>
    <w:rsid w:val="00DF36B9"/>
    <w:rsid w:val="00DF548E"/>
    <w:rsid w:val="00DF55C8"/>
    <w:rsid w:val="00DF5D2B"/>
    <w:rsid w:val="00E00E8E"/>
    <w:rsid w:val="00E00F88"/>
    <w:rsid w:val="00E0180F"/>
    <w:rsid w:val="00E01C94"/>
    <w:rsid w:val="00E020BE"/>
    <w:rsid w:val="00E0261C"/>
    <w:rsid w:val="00E026BD"/>
    <w:rsid w:val="00E03C2F"/>
    <w:rsid w:val="00E044BD"/>
    <w:rsid w:val="00E049DC"/>
    <w:rsid w:val="00E04CA7"/>
    <w:rsid w:val="00E05630"/>
    <w:rsid w:val="00E058BC"/>
    <w:rsid w:val="00E06BED"/>
    <w:rsid w:val="00E06DBB"/>
    <w:rsid w:val="00E06EDB"/>
    <w:rsid w:val="00E10149"/>
    <w:rsid w:val="00E10481"/>
    <w:rsid w:val="00E106CC"/>
    <w:rsid w:val="00E146E8"/>
    <w:rsid w:val="00E158E0"/>
    <w:rsid w:val="00E16372"/>
    <w:rsid w:val="00E177D4"/>
    <w:rsid w:val="00E179CB"/>
    <w:rsid w:val="00E200B6"/>
    <w:rsid w:val="00E203AE"/>
    <w:rsid w:val="00E20E4D"/>
    <w:rsid w:val="00E20ED6"/>
    <w:rsid w:val="00E21358"/>
    <w:rsid w:val="00E2249B"/>
    <w:rsid w:val="00E22A0D"/>
    <w:rsid w:val="00E22E4E"/>
    <w:rsid w:val="00E23238"/>
    <w:rsid w:val="00E25CE5"/>
    <w:rsid w:val="00E26823"/>
    <w:rsid w:val="00E2771E"/>
    <w:rsid w:val="00E27908"/>
    <w:rsid w:val="00E302E9"/>
    <w:rsid w:val="00E310BD"/>
    <w:rsid w:val="00E31495"/>
    <w:rsid w:val="00E32594"/>
    <w:rsid w:val="00E33DE2"/>
    <w:rsid w:val="00E34948"/>
    <w:rsid w:val="00E34DE2"/>
    <w:rsid w:val="00E37569"/>
    <w:rsid w:val="00E37CDF"/>
    <w:rsid w:val="00E41E30"/>
    <w:rsid w:val="00E42384"/>
    <w:rsid w:val="00E42B87"/>
    <w:rsid w:val="00E434D4"/>
    <w:rsid w:val="00E43D70"/>
    <w:rsid w:val="00E43E07"/>
    <w:rsid w:val="00E466F3"/>
    <w:rsid w:val="00E46E06"/>
    <w:rsid w:val="00E47B2C"/>
    <w:rsid w:val="00E50471"/>
    <w:rsid w:val="00E50965"/>
    <w:rsid w:val="00E51560"/>
    <w:rsid w:val="00E524FE"/>
    <w:rsid w:val="00E54347"/>
    <w:rsid w:val="00E54348"/>
    <w:rsid w:val="00E5538A"/>
    <w:rsid w:val="00E55424"/>
    <w:rsid w:val="00E55BB5"/>
    <w:rsid w:val="00E560B0"/>
    <w:rsid w:val="00E56795"/>
    <w:rsid w:val="00E601E3"/>
    <w:rsid w:val="00E612FA"/>
    <w:rsid w:val="00E65E79"/>
    <w:rsid w:val="00E66AEF"/>
    <w:rsid w:val="00E66BA2"/>
    <w:rsid w:val="00E67416"/>
    <w:rsid w:val="00E718B6"/>
    <w:rsid w:val="00E723BA"/>
    <w:rsid w:val="00E73581"/>
    <w:rsid w:val="00E73A62"/>
    <w:rsid w:val="00E7499F"/>
    <w:rsid w:val="00E80A70"/>
    <w:rsid w:val="00E8283A"/>
    <w:rsid w:val="00E82E22"/>
    <w:rsid w:val="00E833F7"/>
    <w:rsid w:val="00E83B62"/>
    <w:rsid w:val="00E83BDF"/>
    <w:rsid w:val="00E8420E"/>
    <w:rsid w:val="00E87A1D"/>
    <w:rsid w:val="00E87D72"/>
    <w:rsid w:val="00E90463"/>
    <w:rsid w:val="00E90596"/>
    <w:rsid w:val="00E9106B"/>
    <w:rsid w:val="00E916CF"/>
    <w:rsid w:val="00E926A5"/>
    <w:rsid w:val="00E92B1F"/>
    <w:rsid w:val="00E92D49"/>
    <w:rsid w:val="00E93529"/>
    <w:rsid w:val="00E944C9"/>
    <w:rsid w:val="00E952D2"/>
    <w:rsid w:val="00E95348"/>
    <w:rsid w:val="00E97865"/>
    <w:rsid w:val="00E979B5"/>
    <w:rsid w:val="00EA1339"/>
    <w:rsid w:val="00EA17C3"/>
    <w:rsid w:val="00EA1DA9"/>
    <w:rsid w:val="00EA2CAA"/>
    <w:rsid w:val="00EA385E"/>
    <w:rsid w:val="00EA3864"/>
    <w:rsid w:val="00EA41C7"/>
    <w:rsid w:val="00EA46E6"/>
    <w:rsid w:val="00EA53A5"/>
    <w:rsid w:val="00EA5ADD"/>
    <w:rsid w:val="00EA73FB"/>
    <w:rsid w:val="00EB15B6"/>
    <w:rsid w:val="00EB2283"/>
    <w:rsid w:val="00EB4916"/>
    <w:rsid w:val="00EB583D"/>
    <w:rsid w:val="00EB5871"/>
    <w:rsid w:val="00EB7BC1"/>
    <w:rsid w:val="00EC00C9"/>
    <w:rsid w:val="00EC04D9"/>
    <w:rsid w:val="00EC2649"/>
    <w:rsid w:val="00EC2910"/>
    <w:rsid w:val="00EC39DF"/>
    <w:rsid w:val="00EC3DF1"/>
    <w:rsid w:val="00EC42EB"/>
    <w:rsid w:val="00EC621E"/>
    <w:rsid w:val="00EC62E3"/>
    <w:rsid w:val="00EC6C5A"/>
    <w:rsid w:val="00EC6D2C"/>
    <w:rsid w:val="00EC7AC8"/>
    <w:rsid w:val="00ED037C"/>
    <w:rsid w:val="00ED0AAD"/>
    <w:rsid w:val="00ED0E36"/>
    <w:rsid w:val="00ED2B95"/>
    <w:rsid w:val="00ED317D"/>
    <w:rsid w:val="00ED31A1"/>
    <w:rsid w:val="00ED34C7"/>
    <w:rsid w:val="00ED57EA"/>
    <w:rsid w:val="00ED6353"/>
    <w:rsid w:val="00ED7C1C"/>
    <w:rsid w:val="00EE07D3"/>
    <w:rsid w:val="00EE15E4"/>
    <w:rsid w:val="00EE1C84"/>
    <w:rsid w:val="00EE22AF"/>
    <w:rsid w:val="00EE2C67"/>
    <w:rsid w:val="00EE5652"/>
    <w:rsid w:val="00EF0171"/>
    <w:rsid w:val="00EF177A"/>
    <w:rsid w:val="00EF1A72"/>
    <w:rsid w:val="00EF1B25"/>
    <w:rsid w:val="00EF4747"/>
    <w:rsid w:val="00EF4BF8"/>
    <w:rsid w:val="00EF6EE7"/>
    <w:rsid w:val="00EF76D2"/>
    <w:rsid w:val="00F004FE"/>
    <w:rsid w:val="00F01CA1"/>
    <w:rsid w:val="00F021CE"/>
    <w:rsid w:val="00F02253"/>
    <w:rsid w:val="00F03C2E"/>
    <w:rsid w:val="00F03D07"/>
    <w:rsid w:val="00F04A66"/>
    <w:rsid w:val="00F0516C"/>
    <w:rsid w:val="00F056F6"/>
    <w:rsid w:val="00F067A2"/>
    <w:rsid w:val="00F06FBA"/>
    <w:rsid w:val="00F07B7E"/>
    <w:rsid w:val="00F07F9B"/>
    <w:rsid w:val="00F1263A"/>
    <w:rsid w:val="00F12711"/>
    <w:rsid w:val="00F13046"/>
    <w:rsid w:val="00F15A2D"/>
    <w:rsid w:val="00F20880"/>
    <w:rsid w:val="00F22F0A"/>
    <w:rsid w:val="00F246AF"/>
    <w:rsid w:val="00F24837"/>
    <w:rsid w:val="00F24E5B"/>
    <w:rsid w:val="00F2575F"/>
    <w:rsid w:val="00F25B34"/>
    <w:rsid w:val="00F27565"/>
    <w:rsid w:val="00F27B95"/>
    <w:rsid w:val="00F310D4"/>
    <w:rsid w:val="00F31302"/>
    <w:rsid w:val="00F313A9"/>
    <w:rsid w:val="00F31D5A"/>
    <w:rsid w:val="00F338DB"/>
    <w:rsid w:val="00F33DE9"/>
    <w:rsid w:val="00F342FF"/>
    <w:rsid w:val="00F34619"/>
    <w:rsid w:val="00F3619A"/>
    <w:rsid w:val="00F40AAA"/>
    <w:rsid w:val="00F40BA7"/>
    <w:rsid w:val="00F41FD9"/>
    <w:rsid w:val="00F43EFA"/>
    <w:rsid w:val="00F46CB6"/>
    <w:rsid w:val="00F46CCD"/>
    <w:rsid w:val="00F47048"/>
    <w:rsid w:val="00F47DE8"/>
    <w:rsid w:val="00F50409"/>
    <w:rsid w:val="00F53C83"/>
    <w:rsid w:val="00F541BF"/>
    <w:rsid w:val="00F542C1"/>
    <w:rsid w:val="00F54553"/>
    <w:rsid w:val="00F55E73"/>
    <w:rsid w:val="00F55EDA"/>
    <w:rsid w:val="00F56AA7"/>
    <w:rsid w:val="00F60092"/>
    <w:rsid w:val="00F62E9B"/>
    <w:rsid w:val="00F65815"/>
    <w:rsid w:val="00F65F4B"/>
    <w:rsid w:val="00F66306"/>
    <w:rsid w:val="00F66A00"/>
    <w:rsid w:val="00F70C9D"/>
    <w:rsid w:val="00F7173C"/>
    <w:rsid w:val="00F719FA"/>
    <w:rsid w:val="00F71CAB"/>
    <w:rsid w:val="00F73A2B"/>
    <w:rsid w:val="00F73C22"/>
    <w:rsid w:val="00F74A91"/>
    <w:rsid w:val="00F74CD9"/>
    <w:rsid w:val="00F75D5A"/>
    <w:rsid w:val="00F77BCD"/>
    <w:rsid w:val="00F77BEE"/>
    <w:rsid w:val="00F77FE9"/>
    <w:rsid w:val="00F80A7B"/>
    <w:rsid w:val="00F80E5D"/>
    <w:rsid w:val="00F81705"/>
    <w:rsid w:val="00F81B63"/>
    <w:rsid w:val="00F826EE"/>
    <w:rsid w:val="00F82815"/>
    <w:rsid w:val="00F851CE"/>
    <w:rsid w:val="00F8585B"/>
    <w:rsid w:val="00F86CF1"/>
    <w:rsid w:val="00F87F14"/>
    <w:rsid w:val="00F90CB7"/>
    <w:rsid w:val="00F90F80"/>
    <w:rsid w:val="00F91219"/>
    <w:rsid w:val="00F938F7"/>
    <w:rsid w:val="00F93D2F"/>
    <w:rsid w:val="00F947B4"/>
    <w:rsid w:val="00F94D24"/>
    <w:rsid w:val="00F94F1C"/>
    <w:rsid w:val="00F97A78"/>
    <w:rsid w:val="00FA0B20"/>
    <w:rsid w:val="00FA24E7"/>
    <w:rsid w:val="00FA3801"/>
    <w:rsid w:val="00FA3CED"/>
    <w:rsid w:val="00FA4AAF"/>
    <w:rsid w:val="00FA539F"/>
    <w:rsid w:val="00FA5C00"/>
    <w:rsid w:val="00FA72DB"/>
    <w:rsid w:val="00FB0C85"/>
    <w:rsid w:val="00FB0FA4"/>
    <w:rsid w:val="00FB2FCB"/>
    <w:rsid w:val="00FB438B"/>
    <w:rsid w:val="00FC1074"/>
    <w:rsid w:val="00FC1884"/>
    <w:rsid w:val="00FC371D"/>
    <w:rsid w:val="00FC40F1"/>
    <w:rsid w:val="00FC5F0B"/>
    <w:rsid w:val="00FC6623"/>
    <w:rsid w:val="00FD2100"/>
    <w:rsid w:val="00FD436C"/>
    <w:rsid w:val="00FD446D"/>
    <w:rsid w:val="00FD58D5"/>
    <w:rsid w:val="00FD6394"/>
    <w:rsid w:val="00FD72C8"/>
    <w:rsid w:val="00FE0E6C"/>
    <w:rsid w:val="00FE11DC"/>
    <w:rsid w:val="00FE30F2"/>
    <w:rsid w:val="00FE44B9"/>
    <w:rsid w:val="00FE4A2E"/>
    <w:rsid w:val="00FE56F1"/>
    <w:rsid w:val="00FE5E49"/>
    <w:rsid w:val="00FE5E9A"/>
    <w:rsid w:val="00FE70C3"/>
    <w:rsid w:val="00FF02E8"/>
    <w:rsid w:val="00FF09B6"/>
    <w:rsid w:val="00FF1095"/>
    <w:rsid w:val="00FF1627"/>
    <w:rsid w:val="00FF367C"/>
    <w:rsid w:val="00FF389B"/>
    <w:rsid w:val="00FF3DCF"/>
    <w:rsid w:val="00FF492C"/>
    <w:rsid w:val="00FF4A21"/>
    <w:rsid w:val="00FF5051"/>
    <w:rsid w:val="00FF5AA3"/>
    <w:rsid w:val="00FF5AD8"/>
    <w:rsid w:val="00FF7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68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9D9"/>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ody Text Bullet Points,Bullet point,List Paragraph11,Recommendation,Section heading,Footnote,ES Paragraph,PBAC ES Paragraph,PBAC normal points,Bullet List,Bullets Points,Styl moj,Akapit z listą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ody Text Bullet Points Char,Bullet point Char,List Paragraph11 Char,Recommendation Char,Section heading Char,Footnote Char,ES Paragraph Char,PBAC ES Paragraph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ASD Table,CMA Table Template,new sty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next w:val="Heading1"/>
    <w:qFormat/>
    <w:rsid w:val="005509E0"/>
    <w:pPr>
      <w:numPr>
        <w:numId w:val="1"/>
      </w:numPr>
    </w:pPr>
    <w:rPr>
      <w:caps w:val="0"/>
      <w:snapToGrid/>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styleId="ListNumber2">
    <w:name w:val="List Number 2"/>
    <w:aliases w:val="Char1"/>
    <w:basedOn w:val="Normal"/>
    <w:uiPriority w:val="16"/>
    <w:qFormat/>
    <w:rsid w:val="0055399E"/>
    <w:pPr>
      <w:widowControl/>
      <w:tabs>
        <w:tab w:val="num" w:pos="720"/>
      </w:tabs>
      <w:spacing w:after="24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55399E"/>
    <w:pPr>
      <w:numPr>
        <w:numId w:val="5"/>
      </w:numPr>
    </w:pPr>
  </w:style>
  <w:style w:type="paragraph" w:styleId="ListNumber3">
    <w:name w:val="List Number 3"/>
    <w:aliases w:val="Char"/>
    <w:basedOn w:val="Normal"/>
    <w:uiPriority w:val="16"/>
    <w:qFormat/>
    <w:rsid w:val="0055399E"/>
    <w:pPr>
      <w:widowControl/>
      <w:tabs>
        <w:tab w:val="num" w:pos="1077"/>
      </w:tabs>
      <w:spacing w:after="24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55399E"/>
    <w:pPr>
      <w:widowControl/>
      <w:tabs>
        <w:tab w:val="num" w:pos="1435"/>
      </w:tabs>
      <w:spacing w:after="240" w:line="360" w:lineRule="auto"/>
      <w:ind w:left="1435" w:hanging="358"/>
      <w:contextualSpacing/>
      <w:jc w:val="left"/>
    </w:pPr>
    <w:rPr>
      <w:rFonts w:ascii="Arial" w:eastAsiaTheme="minorHAnsi" w:hAnsi="Arial" w:cstheme="minorBidi"/>
      <w:snapToGrid/>
      <w:sz w:val="20"/>
      <w:szCs w:val="20"/>
    </w:rPr>
  </w:style>
  <w:style w:type="table" w:styleId="ColorfulGrid-Accent5">
    <w:name w:val="Colorful Grid Accent 5"/>
    <w:basedOn w:val="TableNormal"/>
    <w:uiPriority w:val="73"/>
    <w:rsid w:val="00BF1E38"/>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FootnoteText">
    <w:name w:val="footnote text"/>
    <w:basedOn w:val="Normal"/>
    <w:link w:val="FootnoteTextChar"/>
    <w:semiHidden/>
    <w:unhideWhenUsed/>
    <w:rsid w:val="00F15A2D"/>
    <w:rPr>
      <w:sz w:val="20"/>
      <w:szCs w:val="20"/>
    </w:rPr>
  </w:style>
  <w:style w:type="character" w:customStyle="1" w:styleId="FootnoteTextChar">
    <w:name w:val="Footnote Text Char"/>
    <w:basedOn w:val="DefaultParagraphFont"/>
    <w:link w:val="FootnoteText"/>
    <w:semiHidden/>
    <w:rsid w:val="00F15A2D"/>
    <w:rPr>
      <w:rFonts w:ascii="Calibri" w:hAnsi="Calibri" w:cs="Arial"/>
      <w:snapToGrid w:val="0"/>
      <w:lang w:eastAsia="en-US"/>
    </w:rPr>
  </w:style>
  <w:style w:type="character" w:styleId="FootnoteReference">
    <w:name w:val="footnote reference"/>
    <w:basedOn w:val="DefaultParagraphFont"/>
    <w:uiPriority w:val="99"/>
    <w:unhideWhenUsed/>
    <w:rsid w:val="00F15A2D"/>
    <w:rPr>
      <w:vertAlign w:val="superscript"/>
    </w:rPr>
  </w:style>
  <w:style w:type="character" w:customStyle="1" w:styleId="TableTextChar0">
    <w:name w:val="Table Text Char"/>
    <w:basedOn w:val="DefaultParagraphFont"/>
    <w:link w:val="TableText0"/>
    <w:locked/>
    <w:rsid w:val="0056329B"/>
    <w:rPr>
      <w:rFonts w:ascii="Arial Narrow" w:eastAsiaTheme="minorHAnsi" w:hAnsi="Arial Narrow" w:cstheme="minorBidi"/>
      <w:szCs w:val="22"/>
      <w:lang w:eastAsia="en-US"/>
    </w:rPr>
  </w:style>
  <w:style w:type="paragraph" w:customStyle="1" w:styleId="TableParagraph">
    <w:name w:val="Table Paragraph"/>
    <w:basedOn w:val="Normal"/>
    <w:uiPriority w:val="1"/>
    <w:qFormat/>
    <w:rsid w:val="00BD04D5"/>
    <w:pPr>
      <w:autoSpaceDE w:val="0"/>
      <w:autoSpaceDN w:val="0"/>
      <w:spacing w:before="11"/>
      <w:jc w:val="right"/>
    </w:pPr>
    <w:rPr>
      <w:rFonts w:ascii="Times New Roman" w:hAnsi="Times New Roman" w:cs="Times New Roman"/>
      <w:snapToGrid/>
      <w:sz w:val="22"/>
      <w:lang w:val="en-US"/>
    </w:rPr>
  </w:style>
  <w:style w:type="paragraph" w:customStyle="1" w:styleId="Default">
    <w:name w:val="Default"/>
    <w:rsid w:val="00BD04D5"/>
    <w:pPr>
      <w:autoSpaceDE w:val="0"/>
      <w:autoSpaceDN w:val="0"/>
      <w:adjustRightInd w:val="0"/>
    </w:pPr>
    <w:rPr>
      <w:rFonts w:ascii="Arial" w:hAnsi="Arial" w:cs="Arial"/>
      <w:color w:val="000000"/>
      <w:sz w:val="24"/>
      <w:szCs w:val="24"/>
      <w:lang w:val="en-US"/>
    </w:rPr>
  </w:style>
  <w:style w:type="paragraph" w:styleId="ListBullet">
    <w:name w:val="List Bullet"/>
    <w:basedOn w:val="Normal"/>
    <w:uiPriority w:val="99"/>
    <w:qFormat/>
    <w:rsid w:val="009F6A35"/>
    <w:pPr>
      <w:widowControl/>
      <w:numPr>
        <w:numId w:val="6"/>
      </w:numPr>
      <w:spacing w:after="24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9F6A35"/>
    <w:pPr>
      <w:numPr>
        <w:ilvl w:val="1"/>
      </w:numPr>
    </w:pPr>
  </w:style>
  <w:style w:type="paragraph" w:styleId="ListBullet3">
    <w:name w:val="List Bullet 3"/>
    <w:basedOn w:val="Normal"/>
    <w:uiPriority w:val="16"/>
    <w:qFormat/>
    <w:rsid w:val="009F6A35"/>
    <w:pPr>
      <w:widowControl/>
      <w:numPr>
        <w:ilvl w:val="2"/>
        <w:numId w:val="6"/>
      </w:numPr>
      <w:spacing w:after="24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9F6A35"/>
    <w:pPr>
      <w:widowControl/>
      <w:numPr>
        <w:ilvl w:val="3"/>
        <w:numId w:val="6"/>
      </w:numPr>
      <w:spacing w:after="240" w:line="360" w:lineRule="auto"/>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322E1F"/>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paragraph" w:customStyle="1" w:styleId="CoverIntroductionText">
    <w:name w:val="Cover Introduction Text"/>
    <w:basedOn w:val="Normal"/>
    <w:uiPriority w:val="21"/>
    <w:rsid w:val="00EC6C5A"/>
    <w:pPr>
      <w:widowControl/>
      <w:spacing w:after="240" w:line="360" w:lineRule="auto"/>
      <w:jc w:val="center"/>
    </w:pPr>
    <w:rPr>
      <w:rFonts w:ascii="Arial" w:eastAsiaTheme="minorHAnsi" w:hAnsi="Arial" w:cstheme="minorBidi"/>
      <w:b/>
      <w:snapToGrid/>
      <w:spacing w:val="-2"/>
      <w:szCs w:val="20"/>
    </w:rPr>
  </w:style>
  <w:style w:type="table" w:customStyle="1" w:styleId="PBACtable1">
    <w:name w:val="PBAC table1"/>
    <w:basedOn w:val="TableNormal"/>
    <w:next w:val="TableGrid"/>
    <w:uiPriority w:val="39"/>
    <w:rsid w:val="00156C8C"/>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character" w:customStyle="1" w:styleId="NoSpacingChar">
    <w:name w:val="No Spacing Char"/>
    <w:basedOn w:val="DefaultParagraphFont"/>
    <w:link w:val="NoSpacing"/>
    <w:uiPriority w:val="1"/>
    <w:rsid w:val="001B3455"/>
    <w:rPr>
      <w:rFonts w:ascii="Arial" w:hAnsi="Arial" w:cs="Arial"/>
      <w:snapToGrid w:val="0"/>
      <w:sz w:val="22"/>
      <w:lang w:eastAsia="en-US"/>
    </w:rPr>
  </w:style>
  <w:style w:type="paragraph" w:styleId="TableofFigures">
    <w:name w:val="table of figures"/>
    <w:basedOn w:val="Normal"/>
    <w:next w:val="Normal"/>
    <w:uiPriority w:val="99"/>
    <w:rsid w:val="00FD72C8"/>
    <w:pPr>
      <w:widowControl/>
      <w:tabs>
        <w:tab w:val="left" w:pos="1418"/>
        <w:tab w:val="right" w:leader="dot" w:pos="9639"/>
      </w:tabs>
      <w:spacing w:line="360" w:lineRule="auto"/>
      <w:ind w:left="1418" w:hanging="1418"/>
      <w:jc w:val="left"/>
    </w:pPr>
    <w:rPr>
      <w:rFonts w:ascii="Arial" w:eastAsiaTheme="minorHAnsi" w:hAnsi="Arial" w:cstheme="minorBidi"/>
      <w:b/>
      <w:snapToGrid/>
      <w:sz w:val="20"/>
      <w:szCs w:val="20"/>
    </w:rPr>
  </w:style>
  <w:style w:type="table" w:styleId="TableWeb2">
    <w:name w:val="Table Web 2"/>
    <w:basedOn w:val="TableNormal"/>
    <w:rsid w:val="00FD72C8"/>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xecSummTable">
    <w:name w:val="Exec Summ Table"/>
    <w:basedOn w:val="TableNormal"/>
    <w:uiPriority w:val="99"/>
    <w:rsid w:val="00F34619"/>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styleId="TableWeb3">
    <w:name w:val="Table Web 3"/>
    <w:basedOn w:val="TableNormal"/>
    <w:rsid w:val="00C52E2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Normal"/>
    <w:rsid w:val="00D0433E"/>
    <w:pPr>
      <w:numPr>
        <w:numId w:val="7"/>
      </w:numPr>
      <w:contextualSpacing/>
    </w:pPr>
  </w:style>
  <w:style w:type="table" w:customStyle="1" w:styleId="ExecSummTable129">
    <w:name w:val="Exec Summ Table129"/>
    <w:basedOn w:val="TableNormal"/>
    <w:uiPriority w:val="99"/>
    <w:rsid w:val="00D0433E"/>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In-tableHeading">
    <w:name w:val="In-table Heading"/>
    <w:uiPriority w:val="99"/>
    <w:qFormat/>
    <w:rsid w:val="004E0DA6"/>
    <w:pPr>
      <w:keepNext/>
    </w:pPr>
    <w:rPr>
      <w:rFonts w:ascii="Arial Narrow" w:eastAsiaTheme="majorEastAsia" w:hAnsi="Arial Narrow"/>
      <w:b/>
      <w:szCs w:val="24"/>
      <w:lang w:val="en-US"/>
    </w:rPr>
  </w:style>
  <w:style w:type="paragraph" w:customStyle="1" w:styleId="TableFigureHeading">
    <w:name w:val="Table/Figure Heading"/>
    <w:next w:val="In-tableHeading"/>
    <w:link w:val="TableFigureHeadingChar"/>
    <w:qFormat/>
    <w:rsid w:val="004E0DA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E0DA6"/>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4E0DA6"/>
    <w:pPr>
      <w:widowControl/>
      <w:spacing w:after="120"/>
      <w:contextualSpacing/>
      <w:jc w:val="left"/>
    </w:pPr>
    <w:rPr>
      <w:rFonts w:ascii="Arial Narrow" w:hAnsi="Arial Narrow" w:cs="Times New Roman"/>
      <w:snapToGrid/>
      <w:sz w:val="18"/>
      <w:szCs w:val="24"/>
      <w:lang w:val="en-US" w:eastAsia="en-AU"/>
    </w:rPr>
  </w:style>
  <w:style w:type="character" w:customStyle="1" w:styleId="TableFigureFooterChar">
    <w:name w:val="Table/Figure Footer Char"/>
    <w:link w:val="TableFigureFooter"/>
    <w:rsid w:val="004E0DA6"/>
    <w:rPr>
      <w:rFonts w:ascii="Arial Narrow" w:hAnsi="Arial Narrow"/>
      <w:sz w:val="18"/>
      <w:szCs w:val="24"/>
      <w:lang w:val="en-US"/>
    </w:rPr>
  </w:style>
  <w:style w:type="paragraph" w:customStyle="1" w:styleId="2-SectionHeading">
    <w:name w:val="2-Section Heading"/>
    <w:qFormat/>
    <w:rsid w:val="004E0DA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4E0DA6"/>
    <w:pPr>
      <w:widowControl/>
      <w:spacing w:after="120"/>
      <w:ind w:left="2160" w:hanging="720"/>
      <w:jc w:val="left"/>
    </w:pPr>
    <w:rPr>
      <w:rFonts w:asciiTheme="minorHAnsi" w:hAnsiTheme="minorHAnsi"/>
      <w:snapToGrid/>
      <w:szCs w:val="24"/>
      <w:lang w:val="en-US"/>
    </w:rPr>
  </w:style>
  <w:style w:type="character" w:customStyle="1" w:styleId="3-BodyTextChar">
    <w:name w:val="3-Body Text Char"/>
    <w:basedOn w:val="ListParagraphChar"/>
    <w:link w:val="3-BodyText"/>
    <w:rsid w:val="004E0DA6"/>
    <w:rPr>
      <w:rFonts w:asciiTheme="minorHAnsi" w:hAnsiTheme="minorHAnsi" w:cs="Arial"/>
      <w:snapToGrid/>
      <w:sz w:val="24"/>
      <w:szCs w:val="24"/>
      <w:lang w:val="en-US" w:eastAsia="en-US"/>
    </w:rPr>
  </w:style>
  <w:style w:type="paragraph" w:customStyle="1" w:styleId="bullet">
    <w:name w:val="bullet"/>
    <w:basedOn w:val="ListParagraph"/>
    <w:qFormat/>
    <w:rsid w:val="008A0714"/>
    <w:pPr>
      <w:widowControl/>
      <w:numPr>
        <w:numId w:val="15"/>
      </w:numPr>
      <w:spacing w:after="120"/>
    </w:pPr>
    <w:rPr>
      <w:rFonts w:cstheme="minorBidi"/>
      <w:i/>
      <w:snapToGrid/>
      <w:sz w:val="22"/>
    </w:rPr>
  </w:style>
  <w:style w:type="paragraph" w:customStyle="1" w:styleId="Heading51">
    <w:name w:val="Heading 51"/>
    <w:basedOn w:val="Normal"/>
    <w:next w:val="Normal"/>
    <w:uiPriority w:val="9"/>
    <w:qFormat/>
    <w:rsid w:val="008A0714"/>
    <w:pPr>
      <w:keepNext/>
      <w:widowControl/>
      <w:spacing w:before="120" w:after="120" w:line="360" w:lineRule="auto"/>
      <w:jc w:val="left"/>
      <w:outlineLvl w:val="4"/>
    </w:pPr>
    <w:rPr>
      <w:rFonts w:ascii="Arial" w:eastAsia="MS PGothic" w:hAnsi="Arial"/>
      <w:b/>
      <w:snapToGrid/>
      <w:szCs w:val="20"/>
    </w:rPr>
  </w:style>
  <w:style w:type="paragraph" w:customStyle="1" w:styleId="CIC">
    <w:name w:val="CIC"/>
    <w:basedOn w:val="Heading3"/>
    <w:link w:val="CICChar"/>
    <w:qFormat/>
    <w:rsid w:val="005509E0"/>
    <w:pPr>
      <w:jc w:val="center"/>
    </w:pPr>
    <w:rPr>
      <w:rFonts w:asciiTheme="minorHAnsi" w:hAnsiTheme="minorHAnsi" w:cstheme="minorHAnsi"/>
      <w:b/>
    </w:rPr>
  </w:style>
  <w:style w:type="paragraph" w:customStyle="1" w:styleId="Title1">
    <w:name w:val="Title1"/>
    <w:basedOn w:val="Heading1"/>
    <w:link w:val="titleChar0"/>
    <w:qFormat/>
    <w:rsid w:val="005509E0"/>
    <w:pPr>
      <w:tabs>
        <w:tab w:val="left" w:pos="1134"/>
      </w:tabs>
      <w:ind w:left="1134" w:hanging="1134"/>
    </w:pPr>
    <w:rPr>
      <w:rFonts w:cstheme="minorHAnsi"/>
      <w:sz w:val="36"/>
      <w:szCs w:val="36"/>
    </w:rPr>
  </w:style>
  <w:style w:type="character" w:customStyle="1" w:styleId="Heading3Char">
    <w:name w:val="Heading 3 Char"/>
    <w:basedOn w:val="DefaultParagraphFont"/>
    <w:link w:val="Heading3"/>
    <w:rsid w:val="005509E0"/>
    <w:rPr>
      <w:rFonts w:ascii="Calibri" w:hAnsi="Calibri" w:cs="Arial"/>
      <w:snapToGrid w:val="0"/>
      <w:sz w:val="24"/>
      <w:szCs w:val="22"/>
      <w:u w:val="single"/>
      <w:lang w:eastAsia="en-US"/>
    </w:rPr>
  </w:style>
  <w:style w:type="character" w:customStyle="1" w:styleId="CICChar">
    <w:name w:val="CIC Char"/>
    <w:basedOn w:val="Heading3Char"/>
    <w:link w:val="CIC"/>
    <w:rsid w:val="005509E0"/>
    <w:rPr>
      <w:rFonts w:asciiTheme="minorHAnsi" w:hAnsiTheme="minorHAnsi" w:cstheme="minorHAnsi"/>
      <w:b/>
      <w:snapToGrid w:val="0"/>
      <w:sz w:val="24"/>
      <w:szCs w:val="22"/>
      <w:u w:val="single"/>
      <w:lang w:eastAsia="en-US"/>
    </w:rPr>
  </w:style>
  <w:style w:type="character" w:customStyle="1" w:styleId="Heading1Char">
    <w:name w:val="Heading 1 Char"/>
    <w:basedOn w:val="DefaultParagraphFont"/>
    <w:link w:val="Heading1"/>
    <w:rsid w:val="005509E0"/>
    <w:rPr>
      <w:rFonts w:ascii="Calibri" w:hAnsi="Calibri" w:cs="Arial"/>
      <w:b/>
      <w:caps/>
      <w:snapToGrid w:val="0"/>
      <w:sz w:val="32"/>
      <w:szCs w:val="22"/>
      <w:lang w:eastAsia="en-US"/>
    </w:rPr>
  </w:style>
  <w:style w:type="character" w:customStyle="1" w:styleId="titleChar0">
    <w:name w:val="title Char"/>
    <w:basedOn w:val="Heading1Char"/>
    <w:link w:val="Title1"/>
    <w:rsid w:val="005509E0"/>
    <w:rPr>
      <w:rFonts w:ascii="Calibri" w:hAnsi="Calibri" w:cstheme="minorHAnsi"/>
      <w:b/>
      <w:caps/>
      <w:snapToGrid w:val="0"/>
      <w:sz w:val="36"/>
      <w:szCs w:val="36"/>
      <w:lang w:eastAsia="en-US"/>
    </w:rPr>
  </w:style>
  <w:style w:type="paragraph" w:customStyle="1" w:styleId="3-SubsectionHeading">
    <w:name w:val="3-Subsection Heading"/>
    <w:basedOn w:val="Heading2"/>
    <w:next w:val="Normal"/>
    <w:link w:val="3-SubsectionHeadingChar"/>
    <w:qFormat/>
    <w:rsid w:val="001D138D"/>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1D138D"/>
    <w:rPr>
      <w:rFonts w:asciiTheme="minorHAnsi" w:eastAsiaTheme="majorEastAsia" w:hAnsiTheme="minorHAnsi" w:cstheme="majorBidi"/>
      <w:b/>
      <w:i/>
      <w:snapToGrid/>
      <w:spacing w:val="5"/>
      <w:kern w:val="28"/>
      <w:sz w:val="28"/>
      <w:szCs w:val="36"/>
      <w:lang w:eastAsia="en-US"/>
    </w:rPr>
  </w:style>
  <w:style w:type="paragraph" w:styleId="PlainText">
    <w:name w:val="Plain Text"/>
    <w:basedOn w:val="Normal"/>
    <w:link w:val="PlainTextChar"/>
    <w:uiPriority w:val="99"/>
    <w:rsid w:val="00863C38"/>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63C38"/>
    <w:rPr>
      <w:rFonts w:ascii="Courier New" w:hAnsi="Courier New"/>
    </w:rPr>
  </w:style>
  <w:style w:type="character" w:styleId="IntenseReference">
    <w:name w:val="Intense Reference"/>
    <w:basedOn w:val="DefaultParagraphFont"/>
    <w:uiPriority w:val="32"/>
    <w:qFormat/>
    <w:rsid w:val="00DE6895"/>
    <w:rPr>
      <w:b/>
      <w:bCs/>
      <w:i/>
      <w:smallCaps/>
      <w:color w:val="C0504D" w:themeColor="accent2"/>
      <w:spacing w:val="5"/>
      <w:u w:val="none"/>
    </w:rPr>
  </w:style>
  <w:style w:type="paragraph" w:customStyle="1" w:styleId="5-SubsectionSubheading">
    <w:name w:val="5-Subsection Subheading"/>
    <w:basedOn w:val="Heading3"/>
    <w:next w:val="3-BodyText"/>
    <w:link w:val="5-SubsectionSubheadingChar"/>
    <w:qFormat/>
    <w:rsid w:val="00FF1095"/>
    <w:pPr>
      <w:keepNext/>
      <w:keepLines/>
      <w:widowControl/>
      <w:spacing w:before="160" w:after="120"/>
    </w:pPr>
    <w:rPr>
      <w:rFonts w:asciiTheme="minorHAnsi" w:eastAsiaTheme="majorEastAsia" w:hAnsiTheme="minorHAnsi" w:cstheme="majorBidi"/>
      <w:b/>
      <w:snapToGrid/>
      <w:color w:val="000000" w:themeColor="text1"/>
      <w:szCs w:val="24"/>
      <w:u w:val="none"/>
      <w:lang w:eastAsia="en-AU"/>
    </w:rPr>
  </w:style>
  <w:style w:type="character" w:customStyle="1" w:styleId="5-SubsectionSubheadingChar">
    <w:name w:val="5-Subsection Subheading Char"/>
    <w:basedOn w:val="DefaultParagraphFont"/>
    <w:link w:val="5-SubsectionSubheading"/>
    <w:rsid w:val="00FF1095"/>
    <w:rPr>
      <w:rFonts w:asciiTheme="minorHAnsi" w:eastAsiaTheme="majorEastAsia" w:hAnsiTheme="minorHAnsi" w:cstheme="majorBidi"/>
      <w:b/>
      <w:color w:val="000000" w:themeColor="text1"/>
      <w:sz w:val="24"/>
      <w:szCs w:val="24"/>
    </w:rPr>
  </w:style>
  <w:style w:type="table" w:customStyle="1" w:styleId="MSDTableGrid1">
    <w:name w:val="MSD Table Grid1"/>
    <w:basedOn w:val="TableNormal"/>
    <w:next w:val="TableGrid"/>
    <w:uiPriority w:val="39"/>
    <w:rsid w:val="00FF10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1">
    <w:name w:val="Dossier table1"/>
    <w:basedOn w:val="TableNormal"/>
    <w:next w:val="TableGrid"/>
    <w:rsid w:val="00FF1095"/>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qFormat/>
    <w:rsid w:val="00422CCA"/>
    <w:pPr>
      <w:widowControl/>
      <w:spacing w:after="120"/>
      <w:ind w:hanging="720"/>
      <w:jc w:val="left"/>
    </w:pPr>
    <w:rPr>
      <w:rFonts w:asciiTheme="minorHAnsi" w:eastAsiaTheme="minorHAnsi" w:hAnsiTheme="minorHAnsi" w:cstheme="minorBid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6449">
      <w:bodyDiv w:val="1"/>
      <w:marLeft w:val="0"/>
      <w:marRight w:val="0"/>
      <w:marTop w:val="0"/>
      <w:marBottom w:val="0"/>
      <w:divBdr>
        <w:top w:val="none" w:sz="0" w:space="0" w:color="auto"/>
        <w:left w:val="none" w:sz="0" w:space="0" w:color="auto"/>
        <w:bottom w:val="none" w:sz="0" w:space="0" w:color="auto"/>
        <w:right w:val="none" w:sz="0" w:space="0" w:color="auto"/>
      </w:divBdr>
    </w:div>
    <w:div w:id="2456566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580">
          <w:marLeft w:val="360"/>
          <w:marRight w:val="0"/>
          <w:marTop w:val="200"/>
          <w:marBottom w:val="0"/>
          <w:divBdr>
            <w:top w:val="none" w:sz="0" w:space="0" w:color="auto"/>
            <w:left w:val="none" w:sz="0" w:space="0" w:color="auto"/>
            <w:bottom w:val="none" w:sz="0" w:space="0" w:color="auto"/>
            <w:right w:val="none" w:sz="0" w:space="0" w:color="auto"/>
          </w:divBdr>
        </w:div>
      </w:divsChild>
    </w:div>
    <w:div w:id="297077635">
      <w:bodyDiv w:val="1"/>
      <w:marLeft w:val="0"/>
      <w:marRight w:val="0"/>
      <w:marTop w:val="0"/>
      <w:marBottom w:val="0"/>
      <w:divBdr>
        <w:top w:val="none" w:sz="0" w:space="0" w:color="auto"/>
        <w:left w:val="none" w:sz="0" w:space="0" w:color="auto"/>
        <w:bottom w:val="none" w:sz="0" w:space="0" w:color="auto"/>
        <w:right w:val="none" w:sz="0" w:space="0" w:color="auto"/>
      </w:divBdr>
    </w:div>
    <w:div w:id="318506689">
      <w:bodyDiv w:val="1"/>
      <w:marLeft w:val="0"/>
      <w:marRight w:val="0"/>
      <w:marTop w:val="0"/>
      <w:marBottom w:val="0"/>
      <w:divBdr>
        <w:top w:val="none" w:sz="0" w:space="0" w:color="auto"/>
        <w:left w:val="none" w:sz="0" w:space="0" w:color="auto"/>
        <w:bottom w:val="none" w:sz="0" w:space="0" w:color="auto"/>
        <w:right w:val="none" w:sz="0" w:space="0" w:color="auto"/>
      </w:divBdr>
      <w:divsChild>
        <w:div w:id="1585841052">
          <w:marLeft w:val="446"/>
          <w:marRight w:val="0"/>
          <w:marTop w:val="120"/>
          <w:marBottom w:val="120"/>
          <w:divBdr>
            <w:top w:val="none" w:sz="0" w:space="0" w:color="auto"/>
            <w:left w:val="none" w:sz="0" w:space="0" w:color="auto"/>
            <w:bottom w:val="none" w:sz="0" w:space="0" w:color="auto"/>
            <w:right w:val="none" w:sz="0" w:space="0" w:color="auto"/>
          </w:divBdr>
        </w:div>
      </w:divsChild>
    </w:div>
    <w:div w:id="364138062">
      <w:bodyDiv w:val="1"/>
      <w:marLeft w:val="0"/>
      <w:marRight w:val="0"/>
      <w:marTop w:val="0"/>
      <w:marBottom w:val="0"/>
      <w:divBdr>
        <w:top w:val="none" w:sz="0" w:space="0" w:color="auto"/>
        <w:left w:val="none" w:sz="0" w:space="0" w:color="auto"/>
        <w:bottom w:val="none" w:sz="0" w:space="0" w:color="auto"/>
        <w:right w:val="none" w:sz="0" w:space="0" w:color="auto"/>
      </w:divBdr>
    </w:div>
    <w:div w:id="405424725">
      <w:bodyDiv w:val="1"/>
      <w:marLeft w:val="0"/>
      <w:marRight w:val="0"/>
      <w:marTop w:val="0"/>
      <w:marBottom w:val="0"/>
      <w:divBdr>
        <w:top w:val="none" w:sz="0" w:space="0" w:color="auto"/>
        <w:left w:val="none" w:sz="0" w:space="0" w:color="auto"/>
        <w:bottom w:val="none" w:sz="0" w:space="0" w:color="auto"/>
        <w:right w:val="none" w:sz="0" w:space="0" w:color="auto"/>
      </w:divBdr>
    </w:div>
    <w:div w:id="457727144">
      <w:bodyDiv w:val="1"/>
      <w:marLeft w:val="0"/>
      <w:marRight w:val="0"/>
      <w:marTop w:val="0"/>
      <w:marBottom w:val="0"/>
      <w:divBdr>
        <w:top w:val="none" w:sz="0" w:space="0" w:color="auto"/>
        <w:left w:val="none" w:sz="0" w:space="0" w:color="auto"/>
        <w:bottom w:val="none" w:sz="0" w:space="0" w:color="auto"/>
        <w:right w:val="none" w:sz="0" w:space="0" w:color="auto"/>
      </w:divBdr>
    </w:div>
    <w:div w:id="530217935">
      <w:bodyDiv w:val="1"/>
      <w:marLeft w:val="0"/>
      <w:marRight w:val="0"/>
      <w:marTop w:val="0"/>
      <w:marBottom w:val="0"/>
      <w:divBdr>
        <w:top w:val="none" w:sz="0" w:space="0" w:color="auto"/>
        <w:left w:val="none" w:sz="0" w:space="0" w:color="auto"/>
        <w:bottom w:val="none" w:sz="0" w:space="0" w:color="auto"/>
        <w:right w:val="none" w:sz="0" w:space="0" w:color="auto"/>
      </w:divBdr>
    </w:div>
    <w:div w:id="566456237">
      <w:bodyDiv w:val="1"/>
      <w:marLeft w:val="0"/>
      <w:marRight w:val="0"/>
      <w:marTop w:val="0"/>
      <w:marBottom w:val="0"/>
      <w:divBdr>
        <w:top w:val="none" w:sz="0" w:space="0" w:color="auto"/>
        <w:left w:val="none" w:sz="0" w:space="0" w:color="auto"/>
        <w:bottom w:val="none" w:sz="0" w:space="0" w:color="auto"/>
        <w:right w:val="none" w:sz="0" w:space="0" w:color="auto"/>
      </w:divBdr>
    </w:div>
    <w:div w:id="617180105">
      <w:bodyDiv w:val="1"/>
      <w:marLeft w:val="0"/>
      <w:marRight w:val="0"/>
      <w:marTop w:val="0"/>
      <w:marBottom w:val="0"/>
      <w:divBdr>
        <w:top w:val="none" w:sz="0" w:space="0" w:color="auto"/>
        <w:left w:val="none" w:sz="0" w:space="0" w:color="auto"/>
        <w:bottom w:val="none" w:sz="0" w:space="0" w:color="auto"/>
        <w:right w:val="none" w:sz="0" w:space="0" w:color="auto"/>
      </w:divBdr>
    </w:div>
    <w:div w:id="634025614">
      <w:bodyDiv w:val="1"/>
      <w:marLeft w:val="0"/>
      <w:marRight w:val="0"/>
      <w:marTop w:val="0"/>
      <w:marBottom w:val="0"/>
      <w:divBdr>
        <w:top w:val="none" w:sz="0" w:space="0" w:color="auto"/>
        <w:left w:val="none" w:sz="0" w:space="0" w:color="auto"/>
        <w:bottom w:val="none" w:sz="0" w:space="0" w:color="auto"/>
        <w:right w:val="none" w:sz="0" w:space="0" w:color="auto"/>
      </w:divBdr>
    </w:div>
    <w:div w:id="643242323">
      <w:bodyDiv w:val="1"/>
      <w:marLeft w:val="0"/>
      <w:marRight w:val="0"/>
      <w:marTop w:val="0"/>
      <w:marBottom w:val="0"/>
      <w:divBdr>
        <w:top w:val="none" w:sz="0" w:space="0" w:color="auto"/>
        <w:left w:val="none" w:sz="0" w:space="0" w:color="auto"/>
        <w:bottom w:val="none" w:sz="0" w:space="0" w:color="auto"/>
        <w:right w:val="none" w:sz="0" w:space="0" w:color="auto"/>
      </w:divBdr>
    </w:div>
    <w:div w:id="747461151">
      <w:bodyDiv w:val="1"/>
      <w:marLeft w:val="0"/>
      <w:marRight w:val="0"/>
      <w:marTop w:val="0"/>
      <w:marBottom w:val="0"/>
      <w:divBdr>
        <w:top w:val="none" w:sz="0" w:space="0" w:color="auto"/>
        <w:left w:val="none" w:sz="0" w:space="0" w:color="auto"/>
        <w:bottom w:val="none" w:sz="0" w:space="0" w:color="auto"/>
        <w:right w:val="none" w:sz="0" w:space="0" w:color="auto"/>
      </w:divBdr>
    </w:div>
    <w:div w:id="794953926">
      <w:bodyDiv w:val="1"/>
      <w:marLeft w:val="0"/>
      <w:marRight w:val="0"/>
      <w:marTop w:val="0"/>
      <w:marBottom w:val="0"/>
      <w:divBdr>
        <w:top w:val="none" w:sz="0" w:space="0" w:color="auto"/>
        <w:left w:val="none" w:sz="0" w:space="0" w:color="auto"/>
        <w:bottom w:val="none" w:sz="0" w:space="0" w:color="auto"/>
        <w:right w:val="none" w:sz="0" w:space="0" w:color="auto"/>
      </w:divBdr>
    </w:div>
    <w:div w:id="853228042">
      <w:bodyDiv w:val="1"/>
      <w:marLeft w:val="0"/>
      <w:marRight w:val="0"/>
      <w:marTop w:val="0"/>
      <w:marBottom w:val="0"/>
      <w:divBdr>
        <w:top w:val="none" w:sz="0" w:space="0" w:color="auto"/>
        <w:left w:val="none" w:sz="0" w:space="0" w:color="auto"/>
        <w:bottom w:val="none" w:sz="0" w:space="0" w:color="auto"/>
        <w:right w:val="none" w:sz="0" w:space="0" w:color="auto"/>
      </w:divBdr>
    </w:div>
    <w:div w:id="1143618502">
      <w:bodyDiv w:val="1"/>
      <w:marLeft w:val="0"/>
      <w:marRight w:val="0"/>
      <w:marTop w:val="0"/>
      <w:marBottom w:val="0"/>
      <w:divBdr>
        <w:top w:val="none" w:sz="0" w:space="0" w:color="auto"/>
        <w:left w:val="none" w:sz="0" w:space="0" w:color="auto"/>
        <w:bottom w:val="none" w:sz="0" w:space="0" w:color="auto"/>
        <w:right w:val="none" w:sz="0" w:space="0" w:color="auto"/>
      </w:divBdr>
    </w:div>
    <w:div w:id="1240823311">
      <w:bodyDiv w:val="1"/>
      <w:marLeft w:val="0"/>
      <w:marRight w:val="0"/>
      <w:marTop w:val="0"/>
      <w:marBottom w:val="0"/>
      <w:divBdr>
        <w:top w:val="none" w:sz="0" w:space="0" w:color="auto"/>
        <w:left w:val="none" w:sz="0" w:space="0" w:color="auto"/>
        <w:bottom w:val="none" w:sz="0" w:space="0" w:color="auto"/>
        <w:right w:val="none" w:sz="0" w:space="0" w:color="auto"/>
      </w:divBdr>
    </w:div>
    <w:div w:id="1268344128">
      <w:bodyDiv w:val="1"/>
      <w:marLeft w:val="0"/>
      <w:marRight w:val="0"/>
      <w:marTop w:val="0"/>
      <w:marBottom w:val="0"/>
      <w:divBdr>
        <w:top w:val="none" w:sz="0" w:space="0" w:color="auto"/>
        <w:left w:val="none" w:sz="0" w:space="0" w:color="auto"/>
        <w:bottom w:val="none" w:sz="0" w:space="0" w:color="auto"/>
        <w:right w:val="none" w:sz="0" w:space="0" w:color="auto"/>
      </w:divBdr>
    </w:div>
    <w:div w:id="1281230218">
      <w:bodyDiv w:val="1"/>
      <w:marLeft w:val="0"/>
      <w:marRight w:val="0"/>
      <w:marTop w:val="0"/>
      <w:marBottom w:val="0"/>
      <w:divBdr>
        <w:top w:val="none" w:sz="0" w:space="0" w:color="auto"/>
        <w:left w:val="none" w:sz="0" w:space="0" w:color="auto"/>
        <w:bottom w:val="none" w:sz="0" w:space="0" w:color="auto"/>
        <w:right w:val="none" w:sz="0" w:space="0" w:color="auto"/>
      </w:divBdr>
    </w:div>
    <w:div w:id="1307399517">
      <w:bodyDiv w:val="1"/>
      <w:marLeft w:val="0"/>
      <w:marRight w:val="0"/>
      <w:marTop w:val="0"/>
      <w:marBottom w:val="0"/>
      <w:divBdr>
        <w:top w:val="none" w:sz="0" w:space="0" w:color="auto"/>
        <w:left w:val="none" w:sz="0" w:space="0" w:color="auto"/>
        <w:bottom w:val="none" w:sz="0" w:space="0" w:color="auto"/>
        <w:right w:val="none" w:sz="0" w:space="0" w:color="auto"/>
      </w:divBdr>
    </w:div>
    <w:div w:id="1390572410">
      <w:bodyDiv w:val="1"/>
      <w:marLeft w:val="0"/>
      <w:marRight w:val="0"/>
      <w:marTop w:val="0"/>
      <w:marBottom w:val="0"/>
      <w:divBdr>
        <w:top w:val="none" w:sz="0" w:space="0" w:color="auto"/>
        <w:left w:val="none" w:sz="0" w:space="0" w:color="auto"/>
        <w:bottom w:val="none" w:sz="0" w:space="0" w:color="auto"/>
        <w:right w:val="none" w:sz="0" w:space="0" w:color="auto"/>
      </w:divBdr>
    </w:div>
    <w:div w:id="1396392560">
      <w:bodyDiv w:val="1"/>
      <w:marLeft w:val="0"/>
      <w:marRight w:val="0"/>
      <w:marTop w:val="0"/>
      <w:marBottom w:val="0"/>
      <w:divBdr>
        <w:top w:val="none" w:sz="0" w:space="0" w:color="auto"/>
        <w:left w:val="none" w:sz="0" w:space="0" w:color="auto"/>
        <w:bottom w:val="none" w:sz="0" w:space="0" w:color="auto"/>
        <w:right w:val="none" w:sz="0" w:space="0" w:color="auto"/>
      </w:divBdr>
      <w:divsChild>
        <w:div w:id="506017858">
          <w:marLeft w:val="360"/>
          <w:marRight w:val="0"/>
          <w:marTop w:val="200"/>
          <w:marBottom w:val="120"/>
          <w:divBdr>
            <w:top w:val="none" w:sz="0" w:space="0" w:color="auto"/>
            <w:left w:val="none" w:sz="0" w:space="0" w:color="auto"/>
            <w:bottom w:val="none" w:sz="0" w:space="0" w:color="auto"/>
            <w:right w:val="none" w:sz="0" w:space="0" w:color="auto"/>
          </w:divBdr>
        </w:div>
      </w:divsChild>
    </w:div>
    <w:div w:id="1583837762">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0">
          <w:marLeft w:val="360"/>
          <w:marRight w:val="0"/>
          <w:marTop w:val="200"/>
          <w:marBottom w:val="120"/>
          <w:divBdr>
            <w:top w:val="none" w:sz="0" w:space="0" w:color="auto"/>
            <w:left w:val="none" w:sz="0" w:space="0" w:color="auto"/>
            <w:bottom w:val="none" w:sz="0" w:space="0" w:color="auto"/>
            <w:right w:val="none" w:sz="0" w:space="0" w:color="auto"/>
          </w:divBdr>
        </w:div>
        <w:div w:id="1858888609">
          <w:marLeft w:val="360"/>
          <w:marRight w:val="0"/>
          <w:marTop w:val="200"/>
          <w:marBottom w:val="120"/>
          <w:divBdr>
            <w:top w:val="none" w:sz="0" w:space="0" w:color="auto"/>
            <w:left w:val="none" w:sz="0" w:space="0" w:color="auto"/>
            <w:bottom w:val="none" w:sz="0" w:space="0" w:color="auto"/>
            <w:right w:val="none" w:sz="0" w:space="0" w:color="auto"/>
          </w:divBdr>
        </w:div>
        <w:div w:id="1336037965">
          <w:marLeft w:val="1080"/>
          <w:marRight w:val="0"/>
          <w:marTop w:val="100"/>
          <w:marBottom w:val="120"/>
          <w:divBdr>
            <w:top w:val="none" w:sz="0" w:space="0" w:color="auto"/>
            <w:left w:val="none" w:sz="0" w:space="0" w:color="auto"/>
            <w:bottom w:val="none" w:sz="0" w:space="0" w:color="auto"/>
            <w:right w:val="none" w:sz="0" w:space="0" w:color="auto"/>
          </w:divBdr>
        </w:div>
        <w:div w:id="1874420806">
          <w:marLeft w:val="1080"/>
          <w:marRight w:val="0"/>
          <w:marTop w:val="100"/>
          <w:marBottom w:val="120"/>
          <w:divBdr>
            <w:top w:val="none" w:sz="0" w:space="0" w:color="auto"/>
            <w:left w:val="none" w:sz="0" w:space="0" w:color="auto"/>
            <w:bottom w:val="none" w:sz="0" w:space="0" w:color="auto"/>
            <w:right w:val="none" w:sz="0" w:space="0" w:color="auto"/>
          </w:divBdr>
        </w:div>
        <w:div w:id="1063524442">
          <w:marLeft w:val="1080"/>
          <w:marRight w:val="0"/>
          <w:marTop w:val="100"/>
          <w:marBottom w:val="120"/>
          <w:divBdr>
            <w:top w:val="none" w:sz="0" w:space="0" w:color="auto"/>
            <w:left w:val="none" w:sz="0" w:space="0" w:color="auto"/>
            <w:bottom w:val="none" w:sz="0" w:space="0" w:color="auto"/>
            <w:right w:val="none" w:sz="0" w:space="0" w:color="auto"/>
          </w:divBdr>
        </w:div>
        <w:div w:id="917717682">
          <w:marLeft w:val="1080"/>
          <w:marRight w:val="0"/>
          <w:marTop w:val="100"/>
          <w:marBottom w:val="120"/>
          <w:divBdr>
            <w:top w:val="none" w:sz="0" w:space="0" w:color="auto"/>
            <w:left w:val="none" w:sz="0" w:space="0" w:color="auto"/>
            <w:bottom w:val="none" w:sz="0" w:space="0" w:color="auto"/>
            <w:right w:val="none" w:sz="0" w:space="0" w:color="auto"/>
          </w:divBdr>
        </w:div>
        <w:div w:id="1862276997">
          <w:marLeft w:val="360"/>
          <w:marRight w:val="0"/>
          <w:marTop w:val="200"/>
          <w:marBottom w:val="0"/>
          <w:divBdr>
            <w:top w:val="none" w:sz="0" w:space="0" w:color="auto"/>
            <w:left w:val="none" w:sz="0" w:space="0" w:color="auto"/>
            <w:bottom w:val="none" w:sz="0" w:space="0" w:color="auto"/>
            <w:right w:val="none" w:sz="0" w:space="0" w:color="auto"/>
          </w:divBdr>
        </w:div>
      </w:divsChild>
    </w:div>
    <w:div w:id="1615166039">
      <w:bodyDiv w:val="1"/>
      <w:marLeft w:val="0"/>
      <w:marRight w:val="0"/>
      <w:marTop w:val="0"/>
      <w:marBottom w:val="0"/>
      <w:divBdr>
        <w:top w:val="none" w:sz="0" w:space="0" w:color="auto"/>
        <w:left w:val="none" w:sz="0" w:space="0" w:color="auto"/>
        <w:bottom w:val="none" w:sz="0" w:space="0" w:color="auto"/>
        <w:right w:val="none" w:sz="0" w:space="0" w:color="auto"/>
      </w:divBdr>
      <w:divsChild>
        <w:div w:id="1369374752">
          <w:marLeft w:val="446"/>
          <w:marRight w:val="0"/>
          <w:marTop w:val="120"/>
          <w:marBottom w:val="0"/>
          <w:divBdr>
            <w:top w:val="none" w:sz="0" w:space="0" w:color="auto"/>
            <w:left w:val="none" w:sz="0" w:space="0" w:color="auto"/>
            <w:bottom w:val="none" w:sz="0" w:space="0" w:color="auto"/>
            <w:right w:val="none" w:sz="0" w:space="0" w:color="auto"/>
          </w:divBdr>
        </w:div>
      </w:divsChild>
    </w:div>
    <w:div w:id="1665472212">
      <w:bodyDiv w:val="1"/>
      <w:marLeft w:val="0"/>
      <w:marRight w:val="0"/>
      <w:marTop w:val="0"/>
      <w:marBottom w:val="0"/>
      <w:divBdr>
        <w:top w:val="none" w:sz="0" w:space="0" w:color="auto"/>
        <w:left w:val="none" w:sz="0" w:space="0" w:color="auto"/>
        <w:bottom w:val="none" w:sz="0" w:space="0" w:color="auto"/>
        <w:right w:val="none" w:sz="0" w:space="0" w:color="auto"/>
      </w:divBdr>
    </w:div>
    <w:div w:id="1797672622">
      <w:bodyDiv w:val="1"/>
      <w:marLeft w:val="0"/>
      <w:marRight w:val="0"/>
      <w:marTop w:val="0"/>
      <w:marBottom w:val="0"/>
      <w:divBdr>
        <w:top w:val="none" w:sz="0" w:space="0" w:color="auto"/>
        <w:left w:val="none" w:sz="0" w:space="0" w:color="auto"/>
        <w:bottom w:val="none" w:sz="0" w:space="0" w:color="auto"/>
        <w:right w:val="none" w:sz="0" w:space="0" w:color="auto"/>
      </w:divBdr>
    </w:div>
    <w:div w:id="1861120771">
      <w:bodyDiv w:val="1"/>
      <w:marLeft w:val="0"/>
      <w:marRight w:val="0"/>
      <w:marTop w:val="0"/>
      <w:marBottom w:val="0"/>
      <w:divBdr>
        <w:top w:val="none" w:sz="0" w:space="0" w:color="auto"/>
        <w:left w:val="none" w:sz="0" w:space="0" w:color="auto"/>
        <w:bottom w:val="none" w:sz="0" w:space="0" w:color="auto"/>
        <w:right w:val="none" w:sz="0" w:space="0" w:color="auto"/>
      </w:divBdr>
    </w:div>
    <w:div w:id="1899629558">
      <w:bodyDiv w:val="1"/>
      <w:marLeft w:val="0"/>
      <w:marRight w:val="0"/>
      <w:marTop w:val="0"/>
      <w:marBottom w:val="0"/>
      <w:divBdr>
        <w:top w:val="none" w:sz="0" w:space="0" w:color="auto"/>
        <w:left w:val="none" w:sz="0" w:space="0" w:color="auto"/>
        <w:bottom w:val="none" w:sz="0" w:space="0" w:color="auto"/>
        <w:right w:val="none" w:sz="0" w:space="0" w:color="auto"/>
      </w:divBdr>
    </w:div>
    <w:div w:id="21200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EB4B-B29C-45EB-AFC4-0C2A2242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14436</Words>
  <Characters>81246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2022-07-12T01:22:00Z</dcterms:created>
  <dcterms:modified xsi:type="dcterms:W3CDTF">2022-07-12T01:56:00Z</dcterms:modified>
</cp:coreProperties>
</file>