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0DAD8" w14:textId="77777777" w:rsidR="00E12DA7" w:rsidRPr="002059F8" w:rsidRDefault="00E12DA7" w:rsidP="00CD0633">
      <w:pPr>
        <w:pStyle w:val="PBACHeading1"/>
        <w:tabs>
          <w:tab w:val="left" w:pos="1701"/>
        </w:tabs>
        <w:ind w:left="709"/>
        <w:rPr>
          <w:sz w:val="36"/>
          <w:szCs w:val="36"/>
        </w:rPr>
      </w:pPr>
      <w:r>
        <w:rPr>
          <w:sz w:val="36"/>
          <w:szCs w:val="36"/>
        </w:rPr>
        <w:t>7.09</w:t>
      </w:r>
      <w:r w:rsidRPr="002059F8">
        <w:rPr>
          <w:sz w:val="36"/>
          <w:szCs w:val="36"/>
        </w:rPr>
        <w:t xml:space="preserve"> </w:t>
      </w:r>
      <w:r>
        <w:rPr>
          <w:sz w:val="36"/>
          <w:szCs w:val="36"/>
        </w:rPr>
        <w:t>PEMBROLIZUMAB</w:t>
      </w:r>
    </w:p>
    <w:p w14:paraId="48587E17" w14:textId="77777777" w:rsidR="00E12DA7" w:rsidRPr="002059F8" w:rsidRDefault="00CD0633" w:rsidP="00CD0633">
      <w:pPr>
        <w:pStyle w:val="PBACHeading1"/>
        <w:tabs>
          <w:tab w:val="left" w:pos="1701"/>
        </w:tabs>
        <w:rPr>
          <w:sz w:val="36"/>
          <w:szCs w:val="36"/>
        </w:rPr>
      </w:pPr>
      <w:r>
        <w:rPr>
          <w:sz w:val="36"/>
          <w:szCs w:val="36"/>
        </w:rPr>
        <w:tab/>
      </w:r>
      <w:r w:rsidR="00E452E1" w:rsidRPr="00E452E1">
        <w:rPr>
          <w:sz w:val="36"/>
          <w:szCs w:val="36"/>
        </w:rPr>
        <w:t>Solution concentrate for I.V. infusion 100 mg in 4 mL</w:t>
      </w:r>
    </w:p>
    <w:p w14:paraId="05EA084F" w14:textId="77777777" w:rsidR="00E12DA7" w:rsidRPr="002059F8" w:rsidRDefault="00E12DA7" w:rsidP="00CD0633">
      <w:pPr>
        <w:pStyle w:val="PBACHeading1"/>
        <w:tabs>
          <w:tab w:val="left" w:pos="1701"/>
        </w:tabs>
        <w:rPr>
          <w:sz w:val="36"/>
          <w:szCs w:val="36"/>
        </w:rPr>
      </w:pPr>
      <w:r>
        <w:rPr>
          <w:sz w:val="36"/>
          <w:szCs w:val="36"/>
        </w:rPr>
        <w:tab/>
        <w:t>Keytruda</w:t>
      </w:r>
      <w:r w:rsidRPr="002059F8">
        <w:rPr>
          <w:rFonts w:cstheme="minorHAnsi"/>
          <w:sz w:val="36"/>
          <w:szCs w:val="36"/>
        </w:rPr>
        <w:t>®</w:t>
      </w:r>
    </w:p>
    <w:p w14:paraId="7E4D6AE7" w14:textId="77777777" w:rsidR="00E12DA7" w:rsidRPr="002059F8" w:rsidRDefault="00CD0633" w:rsidP="00CD0633">
      <w:pPr>
        <w:pStyle w:val="PBACHeading1"/>
        <w:tabs>
          <w:tab w:val="left" w:pos="1701"/>
        </w:tabs>
        <w:rPr>
          <w:sz w:val="36"/>
          <w:szCs w:val="36"/>
        </w:rPr>
      </w:pPr>
      <w:r>
        <w:rPr>
          <w:sz w:val="36"/>
          <w:szCs w:val="36"/>
        </w:rPr>
        <w:tab/>
      </w:r>
      <w:r w:rsidR="00E12DA7">
        <w:rPr>
          <w:sz w:val="36"/>
          <w:szCs w:val="36"/>
        </w:rPr>
        <w:t>Merck Sharp &amp; Dohme (Australia) Pty Ltd</w:t>
      </w:r>
    </w:p>
    <w:p w14:paraId="7B0B2690" w14:textId="77777777" w:rsidR="00093440" w:rsidRDefault="00093440" w:rsidP="00024DCD">
      <w:pPr>
        <w:pStyle w:val="Caption"/>
      </w:pPr>
      <w:bookmarkStart w:id="0" w:name="_Ref86676453"/>
    </w:p>
    <w:p w14:paraId="75D34BE2" w14:textId="77777777" w:rsidR="00D7609F" w:rsidRPr="00A24A89" w:rsidRDefault="00D7609F" w:rsidP="00C54197">
      <w:pPr>
        <w:pStyle w:val="PBACESHeading1"/>
        <w:numPr>
          <w:ilvl w:val="0"/>
          <w:numId w:val="11"/>
        </w:numPr>
        <w:spacing w:before="120"/>
      </w:pPr>
      <w:bookmarkStart w:id="1" w:name="_Toc79607705"/>
      <w:bookmarkStart w:id="2" w:name="_Toc81727543"/>
      <w:bookmarkStart w:id="3" w:name="_Toc82600092"/>
      <w:bookmarkEnd w:id="0"/>
      <w:r w:rsidRPr="00A24A89">
        <w:t>Purpose of submission</w:t>
      </w:r>
      <w:bookmarkEnd w:id="1"/>
      <w:bookmarkEnd w:id="2"/>
      <w:bookmarkEnd w:id="3"/>
    </w:p>
    <w:p w14:paraId="46131AC2" w14:textId="77777777" w:rsidR="00D7609F" w:rsidRPr="00A24A89" w:rsidRDefault="00BF52F0" w:rsidP="00D7609F">
      <w:pPr>
        <w:pStyle w:val="ListParagraph"/>
        <w:numPr>
          <w:ilvl w:val="4"/>
          <w:numId w:val="1"/>
        </w:numPr>
      </w:pPr>
      <w:r>
        <w:t xml:space="preserve">The </w:t>
      </w:r>
      <w:proofErr w:type="spellStart"/>
      <w:r w:rsidR="009F0D0F">
        <w:t>codependent</w:t>
      </w:r>
      <w:proofErr w:type="spellEnd"/>
      <w:r w:rsidR="009F0D0F">
        <w:t xml:space="preserve"> </w:t>
      </w:r>
      <w:r>
        <w:t>resubmission requested</w:t>
      </w:r>
      <w:r w:rsidR="00D7609F" w:rsidRPr="00A24A89">
        <w:t xml:space="preserve"> MBS listing of programmed death ligand 1 (PD-L1) testing and PBS listing of pembrolizumab for the targeted treatment of </w:t>
      </w:r>
      <w:r w:rsidR="00DB290B">
        <w:t xml:space="preserve">previously untreated </w:t>
      </w:r>
      <w:r w:rsidR="00D7609F" w:rsidRPr="00A24A89">
        <w:t xml:space="preserve">recurrent or metastatic (R/M) head and neck squamous cell carcinoma (HNSCC), specifically of the oral cavity, </w:t>
      </w:r>
      <w:proofErr w:type="gramStart"/>
      <w:r w:rsidR="00D7609F" w:rsidRPr="00A24A89">
        <w:t>pharynx</w:t>
      </w:r>
      <w:proofErr w:type="gramEnd"/>
      <w:r w:rsidR="00D7609F" w:rsidRPr="00A24A89">
        <w:t xml:space="preserve"> and larynx in patients with combined positive score (CPS) </w:t>
      </w:r>
      <w:r w:rsidR="00D7609F" w:rsidRPr="00A24A89">
        <w:rPr>
          <w:rFonts w:cstheme="minorHAnsi"/>
        </w:rPr>
        <w:t>≥</w:t>
      </w:r>
      <w:r w:rsidR="00D7609F" w:rsidRPr="00A24A89">
        <w:t>1. The first submission was in November 2020.</w:t>
      </w:r>
    </w:p>
    <w:p w14:paraId="65F64F7A" w14:textId="77777777" w:rsidR="00D7609F" w:rsidRPr="00A24A89" w:rsidRDefault="00D7609F" w:rsidP="00D7609F">
      <w:pPr>
        <w:pStyle w:val="ListParagraph"/>
        <w:numPr>
          <w:ilvl w:val="4"/>
          <w:numId w:val="1"/>
        </w:numPr>
        <w:rPr>
          <w:color w:val="auto"/>
        </w:rPr>
      </w:pPr>
      <w:r w:rsidRPr="00A24A89">
        <w:rPr>
          <w:color w:val="auto"/>
        </w:rPr>
        <w:t xml:space="preserve">The requested basis for listing was cost-effectiveness compared with standard of care (SoC). SoC was defined as </w:t>
      </w:r>
      <w:proofErr w:type="gramStart"/>
      <w:r w:rsidRPr="00A24A89">
        <w:rPr>
          <w:color w:val="auto"/>
        </w:rPr>
        <w:t>first-line</w:t>
      </w:r>
      <w:proofErr w:type="gramEnd"/>
      <w:r w:rsidRPr="00A24A89">
        <w:rPr>
          <w:color w:val="auto"/>
        </w:rPr>
        <w:t xml:space="preserve"> (1L) carboplatin or cisplatin and 5-fluorouracil (5-FU) (i.e. chemotherapy), followed by second-line (2L) nivolumab in 50% of patients. </w:t>
      </w:r>
    </w:p>
    <w:p w14:paraId="3553F4B5" w14:textId="77777777" w:rsidR="00D7609F" w:rsidRPr="00A24A89" w:rsidRDefault="00BD789E" w:rsidP="00024DCD">
      <w:pPr>
        <w:pStyle w:val="Caption"/>
      </w:pPr>
      <w:r>
        <w:t xml:space="preserve">Table </w:t>
      </w:r>
      <w:r w:rsidR="008D43ED">
        <w:rPr>
          <w:noProof/>
        </w:rPr>
        <w:t>1</w:t>
      </w:r>
      <w:r w:rsidR="00024DCD">
        <w:rPr>
          <w:noProof/>
        </w:rPr>
        <w:t>:</w:t>
      </w:r>
      <w:r w:rsidR="00024DCD">
        <w:t xml:space="preserve"> </w:t>
      </w:r>
      <w:r w:rsidR="00D7609F" w:rsidRPr="00A24A89">
        <w:t xml:space="preserve">Key components of the clinical issue addressed by the </w:t>
      </w:r>
      <w:r w:rsidR="00BF52F0">
        <w:t>re</w:t>
      </w:r>
      <w:r w:rsidR="00D7609F" w:rsidRPr="00A24A89">
        <w:t>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696"/>
        <w:gridCol w:w="7320"/>
      </w:tblGrid>
      <w:tr w:rsidR="00D7609F" w:rsidRPr="00A24A89" w14:paraId="68A352EA" w14:textId="77777777" w:rsidTr="006419CD">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14:paraId="70DF811E" w14:textId="77777777" w:rsidR="00D7609F" w:rsidRPr="00A24A89" w:rsidRDefault="00D7609F" w:rsidP="00DB290B">
            <w:pPr>
              <w:pStyle w:val="TableText"/>
              <w:keepNext/>
              <w:spacing w:before="0" w:after="0" w:line="240" w:lineRule="auto"/>
              <w:rPr>
                <w:lang w:val="en-AU"/>
              </w:rPr>
            </w:pPr>
            <w:r w:rsidRPr="00A24A89">
              <w:rPr>
                <w:lang w:val="en-AU"/>
              </w:rPr>
              <w:t>Component</w:t>
            </w:r>
          </w:p>
        </w:tc>
        <w:tc>
          <w:tcPr>
            <w:tcW w:w="7320" w:type="dxa"/>
            <w:shd w:val="clear" w:color="auto" w:fill="auto"/>
          </w:tcPr>
          <w:p w14:paraId="49695309" w14:textId="77777777" w:rsidR="00D7609F" w:rsidRPr="00A24A89" w:rsidRDefault="00D7609F" w:rsidP="00DB290B">
            <w:pPr>
              <w:pStyle w:val="TableText"/>
              <w:keepNext/>
              <w:spacing w:before="0" w:after="0" w:line="240" w:lineRule="auto"/>
              <w:rPr>
                <w:lang w:val="en-AU"/>
              </w:rPr>
            </w:pPr>
            <w:r w:rsidRPr="00A24A89">
              <w:rPr>
                <w:lang w:val="en-AU"/>
              </w:rPr>
              <w:t>Description</w:t>
            </w:r>
          </w:p>
        </w:tc>
      </w:tr>
      <w:tr w:rsidR="00D7609F" w:rsidRPr="00A24A89" w14:paraId="5839CAAE" w14:textId="77777777" w:rsidTr="006419CD">
        <w:trPr>
          <w:cantSplit/>
        </w:trPr>
        <w:tc>
          <w:tcPr>
            <w:tcW w:w="1696" w:type="dxa"/>
            <w:shd w:val="clear" w:color="auto" w:fill="auto"/>
            <w:vAlign w:val="center"/>
          </w:tcPr>
          <w:p w14:paraId="5CB0C242" w14:textId="77777777" w:rsidR="00D7609F" w:rsidRPr="00A24A89" w:rsidRDefault="00D7609F" w:rsidP="00DB290B">
            <w:pPr>
              <w:pStyle w:val="TableText"/>
              <w:keepNext/>
              <w:spacing w:before="0" w:after="0" w:line="240" w:lineRule="auto"/>
              <w:rPr>
                <w:lang w:val="en-AU"/>
              </w:rPr>
            </w:pPr>
            <w:r w:rsidRPr="00A24A89">
              <w:rPr>
                <w:lang w:val="en-AU"/>
              </w:rPr>
              <w:t>Population</w:t>
            </w:r>
          </w:p>
        </w:tc>
        <w:tc>
          <w:tcPr>
            <w:tcW w:w="7320" w:type="dxa"/>
            <w:shd w:val="clear" w:color="auto" w:fill="auto"/>
          </w:tcPr>
          <w:p w14:paraId="0419435C" w14:textId="77777777" w:rsidR="00D7609F" w:rsidRPr="00A24A89" w:rsidRDefault="00D7609F" w:rsidP="00DB290B">
            <w:pPr>
              <w:pStyle w:val="TableText"/>
              <w:keepNext/>
              <w:spacing w:before="0" w:after="0" w:line="240" w:lineRule="auto"/>
              <w:rPr>
                <w:lang w:val="en-AU"/>
              </w:rPr>
            </w:pPr>
            <w:r w:rsidRPr="00A24A89">
              <w:rPr>
                <w:lang w:val="en-AU"/>
              </w:rPr>
              <w:t>R/M HNSCC patients who have not had prior systemic therapy administered in the recurrent or metastatic setting whose tumours express PD-L1 CPS ≥1</w:t>
            </w:r>
            <w:r w:rsidR="00CB2F1F">
              <w:rPr>
                <w:lang w:val="en-AU"/>
              </w:rPr>
              <w:t xml:space="preserve"> </w:t>
            </w:r>
          </w:p>
        </w:tc>
      </w:tr>
      <w:tr w:rsidR="00D7609F" w:rsidRPr="00A24A89" w14:paraId="25B3E372" w14:textId="77777777" w:rsidTr="006419CD">
        <w:trPr>
          <w:cantSplit/>
        </w:trPr>
        <w:tc>
          <w:tcPr>
            <w:tcW w:w="1696" w:type="dxa"/>
            <w:shd w:val="clear" w:color="auto" w:fill="auto"/>
            <w:vAlign w:val="center"/>
          </w:tcPr>
          <w:p w14:paraId="3C216022" w14:textId="77777777" w:rsidR="00D7609F" w:rsidRPr="00A24A89" w:rsidRDefault="00D7609F" w:rsidP="00DB290B">
            <w:pPr>
              <w:pStyle w:val="TableText"/>
              <w:keepNext/>
              <w:spacing w:before="0" w:after="0" w:line="240" w:lineRule="auto"/>
              <w:rPr>
                <w:lang w:val="en-AU"/>
              </w:rPr>
            </w:pPr>
            <w:r w:rsidRPr="00A24A89">
              <w:rPr>
                <w:lang w:val="en-AU"/>
              </w:rPr>
              <w:t>Intervention</w:t>
            </w:r>
          </w:p>
        </w:tc>
        <w:tc>
          <w:tcPr>
            <w:tcW w:w="7320" w:type="dxa"/>
            <w:shd w:val="clear" w:color="auto" w:fill="auto"/>
          </w:tcPr>
          <w:p w14:paraId="6771D9E8" w14:textId="77777777" w:rsidR="00D7609F" w:rsidRPr="00A24A89" w:rsidRDefault="00D7609F" w:rsidP="00DB290B">
            <w:pPr>
              <w:pStyle w:val="TableText"/>
              <w:keepNext/>
              <w:spacing w:before="0" w:after="0" w:line="240" w:lineRule="auto"/>
              <w:rPr>
                <w:lang w:val="en-AU"/>
              </w:rPr>
            </w:pPr>
            <w:r w:rsidRPr="00A24A89">
              <w:rPr>
                <w:lang w:val="en-AU"/>
              </w:rPr>
              <w:t xml:space="preserve">Pembrolizumab (200 mg IV) every 3 weeks in combination with platinum and 5-FU, </w:t>
            </w:r>
          </w:p>
          <w:p w14:paraId="15C18628" w14:textId="77777777" w:rsidR="00D7609F" w:rsidRPr="00A24A89" w:rsidRDefault="00D7609F" w:rsidP="00DB290B">
            <w:pPr>
              <w:pStyle w:val="TableText"/>
              <w:keepNext/>
              <w:spacing w:before="0" w:after="0" w:line="240" w:lineRule="auto"/>
              <w:rPr>
                <w:lang w:val="en-AU"/>
              </w:rPr>
            </w:pPr>
            <w:r w:rsidRPr="00A24A89">
              <w:rPr>
                <w:lang w:val="en-AU"/>
              </w:rPr>
              <w:t xml:space="preserve">OR </w:t>
            </w:r>
          </w:p>
          <w:p w14:paraId="3C445D16" w14:textId="77777777" w:rsidR="00D7609F" w:rsidRPr="00A24A89" w:rsidRDefault="00D7609F" w:rsidP="00DB290B">
            <w:pPr>
              <w:pStyle w:val="TableText"/>
              <w:keepNext/>
              <w:spacing w:before="0" w:after="0" w:line="240" w:lineRule="auto"/>
              <w:rPr>
                <w:lang w:val="en-AU"/>
              </w:rPr>
            </w:pPr>
            <w:r w:rsidRPr="00A24A89">
              <w:rPr>
                <w:lang w:val="en-AU"/>
              </w:rPr>
              <w:t>Pembrolizumab (200 mg IV) every 3 weeks as a single agent</w:t>
            </w:r>
          </w:p>
        </w:tc>
      </w:tr>
      <w:tr w:rsidR="00D7609F" w:rsidRPr="00A24A89" w14:paraId="0586AEF2" w14:textId="77777777" w:rsidTr="006419CD">
        <w:trPr>
          <w:cantSplit/>
        </w:trPr>
        <w:tc>
          <w:tcPr>
            <w:tcW w:w="1696" w:type="dxa"/>
            <w:shd w:val="clear" w:color="auto" w:fill="auto"/>
            <w:vAlign w:val="center"/>
          </w:tcPr>
          <w:p w14:paraId="012946B6" w14:textId="77777777" w:rsidR="00D7609F" w:rsidRPr="00A24A89" w:rsidRDefault="00D7609F" w:rsidP="00DB290B">
            <w:pPr>
              <w:pStyle w:val="TableText"/>
              <w:keepNext/>
              <w:spacing w:before="0" w:after="0" w:line="240" w:lineRule="auto"/>
              <w:rPr>
                <w:lang w:val="en-AU"/>
              </w:rPr>
            </w:pPr>
            <w:r w:rsidRPr="00A24A89">
              <w:rPr>
                <w:lang w:val="en-AU"/>
              </w:rPr>
              <w:t>Comparator</w:t>
            </w:r>
          </w:p>
        </w:tc>
        <w:tc>
          <w:tcPr>
            <w:tcW w:w="7320" w:type="dxa"/>
            <w:shd w:val="clear" w:color="auto" w:fill="auto"/>
          </w:tcPr>
          <w:p w14:paraId="278A73BC" w14:textId="77777777" w:rsidR="00D7609F" w:rsidRPr="00A24A89" w:rsidRDefault="00D7609F" w:rsidP="00DB290B">
            <w:pPr>
              <w:pStyle w:val="TableText"/>
              <w:keepNext/>
              <w:spacing w:before="0" w:after="0" w:line="240" w:lineRule="auto"/>
              <w:rPr>
                <w:lang w:val="en-AU"/>
              </w:rPr>
            </w:pPr>
            <w:r w:rsidRPr="00A24A89">
              <w:rPr>
                <w:lang w:val="en-AU"/>
              </w:rPr>
              <w:t>Carboplatin (AUC 5 mg/m²) IV or cisplatin (100 mg/m²) IV and 5-FU (1000 mg/m² per day for 4 consecutive days) IV every 3 weeks for six cycles followed by second line nivolumab in a proportion of patients</w:t>
            </w:r>
          </w:p>
        </w:tc>
      </w:tr>
      <w:tr w:rsidR="00D7609F" w:rsidRPr="00A24A89" w14:paraId="6801D1C9" w14:textId="77777777" w:rsidTr="006419CD">
        <w:trPr>
          <w:cantSplit/>
        </w:trPr>
        <w:tc>
          <w:tcPr>
            <w:tcW w:w="1696" w:type="dxa"/>
            <w:shd w:val="clear" w:color="auto" w:fill="auto"/>
            <w:vAlign w:val="center"/>
          </w:tcPr>
          <w:p w14:paraId="1AF22902" w14:textId="77777777" w:rsidR="00D7609F" w:rsidRPr="00A24A89" w:rsidRDefault="00D7609F" w:rsidP="00DB290B">
            <w:pPr>
              <w:pStyle w:val="TableText"/>
              <w:keepNext/>
              <w:spacing w:before="0" w:after="0" w:line="240" w:lineRule="auto"/>
              <w:rPr>
                <w:lang w:val="en-AU"/>
              </w:rPr>
            </w:pPr>
            <w:r w:rsidRPr="00A24A89">
              <w:rPr>
                <w:lang w:val="en-AU"/>
              </w:rPr>
              <w:t>Outcomes</w:t>
            </w:r>
          </w:p>
        </w:tc>
        <w:tc>
          <w:tcPr>
            <w:tcW w:w="7320" w:type="dxa"/>
            <w:shd w:val="clear" w:color="auto" w:fill="auto"/>
          </w:tcPr>
          <w:p w14:paraId="571BFE90" w14:textId="77777777" w:rsidR="00D7609F" w:rsidRPr="00A24A89" w:rsidRDefault="00D7609F" w:rsidP="00DB290B">
            <w:pPr>
              <w:pStyle w:val="TableText"/>
              <w:keepNext/>
              <w:spacing w:before="0" w:after="0" w:line="240" w:lineRule="auto"/>
              <w:rPr>
                <w:lang w:val="en-AU"/>
              </w:rPr>
            </w:pPr>
            <w:r w:rsidRPr="00A24A89">
              <w:rPr>
                <w:lang w:val="en-AU"/>
              </w:rPr>
              <w:t xml:space="preserve">Overall survival, progression free survival, overall response rate, </w:t>
            </w:r>
            <w:proofErr w:type="gramStart"/>
            <w:r w:rsidRPr="00A24A89">
              <w:rPr>
                <w:lang w:val="en-AU"/>
              </w:rPr>
              <w:t>safety</w:t>
            </w:r>
            <w:proofErr w:type="gramEnd"/>
            <w:r w:rsidRPr="00A24A89">
              <w:rPr>
                <w:lang w:val="en-AU"/>
              </w:rPr>
              <w:t xml:space="preserve"> and quality of life.</w:t>
            </w:r>
          </w:p>
        </w:tc>
      </w:tr>
      <w:tr w:rsidR="00D7609F" w:rsidRPr="00A24A89" w14:paraId="1E0B2A4B" w14:textId="77777777" w:rsidTr="006419CD">
        <w:trPr>
          <w:cantSplit/>
        </w:trPr>
        <w:tc>
          <w:tcPr>
            <w:tcW w:w="1696" w:type="dxa"/>
            <w:shd w:val="clear" w:color="auto" w:fill="auto"/>
            <w:vAlign w:val="center"/>
          </w:tcPr>
          <w:p w14:paraId="28D9EABB" w14:textId="77777777" w:rsidR="00D7609F" w:rsidRPr="00A24A89" w:rsidRDefault="00D7609F" w:rsidP="00DB290B">
            <w:pPr>
              <w:pStyle w:val="TableText"/>
              <w:keepNext/>
              <w:spacing w:before="0" w:after="0" w:line="240" w:lineRule="auto"/>
              <w:rPr>
                <w:lang w:val="en-AU"/>
              </w:rPr>
            </w:pPr>
            <w:r w:rsidRPr="00A24A89">
              <w:rPr>
                <w:lang w:val="en-AU"/>
              </w:rPr>
              <w:t>Clinical claim</w:t>
            </w:r>
          </w:p>
        </w:tc>
        <w:tc>
          <w:tcPr>
            <w:tcW w:w="7320" w:type="dxa"/>
            <w:shd w:val="clear" w:color="auto" w:fill="auto"/>
          </w:tcPr>
          <w:p w14:paraId="4B0ED230" w14:textId="77777777" w:rsidR="00D7609F" w:rsidRPr="00A24A89" w:rsidRDefault="00D7609F" w:rsidP="00DB290B">
            <w:pPr>
              <w:pStyle w:val="TableText"/>
              <w:keepNext/>
              <w:spacing w:before="0" w:after="0" w:line="240" w:lineRule="auto"/>
              <w:rPr>
                <w:lang w:val="en-AU"/>
              </w:rPr>
            </w:pPr>
            <w:r w:rsidRPr="00A24A89">
              <w:rPr>
                <w:lang w:val="en-AU"/>
              </w:rPr>
              <w:t>The clinical evidence presented demonstrates that:</w:t>
            </w:r>
          </w:p>
          <w:p w14:paraId="12A25581" w14:textId="77777777" w:rsidR="00D7609F" w:rsidRPr="00A24A89" w:rsidRDefault="00D7609F" w:rsidP="00DD3D4A">
            <w:pPr>
              <w:pStyle w:val="TableText"/>
              <w:keepNext/>
              <w:numPr>
                <w:ilvl w:val="0"/>
                <w:numId w:val="16"/>
              </w:numPr>
              <w:spacing w:before="0" w:after="0" w:line="240" w:lineRule="auto"/>
              <w:ind w:hanging="189"/>
              <w:rPr>
                <w:lang w:val="en-AU"/>
              </w:rPr>
            </w:pPr>
            <w:r w:rsidRPr="00A24A89">
              <w:rPr>
                <w:lang w:val="en-AU"/>
              </w:rPr>
              <w:t xml:space="preserve">In R/M HNSCC patients whose tumours express </w:t>
            </w:r>
            <w:r w:rsidR="002B1C15" w:rsidRPr="00A24A89">
              <w:rPr>
                <w:lang w:val="en-AU"/>
              </w:rPr>
              <w:t>CPS ≥1</w:t>
            </w:r>
            <w:r w:rsidRPr="00A24A89">
              <w:rPr>
                <w:lang w:val="en-AU"/>
              </w:rPr>
              <w:t xml:space="preserve">, pembrolizumab monotherapy has superior efficacy and a superior safety profile compared to standard of care in the Australian setting, </w:t>
            </w:r>
            <w:proofErr w:type="gramStart"/>
            <w:r w:rsidRPr="00A24A89">
              <w:rPr>
                <w:lang w:val="en-AU"/>
              </w:rPr>
              <w:t>i.e.</w:t>
            </w:r>
            <w:proofErr w:type="gramEnd"/>
            <w:r w:rsidRPr="00A24A89">
              <w:rPr>
                <w:lang w:val="en-AU"/>
              </w:rPr>
              <w:t xml:space="preserve"> platinum based chemotherapy in 1L, followed by 2L nivolumab in a proportion of patients. </w:t>
            </w:r>
          </w:p>
          <w:p w14:paraId="78B6F613" w14:textId="77777777" w:rsidR="00D7609F" w:rsidRPr="00A24A89" w:rsidRDefault="00D7609F" w:rsidP="00DD3D4A">
            <w:pPr>
              <w:pStyle w:val="TableText"/>
              <w:keepNext/>
              <w:numPr>
                <w:ilvl w:val="0"/>
                <w:numId w:val="16"/>
              </w:numPr>
              <w:spacing w:before="0" w:after="0" w:line="240" w:lineRule="auto"/>
              <w:ind w:hanging="189"/>
              <w:rPr>
                <w:lang w:val="en-AU"/>
              </w:rPr>
            </w:pPr>
            <w:r w:rsidRPr="00A24A89">
              <w:rPr>
                <w:lang w:val="en-AU"/>
              </w:rPr>
              <w:t xml:space="preserve">In R/M HNSCC patients whose tumours express </w:t>
            </w:r>
            <w:r w:rsidR="002B1C15" w:rsidRPr="00A24A89">
              <w:rPr>
                <w:lang w:val="en-AU"/>
              </w:rPr>
              <w:t>CPS ≥1</w:t>
            </w:r>
            <w:r w:rsidRPr="00A24A89">
              <w:rPr>
                <w:lang w:val="en-AU"/>
              </w:rPr>
              <w:t xml:space="preserve">, pembrolizumab plus chemotherapy has superior efficacy and inferior safety, compared to standard of care in the Australian setting, </w:t>
            </w:r>
            <w:proofErr w:type="gramStart"/>
            <w:r w:rsidRPr="00A24A89">
              <w:rPr>
                <w:lang w:val="en-AU"/>
              </w:rPr>
              <w:t>i.e.</w:t>
            </w:r>
            <w:proofErr w:type="gramEnd"/>
            <w:r w:rsidRPr="00A24A89">
              <w:rPr>
                <w:lang w:val="en-AU"/>
              </w:rPr>
              <w:t xml:space="preserve"> platinum based chemotherapy in 1L, followed by 2L nivolumab in a proportion of patients.</w:t>
            </w:r>
          </w:p>
        </w:tc>
      </w:tr>
    </w:tbl>
    <w:p w14:paraId="2D624E99" w14:textId="77777777" w:rsidR="00D7609F" w:rsidRPr="00A24A89" w:rsidRDefault="00D7609F" w:rsidP="00DB290B">
      <w:pPr>
        <w:pStyle w:val="TableFooter"/>
        <w:keepNext/>
      </w:pPr>
      <w:r w:rsidRPr="00A24A89">
        <w:t>5-FU = 5-fluorouracil; CPS = combined positive score; PD-L1 = programmed death ligand 1; R/M HNSCC = relapsing/metastatic head and neck squamous cell carcinoma</w:t>
      </w:r>
    </w:p>
    <w:p w14:paraId="2F6E04C5" w14:textId="77777777" w:rsidR="00D7609F" w:rsidRPr="00A24A89" w:rsidRDefault="00D7609F" w:rsidP="00DB290B">
      <w:pPr>
        <w:pStyle w:val="TableFooter"/>
        <w:keepNext/>
      </w:pPr>
      <w:r w:rsidRPr="00A24A89">
        <w:t>Source: Table 1.1-1, p7 of the resubmission. Section 2.8.2 pp135-136 of the resubmission (clinical claim).</w:t>
      </w:r>
    </w:p>
    <w:p w14:paraId="2AB9D475" w14:textId="77777777" w:rsidR="00EC1536" w:rsidRPr="00EC1536" w:rsidRDefault="00EC1536" w:rsidP="00EC1536">
      <w:pPr>
        <w:pStyle w:val="ListParagraph"/>
        <w:numPr>
          <w:ilvl w:val="4"/>
          <w:numId w:val="1"/>
        </w:numPr>
        <w:rPr>
          <w:iCs/>
          <w:color w:val="auto"/>
        </w:rPr>
      </w:pPr>
      <w:r w:rsidRPr="00EC1536">
        <w:rPr>
          <w:iCs/>
          <w:color w:val="auto"/>
        </w:rPr>
        <w:t xml:space="preserve">The </w:t>
      </w:r>
      <w:r w:rsidR="00C616B4">
        <w:rPr>
          <w:iCs/>
          <w:color w:val="auto"/>
        </w:rPr>
        <w:t>P</w:t>
      </w:r>
      <w:r w:rsidR="009F0D0F">
        <w:rPr>
          <w:iCs/>
          <w:color w:val="auto"/>
        </w:rPr>
        <w:t>re-Sub-Committee Response (</w:t>
      </w:r>
      <w:r w:rsidRPr="00EC1536">
        <w:rPr>
          <w:iCs/>
          <w:color w:val="auto"/>
        </w:rPr>
        <w:t>PSCR</w:t>
      </w:r>
      <w:r w:rsidR="009F0D0F">
        <w:rPr>
          <w:iCs/>
          <w:color w:val="auto"/>
        </w:rPr>
        <w:t>)</w:t>
      </w:r>
      <w:r w:rsidRPr="00EC1536">
        <w:rPr>
          <w:iCs/>
          <w:color w:val="auto"/>
        </w:rPr>
        <w:t xml:space="preserve"> requested using a CPS cut-off of ≥20 for patients treated with pembrolizumab </w:t>
      </w:r>
      <w:proofErr w:type="gramStart"/>
      <w:r w:rsidRPr="00EC1536">
        <w:rPr>
          <w:iCs/>
          <w:color w:val="auto"/>
        </w:rPr>
        <w:t>monotherapy, but</w:t>
      </w:r>
      <w:proofErr w:type="gramEnd"/>
      <w:r w:rsidRPr="00EC1536">
        <w:rPr>
          <w:iCs/>
          <w:color w:val="auto"/>
        </w:rPr>
        <w:t xml:space="preserve"> maintained the CPS ≥1 cut-off for combination therapy. The PSCR provided several justifications for this change in patient population:</w:t>
      </w:r>
    </w:p>
    <w:p w14:paraId="36184CA5" w14:textId="77777777" w:rsidR="00EC1536" w:rsidRPr="00BA042F" w:rsidRDefault="009F0D0F" w:rsidP="00EC1536">
      <w:pPr>
        <w:pStyle w:val="Subtitle"/>
        <w:numPr>
          <w:ilvl w:val="0"/>
          <w:numId w:val="24"/>
        </w:numPr>
        <w:ind w:left="1134" w:hanging="284"/>
        <w:rPr>
          <w:rFonts w:asciiTheme="minorHAnsi" w:eastAsiaTheme="minorHAnsi" w:hAnsiTheme="minorHAnsi" w:cstheme="minorHAnsi"/>
          <w:b w:val="0"/>
          <w:szCs w:val="22"/>
          <w:lang w:eastAsia="en-US"/>
        </w:rPr>
      </w:pPr>
      <w:r>
        <w:rPr>
          <w:rFonts w:asciiTheme="minorHAnsi" w:eastAsiaTheme="minorHAnsi" w:hAnsiTheme="minorHAnsi" w:cstheme="minorHAnsi"/>
          <w:b w:val="0"/>
          <w:szCs w:val="22"/>
          <w:lang w:eastAsia="en-US"/>
        </w:rPr>
        <w:t>A</w:t>
      </w:r>
      <w:r w:rsidR="00EC1536">
        <w:rPr>
          <w:rFonts w:asciiTheme="minorHAnsi" w:eastAsiaTheme="minorHAnsi" w:hAnsiTheme="minorHAnsi" w:cstheme="minorHAnsi"/>
          <w:b w:val="0"/>
          <w:szCs w:val="22"/>
          <w:lang w:eastAsia="en-US"/>
        </w:rPr>
        <w:t>s previously noted by the PBAC</w:t>
      </w:r>
      <w:r>
        <w:rPr>
          <w:rFonts w:asciiTheme="minorHAnsi" w:eastAsiaTheme="minorHAnsi" w:hAnsiTheme="minorHAnsi" w:cstheme="minorHAnsi"/>
          <w:b w:val="0"/>
          <w:szCs w:val="22"/>
          <w:lang w:eastAsia="en-US"/>
        </w:rPr>
        <w:t>,</w:t>
      </w:r>
      <w:r w:rsidR="0079475A">
        <w:rPr>
          <w:rFonts w:asciiTheme="minorHAnsi" w:eastAsiaTheme="minorHAnsi" w:hAnsiTheme="minorHAnsi" w:cstheme="minorHAnsi"/>
          <w:b w:val="0"/>
          <w:szCs w:val="22"/>
          <w:lang w:eastAsia="en-US"/>
        </w:rPr>
        <w:t xml:space="preserve"> in</w:t>
      </w:r>
      <w:r w:rsidR="00EC1536">
        <w:rPr>
          <w:rFonts w:asciiTheme="minorHAnsi" w:eastAsiaTheme="minorHAnsi" w:hAnsiTheme="minorHAnsi" w:cstheme="minorHAnsi"/>
          <w:b w:val="0"/>
          <w:szCs w:val="22"/>
          <w:lang w:eastAsia="en-US"/>
        </w:rPr>
        <w:t xml:space="preserve"> “</w:t>
      </w:r>
      <w:r w:rsidR="00EC1536" w:rsidRPr="00BA042F">
        <w:rPr>
          <w:rFonts w:asciiTheme="minorHAnsi" w:eastAsiaTheme="minorHAnsi" w:hAnsiTheme="minorHAnsi" w:cstheme="minorHAnsi"/>
          <w:b w:val="0"/>
          <w:szCs w:val="22"/>
          <w:lang w:eastAsia="en-US"/>
        </w:rPr>
        <w:t>the CPS ≥1 subgroup the benefit of pembrolizumab monotherap</w:t>
      </w:r>
      <w:r w:rsidR="00EC1536">
        <w:rPr>
          <w:rFonts w:asciiTheme="minorHAnsi" w:eastAsiaTheme="minorHAnsi" w:hAnsiTheme="minorHAnsi" w:cstheme="minorHAnsi"/>
          <w:b w:val="0"/>
          <w:szCs w:val="22"/>
          <w:lang w:eastAsia="en-US"/>
        </w:rPr>
        <w:t>y…</w:t>
      </w:r>
      <w:r w:rsidR="00EC1536" w:rsidRPr="00BA042F">
        <w:rPr>
          <w:rFonts w:asciiTheme="minorHAnsi" w:eastAsiaTheme="minorHAnsi" w:hAnsiTheme="minorHAnsi" w:cstheme="minorHAnsi"/>
          <w:b w:val="0"/>
          <w:szCs w:val="22"/>
          <w:lang w:eastAsia="en-US"/>
        </w:rPr>
        <w:t xml:space="preserve"> was potentially being driven by the results from </w:t>
      </w:r>
      <w:r w:rsidR="00EC1536" w:rsidRPr="00BA042F">
        <w:rPr>
          <w:rFonts w:asciiTheme="minorHAnsi" w:eastAsiaTheme="minorHAnsi" w:hAnsiTheme="minorHAnsi" w:cstheme="minorHAnsi"/>
          <w:b w:val="0"/>
          <w:szCs w:val="22"/>
          <w:lang w:eastAsia="en-US"/>
        </w:rPr>
        <w:lastRenderedPageBreak/>
        <w:t>the CPS ≥20 subgroup</w:t>
      </w:r>
      <w:r w:rsidR="00EC1536">
        <w:rPr>
          <w:rFonts w:asciiTheme="minorHAnsi" w:eastAsiaTheme="minorHAnsi" w:hAnsiTheme="minorHAnsi" w:cstheme="minorHAnsi"/>
          <w:b w:val="0"/>
          <w:szCs w:val="22"/>
          <w:lang w:eastAsia="en-US"/>
        </w:rPr>
        <w:t>”</w:t>
      </w:r>
      <w:r w:rsidR="00EC1536" w:rsidRPr="00BA042F">
        <w:rPr>
          <w:rFonts w:asciiTheme="minorHAnsi" w:eastAsiaTheme="minorHAnsi" w:hAnsiTheme="minorHAnsi" w:cstheme="minorHAnsi"/>
          <w:b w:val="0"/>
          <w:szCs w:val="22"/>
          <w:lang w:eastAsia="en-US"/>
        </w:rPr>
        <w:t xml:space="preserve"> (paragraph 7.5, </w:t>
      </w:r>
      <w:bookmarkStart w:id="4" w:name="_Hlk88220249"/>
      <w:r w:rsidR="00EC1536" w:rsidRPr="00BA042F">
        <w:rPr>
          <w:rFonts w:asciiTheme="minorHAnsi" w:eastAsiaTheme="minorHAnsi" w:hAnsiTheme="minorHAnsi" w:cstheme="minorHAnsi"/>
          <w:b w:val="0"/>
          <w:szCs w:val="22"/>
          <w:lang w:eastAsia="en-US"/>
        </w:rPr>
        <w:t xml:space="preserve">pembrolizumab </w:t>
      </w:r>
      <w:r w:rsidR="00C616B4">
        <w:rPr>
          <w:rFonts w:asciiTheme="minorHAnsi" w:eastAsiaTheme="minorHAnsi" w:hAnsiTheme="minorHAnsi" w:cstheme="minorHAnsi"/>
          <w:b w:val="0"/>
          <w:szCs w:val="22"/>
          <w:lang w:eastAsia="en-US"/>
        </w:rPr>
        <w:t>Public Summary Document (</w:t>
      </w:r>
      <w:r w:rsidR="00EC1536" w:rsidRPr="00BA042F">
        <w:rPr>
          <w:rFonts w:asciiTheme="minorHAnsi" w:eastAsiaTheme="minorHAnsi" w:hAnsiTheme="minorHAnsi" w:cstheme="minorHAnsi"/>
          <w:b w:val="0"/>
          <w:szCs w:val="22"/>
          <w:lang w:eastAsia="en-US"/>
        </w:rPr>
        <w:t>PSD</w:t>
      </w:r>
      <w:r w:rsidR="00C616B4">
        <w:rPr>
          <w:rFonts w:asciiTheme="minorHAnsi" w:eastAsiaTheme="minorHAnsi" w:hAnsiTheme="minorHAnsi" w:cstheme="minorHAnsi"/>
          <w:b w:val="0"/>
          <w:szCs w:val="22"/>
          <w:lang w:eastAsia="en-US"/>
        </w:rPr>
        <w:t>)</w:t>
      </w:r>
      <w:r w:rsidR="00EC1536" w:rsidRPr="00BA042F">
        <w:rPr>
          <w:rFonts w:asciiTheme="minorHAnsi" w:eastAsiaTheme="minorHAnsi" w:hAnsiTheme="minorHAnsi" w:cstheme="minorHAnsi"/>
          <w:b w:val="0"/>
          <w:szCs w:val="22"/>
          <w:lang w:eastAsia="en-US"/>
        </w:rPr>
        <w:t>, November 2020 PBAC Meeting</w:t>
      </w:r>
      <w:bookmarkEnd w:id="4"/>
      <w:r w:rsidR="00EC1536" w:rsidRPr="00BA042F">
        <w:rPr>
          <w:rFonts w:asciiTheme="minorHAnsi" w:eastAsiaTheme="minorHAnsi" w:hAnsiTheme="minorHAnsi" w:cstheme="minorHAnsi"/>
          <w:b w:val="0"/>
          <w:szCs w:val="22"/>
          <w:lang w:eastAsia="en-US"/>
        </w:rPr>
        <w:t>)</w:t>
      </w:r>
      <w:r w:rsidR="00EC1536">
        <w:rPr>
          <w:rFonts w:asciiTheme="minorHAnsi" w:eastAsiaTheme="minorHAnsi" w:hAnsiTheme="minorHAnsi" w:cstheme="minorHAnsi"/>
          <w:b w:val="0"/>
          <w:szCs w:val="22"/>
          <w:lang w:eastAsia="en-US"/>
        </w:rPr>
        <w:t>.</w:t>
      </w:r>
    </w:p>
    <w:p w14:paraId="5D411BFF" w14:textId="77777777" w:rsidR="00EC1536" w:rsidRPr="00BA042F" w:rsidRDefault="00EC1536" w:rsidP="00EC1536">
      <w:pPr>
        <w:pStyle w:val="Subtitle"/>
        <w:numPr>
          <w:ilvl w:val="0"/>
          <w:numId w:val="24"/>
        </w:numPr>
        <w:ind w:left="1134"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Restricting pembrolizumab monotherapy to patients with CPS ≥20 would allow use where it potentially provides the greatest benefit.</w:t>
      </w:r>
    </w:p>
    <w:p w14:paraId="25DBFF79" w14:textId="77777777" w:rsidR="00EC1536" w:rsidRPr="00BA042F" w:rsidRDefault="00EC1536" w:rsidP="00EC1536">
      <w:pPr>
        <w:pStyle w:val="Subtitle"/>
        <w:numPr>
          <w:ilvl w:val="0"/>
          <w:numId w:val="25"/>
        </w:numPr>
        <w:ind w:left="1560"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 xml:space="preserve">As demonstrated by a &gt;40% reduction in the risk of death compared to cetuximab + chemotherapy (KN048 </w:t>
      </w:r>
      <w:proofErr w:type="gramStart"/>
      <w:r w:rsidRPr="00BA042F">
        <w:rPr>
          <w:rFonts w:asciiTheme="minorHAnsi" w:eastAsiaTheme="minorHAnsi" w:hAnsiTheme="minorHAnsi" w:cstheme="minorHAnsi"/>
          <w:b w:val="0"/>
          <w:szCs w:val="22"/>
          <w:lang w:eastAsia="en-US"/>
        </w:rPr>
        <w:t>4 year</w:t>
      </w:r>
      <w:proofErr w:type="gramEnd"/>
      <w:r w:rsidRPr="00BA042F">
        <w:rPr>
          <w:rFonts w:asciiTheme="minorHAnsi" w:eastAsiaTheme="minorHAnsi" w:hAnsiTheme="minorHAnsi" w:cstheme="minorHAnsi"/>
          <w:b w:val="0"/>
          <w:szCs w:val="22"/>
          <w:lang w:eastAsia="en-US"/>
        </w:rPr>
        <w:t xml:space="preserve"> OS HR of 0.60 (95% CI 0.46, 0.80)</w:t>
      </w:r>
      <w:r w:rsidR="0079475A">
        <w:rPr>
          <w:rFonts w:asciiTheme="minorHAnsi" w:eastAsiaTheme="minorHAnsi" w:hAnsiTheme="minorHAnsi" w:cstheme="minorHAnsi"/>
          <w:b w:val="0"/>
          <w:szCs w:val="22"/>
          <w:lang w:eastAsia="en-US"/>
        </w:rPr>
        <w:t xml:space="preserve">, </w:t>
      </w:r>
      <w:bookmarkStart w:id="5" w:name="_Hlk89420973"/>
      <w:r w:rsidR="0079475A">
        <w:rPr>
          <w:rFonts w:asciiTheme="minorHAnsi" w:eastAsiaTheme="minorHAnsi" w:hAnsiTheme="minorHAnsi" w:cstheme="minorHAnsi"/>
          <w:b w:val="0"/>
          <w:szCs w:val="22"/>
          <w:lang w:eastAsia="en-US"/>
        </w:rPr>
        <w:t xml:space="preserve">compared with </w:t>
      </w:r>
      <w:r w:rsidR="0079475A" w:rsidRPr="0079475A">
        <w:rPr>
          <w:rFonts w:asciiTheme="minorHAnsi" w:eastAsiaTheme="minorHAnsi" w:hAnsiTheme="minorHAnsi" w:cstheme="minorHAnsi"/>
          <w:b w:val="0"/>
          <w:szCs w:val="22"/>
          <w:lang w:eastAsia="en-US"/>
        </w:rPr>
        <w:t>0.74 (</w:t>
      </w:r>
      <w:r w:rsidR="0079475A">
        <w:rPr>
          <w:rFonts w:asciiTheme="minorHAnsi" w:eastAsiaTheme="minorHAnsi" w:hAnsiTheme="minorHAnsi" w:cstheme="minorHAnsi"/>
          <w:b w:val="0"/>
          <w:szCs w:val="22"/>
          <w:lang w:eastAsia="en-US"/>
        </w:rPr>
        <w:t xml:space="preserve">95% CI: </w:t>
      </w:r>
      <w:r w:rsidR="0079475A" w:rsidRPr="0079475A">
        <w:rPr>
          <w:rFonts w:asciiTheme="minorHAnsi" w:eastAsiaTheme="minorHAnsi" w:hAnsiTheme="minorHAnsi" w:cstheme="minorHAnsi"/>
          <w:b w:val="0"/>
          <w:szCs w:val="22"/>
          <w:lang w:eastAsia="en-US"/>
        </w:rPr>
        <w:t>0.61, 0.89)</w:t>
      </w:r>
      <w:r w:rsidR="0079475A">
        <w:rPr>
          <w:rFonts w:asciiTheme="minorHAnsi" w:eastAsiaTheme="minorHAnsi" w:hAnsiTheme="minorHAnsi" w:cstheme="minorHAnsi"/>
          <w:b w:val="0"/>
          <w:szCs w:val="22"/>
          <w:lang w:eastAsia="en-US"/>
        </w:rPr>
        <w:t xml:space="preserve"> in the CPS ≥1 subgroup</w:t>
      </w:r>
      <w:bookmarkEnd w:id="5"/>
      <w:r w:rsidRPr="00BA042F">
        <w:rPr>
          <w:rFonts w:asciiTheme="minorHAnsi" w:eastAsiaTheme="minorHAnsi" w:hAnsiTheme="minorHAnsi" w:cstheme="minorHAnsi"/>
          <w:b w:val="0"/>
          <w:szCs w:val="22"/>
          <w:lang w:eastAsia="en-US"/>
        </w:rPr>
        <w:t>).</w:t>
      </w:r>
    </w:p>
    <w:p w14:paraId="03E485C6" w14:textId="77777777" w:rsidR="00EC1536" w:rsidRPr="00BA042F" w:rsidRDefault="00EC1536" w:rsidP="00EC1536">
      <w:pPr>
        <w:pStyle w:val="Subtitle"/>
        <w:numPr>
          <w:ilvl w:val="0"/>
          <w:numId w:val="25"/>
        </w:numPr>
        <w:ind w:left="1560"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An ESMO-MCBS score of 5 for pembrolizumab for the treatment of R/M HNSCC patients with CPS ≥20 (</w:t>
      </w:r>
      <w:r w:rsidR="00564AE5">
        <w:rPr>
          <w:rFonts w:asciiTheme="minorHAnsi" w:eastAsiaTheme="minorHAnsi" w:hAnsiTheme="minorHAnsi" w:cstheme="minorHAnsi"/>
          <w:b w:val="0"/>
          <w:szCs w:val="22"/>
          <w:lang w:eastAsia="en-US"/>
        </w:rPr>
        <w:t xml:space="preserve">paragraph 6.4 </w:t>
      </w:r>
      <w:r w:rsidR="00564AE5" w:rsidRPr="00564AE5">
        <w:rPr>
          <w:rFonts w:asciiTheme="minorHAnsi" w:eastAsiaTheme="minorHAnsi" w:hAnsiTheme="minorHAnsi" w:cstheme="minorHAnsi"/>
          <w:b w:val="0"/>
          <w:szCs w:val="22"/>
          <w:lang w:eastAsia="en-US"/>
        </w:rPr>
        <w:t xml:space="preserve">pembrolizumab PSD, November 2020 PBAC </w:t>
      </w:r>
      <w:proofErr w:type="gramStart"/>
      <w:r w:rsidR="00564AE5" w:rsidRPr="00564AE5">
        <w:rPr>
          <w:rFonts w:asciiTheme="minorHAnsi" w:eastAsiaTheme="minorHAnsi" w:hAnsiTheme="minorHAnsi" w:cstheme="minorHAnsi"/>
          <w:b w:val="0"/>
          <w:szCs w:val="22"/>
          <w:lang w:eastAsia="en-US"/>
        </w:rPr>
        <w:t>Meeting</w:t>
      </w:r>
      <w:r w:rsidR="00564AE5" w:rsidRPr="00564AE5" w:rsidDel="00564AE5">
        <w:rPr>
          <w:rFonts w:asciiTheme="minorHAnsi" w:eastAsiaTheme="minorHAnsi" w:hAnsiTheme="minorHAnsi" w:cstheme="minorHAnsi"/>
          <w:szCs w:val="22"/>
          <w:lang w:eastAsia="en-US"/>
        </w:rPr>
        <w:t xml:space="preserve"> </w:t>
      </w:r>
      <w:r w:rsidRPr="00BA042F">
        <w:rPr>
          <w:rFonts w:asciiTheme="minorHAnsi" w:eastAsiaTheme="minorHAnsi" w:hAnsiTheme="minorHAnsi" w:cstheme="minorHAnsi"/>
          <w:b w:val="0"/>
          <w:szCs w:val="22"/>
          <w:lang w:eastAsia="en-US"/>
        </w:rPr>
        <w:t>)</w:t>
      </w:r>
      <w:proofErr w:type="gramEnd"/>
      <w:r w:rsidRPr="00BA042F">
        <w:rPr>
          <w:rFonts w:asciiTheme="minorHAnsi" w:eastAsiaTheme="minorHAnsi" w:hAnsiTheme="minorHAnsi" w:cstheme="minorHAnsi"/>
          <w:b w:val="0"/>
          <w:szCs w:val="22"/>
          <w:lang w:eastAsia="en-US"/>
        </w:rPr>
        <w:t>.</w:t>
      </w:r>
    </w:p>
    <w:p w14:paraId="70ECB4F9" w14:textId="77777777" w:rsidR="00EC1536" w:rsidRPr="00BA042F" w:rsidRDefault="00EC1536" w:rsidP="00EC1536">
      <w:pPr>
        <w:pStyle w:val="Subtitle"/>
        <w:numPr>
          <w:ilvl w:val="0"/>
          <w:numId w:val="24"/>
        </w:numPr>
        <w:ind w:left="1134"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 xml:space="preserve">The risks related to false positive CPS results in patients being offered pembrolizumab monotherapy are significantly reduced. </w:t>
      </w:r>
    </w:p>
    <w:p w14:paraId="43E7AF90" w14:textId="472018FD" w:rsidR="00EC1536" w:rsidRPr="00BA042F" w:rsidRDefault="00EC1536" w:rsidP="00EC1536">
      <w:pPr>
        <w:pStyle w:val="Subtitle"/>
        <w:numPr>
          <w:ilvl w:val="0"/>
          <w:numId w:val="24"/>
        </w:numPr>
        <w:ind w:left="1134"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 xml:space="preserve">The PSCR acknowledged MSAC’s view that </w:t>
      </w:r>
      <w:r w:rsidRPr="00896AA4">
        <w:rPr>
          <w:rFonts w:asciiTheme="minorHAnsi" w:eastAsiaTheme="minorHAnsi" w:hAnsiTheme="minorHAnsi" w:cstheme="minorHAnsi"/>
          <w:b w:val="0"/>
          <w:szCs w:val="22"/>
          <w:lang w:eastAsia="en-US"/>
        </w:rPr>
        <w:t>the “</w:t>
      </w:r>
      <w:proofErr w:type="spellStart"/>
      <w:r w:rsidRPr="00896AA4">
        <w:rPr>
          <w:rFonts w:asciiTheme="minorHAnsi" w:eastAsiaTheme="minorHAnsi" w:hAnsiTheme="minorHAnsi" w:cstheme="minorHAnsi"/>
          <w:b w:val="0"/>
          <w:szCs w:val="22"/>
          <w:lang w:eastAsia="en-US"/>
        </w:rPr>
        <w:t>codependency</w:t>
      </w:r>
      <w:proofErr w:type="spellEnd"/>
      <w:r w:rsidRPr="00896AA4">
        <w:rPr>
          <w:rFonts w:asciiTheme="minorHAnsi" w:eastAsiaTheme="minorHAnsi" w:hAnsiTheme="minorHAnsi" w:cstheme="minorHAnsi"/>
          <w:b w:val="0"/>
          <w:szCs w:val="22"/>
          <w:lang w:eastAsia="en-US"/>
        </w:rPr>
        <w:t xml:space="preserve"> between PD</w:t>
      </w:r>
      <w:r w:rsidR="00C60CD1" w:rsidRPr="00896AA4">
        <w:rPr>
          <w:rFonts w:asciiTheme="minorHAnsi" w:eastAsiaTheme="minorHAnsi" w:hAnsiTheme="minorHAnsi" w:cstheme="minorHAnsi"/>
          <w:b w:val="0"/>
          <w:szCs w:val="22"/>
          <w:lang w:eastAsia="en-US"/>
        </w:rPr>
        <w:noBreakHyphen/>
      </w:r>
      <w:r w:rsidRPr="00896AA4">
        <w:rPr>
          <w:rFonts w:asciiTheme="minorHAnsi" w:eastAsiaTheme="minorHAnsi" w:hAnsiTheme="minorHAnsi" w:cstheme="minorHAnsi"/>
          <w:b w:val="0"/>
          <w:szCs w:val="22"/>
          <w:lang w:eastAsia="en-US"/>
        </w:rPr>
        <w:t>L1 status and the clinical benefit from pembrolizumab differed when it was used as monotherapy compared with its use in combination with chemotherapy”</w:t>
      </w:r>
      <w:r w:rsidRPr="00BA042F">
        <w:rPr>
          <w:rFonts w:asciiTheme="minorHAnsi" w:eastAsiaTheme="minorHAnsi" w:hAnsiTheme="minorHAnsi" w:cstheme="minorHAnsi"/>
          <w:b w:val="0"/>
          <w:szCs w:val="22"/>
          <w:lang w:eastAsia="en-US"/>
        </w:rPr>
        <w:t xml:space="preserve"> (MSAC 1522.1</w:t>
      </w:r>
      <w:r w:rsidR="00896AA4">
        <w:rPr>
          <w:rFonts w:asciiTheme="minorHAnsi" w:eastAsiaTheme="minorHAnsi" w:hAnsiTheme="minorHAnsi" w:cstheme="minorHAnsi"/>
          <w:b w:val="0"/>
          <w:szCs w:val="22"/>
          <w:lang w:eastAsia="en-US"/>
        </w:rPr>
        <w:t xml:space="preserve"> PSD, November 2020 MSAC meeting</w:t>
      </w:r>
      <w:r w:rsidRPr="00BA042F">
        <w:rPr>
          <w:rFonts w:asciiTheme="minorHAnsi" w:eastAsiaTheme="minorHAnsi" w:hAnsiTheme="minorHAnsi" w:cstheme="minorHAnsi"/>
          <w:b w:val="0"/>
          <w:szCs w:val="22"/>
          <w:lang w:eastAsia="en-US"/>
        </w:rPr>
        <w:t>)</w:t>
      </w:r>
      <w:r w:rsidR="00C60CD1">
        <w:rPr>
          <w:rFonts w:asciiTheme="minorHAnsi" w:eastAsiaTheme="minorHAnsi" w:hAnsiTheme="minorHAnsi" w:cstheme="minorHAnsi"/>
          <w:b w:val="0"/>
          <w:szCs w:val="22"/>
          <w:lang w:eastAsia="en-US"/>
        </w:rPr>
        <w:t>.</w:t>
      </w:r>
    </w:p>
    <w:p w14:paraId="2A4711F0" w14:textId="77777777" w:rsidR="00EC1536" w:rsidRPr="0052574B" w:rsidRDefault="00EC1536" w:rsidP="00E07371">
      <w:pPr>
        <w:pStyle w:val="ListParagraph"/>
        <w:numPr>
          <w:ilvl w:val="4"/>
          <w:numId w:val="1"/>
        </w:numPr>
        <w:rPr>
          <w:iCs/>
        </w:rPr>
      </w:pPr>
      <w:r w:rsidRPr="00EC1536">
        <w:rPr>
          <w:iCs/>
          <w:color w:val="auto"/>
        </w:rPr>
        <w:t xml:space="preserve">The ESCs noted that it was not clear why this change was not proposed in the resubmission. </w:t>
      </w:r>
      <w:r w:rsidR="00193EFF">
        <w:rPr>
          <w:color w:val="auto"/>
        </w:rPr>
        <w:t xml:space="preserve">The PBAC also </w:t>
      </w:r>
      <w:r w:rsidR="0052574B">
        <w:rPr>
          <w:color w:val="auto"/>
        </w:rPr>
        <w:t>noted</w:t>
      </w:r>
      <w:r w:rsidR="00193EFF">
        <w:rPr>
          <w:color w:val="auto"/>
        </w:rPr>
        <w:t xml:space="preserve"> that</w:t>
      </w:r>
      <w:r w:rsidR="00193EFF" w:rsidRPr="00193EFF">
        <w:rPr>
          <w:color w:val="auto"/>
        </w:rPr>
        <w:t xml:space="preserve"> NCCN guidelines recommend use of pembrolizumab monotherapy in patients with CPS ≥20.</w:t>
      </w:r>
      <w:r w:rsidR="0052574B" w:rsidRPr="0052574B">
        <w:rPr>
          <w:iCs/>
        </w:rPr>
        <w:t xml:space="preserve"> </w:t>
      </w:r>
      <w:bookmarkStart w:id="6" w:name="_Ref89098285"/>
      <w:r w:rsidR="00C60CD1" w:rsidRPr="0052574B">
        <w:rPr>
          <w:iCs/>
        </w:rPr>
        <w:t xml:space="preserve">The PBAC considered that the requested CPS cut-off of </w:t>
      </w:r>
      <w:r w:rsidR="00C60CD1" w:rsidRPr="0052574B">
        <w:rPr>
          <w:rFonts w:cstheme="minorHAnsi"/>
          <w:iCs/>
        </w:rPr>
        <w:t>≥</w:t>
      </w:r>
      <w:r w:rsidR="00C60CD1" w:rsidRPr="0052574B">
        <w:rPr>
          <w:iCs/>
        </w:rPr>
        <w:t xml:space="preserve">20 for patients treated with monotherapy appeared appropriate and addressed its previous concerns regarding the clinical effectiveness for monotherapy in patients with low </w:t>
      </w:r>
      <w:r w:rsidR="00C60CD1" w:rsidRPr="0052574B">
        <w:rPr>
          <w:rFonts w:cstheme="minorHAnsi"/>
          <w:iCs/>
        </w:rPr>
        <w:t>CPS scores (1-20)</w:t>
      </w:r>
      <w:r w:rsidR="00C60CD1" w:rsidRPr="0052574B">
        <w:rPr>
          <w:iCs/>
        </w:rPr>
        <w:t xml:space="preserve"> and the potential for worse outcomes in patients with false positive CPS results.</w:t>
      </w:r>
      <w:bookmarkEnd w:id="6"/>
    </w:p>
    <w:p w14:paraId="0387E9E0" w14:textId="77777777" w:rsidR="002A0229" w:rsidRPr="00193EFF" w:rsidRDefault="00193EFF" w:rsidP="00E07371">
      <w:pPr>
        <w:pStyle w:val="ListParagraph"/>
        <w:numPr>
          <w:ilvl w:val="4"/>
          <w:numId w:val="1"/>
        </w:numPr>
        <w:rPr>
          <w:rStyle w:val="null1"/>
          <w:iCs/>
        </w:rPr>
      </w:pPr>
      <w:bookmarkStart w:id="7" w:name="_Ref88822534"/>
      <w:r w:rsidRPr="00193EFF">
        <w:rPr>
          <w:color w:val="auto"/>
        </w:rPr>
        <w:t xml:space="preserve">The PBAC </w:t>
      </w:r>
      <w:r>
        <w:rPr>
          <w:color w:val="auto"/>
        </w:rPr>
        <w:t xml:space="preserve">also </w:t>
      </w:r>
      <w:r w:rsidRPr="00193EFF">
        <w:rPr>
          <w:color w:val="auto"/>
        </w:rPr>
        <w:t xml:space="preserve">recalled its previous advice that NCCN guidelines recommend first-line pembrolizumab plus chemotherapy regardless of PD-L1 status and the CPS &lt;1 subgroup in KN048 was too small to conclude that pembrolizumab plus chemotherapy had no effect in this subgroup (paragraph 7.9, pembrolizumab PSD, November 2020 PBAC Meeting). The PSCR stated that the NCCN recommendations reflect use in the USA where the FDA recommended pembrolizumab plus chemotherapy for allcomers </w:t>
      </w:r>
      <w:r w:rsidR="00907857">
        <w:rPr>
          <w:color w:val="auto"/>
        </w:rPr>
        <w:t xml:space="preserve">(that is, regardless of PD-L1 status) </w:t>
      </w:r>
      <w:r w:rsidRPr="00193EFF">
        <w:rPr>
          <w:color w:val="auto"/>
        </w:rPr>
        <w:t xml:space="preserve">based on KN048 interim analysis 2 (13 Jun 2018 data cut), rather than the final analysis (25 Feb 2019 data cut), which was reviewed by the TGA and EMA and resulted in the approval of pembrolizumab plus chemotherapy for CPS ≥1. The PBAC noted that statistical significance for pembrolizumab plus chemotherapy in the ITT population was demonstrated at </w:t>
      </w:r>
      <w:r w:rsidR="00E452E1">
        <w:rPr>
          <w:color w:val="auto"/>
        </w:rPr>
        <w:t>IA</w:t>
      </w:r>
      <w:r w:rsidRPr="00193EFF">
        <w:rPr>
          <w:color w:val="auto"/>
        </w:rPr>
        <w:t xml:space="preserve"> 2, whereas statistical significance for pembrolizumab plus chemotherapy in the CPS </w:t>
      </w:r>
      <w:r w:rsidRPr="00193EFF">
        <w:rPr>
          <w:rFonts w:cstheme="minorHAnsi"/>
          <w:color w:val="auto"/>
        </w:rPr>
        <w:t>≥</w:t>
      </w:r>
      <w:r w:rsidRPr="00193EFF">
        <w:rPr>
          <w:color w:val="auto"/>
        </w:rPr>
        <w:t xml:space="preserve">1 population was not tested until the final analysis as per the statistical analysis plan. The PBAC noted that the OS HR for pembrolizumab plus chemotherapy in the ITT population at the final analysis (0.72 95%CI: 0.60, 0.87) and four year follow up (0.71 95%CI: 0.59, 0.85) were consistent with the </w:t>
      </w:r>
      <w:r w:rsidRPr="005E5BA0">
        <w:t xml:space="preserve">primary outcome based on </w:t>
      </w:r>
      <w:r w:rsidR="00E452E1" w:rsidRPr="00193EFF">
        <w:rPr>
          <w:color w:val="auto"/>
        </w:rPr>
        <w:t>interim analysis 2 (13 Jun 2018 data cut)</w:t>
      </w:r>
      <w:r w:rsidR="00E452E1">
        <w:rPr>
          <w:color w:val="auto"/>
        </w:rPr>
        <w:t xml:space="preserve"> </w:t>
      </w:r>
      <w:r w:rsidRPr="005E5BA0">
        <w:t xml:space="preserve">data </w:t>
      </w:r>
      <w:r>
        <w:t>(</w:t>
      </w:r>
      <w:r w:rsidRPr="005E5BA0">
        <w:t>0.71 95% CI: 0.57, 0.88)</w:t>
      </w:r>
      <w:r>
        <w:t xml:space="preserve"> and therefore the basis for the NCCN’s recommendation was unchanged</w:t>
      </w:r>
      <w:r w:rsidRPr="005E5BA0">
        <w:t>.</w:t>
      </w:r>
      <w:r>
        <w:t xml:space="preserve"> </w:t>
      </w:r>
      <w:r w:rsidR="00416693">
        <w:t>Noting the statistically significant OS benefit in the ITT population of KN048, t</w:t>
      </w:r>
      <w:r w:rsidR="0058370E">
        <w:t xml:space="preserve">he PBAC considered that a broad listing for pembrolizumab </w:t>
      </w:r>
      <w:r w:rsidR="0058370E">
        <w:lastRenderedPageBreak/>
        <w:t xml:space="preserve">plus chemotherapy (irrespective of CPS) would </w:t>
      </w:r>
      <w:r w:rsidR="00487526">
        <w:t xml:space="preserve">be preferable, to ensure subsidised access for all </w:t>
      </w:r>
      <w:r w:rsidR="00416693">
        <w:t xml:space="preserve">R/M HNSCC </w:t>
      </w:r>
      <w:r w:rsidR="00487526">
        <w:t>patients who would potentially benefit from treatment with pembrolizumab.</w:t>
      </w:r>
      <w:bookmarkEnd w:id="7"/>
      <w:r w:rsidR="0058370E">
        <w:t xml:space="preserve"> </w:t>
      </w:r>
    </w:p>
    <w:p w14:paraId="1023E702" w14:textId="77777777" w:rsidR="005C3BE1" w:rsidRPr="005C3BE1" w:rsidRDefault="002A0229" w:rsidP="005C3BE1">
      <w:pPr>
        <w:pStyle w:val="ListParagraph"/>
        <w:numPr>
          <w:ilvl w:val="4"/>
          <w:numId w:val="1"/>
        </w:numPr>
        <w:rPr>
          <w:iCs/>
        </w:rPr>
      </w:pPr>
      <w:bookmarkStart w:id="8" w:name="_Ref88574183"/>
      <w:r w:rsidRPr="005C3BE1">
        <w:t xml:space="preserve">The PBAC noted that advice from the MSAC was required regarding the testing component of the </w:t>
      </w:r>
      <w:proofErr w:type="spellStart"/>
      <w:r w:rsidR="005C3BE1">
        <w:t>codependent</w:t>
      </w:r>
      <w:proofErr w:type="spellEnd"/>
      <w:r w:rsidR="005C3BE1">
        <w:t xml:space="preserve"> </w:t>
      </w:r>
      <w:r w:rsidRPr="005C3BE1">
        <w:t>submission.</w:t>
      </w:r>
      <w:r w:rsidR="005C3BE1" w:rsidRPr="005C3BE1">
        <w:t xml:space="preserve"> Subject to this advice, the PBAC expressed a preference for recommending the CPS ≥20 threshold for pembrolizumab monotherapy and an allcomers population for pembrolizumab plus chemotherapy. </w:t>
      </w:r>
      <w:r w:rsidR="005C3BE1" w:rsidRPr="005C3BE1">
        <w:rPr>
          <w:iCs/>
        </w:rPr>
        <w:t>In particular, the PBAC requested that MSAC provide advice on:</w:t>
      </w:r>
      <w:bookmarkEnd w:id="8"/>
    </w:p>
    <w:p w14:paraId="4C61E6C8" w14:textId="77777777" w:rsidR="005C3BE1" w:rsidRPr="005C3BE1" w:rsidRDefault="005C3BE1" w:rsidP="009429D6">
      <w:pPr>
        <w:pStyle w:val="ListParagraph"/>
        <w:numPr>
          <w:ilvl w:val="0"/>
          <w:numId w:val="41"/>
        </w:numPr>
        <w:spacing w:before="0" w:after="0"/>
        <w:ind w:left="1134"/>
      </w:pPr>
      <w:r w:rsidRPr="005C3BE1">
        <w:t xml:space="preserve">The practical reasons for </w:t>
      </w:r>
      <w:r w:rsidR="00A864DB">
        <w:t>any</w:t>
      </w:r>
      <w:r w:rsidRPr="005C3BE1">
        <w:t xml:space="preserve"> reduced confidence in the results of PD-L1 testing using a CPS threshold of ≥1 compared to higher thresholds or no threshold at all.</w:t>
      </w:r>
    </w:p>
    <w:p w14:paraId="62DF6331" w14:textId="77777777" w:rsidR="005C3BE1" w:rsidRPr="005C3BE1" w:rsidRDefault="005C3BE1" w:rsidP="009429D6">
      <w:pPr>
        <w:pStyle w:val="ListParagraph"/>
        <w:numPr>
          <w:ilvl w:val="0"/>
          <w:numId w:val="41"/>
        </w:numPr>
        <w:spacing w:before="0" w:after="0"/>
        <w:ind w:left="1134"/>
      </w:pPr>
      <w:r w:rsidRPr="005C3BE1">
        <w:t xml:space="preserve">More specifically, the practical difference between CPS thresholds of ≥1 and ≥20 in terms of confidence in the results obtained in the context of the </w:t>
      </w:r>
      <w:proofErr w:type="spellStart"/>
      <w:r w:rsidRPr="005C3BE1">
        <w:t>codependence</w:t>
      </w:r>
      <w:proofErr w:type="spellEnd"/>
      <w:r w:rsidRPr="005C3BE1">
        <w:t xml:space="preserve"> with pembrolizumab monotherapy. Would a CPS threshold of ≥20 be expected to ensure that false positives and their</w:t>
      </w:r>
      <w:r w:rsidR="002B3C72">
        <w:t xml:space="preserve"> potentially detrimental</w:t>
      </w:r>
      <w:r w:rsidRPr="005C3BE1">
        <w:t xml:space="preserve"> consequences are minimised in the population receiving pembrolizumab monotherapy?</w:t>
      </w:r>
    </w:p>
    <w:p w14:paraId="2EED3527" w14:textId="77777777" w:rsidR="00C60CD1" w:rsidRPr="005C3BE1" w:rsidRDefault="005C3BE1" w:rsidP="009429D6">
      <w:pPr>
        <w:pStyle w:val="ListParagraph"/>
        <w:numPr>
          <w:ilvl w:val="0"/>
          <w:numId w:val="41"/>
        </w:numPr>
        <w:spacing w:before="0" w:after="0"/>
        <w:ind w:left="1134"/>
      </w:pPr>
      <w:r w:rsidRPr="005C3BE1">
        <w:t>The expected differences in population sizes based on the different CPS thresholds (for financials and caps). For patients likely to be treated with pembrolizumab monotherapy</w:t>
      </w:r>
      <w:r w:rsidR="002B3C72">
        <w:t>,</w:t>
      </w:r>
      <w:r w:rsidRPr="005C3BE1">
        <w:t xml:space="preserve"> what proportion of patients would be expected to have CPS &lt;1 and what proportion would be expected to have CPS &lt;20?</w:t>
      </w:r>
    </w:p>
    <w:p w14:paraId="5D1CF7A7" w14:textId="77777777" w:rsidR="00D7609F" w:rsidRDefault="00D7609F" w:rsidP="00D7609F">
      <w:pPr>
        <w:pStyle w:val="ListParagraph"/>
        <w:numPr>
          <w:ilvl w:val="4"/>
          <w:numId w:val="1"/>
        </w:numPr>
        <w:rPr>
          <w:iCs/>
          <w:color w:val="auto"/>
        </w:rPr>
      </w:pPr>
      <w:r w:rsidRPr="00A24A89">
        <w:t>The resubmission estimated that approximately 40% of the eligible treated patients would receive pembrolizumab in combination with platinum and 5-FU</w:t>
      </w:r>
      <w:r w:rsidR="00DB290B">
        <w:t xml:space="preserve"> (pembrolizumab plus chemotherapy)</w:t>
      </w:r>
      <w:r w:rsidRPr="00A24A89">
        <w:t xml:space="preserve">, with the remaining 60% receiving pembrolizumab monotherapy based on input </w:t>
      </w:r>
      <w:r w:rsidR="005C3BE1">
        <w:t>from</w:t>
      </w:r>
      <w:r w:rsidR="005C3BE1" w:rsidRPr="00A24A89">
        <w:t xml:space="preserve"> </w:t>
      </w:r>
      <w:r w:rsidRPr="00A24A89">
        <w:t xml:space="preserve">key scientific leaders. </w:t>
      </w:r>
      <w:r w:rsidRPr="00A24A89">
        <w:rPr>
          <w:color w:val="auto"/>
        </w:rPr>
        <w:t xml:space="preserve">The PBAC </w:t>
      </w:r>
      <w:r w:rsidR="001611B1">
        <w:rPr>
          <w:color w:val="auto"/>
        </w:rPr>
        <w:t xml:space="preserve">previously </w:t>
      </w:r>
      <w:r w:rsidRPr="00A24A89">
        <w:rPr>
          <w:color w:val="auto"/>
        </w:rPr>
        <w:t xml:space="preserve">considered that the proposed weighting </w:t>
      </w:r>
      <w:r w:rsidR="005C3BE1">
        <w:rPr>
          <w:color w:val="auto"/>
        </w:rPr>
        <w:t>in the previous submission (</w:t>
      </w:r>
      <w:r w:rsidRPr="00A24A89">
        <w:rPr>
          <w:color w:val="auto"/>
        </w:rPr>
        <w:t xml:space="preserve">80% use of pembrolizumab monotherapy and 20% of use of </w:t>
      </w:r>
      <w:r w:rsidR="00A15BE8">
        <w:rPr>
          <w:color w:val="auto"/>
        </w:rPr>
        <w:t>pembrolizumab plus</w:t>
      </w:r>
      <w:r w:rsidRPr="00A24A89">
        <w:rPr>
          <w:color w:val="auto"/>
        </w:rPr>
        <w:t xml:space="preserve"> chemotherapy</w:t>
      </w:r>
      <w:r w:rsidR="005C3BE1">
        <w:rPr>
          <w:color w:val="auto"/>
        </w:rPr>
        <w:t>)</w:t>
      </w:r>
      <w:r w:rsidRPr="00A24A89">
        <w:rPr>
          <w:color w:val="auto"/>
        </w:rPr>
        <w:t xml:space="preserve"> was not reasonable given that the combination appeared to be more effective in terms of OS (paragraph 7.13, pembrolizumab PSD, November 2020</w:t>
      </w:r>
      <w:r w:rsidR="00CD561A">
        <w:rPr>
          <w:color w:val="auto"/>
        </w:rPr>
        <w:t xml:space="preserve"> PBAC Meeting</w:t>
      </w:r>
      <w:r w:rsidRPr="00A24A89">
        <w:rPr>
          <w:color w:val="auto"/>
        </w:rPr>
        <w:t xml:space="preserve">). </w:t>
      </w:r>
    </w:p>
    <w:p w14:paraId="3B559D61" w14:textId="77777777" w:rsidR="00CB2F1F" w:rsidRPr="005D6573" w:rsidRDefault="00CB2F1F" w:rsidP="005D6573">
      <w:pPr>
        <w:pStyle w:val="ListParagraph"/>
        <w:numPr>
          <w:ilvl w:val="4"/>
          <w:numId w:val="1"/>
        </w:numPr>
        <w:ind w:left="709" w:hanging="709"/>
        <w:rPr>
          <w:iCs/>
          <w:color w:val="auto"/>
        </w:rPr>
      </w:pPr>
      <w:bookmarkStart w:id="9" w:name="_Ref84848838"/>
      <w:bookmarkStart w:id="10" w:name="_Ref89099133"/>
      <w:r w:rsidRPr="00FF78E1">
        <w:rPr>
          <w:rFonts w:cstheme="minorHAnsi"/>
          <w:iCs/>
          <w:color w:val="auto"/>
          <w:szCs w:val="24"/>
        </w:rPr>
        <w:t xml:space="preserve">The ESCs noted that </w:t>
      </w:r>
      <w:r w:rsidR="005C3BE1">
        <w:rPr>
          <w:rFonts w:cstheme="minorHAnsi"/>
          <w:iCs/>
          <w:color w:val="auto"/>
          <w:szCs w:val="24"/>
        </w:rPr>
        <w:t>the</w:t>
      </w:r>
      <w:r w:rsidR="005C3BE1" w:rsidRPr="00FF78E1">
        <w:rPr>
          <w:rFonts w:cstheme="minorHAnsi"/>
          <w:iCs/>
          <w:color w:val="auto"/>
          <w:szCs w:val="24"/>
        </w:rPr>
        <w:t xml:space="preserve"> </w:t>
      </w:r>
      <w:r w:rsidR="005C3BE1">
        <w:rPr>
          <w:rFonts w:cstheme="minorHAnsi"/>
          <w:iCs/>
          <w:color w:val="auto"/>
          <w:szCs w:val="24"/>
        </w:rPr>
        <w:t xml:space="preserve">proposed </w:t>
      </w:r>
      <w:r w:rsidRPr="00FF78E1">
        <w:rPr>
          <w:rFonts w:cstheme="minorHAnsi"/>
          <w:iCs/>
          <w:color w:val="auto"/>
          <w:szCs w:val="24"/>
        </w:rPr>
        <w:t>higher</w:t>
      </w:r>
      <w:r w:rsidR="005C3BE1">
        <w:rPr>
          <w:rFonts w:cstheme="minorHAnsi"/>
          <w:iCs/>
          <w:color w:val="auto"/>
          <w:szCs w:val="24"/>
        </w:rPr>
        <w:t xml:space="preserve"> CPS</w:t>
      </w:r>
      <w:r w:rsidRPr="00FF78E1">
        <w:rPr>
          <w:rFonts w:cstheme="minorHAnsi"/>
          <w:iCs/>
          <w:color w:val="auto"/>
          <w:szCs w:val="24"/>
        </w:rPr>
        <w:t xml:space="preserve"> threshold</w:t>
      </w:r>
      <w:r w:rsidR="005C3BE1">
        <w:rPr>
          <w:rFonts w:cstheme="minorHAnsi"/>
          <w:iCs/>
          <w:color w:val="auto"/>
          <w:szCs w:val="24"/>
        </w:rPr>
        <w:t xml:space="preserve"> for monotherapy</w:t>
      </w:r>
      <w:r w:rsidRPr="00FF78E1">
        <w:rPr>
          <w:rFonts w:cstheme="minorHAnsi"/>
          <w:iCs/>
          <w:color w:val="auto"/>
          <w:szCs w:val="24"/>
        </w:rPr>
        <w:t xml:space="preserve"> would reduce the number of patients eligible for treatment with pembrolizumab monotherapy and would therefore impact on the relative proportions of patients treated with monotherapy or combination therapy. </w:t>
      </w:r>
      <w:r w:rsidR="00E6773F" w:rsidRPr="00FF78E1">
        <w:rPr>
          <w:rFonts w:cstheme="minorHAnsi"/>
          <w:iCs/>
          <w:color w:val="auto"/>
          <w:szCs w:val="24"/>
        </w:rPr>
        <w:t xml:space="preserve">The ESCs noted that the financial estimates provided with the PSCR assumed 40% monotherapy and 60% combination therapy and considered that this split </w:t>
      </w:r>
      <w:r w:rsidR="00541FF0" w:rsidRPr="00FF78E1">
        <w:rPr>
          <w:rFonts w:cstheme="minorHAnsi"/>
          <w:iCs/>
          <w:color w:val="auto"/>
          <w:szCs w:val="24"/>
        </w:rPr>
        <w:t>appeared more reasonable tha</w:t>
      </w:r>
      <w:r w:rsidR="00C4659D" w:rsidRPr="00FF78E1">
        <w:rPr>
          <w:rFonts w:cstheme="minorHAnsi"/>
          <w:iCs/>
          <w:color w:val="auto"/>
          <w:szCs w:val="24"/>
        </w:rPr>
        <w:t>n</w:t>
      </w:r>
      <w:r w:rsidR="00541FF0" w:rsidRPr="00FF78E1">
        <w:rPr>
          <w:rFonts w:cstheme="minorHAnsi"/>
          <w:iCs/>
          <w:color w:val="auto"/>
          <w:szCs w:val="24"/>
        </w:rPr>
        <w:t xml:space="preserve"> the split assumed in the resubmission but </w:t>
      </w:r>
      <w:r w:rsidR="00E6773F" w:rsidRPr="00FF78E1">
        <w:rPr>
          <w:rFonts w:cstheme="minorHAnsi"/>
          <w:iCs/>
          <w:color w:val="auto"/>
          <w:szCs w:val="24"/>
        </w:rPr>
        <w:t>was not clearly justified.</w:t>
      </w:r>
      <w:bookmarkEnd w:id="9"/>
      <w:r w:rsidR="001076CA" w:rsidRPr="00FF78E1">
        <w:rPr>
          <w:rFonts w:cstheme="minorHAnsi"/>
          <w:iCs/>
          <w:color w:val="auto"/>
          <w:szCs w:val="24"/>
        </w:rPr>
        <w:t xml:space="preserve"> </w:t>
      </w:r>
      <w:r w:rsidR="00FF78E1" w:rsidRPr="00FF78E1">
        <w:rPr>
          <w:rFonts w:cstheme="minorHAnsi"/>
          <w:iCs/>
          <w:color w:val="auto"/>
          <w:szCs w:val="24"/>
        </w:rPr>
        <w:t>The PBA</w:t>
      </w:r>
      <w:r w:rsidR="00FF78E1">
        <w:rPr>
          <w:rFonts w:cstheme="minorHAnsi"/>
          <w:iCs/>
          <w:color w:val="auto"/>
          <w:szCs w:val="24"/>
        </w:rPr>
        <w:t>C</w:t>
      </w:r>
      <w:r w:rsidR="00FF78E1" w:rsidRPr="00FF78E1">
        <w:rPr>
          <w:rFonts w:cstheme="minorHAnsi"/>
          <w:iCs/>
          <w:color w:val="auto"/>
          <w:szCs w:val="24"/>
        </w:rPr>
        <w:t xml:space="preserve"> considered i</w:t>
      </w:r>
      <w:r w:rsidR="00F83CFD" w:rsidRPr="00FF78E1">
        <w:rPr>
          <w:rStyle w:val="null1"/>
          <w:iCs/>
        </w:rPr>
        <w:t>f PBS listings were to include a CPS ≥20 threshold for pembrolizumab monotherapy and CPS</w:t>
      </w:r>
      <w:r w:rsidR="008E3155">
        <w:rPr>
          <w:rStyle w:val="null1"/>
          <w:iCs/>
        </w:rPr>
        <w:t> </w:t>
      </w:r>
      <w:r w:rsidR="00F83CFD" w:rsidRPr="00FF78E1">
        <w:rPr>
          <w:rStyle w:val="null1"/>
          <w:rFonts w:cstheme="minorHAnsi"/>
          <w:iCs/>
        </w:rPr>
        <w:t>≥</w:t>
      </w:r>
      <w:r w:rsidR="00F83CFD" w:rsidRPr="00FF78E1">
        <w:rPr>
          <w:rStyle w:val="null1"/>
          <w:iCs/>
        </w:rPr>
        <w:t xml:space="preserve">1 threshold for pembrolizumab plus chemotherapy the proportion of patients treated with monotherapy would be around 40%. </w:t>
      </w:r>
      <w:proofErr w:type="gramStart"/>
      <w:r w:rsidR="00F83CFD" w:rsidRPr="00FF78E1">
        <w:rPr>
          <w:rStyle w:val="null1"/>
          <w:iCs/>
        </w:rPr>
        <w:t>However</w:t>
      </w:r>
      <w:proofErr w:type="gramEnd"/>
      <w:r w:rsidR="00F83CFD" w:rsidRPr="00FF78E1">
        <w:rPr>
          <w:rStyle w:val="null1"/>
          <w:iCs/>
        </w:rPr>
        <w:t xml:space="preserve"> </w:t>
      </w:r>
      <w:r w:rsidR="005C3BE1">
        <w:rPr>
          <w:rStyle w:val="null1"/>
          <w:iCs/>
        </w:rPr>
        <w:t>the PBAC considered with a</w:t>
      </w:r>
      <w:r w:rsidR="001076CA" w:rsidRPr="00FF78E1">
        <w:rPr>
          <w:rStyle w:val="null1"/>
          <w:iCs/>
        </w:rPr>
        <w:t xml:space="preserve"> CPS ≥20 threshold for pembrolizumab monotherapy and an allcomers </w:t>
      </w:r>
      <w:r w:rsidR="008E3155">
        <w:rPr>
          <w:rStyle w:val="null1"/>
          <w:iCs/>
        </w:rPr>
        <w:t>listing</w:t>
      </w:r>
      <w:r w:rsidR="001076CA" w:rsidRPr="00FF78E1">
        <w:rPr>
          <w:rStyle w:val="null1"/>
          <w:iCs/>
        </w:rPr>
        <w:t xml:space="preserve"> for pembrolizumab plus chemotherapy,</w:t>
      </w:r>
      <w:r w:rsidR="005C3BE1">
        <w:rPr>
          <w:rStyle w:val="null1"/>
          <w:iCs/>
        </w:rPr>
        <w:t xml:space="preserve"> </w:t>
      </w:r>
      <w:r w:rsidR="004029D9" w:rsidRPr="00FF78E1">
        <w:rPr>
          <w:rStyle w:val="null1"/>
          <w:iCs/>
        </w:rPr>
        <w:t xml:space="preserve">the proportion of patients treated with monotherapy would be </w:t>
      </w:r>
      <w:r w:rsidR="008E3155">
        <w:rPr>
          <w:rStyle w:val="null1"/>
          <w:iCs/>
        </w:rPr>
        <w:t xml:space="preserve">expected to be </w:t>
      </w:r>
      <w:r w:rsidR="004029D9" w:rsidRPr="00FF78E1">
        <w:rPr>
          <w:rStyle w:val="null1"/>
          <w:iCs/>
        </w:rPr>
        <w:t>reduced</w:t>
      </w:r>
      <w:r w:rsidR="00FF78E1" w:rsidRPr="00FF78E1">
        <w:rPr>
          <w:rStyle w:val="null1"/>
          <w:iCs/>
        </w:rPr>
        <w:t xml:space="preserve"> to</w:t>
      </w:r>
      <w:r w:rsidR="004029D9" w:rsidRPr="00FF78E1">
        <w:rPr>
          <w:rStyle w:val="null1"/>
          <w:iCs/>
        </w:rPr>
        <w:t xml:space="preserve"> around 30%</w:t>
      </w:r>
      <w:r w:rsidR="00FF78E1">
        <w:rPr>
          <w:rStyle w:val="null1"/>
          <w:iCs/>
        </w:rPr>
        <w:t>.</w:t>
      </w:r>
      <w:r w:rsidR="00CE5560">
        <w:rPr>
          <w:rStyle w:val="null1"/>
          <w:iCs/>
        </w:rPr>
        <w:t xml:space="preserve"> This takes into </w:t>
      </w:r>
      <w:r w:rsidR="00CE5560">
        <w:rPr>
          <w:rStyle w:val="null1"/>
          <w:iCs/>
        </w:rPr>
        <w:lastRenderedPageBreak/>
        <w:t>consideration the proportion of patients expected to have CPS &lt;20 (5</w:t>
      </w:r>
      <w:r w:rsidR="00490061">
        <w:rPr>
          <w:rStyle w:val="null1"/>
          <w:iCs/>
        </w:rPr>
        <w:t>6</w:t>
      </w:r>
      <w:r w:rsidR="00CE5560">
        <w:rPr>
          <w:rStyle w:val="null1"/>
          <w:iCs/>
        </w:rPr>
        <w:t xml:space="preserve">% as per </w:t>
      </w:r>
      <w:r w:rsidR="00490061">
        <w:rPr>
          <w:rStyle w:val="null1"/>
          <w:iCs/>
        </w:rPr>
        <w:t xml:space="preserve">monotherapy population in </w:t>
      </w:r>
      <w:r w:rsidR="00CE5560">
        <w:rPr>
          <w:rStyle w:val="null1"/>
          <w:iCs/>
        </w:rPr>
        <w:t xml:space="preserve">KN048) </w:t>
      </w:r>
      <w:r w:rsidR="005D6573">
        <w:rPr>
          <w:rStyle w:val="null1"/>
          <w:iCs/>
        </w:rPr>
        <w:t xml:space="preserve">who would only be eligible for combination therapy </w:t>
      </w:r>
      <w:r w:rsidR="00CE5560">
        <w:rPr>
          <w:rStyle w:val="null1"/>
          <w:iCs/>
        </w:rPr>
        <w:t xml:space="preserve">and also the proportion of patients who would be expected to receive combination treatment with chemotherapy for other </w:t>
      </w:r>
      <w:r w:rsidR="00731413">
        <w:rPr>
          <w:rStyle w:val="null1"/>
          <w:iCs/>
        </w:rPr>
        <w:t xml:space="preserve">clinical </w:t>
      </w:r>
      <w:r w:rsidR="00CE5560">
        <w:rPr>
          <w:rStyle w:val="null1"/>
          <w:iCs/>
        </w:rPr>
        <w:t>reasons</w:t>
      </w:r>
      <w:r w:rsidR="005D6573">
        <w:rPr>
          <w:rStyle w:val="null1"/>
          <w:iCs/>
        </w:rPr>
        <w:t>,</w:t>
      </w:r>
      <w:r w:rsidR="00731413">
        <w:rPr>
          <w:rStyle w:val="null1"/>
          <w:iCs/>
        </w:rPr>
        <w:t xml:space="preserve"> </w:t>
      </w:r>
      <w:proofErr w:type="gramStart"/>
      <w:r w:rsidR="005D6573">
        <w:rPr>
          <w:rStyle w:val="null1"/>
          <w:iCs/>
        </w:rPr>
        <w:t>e.g.</w:t>
      </w:r>
      <w:proofErr w:type="gramEnd"/>
      <w:r w:rsidR="005D6573">
        <w:rPr>
          <w:rStyle w:val="null1"/>
          <w:iCs/>
        </w:rPr>
        <w:t xml:space="preserve"> </w:t>
      </w:r>
      <w:r w:rsidR="00731413">
        <w:rPr>
          <w:rStyle w:val="null1"/>
          <w:iCs/>
        </w:rPr>
        <w:t xml:space="preserve">where a </w:t>
      </w:r>
      <w:r w:rsidR="00DD2A16">
        <w:rPr>
          <w:rStyle w:val="null1"/>
          <w:iCs/>
        </w:rPr>
        <w:t xml:space="preserve">more </w:t>
      </w:r>
      <w:r w:rsidR="00731413">
        <w:rPr>
          <w:rStyle w:val="null1"/>
          <w:iCs/>
        </w:rPr>
        <w:t>rapid response to treatment is needed.</w:t>
      </w:r>
      <w:bookmarkEnd w:id="10"/>
    </w:p>
    <w:p w14:paraId="5E8378AA" w14:textId="77777777" w:rsidR="00D7609F" w:rsidRPr="00A24A89" w:rsidRDefault="00D7609F" w:rsidP="00D7609F">
      <w:pPr>
        <w:pStyle w:val="ListParagraph"/>
        <w:numPr>
          <w:ilvl w:val="4"/>
          <w:numId w:val="1"/>
        </w:numPr>
        <w:rPr>
          <w:color w:val="auto"/>
        </w:rPr>
      </w:pPr>
      <w:r w:rsidRPr="00A24A89">
        <w:rPr>
          <w:color w:val="auto"/>
        </w:rPr>
        <w:t xml:space="preserve">The resubmission proposed that PD-L1 testing will become a part of the diagnostic workup in patients with newly diagnosed metastatic disease. Patients whose disease has recurred and who </w:t>
      </w:r>
      <w:r w:rsidR="0063362B">
        <w:rPr>
          <w:color w:val="auto"/>
        </w:rPr>
        <w:t>are</w:t>
      </w:r>
      <w:r w:rsidR="0063362B" w:rsidRPr="00A24A89">
        <w:rPr>
          <w:color w:val="auto"/>
        </w:rPr>
        <w:t xml:space="preserve"> </w:t>
      </w:r>
      <w:r w:rsidRPr="00A24A89">
        <w:rPr>
          <w:color w:val="auto"/>
        </w:rPr>
        <w:t xml:space="preserve">not suitable for local treatment are currently re-biopsied as part of standard treatment. Once PD-L1 status </w:t>
      </w:r>
      <w:r w:rsidR="0063362B">
        <w:rPr>
          <w:color w:val="auto"/>
        </w:rPr>
        <w:t>is</w:t>
      </w:r>
      <w:r w:rsidR="0063362B" w:rsidRPr="00A24A89">
        <w:rPr>
          <w:color w:val="auto"/>
        </w:rPr>
        <w:t xml:space="preserve"> </w:t>
      </w:r>
      <w:r w:rsidRPr="00A24A89">
        <w:rPr>
          <w:color w:val="auto"/>
        </w:rPr>
        <w:t>confirmed pembrolizumab may be considered as a treatment option.</w:t>
      </w:r>
      <w:r w:rsidR="00817232">
        <w:rPr>
          <w:color w:val="auto"/>
        </w:rPr>
        <w:t xml:space="preserve"> The PBAC noted that if the combination treatment listing was for an allcomers population PD-L1 testing may not be required for access to treatment in combination with chemotherapy but may still be considered informative</w:t>
      </w:r>
      <w:r w:rsidR="0052574B">
        <w:rPr>
          <w:color w:val="auto"/>
        </w:rPr>
        <w:t xml:space="preserve"> for clinical decision-making</w:t>
      </w:r>
      <w:r w:rsidR="00817232">
        <w:rPr>
          <w:color w:val="auto"/>
        </w:rPr>
        <w:t xml:space="preserve">. </w:t>
      </w:r>
    </w:p>
    <w:p w14:paraId="74B8F735" w14:textId="77777777" w:rsidR="00D7609F" w:rsidRPr="002C6D6F" w:rsidRDefault="00D7609F" w:rsidP="00D7609F">
      <w:pPr>
        <w:pStyle w:val="PBACESHeading1"/>
        <w:numPr>
          <w:ilvl w:val="0"/>
          <w:numId w:val="1"/>
        </w:numPr>
        <w:tabs>
          <w:tab w:val="clear" w:pos="1077"/>
          <w:tab w:val="left" w:pos="709"/>
        </w:tabs>
        <w:ind w:left="0" w:firstLine="0"/>
      </w:pPr>
      <w:bookmarkStart w:id="11" w:name="_Toc81727544"/>
      <w:bookmarkStart w:id="12" w:name="_Toc82600093"/>
      <w:r w:rsidRPr="002C6D6F">
        <w:t>Requested listing</w:t>
      </w:r>
      <w:bookmarkEnd w:id="11"/>
      <w:bookmarkEnd w:id="12"/>
    </w:p>
    <w:p w14:paraId="76F0AA35" w14:textId="77777777" w:rsidR="00E05C6C" w:rsidRPr="002C6D6F" w:rsidRDefault="008618FB" w:rsidP="00E05C6C">
      <w:pPr>
        <w:pStyle w:val="ListParagraph"/>
        <w:numPr>
          <w:ilvl w:val="4"/>
          <w:numId w:val="1"/>
        </w:numPr>
        <w:rPr>
          <w:i/>
          <w:color w:val="auto"/>
        </w:rPr>
      </w:pPr>
      <w:r w:rsidRPr="002C6D6F">
        <w:rPr>
          <w:iCs/>
          <w:color w:val="auto"/>
        </w:rPr>
        <w:t>The requested listing with the Secretariat’s suggested amendments in italics and strikethrough is shown below.</w:t>
      </w:r>
    </w:p>
    <w:p w14:paraId="09BE9A22" w14:textId="77777777" w:rsidR="00D7609F" w:rsidRPr="00A24A89" w:rsidRDefault="00D7609F" w:rsidP="00D7609F">
      <w:pPr>
        <w:rPr>
          <w:b/>
        </w:rPr>
      </w:pPr>
      <w:r w:rsidRPr="002C6D6F">
        <w:rPr>
          <w:b/>
        </w:rPr>
        <w:t>Proposed PBS</w:t>
      </w:r>
      <w:r w:rsidRPr="00A24A89">
        <w:rPr>
          <w:b/>
        </w:rPr>
        <w:t xml:space="preserve"> Listing</w:t>
      </w:r>
    </w:p>
    <w:tbl>
      <w:tblPr>
        <w:tblW w:w="5024" w:type="pct"/>
        <w:tblCellMar>
          <w:left w:w="28" w:type="dxa"/>
          <w:right w:w="28" w:type="dxa"/>
        </w:tblCellMar>
        <w:tblLook w:val="0000" w:firstRow="0" w:lastRow="0" w:firstColumn="0" w:lastColumn="0" w:noHBand="0" w:noVBand="0"/>
      </w:tblPr>
      <w:tblGrid>
        <w:gridCol w:w="422"/>
        <w:gridCol w:w="715"/>
        <w:gridCol w:w="2447"/>
        <w:gridCol w:w="720"/>
        <w:gridCol w:w="876"/>
        <w:gridCol w:w="1611"/>
        <w:gridCol w:w="715"/>
        <w:gridCol w:w="1538"/>
        <w:gridCol w:w="25"/>
      </w:tblGrid>
      <w:tr w:rsidR="00D7609F" w:rsidRPr="00A24A89" w14:paraId="2C123EAC" w14:textId="77777777" w:rsidTr="008618FB">
        <w:trPr>
          <w:gridAfter w:val="1"/>
          <w:wAfter w:w="14" w:type="pct"/>
          <w:cantSplit/>
          <w:trHeight w:val="463"/>
        </w:trPr>
        <w:tc>
          <w:tcPr>
            <w:tcW w:w="1976" w:type="pct"/>
            <w:gridSpan w:val="3"/>
            <w:tcBorders>
              <w:bottom w:val="single" w:sz="4" w:space="0" w:color="auto"/>
            </w:tcBorders>
            <w:vAlign w:val="center"/>
          </w:tcPr>
          <w:p w14:paraId="702BCCF6" w14:textId="77777777" w:rsidR="00D7609F" w:rsidRPr="00A24A89" w:rsidRDefault="00D7609F" w:rsidP="006419CD">
            <w:pPr>
              <w:pStyle w:val="TableText"/>
            </w:pPr>
            <w:r w:rsidRPr="00A24A89">
              <w:t>Name, Restriction,</w:t>
            </w:r>
          </w:p>
          <w:p w14:paraId="5B62E590" w14:textId="77777777" w:rsidR="00D7609F" w:rsidRPr="00A24A89" w:rsidRDefault="00D7609F" w:rsidP="006419CD">
            <w:pPr>
              <w:pStyle w:val="TableText"/>
            </w:pPr>
            <w:r w:rsidRPr="00A24A89">
              <w:t>Manner of administration and form</w:t>
            </w:r>
          </w:p>
        </w:tc>
        <w:tc>
          <w:tcPr>
            <w:tcW w:w="397" w:type="pct"/>
            <w:tcBorders>
              <w:bottom w:val="single" w:sz="4" w:space="0" w:color="auto"/>
            </w:tcBorders>
            <w:vAlign w:val="center"/>
          </w:tcPr>
          <w:p w14:paraId="7C0DAA3D" w14:textId="77777777" w:rsidR="00D7609F" w:rsidRPr="00A24A89" w:rsidRDefault="00D7609F" w:rsidP="006419CD">
            <w:pPr>
              <w:pStyle w:val="TableText"/>
            </w:pPr>
            <w:r w:rsidRPr="00A24A89">
              <w:t>Max. Amount</w:t>
            </w:r>
          </w:p>
        </w:tc>
        <w:tc>
          <w:tcPr>
            <w:tcW w:w="483" w:type="pct"/>
            <w:tcBorders>
              <w:bottom w:val="single" w:sz="4" w:space="0" w:color="auto"/>
            </w:tcBorders>
            <w:vAlign w:val="center"/>
          </w:tcPr>
          <w:p w14:paraId="3348D9B3" w14:textId="77777777" w:rsidR="00D7609F" w:rsidRPr="00A24A89" w:rsidRDefault="00D7609F" w:rsidP="006419CD">
            <w:pPr>
              <w:pStyle w:val="TableText"/>
            </w:pPr>
            <w:proofErr w:type="gramStart"/>
            <w:r w:rsidRPr="00A24A89">
              <w:t>№.of</w:t>
            </w:r>
            <w:proofErr w:type="gramEnd"/>
          </w:p>
          <w:p w14:paraId="0CD48577" w14:textId="77777777" w:rsidR="00D7609F" w:rsidRPr="00A24A89" w:rsidRDefault="00D7609F" w:rsidP="006419CD">
            <w:pPr>
              <w:pStyle w:val="TableText"/>
            </w:pPr>
            <w:proofErr w:type="spellStart"/>
            <w:r w:rsidRPr="00A24A89">
              <w:t>Rpts</w:t>
            </w:r>
            <w:proofErr w:type="spellEnd"/>
          </w:p>
        </w:tc>
        <w:tc>
          <w:tcPr>
            <w:tcW w:w="888" w:type="pct"/>
            <w:tcBorders>
              <w:bottom w:val="single" w:sz="4" w:space="0" w:color="auto"/>
            </w:tcBorders>
            <w:vAlign w:val="center"/>
          </w:tcPr>
          <w:p w14:paraId="5010ED1D" w14:textId="77777777" w:rsidR="00D7609F" w:rsidRPr="00A24A89" w:rsidRDefault="00D7609F" w:rsidP="006419CD">
            <w:pPr>
              <w:pStyle w:val="TableText"/>
            </w:pPr>
            <w:r w:rsidRPr="00A24A89">
              <w:t>Dispensed Price for Max. Amount</w:t>
            </w:r>
          </w:p>
        </w:tc>
        <w:tc>
          <w:tcPr>
            <w:tcW w:w="1242" w:type="pct"/>
            <w:gridSpan w:val="2"/>
            <w:tcBorders>
              <w:bottom w:val="single" w:sz="4" w:space="0" w:color="auto"/>
            </w:tcBorders>
            <w:vAlign w:val="center"/>
          </w:tcPr>
          <w:p w14:paraId="346544EE" w14:textId="77777777" w:rsidR="00D7609F" w:rsidRPr="00A24A89" w:rsidRDefault="00D7609F" w:rsidP="006419CD">
            <w:pPr>
              <w:pStyle w:val="TableText"/>
            </w:pPr>
            <w:r w:rsidRPr="00A24A89">
              <w:t>Proprietary Name and Manufacturer</w:t>
            </w:r>
          </w:p>
        </w:tc>
      </w:tr>
      <w:tr w:rsidR="00D7609F" w:rsidRPr="00A24A89" w14:paraId="01EB58ED" w14:textId="77777777" w:rsidTr="008618FB">
        <w:trPr>
          <w:gridAfter w:val="1"/>
          <w:wAfter w:w="14" w:type="pct"/>
          <w:cantSplit/>
          <w:trHeight w:val="567"/>
        </w:trPr>
        <w:tc>
          <w:tcPr>
            <w:tcW w:w="1976" w:type="pct"/>
            <w:gridSpan w:val="3"/>
          </w:tcPr>
          <w:p w14:paraId="52FB08A7" w14:textId="77777777" w:rsidR="00D7609F" w:rsidRPr="00A24A89" w:rsidRDefault="00E452E1" w:rsidP="006419CD">
            <w:pPr>
              <w:pStyle w:val="TableText"/>
            </w:pPr>
            <w:r w:rsidRPr="00E452E1">
              <w:t>Pembrolizumab 100 mg/4 mL injection, 4 mL vial</w:t>
            </w:r>
          </w:p>
        </w:tc>
        <w:tc>
          <w:tcPr>
            <w:tcW w:w="397" w:type="pct"/>
          </w:tcPr>
          <w:p w14:paraId="0387C30B" w14:textId="77777777" w:rsidR="00D7609F" w:rsidRPr="00A24A89" w:rsidRDefault="00D7609F" w:rsidP="006419CD">
            <w:pPr>
              <w:pStyle w:val="TableText"/>
            </w:pPr>
            <w:r w:rsidRPr="00A24A89">
              <w:t>200mg</w:t>
            </w:r>
          </w:p>
        </w:tc>
        <w:tc>
          <w:tcPr>
            <w:tcW w:w="483" w:type="pct"/>
          </w:tcPr>
          <w:p w14:paraId="0A521E58" w14:textId="77777777" w:rsidR="00D7609F" w:rsidRPr="00A24A89" w:rsidRDefault="00D7609F" w:rsidP="006419CD">
            <w:pPr>
              <w:pStyle w:val="TableText"/>
            </w:pPr>
            <w:r w:rsidRPr="00A24A89">
              <w:t>6</w:t>
            </w:r>
          </w:p>
        </w:tc>
        <w:tc>
          <w:tcPr>
            <w:tcW w:w="888" w:type="pct"/>
          </w:tcPr>
          <w:p w14:paraId="0B62C2EE" w14:textId="77777777" w:rsidR="00D7609F" w:rsidRPr="00A24A89" w:rsidRDefault="00D7609F" w:rsidP="006419CD">
            <w:pPr>
              <w:pStyle w:val="TableText"/>
            </w:pPr>
            <w:r w:rsidRPr="00A24A89">
              <w:t>Published</w:t>
            </w:r>
          </w:p>
          <w:p w14:paraId="66DCD756" w14:textId="77777777" w:rsidR="00D7609F" w:rsidRPr="00A24A89" w:rsidRDefault="00D7609F" w:rsidP="006419CD">
            <w:pPr>
              <w:pStyle w:val="TableText"/>
            </w:pPr>
            <w:r w:rsidRPr="00A24A89">
              <w:t>$7,880.98 (private)</w:t>
            </w:r>
          </w:p>
          <w:p w14:paraId="413DE4E5" w14:textId="77777777" w:rsidR="00D7609F" w:rsidRPr="00A24A89" w:rsidRDefault="00D7609F" w:rsidP="006419CD">
            <w:pPr>
              <w:pStyle w:val="TableText"/>
            </w:pPr>
            <w:r w:rsidRPr="00A24A89">
              <w:t>$7,733.28 (public)</w:t>
            </w:r>
          </w:p>
          <w:p w14:paraId="7E82F92F" w14:textId="77777777" w:rsidR="00D7609F" w:rsidRPr="00A24A89" w:rsidRDefault="00D7609F" w:rsidP="006419CD">
            <w:pPr>
              <w:pStyle w:val="TableText"/>
              <w:rPr>
                <w:vertAlign w:val="superscript"/>
              </w:rPr>
            </w:pPr>
            <w:r w:rsidRPr="00A24A89">
              <w:t>Effective (SPA)</w:t>
            </w:r>
            <w:r w:rsidR="004F5BFC" w:rsidRPr="004F5BFC">
              <w:rPr>
                <w:vertAlign w:val="superscript"/>
              </w:rPr>
              <w:t>a</w:t>
            </w:r>
          </w:p>
          <w:p w14:paraId="019E71AB" w14:textId="410F92D4" w:rsidR="00D7609F" w:rsidRPr="00A24A89" w:rsidRDefault="00D7609F" w:rsidP="006419CD">
            <w:pPr>
              <w:pStyle w:val="TableText"/>
            </w:pPr>
            <w:r w:rsidRPr="00A24A89">
              <w:t>$</w:t>
            </w:r>
            <w:r w:rsidR="009A1388" w:rsidRPr="009A1388">
              <w:rPr>
                <w:noProof/>
                <w:color w:val="000000"/>
                <w:spacing w:val="52"/>
                <w:shd w:val="solid" w:color="000000" w:fill="000000"/>
                <w:fitText w:val="330" w:id="-1500867328"/>
                <w14:textFill>
                  <w14:solidFill>
                    <w14:srgbClr w14:val="000000">
                      <w14:alpha w14:val="100000"/>
                    </w14:srgbClr>
                  </w14:solidFill>
                </w14:textFill>
              </w:rPr>
              <w:t>|||</w:t>
            </w:r>
            <w:r w:rsidR="009A1388" w:rsidRPr="009A1388">
              <w:rPr>
                <w:noProof/>
                <w:color w:val="000000"/>
                <w:spacing w:val="2"/>
                <w:shd w:val="solid" w:color="000000" w:fill="000000"/>
                <w:fitText w:val="330" w:id="-1500867328"/>
                <w14:textFill>
                  <w14:solidFill>
                    <w14:srgbClr w14:val="000000">
                      <w14:alpha w14:val="100000"/>
                    </w14:srgbClr>
                  </w14:solidFill>
                </w14:textFill>
              </w:rPr>
              <w:t>|</w:t>
            </w:r>
            <w:r w:rsidRPr="00A24A89">
              <w:t>(private)</w:t>
            </w:r>
          </w:p>
          <w:p w14:paraId="367B6EAF" w14:textId="1BBE38EF" w:rsidR="00D7609F" w:rsidRPr="00A24A89" w:rsidRDefault="00D7609F" w:rsidP="006419CD">
            <w:pPr>
              <w:pStyle w:val="TableText"/>
            </w:pPr>
            <w:r w:rsidRPr="00A24A89">
              <w:t>$</w:t>
            </w:r>
            <w:r w:rsidR="009A1388" w:rsidRPr="009A1388">
              <w:rPr>
                <w:noProof/>
                <w:color w:val="000000"/>
                <w:spacing w:val="52"/>
                <w:shd w:val="solid" w:color="000000" w:fill="000000"/>
                <w:fitText w:val="330" w:id="-1500867327"/>
                <w14:textFill>
                  <w14:solidFill>
                    <w14:srgbClr w14:val="000000">
                      <w14:alpha w14:val="100000"/>
                    </w14:srgbClr>
                  </w14:solidFill>
                </w14:textFill>
              </w:rPr>
              <w:t>|||</w:t>
            </w:r>
            <w:r w:rsidR="009A1388" w:rsidRPr="009A1388">
              <w:rPr>
                <w:noProof/>
                <w:color w:val="000000"/>
                <w:spacing w:val="2"/>
                <w:shd w:val="solid" w:color="000000" w:fill="000000"/>
                <w:fitText w:val="330" w:id="-1500867327"/>
                <w14:textFill>
                  <w14:solidFill>
                    <w14:srgbClr w14:val="000000">
                      <w14:alpha w14:val="100000"/>
                    </w14:srgbClr>
                  </w14:solidFill>
                </w14:textFill>
              </w:rPr>
              <w:t>|</w:t>
            </w:r>
            <w:r w:rsidRPr="00A24A89">
              <w:t>(public)</w:t>
            </w:r>
          </w:p>
        </w:tc>
        <w:tc>
          <w:tcPr>
            <w:tcW w:w="394" w:type="pct"/>
            <w:vAlign w:val="center"/>
          </w:tcPr>
          <w:p w14:paraId="385206F1" w14:textId="77777777" w:rsidR="00D7609F" w:rsidRPr="00A24A89" w:rsidRDefault="00D7609F" w:rsidP="006419CD">
            <w:pPr>
              <w:pStyle w:val="TableText"/>
            </w:pPr>
            <w:r w:rsidRPr="00A24A89">
              <w:t>Keytruda</w:t>
            </w:r>
          </w:p>
        </w:tc>
        <w:tc>
          <w:tcPr>
            <w:tcW w:w="848" w:type="pct"/>
            <w:vAlign w:val="center"/>
          </w:tcPr>
          <w:p w14:paraId="3DE128E9" w14:textId="77777777" w:rsidR="00D7609F" w:rsidRPr="00A24A89" w:rsidRDefault="00D7609F" w:rsidP="006419CD">
            <w:pPr>
              <w:pStyle w:val="TableText"/>
            </w:pPr>
            <w:r w:rsidRPr="00A24A89">
              <w:t>MK</w:t>
            </w:r>
          </w:p>
        </w:tc>
      </w:tr>
      <w:tr w:rsidR="008618FB" w:rsidRPr="008618FB" w14:paraId="0D37D01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tcBorders>
              <w:top w:val="single" w:sz="4" w:space="0" w:color="auto"/>
              <w:left w:val="single" w:sz="4" w:space="0" w:color="auto"/>
              <w:right w:val="single" w:sz="4" w:space="0" w:color="auto"/>
            </w:tcBorders>
          </w:tcPr>
          <w:p w14:paraId="3CBF2D40" w14:textId="77777777" w:rsidR="008618FB" w:rsidRPr="008618FB" w:rsidRDefault="008618FB" w:rsidP="008618FB">
            <w:pPr>
              <w:spacing w:before="0" w:after="0"/>
              <w:rPr>
                <w:rFonts w:ascii="Arial Narrow" w:hAnsi="Arial Narrow" w:cs="Arial"/>
                <w:b/>
                <w:color w:val="000000" w:themeColor="text1"/>
                <w:sz w:val="20"/>
                <w:szCs w:val="20"/>
              </w:rPr>
            </w:pPr>
            <w:r w:rsidRPr="008618FB">
              <w:rPr>
                <w:rFonts w:ascii="Arial Narrow" w:hAnsi="Arial Narrow"/>
                <w:b/>
                <w:color w:val="000000" w:themeColor="text1"/>
                <w:sz w:val="20"/>
                <w:szCs w:val="20"/>
              </w:rPr>
              <w:t xml:space="preserve">Restriction Summary [new] / Treatment of Concept: [new] </w:t>
            </w:r>
          </w:p>
        </w:tc>
      </w:tr>
      <w:tr w:rsidR="008618FB" w:rsidRPr="008618FB" w14:paraId="196532B5"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Merge w:val="restart"/>
            <w:tcBorders>
              <w:top w:val="single" w:sz="4" w:space="0" w:color="auto"/>
              <w:left w:val="single" w:sz="4" w:space="0" w:color="auto"/>
              <w:right w:val="single" w:sz="4" w:space="0" w:color="auto"/>
            </w:tcBorders>
          </w:tcPr>
          <w:p w14:paraId="3136B2AF" w14:textId="77777777" w:rsidR="008618FB" w:rsidRPr="008618FB" w:rsidRDefault="008618FB" w:rsidP="008618FB">
            <w:pPr>
              <w:spacing w:before="0" w:after="0"/>
              <w:rPr>
                <w:rFonts w:ascii="Arial Narrow" w:hAnsi="Arial Narrow" w:cs="Arial"/>
                <w:b/>
                <w:color w:val="000000" w:themeColor="text1"/>
                <w:sz w:val="20"/>
                <w:szCs w:val="20"/>
              </w:rPr>
            </w:pPr>
          </w:p>
        </w:tc>
        <w:tc>
          <w:tcPr>
            <w:tcW w:w="4373" w:type="pct"/>
            <w:gridSpan w:val="7"/>
            <w:tcBorders>
              <w:top w:val="single" w:sz="4" w:space="0" w:color="auto"/>
              <w:left w:val="single" w:sz="4" w:space="0" w:color="auto"/>
              <w:bottom w:val="single" w:sz="4" w:space="0" w:color="auto"/>
              <w:right w:val="single" w:sz="4" w:space="0" w:color="auto"/>
            </w:tcBorders>
          </w:tcPr>
          <w:p w14:paraId="1A71C37C" w14:textId="77777777" w:rsidR="008618FB" w:rsidRPr="008618FB" w:rsidRDefault="008618FB" w:rsidP="008618FB">
            <w:pPr>
              <w:spacing w:before="0" w:after="0"/>
              <w:rPr>
                <w:rFonts w:ascii="Arial Narrow" w:hAnsi="Arial Narrow" w:cs="Arial"/>
                <w:color w:val="000000" w:themeColor="text1"/>
                <w:sz w:val="20"/>
                <w:szCs w:val="20"/>
              </w:rPr>
            </w:pPr>
            <w:r w:rsidRPr="008618FB">
              <w:rPr>
                <w:rFonts w:ascii="Arial Narrow" w:hAnsi="Arial Narrow" w:cs="Arial"/>
                <w:b/>
                <w:color w:val="000000" w:themeColor="text1"/>
                <w:sz w:val="20"/>
                <w:szCs w:val="20"/>
              </w:rPr>
              <w:t xml:space="preserve">Category / Program: </w:t>
            </w:r>
            <w:r w:rsidRPr="008618FB">
              <w:rPr>
                <w:rFonts w:ascii="Arial Narrow" w:hAnsi="Arial Narrow" w:cs="Arial"/>
                <w:color w:val="000000" w:themeColor="text1"/>
                <w:sz w:val="20"/>
                <w:szCs w:val="20"/>
              </w:rPr>
              <w:t>Section 100 – Efficient Funding of Chemotherapy Public/Private hospitals (Related Benefits)</w:t>
            </w:r>
          </w:p>
        </w:tc>
      </w:tr>
      <w:tr w:rsidR="008618FB" w:rsidRPr="008618FB" w14:paraId="6589BD2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0"/>
        </w:trPr>
        <w:tc>
          <w:tcPr>
            <w:tcW w:w="627" w:type="pct"/>
            <w:gridSpan w:val="2"/>
            <w:vMerge/>
            <w:tcBorders>
              <w:left w:val="single" w:sz="4" w:space="0" w:color="auto"/>
              <w:right w:val="single" w:sz="4" w:space="0" w:color="auto"/>
            </w:tcBorders>
          </w:tcPr>
          <w:p w14:paraId="5A57083E" w14:textId="77777777" w:rsidR="008618FB" w:rsidRPr="008618FB" w:rsidRDefault="008618FB" w:rsidP="008618FB">
            <w:pPr>
              <w:spacing w:before="0" w:after="0"/>
              <w:rPr>
                <w:rFonts w:ascii="Arial Narrow" w:hAnsi="Arial Narrow" w:cs="Arial"/>
                <w:color w:val="000000" w:themeColor="text1"/>
                <w:sz w:val="20"/>
                <w:szCs w:val="20"/>
              </w:rPr>
            </w:pPr>
          </w:p>
        </w:tc>
        <w:tc>
          <w:tcPr>
            <w:tcW w:w="4373" w:type="pct"/>
            <w:gridSpan w:val="7"/>
            <w:tcBorders>
              <w:top w:val="single" w:sz="4" w:space="0" w:color="auto"/>
              <w:left w:val="single" w:sz="4" w:space="0" w:color="auto"/>
              <w:bottom w:val="single" w:sz="4" w:space="0" w:color="auto"/>
              <w:right w:val="single" w:sz="4" w:space="0" w:color="auto"/>
            </w:tcBorders>
          </w:tcPr>
          <w:p w14:paraId="57E41F18" w14:textId="77777777" w:rsidR="008618FB" w:rsidRPr="008618FB" w:rsidRDefault="008618FB" w:rsidP="008618FB">
            <w:pPr>
              <w:spacing w:before="0" w:after="0"/>
              <w:rPr>
                <w:rFonts w:ascii="Arial Narrow" w:hAnsi="Arial Narrow" w:cs="Arial"/>
                <w:b/>
                <w:color w:val="000000" w:themeColor="text1"/>
                <w:sz w:val="20"/>
                <w:szCs w:val="20"/>
              </w:rPr>
            </w:pPr>
            <w:r w:rsidRPr="008618FB">
              <w:rPr>
                <w:rFonts w:ascii="Arial Narrow" w:hAnsi="Arial Narrow" w:cs="Arial"/>
                <w:b/>
                <w:color w:val="000000" w:themeColor="text1"/>
                <w:sz w:val="20"/>
                <w:szCs w:val="20"/>
              </w:rPr>
              <w:t xml:space="preserve">Prescriber type:   </w:t>
            </w:r>
            <w:r w:rsidRPr="008618FB">
              <w:rPr>
                <w:rFonts w:ascii="Arial Narrow" w:hAnsi="Arial Narrow" w:cs="Arial"/>
                <w:color w:val="000000" w:themeColor="text1"/>
                <w:sz w:val="20"/>
                <w:szCs w:val="20"/>
              </w:rPr>
              <w:fldChar w:fldCharType="begin">
                <w:ffData>
                  <w:name w:val=""/>
                  <w:enabled/>
                  <w:calcOnExit w:val="0"/>
                  <w:checkBox>
                    <w:sizeAuto/>
                    <w:default w:val="1"/>
                  </w:checkBox>
                </w:ffData>
              </w:fldChar>
            </w:r>
            <w:r w:rsidRPr="008618FB">
              <w:rPr>
                <w:rFonts w:ascii="Arial Narrow" w:hAnsi="Arial Narrow" w:cs="Arial"/>
                <w:color w:val="000000" w:themeColor="text1"/>
                <w:sz w:val="20"/>
                <w:szCs w:val="20"/>
              </w:rPr>
              <w:instrText xml:space="preserve"> FORMCHECKBOX </w:instrText>
            </w:r>
            <w:r w:rsidR="008B464E">
              <w:rPr>
                <w:rFonts w:ascii="Arial Narrow" w:hAnsi="Arial Narrow" w:cs="Arial"/>
                <w:color w:val="000000" w:themeColor="text1"/>
                <w:sz w:val="20"/>
                <w:szCs w:val="20"/>
              </w:rPr>
            </w:r>
            <w:r w:rsidR="008B464E">
              <w:rPr>
                <w:rFonts w:ascii="Arial Narrow" w:hAnsi="Arial Narrow" w:cs="Arial"/>
                <w:color w:val="000000" w:themeColor="text1"/>
                <w:sz w:val="20"/>
                <w:szCs w:val="20"/>
              </w:rPr>
              <w:fldChar w:fldCharType="separate"/>
            </w:r>
            <w:r w:rsidRPr="008618FB">
              <w:rPr>
                <w:rFonts w:ascii="Arial Narrow" w:hAnsi="Arial Narrow" w:cs="Arial"/>
                <w:color w:val="000000" w:themeColor="text1"/>
                <w:sz w:val="20"/>
                <w:szCs w:val="20"/>
              </w:rPr>
              <w:fldChar w:fldCharType="end"/>
            </w:r>
            <w:r w:rsidRPr="008618FB">
              <w:rPr>
                <w:rFonts w:ascii="Arial Narrow" w:hAnsi="Arial Narrow" w:cs="Arial"/>
                <w:color w:val="000000" w:themeColor="text1"/>
                <w:sz w:val="20"/>
                <w:szCs w:val="20"/>
              </w:rPr>
              <w:t>Medical Practitioners</w:t>
            </w:r>
          </w:p>
        </w:tc>
      </w:tr>
      <w:tr w:rsidR="008618FB" w:rsidRPr="008618FB" w14:paraId="6CA8C98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Merge/>
            <w:tcBorders>
              <w:left w:val="single" w:sz="4" w:space="0" w:color="auto"/>
              <w:bottom w:val="single" w:sz="4" w:space="0" w:color="auto"/>
              <w:right w:val="single" w:sz="4" w:space="0" w:color="auto"/>
            </w:tcBorders>
          </w:tcPr>
          <w:p w14:paraId="7029538E" w14:textId="77777777" w:rsidR="008618FB" w:rsidRPr="008618FB" w:rsidRDefault="008618FB" w:rsidP="008618FB">
            <w:pPr>
              <w:spacing w:before="0" w:after="0"/>
              <w:rPr>
                <w:rFonts w:ascii="Arial Narrow" w:hAnsi="Arial Narrow" w:cs="Arial"/>
                <w:color w:val="000000" w:themeColor="text1"/>
                <w:sz w:val="20"/>
                <w:szCs w:val="20"/>
              </w:rPr>
            </w:pPr>
          </w:p>
        </w:tc>
        <w:tc>
          <w:tcPr>
            <w:tcW w:w="4373" w:type="pct"/>
            <w:gridSpan w:val="7"/>
            <w:tcBorders>
              <w:top w:val="single" w:sz="4" w:space="0" w:color="auto"/>
              <w:left w:val="single" w:sz="4" w:space="0" w:color="auto"/>
              <w:bottom w:val="single" w:sz="4" w:space="0" w:color="auto"/>
              <w:right w:val="single" w:sz="4" w:space="0" w:color="auto"/>
            </w:tcBorders>
          </w:tcPr>
          <w:p w14:paraId="7C77741B" w14:textId="77777777" w:rsidR="008618FB" w:rsidRPr="008618FB" w:rsidRDefault="008618FB" w:rsidP="008618FB">
            <w:pPr>
              <w:spacing w:before="0" w:after="0"/>
              <w:rPr>
                <w:rFonts w:ascii="Arial Narrow" w:eastAsia="Calibri" w:hAnsi="Arial Narrow" w:cs="Arial"/>
                <w:color w:val="000000" w:themeColor="text1"/>
                <w:sz w:val="20"/>
                <w:szCs w:val="20"/>
              </w:rPr>
            </w:pPr>
            <w:r w:rsidRPr="008618FB">
              <w:rPr>
                <w:rFonts w:ascii="Arial Narrow" w:hAnsi="Arial Narrow" w:cs="Arial"/>
                <w:b/>
                <w:color w:val="000000" w:themeColor="text1"/>
                <w:sz w:val="20"/>
                <w:szCs w:val="20"/>
              </w:rPr>
              <w:t xml:space="preserve">Restriction type: </w:t>
            </w:r>
          </w:p>
          <w:p w14:paraId="0DAE2407" w14:textId="77777777" w:rsidR="008618FB" w:rsidRPr="008618FB" w:rsidRDefault="008618FB" w:rsidP="008618FB">
            <w:pPr>
              <w:spacing w:before="0" w:after="0"/>
              <w:rPr>
                <w:rFonts w:ascii="Arial Narrow" w:eastAsia="Calibri" w:hAnsi="Arial Narrow" w:cs="Arial"/>
                <w:color w:val="000000" w:themeColor="text1"/>
                <w:sz w:val="20"/>
                <w:szCs w:val="20"/>
              </w:rPr>
            </w:pPr>
            <w:r w:rsidRPr="008618FB">
              <w:rPr>
                <w:rFonts w:ascii="Arial Narrow" w:eastAsia="Calibri" w:hAnsi="Arial Narrow" w:cs="Arial"/>
                <w:color w:val="000000" w:themeColor="text1"/>
                <w:sz w:val="20"/>
                <w:szCs w:val="20"/>
              </w:rPr>
              <w:fldChar w:fldCharType="begin">
                <w:ffData>
                  <w:name w:val=""/>
                  <w:enabled/>
                  <w:calcOnExit w:val="0"/>
                  <w:checkBox>
                    <w:sizeAuto/>
                    <w:default w:val="1"/>
                  </w:checkBox>
                </w:ffData>
              </w:fldChar>
            </w:r>
            <w:r w:rsidRPr="008618FB">
              <w:rPr>
                <w:rFonts w:ascii="Arial Narrow" w:eastAsia="Calibri" w:hAnsi="Arial Narrow" w:cs="Arial"/>
                <w:color w:val="000000" w:themeColor="text1"/>
                <w:sz w:val="20"/>
                <w:szCs w:val="20"/>
              </w:rPr>
              <w:instrText xml:space="preserve"> FORMCHECKBOX </w:instrText>
            </w:r>
            <w:r w:rsidR="008B464E">
              <w:rPr>
                <w:rFonts w:ascii="Arial Narrow" w:eastAsia="Calibri" w:hAnsi="Arial Narrow" w:cs="Arial"/>
                <w:color w:val="000000" w:themeColor="text1"/>
                <w:sz w:val="20"/>
                <w:szCs w:val="20"/>
              </w:rPr>
            </w:r>
            <w:r w:rsidR="008B464E">
              <w:rPr>
                <w:rFonts w:ascii="Arial Narrow" w:eastAsia="Calibri" w:hAnsi="Arial Narrow" w:cs="Arial"/>
                <w:color w:val="000000" w:themeColor="text1"/>
                <w:sz w:val="20"/>
                <w:szCs w:val="20"/>
              </w:rPr>
              <w:fldChar w:fldCharType="separate"/>
            </w:r>
            <w:r w:rsidRPr="008618FB">
              <w:rPr>
                <w:rFonts w:ascii="Arial Narrow" w:eastAsia="Calibri" w:hAnsi="Arial Narrow" w:cs="Arial"/>
                <w:color w:val="000000" w:themeColor="text1"/>
                <w:sz w:val="20"/>
                <w:szCs w:val="20"/>
              </w:rPr>
              <w:fldChar w:fldCharType="end"/>
            </w:r>
            <w:r w:rsidRPr="008618FB">
              <w:rPr>
                <w:rFonts w:ascii="Arial Narrow" w:eastAsia="Calibri" w:hAnsi="Arial Narrow" w:cs="Arial"/>
                <w:color w:val="000000" w:themeColor="text1"/>
                <w:sz w:val="20"/>
                <w:szCs w:val="20"/>
              </w:rPr>
              <w:t xml:space="preserve">Authority Required (STREAMLINED) [new/] </w:t>
            </w:r>
          </w:p>
        </w:tc>
      </w:tr>
      <w:tr w:rsidR="008618FB" w:rsidRPr="008618FB" w14:paraId="406DF32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233" w:type="pct"/>
            <w:vMerge w:val="restart"/>
            <w:textDirection w:val="btLr"/>
            <w:vAlign w:val="center"/>
          </w:tcPr>
          <w:p w14:paraId="22482799" w14:textId="77777777" w:rsidR="008618FB" w:rsidRPr="008618FB" w:rsidRDefault="008618FB" w:rsidP="008618FB">
            <w:pPr>
              <w:spacing w:before="0" w:after="0"/>
              <w:ind w:left="113" w:right="113"/>
              <w:jc w:val="center"/>
              <w:rPr>
                <w:rFonts w:ascii="Arial Narrow" w:eastAsia="Times New Roman" w:hAnsi="Arial Narrow"/>
                <w:color w:val="000000" w:themeColor="text1"/>
                <w:sz w:val="20"/>
                <w:szCs w:val="20"/>
                <w:lang w:eastAsia="en-AU"/>
              </w:rPr>
            </w:pPr>
          </w:p>
        </w:tc>
        <w:tc>
          <w:tcPr>
            <w:tcW w:w="394" w:type="pct"/>
            <w:vAlign w:val="center"/>
          </w:tcPr>
          <w:p w14:paraId="4523CD4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09862B0E"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7B2E75E6"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Cs/>
                <w:color w:val="000000" w:themeColor="text1"/>
                <w:sz w:val="20"/>
                <w:szCs w:val="20"/>
                <w:lang w:eastAsia="en-AU"/>
              </w:rPr>
              <w:t>No increase in the maximum quantity or number of units may be authorised.</w:t>
            </w:r>
          </w:p>
        </w:tc>
      </w:tr>
      <w:tr w:rsidR="008618FB" w:rsidRPr="008618FB" w14:paraId="65C01E9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233" w:type="pct"/>
            <w:vMerge/>
            <w:vAlign w:val="center"/>
          </w:tcPr>
          <w:p w14:paraId="551565D9"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394" w:type="pct"/>
            <w:vAlign w:val="center"/>
          </w:tcPr>
          <w:p w14:paraId="30F11165"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B35282F"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31535A68"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No increase in the maximum number of repeats may be authorised.</w:t>
            </w:r>
          </w:p>
        </w:tc>
      </w:tr>
      <w:tr w:rsidR="008618FB" w:rsidRPr="008618FB" w14:paraId="120364F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521"/>
        </w:trPr>
        <w:tc>
          <w:tcPr>
            <w:tcW w:w="233" w:type="pct"/>
            <w:vMerge/>
            <w:vAlign w:val="center"/>
          </w:tcPr>
          <w:p w14:paraId="1663A79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394" w:type="pct"/>
            <w:vAlign w:val="center"/>
          </w:tcPr>
          <w:p w14:paraId="0821CA1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13529399"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61F513BF"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Special Pricing Arrangements apply</w:t>
            </w:r>
          </w:p>
        </w:tc>
      </w:tr>
      <w:tr w:rsidR="008618FB" w:rsidRPr="008618FB" w14:paraId="77BD19C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521"/>
        </w:trPr>
        <w:tc>
          <w:tcPr>
            <w:tcW w:w="233" w:type="pct"/>
            <w:vMerge/>
            <w:vAlign w:val="center"/>
          </w:tcPr>
          <w:p w14:paraId="27447A99"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394" w:type="pct"/>
            <w:vAlign w:val="center"/>
          </w:tcPr>
          <w:p w14:paraId="091FFB8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B012982"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66A2344B"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Patient should be treated with the recommended dose of pembrolizumab according to the TGA-approved Product Information.</w:t>
            </w:r>
          </w:p>
        </w:tc>
      </w:tr>
      <w:tr w:rsidR="008618FB" w:rsidRPr="008618FB" w14:paraId="1461C62B" w14:textId="77777777" w:rsidTr="00BE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C93D7A4"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3EC48652"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Indication:</w:t>
            </w:r>
            <w:r w:rsidRPr="008618FB">
              <w:rPr>
                <w:rFonts w:ascii="Arial Narrow" w:eastAsia="Times New Roman" w:hAnsi="Arial Narrow"/>
                <w:color w:val="000000" w:themeColor="text1"/>
                <w:sz w:val="20"/>
                <w:szCs w:val="20"/>
                <w:lang w:eastAsia="en-AU"/>
              </w:rPr>
              <w:t xml:space="preserve"> </w:t>
            </w:r>
            <w:r w:rsidRPr="008618FB">
              <w:rPr>
                <w:rFonts w:ascii="Arial Narrow" w:eastAsia="Times New Roman" w:hAnsi="Arial Narrow"/>
                <w:bCs/>
                <w:color w:val="000000" w:themeColor="text1"/>
                <w:sz w:val="20"/>
                <w:szCs w:val="20"/>
                <w:lang w:eastAsia="en-AU"/>
              </w:rPr>
              <w:t xml:space="preserve">Recurrent or metastatic squamous cell carcinoma of the oral cavity, </w:t>
            </w:r>
            <w:proofErr w:type="gramStart"/>
            <w:r w:rsidRPr="008618FB">
              <w:rPr>
                <w:rFonts w:ascii="Arial Narrow" w:eastAsia="Times New Roman" w:hAnsi="Arial Narrow"/>
                <w:bCs/>
                <w:color w:val="000000" w:themeColor="text1"/>
                <w:sz w:val="20"/>
                <w:szCs w:val="20"/>
                <w:lang w:eastAsia="en-AU"/>
              </w:rPr>
              <w:t>pharynx</w:t>
            </w:r>
            <w:proofErr w:type="gramEnd"/>
            <w:r w:rsidRPr="008618FB">
              <w:rPr>
                <w:rFonts w:ascii="Arial Narrow" w:eastAsia="Times New Roman" w:hAnsi="Arial Narrow"/>
                <w:bCs/>
                <w:color w:val="000000" w:themeColor="text1"/>
                <w:sz w:val="20"/>
                <w:szCs w:val="20"/>
                <w:lang w:eastAsia="en-AU"/>
              </w:rPr>
              <w:t xml:space="preserve"> or larynx</w:t>
            </w:r>
          </w:p>
        </w:tc>
      </w:tr>
      <w:tr w:rsidR="008618FB" w:rsidRPr="008618FB" w14:paraId="02F32CBA" w14:textId="77777777" w:rsidTr="00BE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5FC12F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326FB804"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Treatment Phase:</w:t>
            </w:r>
            <w:r w:rsidRPr="008618FB">
              <w:rPr>
                <w:rFonts w:ascii="Arial Narrow" w:eastAsia="Times New Roman" w:hAnsi="Arial Narrow"/>
                <w:color w:val="000000" w:themeColor="text1"/>
                <w:sz w:val="20"/>
                <w:szCs w:val="20"/>
                <w:lang w:eastAsia="en-AU"/>
              </w:rPr>
              <w:t xml:space="preserve"> </w:t>
            </w:r>
            <w:r w:rsidRPr="008618FB">
              <w:rPr>
                <w:rFonts w:ascii="Arial Narrow" w:eastAsia="Times New Roman" w:hAnsi="Arial Narrow"/>
                <w:bCs/>
                <w:color w:val="000000" w:themeColor="text1"/>
                <w:sz w:val="20"/>
                <w:szCs w:val="20"/>
                <w:lang w:eastAsia="en-AU"/>
              </w:rPr>
              <w:t>Initial treatment</w:t>
            </w:r>
          </w:p>
        </w:tc>
      </w:tr>
      <w:tr w:rsidR="008618FB" w:rsidRPr="008618FB" w14:paraId="48F1905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60782AF"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292D4660"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Clinical criteria:</w:t>
            </w:r>
          </w:p>
        </w:tc>
      </w:tr>
      <w:tr w:rsidR="008618FB" w:rsidRPr="008618FB" w14:paraId="502B41E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63B2DA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5754180B"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condition must be incurable by local therapies in the locally advanced setting</w:t>
            </w:r>
          </w:p>
        </w:tc>
      </w:tr>
      <w:tr w:rsidR="008618FB" w:rsidRPr="008618FB" w14:paraId="71F87DF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68B0D16"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3F81CF3F"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1476D0B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504B9D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015AD3AA" w14:textId="77777777" w:rsidR="008618FB" w:rsidRPr="008618FB" w:rsidRDefault="008618FB" w:rsidP="008618FB">
            <w:pPr>
              <w:pStyle w:val="Tabletext0"/>
              <w:rPr>
                <w:rFonts w:eastAsia="Calibri" w:cs="Calibri"/>
                <w:b/>
                <w:strike/>
                <w:color w:val="000000" w:themeColor="text1"/>
                <w:szCs w:val="20"/>
              </w:rPr>
            </w:pPr>
            <w:r w:rsidRPr="008618FB">
              <w:rPr>
                <w:rFonts w:cstheme="minorBidi"/>
                <w:bCs/>
                <w:color w:val="000000" w:themeColor="text1"/>
                <w:szCs w:val="20"/>
                <w:lang w:eastAsia="en-AU"/>
              </w:rPr>
              <w:t>Patient must not have had systemic therapy for this condition in the recurrent or metastatic setting prior to initiating PBS</w:t>
            </w:r>
            <w:r w:rsidRPr="008618FB">
              <w:rPr>
                <w:rFonts w:cstheme="minorBidi"/>
                <w:bCs/>
                <w:color w:val="000000" w:themeColor="text1"/>
                <w:szCs w:val="20"/>
                <w:lang w:eastAsia="en-AU"/>
              </w:rPr>
              <w:noBreakHyphen/>
              <w:t>subsidised treatment with this drug for this condition</w:t>
            </w:r>
            <w:r w:rsidRPr="008618FB">
              <w:rPr>
                <w:rFonts w:cs="Open Sans"/>
                <w:i/>
                <w:color w:val="000000" w:themeColor="text1"/>
                <w:szCs w:val="20"/>
              </w:rPr>
              <w:t xml:space="preserve"> </w:t>
            </w:r>
          </w:p>
        </w:tc>
      </w:tr>
      <w:tr w:rsidR="008618FB" w:rsidRPr="008618FB" w14:paraId="3678C364"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D31B98D"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67A8169F"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62CF92EE"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1ECAB9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7F7FBF01"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Calibri" w:hAnsi="Arial Narrow" w:cs="Calibri"/>
                <w:sz w:val="20"/>
                <w:szCs w:val="20"/>
              </w:rPr>
              <w:t xml:space="preserve">Patient must not have </w:t>
            </w:r>
            <w:r w:rsidRPr="008618FB">
              <w:rPr>
                <w:rFonts w:ascii="Arial Narrow" w:eastAsia="Calibri" w:hAnsi="Arial Narrow" w:cs="Calibri"/>
                <w:i/>
                <w:sz w:val="20"/>
                <w:szCs w:val="20"/>
              </w:rPr>
              <w:t>experienced</w:t>
            </w:r>
            <w:r w:rsidRPr="008618FB">
              <w:rPr>
                <w:rFonts w:ascii="Arial Narrow" w:eastAsia="Calibri" w:hAnsi="Arial Narrow" w:cs="Calibri"/>
                <w:sz w:val="20"/>
                <w:szCs w:val="20"/>
              </w:rPr>
              <w:t xml:space="preserve"> </w:t>
            </w:r>
            <w:r w:rsidRPr="008618FB">
              <w:rPr>
                <w:rFonts w:ascii="Arial Narrow" w:eastAsia="Calibri" w:hAnsi="Arial Narrow" w:cs="Calibri"/>
                <w:i/>
                <w:sz w:val="20"/>
                <w:szCs w:val="20"/>
              </w:rPr>
              <w:t>disease</w:t>
            </w:r>
            <w:r w:rsidRPr="008618FB">
              <w:rPr>
                <w:rFonts w:ascii="Arial Narrow" w:eastAsia="Calibri" w:hAnsi="Arial Narrow" w:cs="Calibri"/>
                <w:sz w:val="20"/>
                <w:szCs w:val="20"/>
              </w:rPr>
              <w:t xml:space="preserve"> recurrence within 6 months of</w:t>
            </w:r>
            <w:r w:rsidRPr="008618FB">
              <w:rPr>
                <w:rFonts w:ascii="Arial Narrow" w:eastAsia="Calibri" w:hAnsi="Arial Narrow" w:cs="Calibri"/>
                <w:i/>
                <w:sz w:val="20"/>
                <w:szCs w:val="20"/>
              </w:rPr>
              <w:t xml:space="preserve"> completion of</w:t>
            </w:r>
            <w:r w:rsidRPr="008618FB">
              <w:rPr>
                <w:rFonts w:ascii="Arial Narrow" w:eastAsia="Calibri" w:hAnsi="Arial Narrow" w:cs="Calibri"/>
                <w:sz w:val="20"/>
                <w:szCs w:val="20"/>
              </w:rPr>
              <w:t xml:space="preserve"> </w:t>
            </w:r>
            <w:r w:rsidRPr="008618FB">
              <w:rPr>
                <w:rFonts w:ascii="Arial Narrow" w:eastAsia="Calibri" w:hAnsi="Arial Narrow" w:cs="Calibri"/>
                <w:i/>
                <w:sz w:val="20"/>
                <w:szCs w:val="20"/>
              </w:rPr>
              <w:t>systemic therapy</w:t>
            </w:r>
            <w:r w:rsidRPr="008618FB">
              <w:rPr>
                <w:rFonts w:ascii="Arial Narrow" w:eastAsia="Calibri" w:hAnsi="Arial Narrow" w:cs="Calibri"/>
                <w:sz w:val="20"/>
                <w:szCs w:val="20"/>
              </w:rPr>
              <w:t xml:space="preserve"> </w:t>
            </w:r>
            <w:r w:rsidRPr="008618FB">
              <w:rPr>
                <w:rFonts w:ascii="Arial Narrow" w:eastAsia="Calibri" w:hAnsi="Arial Narrow" w:cs="Calibri"/>
                <w:i/>
                <w:sz w:val="20"/>
                <w:szCs w:val="20"/>
              </w:rPr>
              <w:t xml:space="preserve">if previously treated </w:t>
            </w:r>
            <w:r w:rsidRPr="008618FB">
              <w:rPr>
                <w:rFonts w:ascii="Arial Narrow" w:eastAsia="Calibri" w:hAnsi="Arial Narrow" w:cs="Calibri"/>
                <w:sz w:val="20"/>
                <w:szCs w:val="20"/>
              </w:rPr>
              <w:t>in the locally advanced setting</w:t>
            </w:r>
          </w:p>
        </w:tc>
      </w:tr>
      <w:tr w:rsidR="008618FB" w:rsidRPr="008618FB" w14:paraId="327A5CC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044A12E"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73E8510D"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 xml:space="preserve">AND </w:t>
            </w:r>
          </w:p>
        </w:tc>
      </w:tr>
      <w:tr w:rsidR="008618FB" w:rsidRPr="008618FB" w14:paraId="7D9A849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B461E4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6C04576B"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Cs/>
                <w:color w:val="000000" w:themeColor="text1"/>
                <w:sz w:val="20"/>
                <w:szCs w:val="20"/>
                <w:lang w:eastAsia="en-AU"/>
              </w:rPr>
              <w:t>Patient must have had a WHO performance status of 0 or 1</w:t>
            </w:r>
          </w:p>
        </w:tc>
      </w:tr>
      <w:tr w:rsidR="008618FB" w:rsidRPr="008618FB" w14:paraId="3F1FFC9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BDDF4F8"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p>
        </w:tc>
        <w:tc>
          <w:tcPr>
            <w:tcW w:w="4373" w:type="pct"/>
            <w:gridSpan w:val="7"/>
            <w:vAlign w:val="center"/>
          </w:tcPr>
          <w:p w14:paraId="7D0B8CA8"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34A42B49"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9294A79"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501AF134"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treatment must be administered as a single agent (monotherapy); or</w:t>
            </w:r>
          </w:p>
        </w:tc>
      </w:tr>
      <w:tr w:rsidR="008618FB" w:rsidRPr="008618FB" w14:paraId="49BA5AD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91D6FB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1954151B"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treatment must be commenced in combination with platinum-based chemotherapy</w:t>
            </w:r>
          </w:p>
        </w:tc>
      </w:tr>
      <w:tr w:rsidR="008618FB" w:rsidRPr="008618FB" w14:paraId="3972463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D3ACBA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3A2D92D"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6643F42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FFCDF5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5311A06A"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condition must express programmed cell death ligand 1 (PD-L1) with a combined positive score (CPS) ≥1 in the tumour sample</w:t>
            </w:r>
          </w:p>
        </w:tc>
      </w:tr>
      <w:tr w:rsidR="008618FB" w:rsidRPr="008618FB" w14:paraId="3BCCB1D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7FB2AE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59A8CCFB"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157F8E0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6CE89B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2C856BA6"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Clinical criteria:</w:t>
            </w:r>
          </w:p>
        </w:tc>
      </w:tr>
      <w:tr w:rsidR="008618FB" w:rsidRPr="008618FB" w14:paraId="7EB0C34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979854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5F9E41C"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treatment must not exceed a total of 7 doses under this restriction</w:t>
            </w:r>
          </w:p>
        </w:tc>
      </w:tr>
      <w:tr w:rsidR="008618FB" w:rsidRPr="008618FB" w14:paraId="55F3D5DE" w14:textId="77777777" w:rsidTr="00BE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E41B64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19FB3A2F"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 xml:space="preserve">Administrative Advice: </w:t>
            </w:r>
            <w:r w:rsidRPr="008618FB">
              <w:rPr>
                <w:rFonts w:ascii="Arial Narrow" w:eastAsia="Times New Roman" w:hAnsi="Arial Narrow"/>
                <w:bCs/>
                <w:color w:val="000000" w:themeColor="text1"/>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618FB" w:rsidRPr="008618FB" w14:paraId="693FB4C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vAlign w:val="center"/>
          </w:tcPr>
          <w:p w14:paraId="066099B7"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p w14:paraId="42F5C2D1"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tc>
      </w:tr>
      <w:tr w:rsidR="008618FB" w:rsidRPr="008618FB" w14:paraId="1E6E21E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vAlign w:val="center"/>
          </w:tcPr>
          <w:p w14:paraId="4C060802"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Restriction Summary [new] / Treatment of Concept: [new]</w:t>
            </w:r>
          </w:p>
        </w:tc>
      </w:tr>
      <w:tr w:rsidR="008618FB" w:rsidRPr="008618FB" w14:paraId="0A20A0C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hideMark/>
          </w:tcPr>
          <w:p w14:paraId="021740F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5124C183"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Treatment Phase:</w:t>
            </w:r>
            <w:r w:rsidRPr="008618FB">
              <w:rPr>
                <w:rFonts w:ascii="Arial Narrow" w:eastAsia="Times New Roman" w:hAnsi="Arial Narrow"/>
                <w:color w:val="000000" w:themeColor="text1"/>
                <w:sz w:val="20"/>
                <w:szCs w:val="20"/>
                <w:lang w:eastAsia="en-AU"/>
              </w:rPr>
              <w:t xml:space="preserve"> Continuing treatment </w:t>
            </w:r>
          </w:p>
        </w:tc>
      </w:tr>
      <w:tr w:rsidR="008618FB" w:rsidRPr="008618FB" w14:paraId="7717E8B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0C3AE4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E01D368"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Clinical criteria:</w:t>
            </w:r>
          </w:p>
        </w:tc>
      </w:tr>
      <w:tr w:rsidR="008618FB" w:rsidRPr="008618FB" w14:paraId="2EA5B85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B4692B5"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D7723D1" w14:textId="77777777" w:rsidR="008618FB" w:rsidRPr="008618FB" w:rsidRDefault="008618FB" w:rsidP="008618FB">
            <w:pPr>
              <w:spacing w:before="0" w:after="0"/>
              <w:jc w:val="left"/>
              <w:rPr>
                <w:rFonts w:ascii="Arial Narrow" w:eastAsia="Times New Roman" w:hAnsi="Arial Narrow"/>
                <w:color w:val="000000" w:themeColor="text1"/>
                <w:sz w:val="20"/>
                <w:szCs w:val="20"/>
                <w:lang w:eastAsia="en-AU"/>
              </w:rPr>
            </w:pPr>
            <w:r w:rsidRPr="008618FB">
              <w:rPr>
                <w:rFonts w:ascii="Arial Narrow" w:eastAsia="Times New Roman" w:hAnsi="Arial Narrow"/>
                <w:color w:val="000000" w:themeColor="text1"/>
                <w:sz w:val="20"/>
                <w:szCs w:val="20"/>
                <w:lang w:eastAsia="en-AU"/>
              </w:rPr>
              <w:t>Patient must have previously received PBS-subsidised treatment with this drug for this condition</w:t>
            </w:r>
          </w:p>
        </w:tc>
      </w:tr>
      <w:tr w:rsidR="008618FB" w:rsidRPr="008618FB" w14:paraId="256676A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69E541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30C2EA7"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AND</w:t>
            </w:r>
          </w:p>
        </w:tc>
      </w:tr>
      <w:tr w:rsidR="008618FB" w:rsidRPr="008618FB" w14:paraId="623895F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6E321D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3296E76A"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Clinical criteria:</w:t>
            </w:r>
          </w:p>
        </w:tc>
      </w:tr>
      <w:tr w:rsidR="008618FB" w:rsidRPr="008618FB" w14:paraId="2138594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FDDF10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073B01E" w14:textId="77777777" w:rsidR="008618FB" w:rsidRPr="008618FB" w:rsidRDefault="008618FB" w:rsidP="008618FB">
            <w:pPr>
              <w:spacing w:before="0" w:after="0"/>
              <w:jc w:val="left"/>
              <w:rPr>
                <w:rFonts w:ascii="Arial Narrow" w:eastAsia="Times New Roman" w:hAnsi="Arial Narrow"/>
                <w:color w:val="000000" w:themeColor="text1"/>
                <w:sz w:val="20"/>
                <w:szCs w:val="20"/>
                <w:lang w:eastAsia="en-AU"/>
              </w:rPr>
            </w:pPr>
            <w:r w:rsidRPr="008618FB">
              <w:rPr>
                <w:rFonts w:ascii="Arial Narrow" w:eastAsia="Times New Roman" w:hAnsi="Arial Narrow"/>
                <w:color w:val="000000" w:themeColor="text1"/>
                <w:sz w:val="20"/>
                <w:szCs w:val="20"/>
                <w:lang w:eastAsia="en-AU"/>
              </w:rPr>
              <w:t>Patient must not have developed disease progression while being treated with this drug for this condition</w:t>
            </w:r>
          </w:p>
        </w:tc>
      </w:tr>
      <w:tr w:rsidR="008618FB" w:rsidRPr="008618FB" w14:paraId="1DC28C1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9C68FC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1859C1B"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AND</w:t>
            </w:r>
          </w:p>
        </w:tc>
      </w:tr>
      <w:tr w:rsidR="008618FB" w:rsidRPr="008618FB" w14:paraId="4C8694D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85A88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19FDA4D"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Clinical criteria:</w:t>
            </w:r>
          </w:p>
        </w:tc>
      </w:tr>
      <w:tr w:rsidR="008618FB" w:rsidRPr="008618FB" w14:paraId="09689608"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208BFE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4B75C9D" w14:textId="77777777" w:rsidR="008618FB" w:rsidRPr="008618FB" w:rsidRDefault="008618FB" w:rsidP="008618FB">
            <w:pPr>
              <w:spacing w:before="0" w:after="0"/>
              <w:jc w:val="left"/>
              <w:rPr>
                <w:rFonts w:ascii="Arial Narrow" w:eastAsia="Times New Roman" w:hAnsi="Arial Narrow"/>
                <w:color w:val="000000" w:themeColor="text1"/>
                <w:sz w:val="20"/>
                <w:szCs w:val="20"/>
                <w:lang w:eastAsia="en-AU"/>
              </w:rPr>
            </w:pPr>
            <w:r w:rsidRPr="008618FB">
              <w:rPr>
                <w:rFonts w:ascii="Arial Narrow" w:eastAsia="Times New Roman" w:hAnsi="Arial Narrow"/>
                <w:color w:val="000000" w:themeColor="text1"/>
                <w:sz w:val="20"/>
                <w:szCs w:val="20"/>
                <w:lang w:eastAsia="en-AU"/>
              </w:rPr>
              <w:t>The treatment must not exceed a total of 35 cycles in a lifetime or up to 24 months of treatment under this restriction</w:t>
            </w:r>
          </w:p>
        </w:tc>
      </w:tr>
      <w:tr w:rsidR="008618FB" w:rsidRPr="008618FB" w14:paraId="53B2E78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tcBorders>
              <w:bottom w:val="single" w:sz="4" w:space="0" w:color="auto"/>
            </w:tcBorders>
            <w:vAlign w:val="center"/>
          </w:tcPr>
          <w:p w14:paraId="0C505DB8"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p w14:paraId="022800CA"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tc>
      </w:tr>
      <w:tr w:rsidR="008618FB" w:rsidRPr="008618FB" w14:paraId="25AEE7D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vAlign w:val="center"/>
          </w:tcPr>
          <w:p w14:paraId="1169DF79"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Restriction Summary [new] / Treatment of Concept: [new]</w:t>
            </w:r>
          </w:p>
        </w:tc>
      </w:tr>
      <w:tr w:rsidR="008618FB" w:rsidRPr="008618FB" w14:paraId="6A93B789"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hideMark/>
          </w:tcPr>
          <w:p w14:paraId="4202115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6460A480"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Treatment Phase:</w:t>
            </w:r>
            <w:r w:rsidRPr="008618FB">
              <w:rPr>
                <w:rFonts w:ascii="Arial Narrow" w:eastAsia="Times New Roman" w:hAnsi="Arial Narrow"/>
                <w:color w:val="000000" w:themeColor="text1"/>
                <w:sz w:val="20"/>
                <w:szCs w:val="20"/>
                <w:lang w:eastAsia="en-AU"/>
              </w:rPr>
              <w:t xml:space="preserve"> Transitioning from non-PBS to PBS-subsidised supply - Grandfather arrangements</w:t>
            </w:r>
          </w:p>
        </w:tc>
      </w:tr>
      <w:tr w:rsidR="008618FB" w:rsidRPr="008618FB" w14:paraId="5A1DFAE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FF4F855"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33E7AE7F"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16E374D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2F55A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1F67495"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 xml:space="preserve">Patient must have previously received non-PBS subsidised treatment with this drug for this condition </w:t>
            </w:r>
            <w:r w:rsidRPr="008618FB">
              <w:rPr>
                <w:rFonts w:cstheme="minorBidi"/>
                <w:strike/>
                <w:color w:val="000000" w:themeColor="text1"/>
                <w:szCs w:val="20"/>
                <w:lang w:eastAsia="en-AU"/>
              </w:rPr>
              <w:t xml:space="preserve">in the recurrent/metastatic setting </w:t>
            </w:r>
            <w:r w:rsidRPr="008618FB">
              <w:rPr>
                <w:rFonts w:cstheme="minorBidi"/>
                <w:color w:val="000000" w:themeColor="text1"/>
                <w:szCs w:val="20"/>
                <w:lang w:eastAsia="en-AU"/>
              </w:rPr>
              <w:t xml:space="preserve">prior to [listing date] </w:t>
            </w:r>
          </w:p>
        </w:tc>
      </w:tr>
      <w:tr w:rsidR="008618FB" w:rsidRPr="008618FB" w14:paraId="0DAD43B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F050CA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FC257C0"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4F6EFB2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0C34D3" w14:textId="77777777" w:rsidR="008618FB" w:rsidRPr="008618FB" w:rsidRDefault="008618FB" w:rsidP="008618FB">
            <w:pPr>
              <w:spacing w:before="0" w:after="0"/>
              <w:jc w:val="center"/>
              <w:rPr>
                <w:rFonts w:ascii="Arial Narrow" w:eastAsia="Times New Roman" w:hAnsi="Arial Narrow"/>
                <w:strike/>
                <w:color w:val="000000" w:themeColor="text1"/>
                <w:sz w:val="20"/>
                <w:szCs w:val="20"/>
                <w:lang w:eastAsia="en-AU"/>
              </w:rPr>
            </w:pPr>
          </w:p>
        </w:tc>
        <w:tc>
          <w:tcPr>
            <w:tcW w:w="4373" w:type="pct"/>
            <w:gridSpan w:val="7"/>
          </w:tcPr>
          <w:p w14:paraId="2E535EF7" w14:textId="77777777" w:rsidR="008618FB" w:rsidRPr="008618FB" w:rsidRDefault="008618FB" w:rsidP="008618FB">
            <w:pPr>
              <w:pStyle w:val="Tabletext0"/>
              <w:rPr>
                <w:rFonts w:cstheme="minorBidi"/>
                <w:strike/>
                <w:color w:val="000000" w:themeColor="text1"/>
                <w:szCs w:val="20"/>
                <w:lang w:eastAsia="en-AU"/>
              </w:rPr>
            </w:pPr>
            <w:r w:rsidRPr="008618FB">
              <w:rPr>
                <w:rFonts w:cstheme="minorBidi"/>
                <w:strike/>
                <w:color w:val="000000" w:themeColor="text1"/>
                <w:szCs w:val="20"/>
                <w:lang w:eastAsia="en-AU"/>
              </w:rPr>
              <w:t xml:space="preserve">Patient must not have received prior PBS-subsidised treatment with a programmed cell death-1 (PD-1) inhibitor or a programmed cell death ligand-1 (PD-L1) inhibitor for this condition </w:t>
            </w:r>
          </w:p>
        </w:tc>
      </w:tr>
      <w:tr w:rsidR="008618FB" w:rsidRPr="008618FB" w14:paraId="761546D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FA6D83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EC0D0C0"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 xml:space="preserve">AND </w:t>
            </w:r>
          </w:p>
        </w:tc>
      </w:tr>
      <w:tr w:rsidR="008618FB" w:rsidRPr="008618FB" w14:paraId="6BEC8A2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94A9D8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E897F7C"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 xml:space="preserve">Patient must not have had systemic therapy for this condition in the recurrent or metastatic setting prior to initiating </w:t>
            </w:r>
            <w:proofErr w:type="gramStart"/>
            <w:r w:rsidRPr="008618FB">
              <w:rPr>
                <w:rFonts w:cstheme="minorBidi"/>
                <w:color w:val="000000" w:themeColor="text1"/>
                <w:szCs w:val="20"/>
                <w:lang w:eastAsia="en-AU"/>
              </w:rPr>
              <w:t>non PBS</w:t>
            </w:r>
            <w:proofErr w:type="gramEnd"/>
            <w:r w:rsidRPr="008618FB">
              <w:rPr>
                <w:rFonts w:cstheme="minorBidi"/>
                <w:color w:val="000000" w:themeColor="text1"/>
                <w:szCs w:val="20"/>
                <w:lang w:eastAsia="en-AU"/>
              </w:rPr>
              <w:t>-subsidised treatment with this drug for this condition;</w:t>
            </w:r>
          </w:p>
        </w:tc>
      </w:tr>
      <w:tr w:rsidR="008618FB" w:rsidRPr="008618FB" w14:paraId="522D0818"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C7D7074"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3501471"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 xml:space="preserve">AND </w:t>
            </w:r>
          </w:p>
        </w:tc>
      </w:tr>
      <w:tr w:rsidR="008618FB" w:rsidRPr="008618FB" w14:paraId="1FF88F14"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49C60C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E3986E4"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Patient must not have experienced disease recurrence within 6 months of completion of systemic therapy if treated in the locally advanced setting prior to non-PBS subsidised treatment with this drug for this condition</w:t>
            </w:r>
          </w:p>
        </w:tc>
      </w:tr>
      <w:tr w:rsidR="008618FB" w:rsidRPr="008618FB" w14:paraId="69F680A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D95B93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3EF9A13"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2AE3BFF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0B15D0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F4ACCC2"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The treatment must be administered as a single agent (monotherapy); or</w:t>
            </w:r>
          </w:p>
          <w:p w14:paraId="139DE195"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The treatment must be commenced in combination with platinum-based chemotherapy</w:t>
            </w:r>
          </w:p>
        </w:tc>
      </w:tr>
      <w:tr w:rsidR="008618FB" w:rsidRPr="008618FB" w14:paraId="217EBE2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E4807FF"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C67B45A"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489BF20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650E53D"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38770231"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The condition must express programmed cell death ligand 1 (PD-L1) with a combined positive score (CPS</w:t>
            </w:r>
            <w:r w:rsidR="00337B10" w:rsidRPr="008618FB">
              <w:rPr>
                <w:rFonts w:cstheme="minorBidi"/>
                <w:color w:val="000000" w:themeColor="text1"/>
                <w:szCs w:val="20"/>
                <w:lang w:eastAsia="en-AU"/>
              </w:rPr>
              <w:t>)</w:t>
            </w:r>
            <w:r w:rsidR="00337B10">
              <w:rPr>
                <w:rFonts w:cstheme="minorBidi"/>
                <w:color w:val="000000" w:themeColor="text1"/>
                <w:szCs w:val="20"/>
                <w:lang w:eastAsia="en-AU"/>
              </w:rPr>
              <w:t> </w:t>
            </w:r>
            <w:r w:rsidRPr="008618FB">
              <w:rPr>
                <w:rFonts w:cstheme="minorBidi"/>
                <w:color w:val="000000" w:themeColor="text1"/>
                <w:szCs w:val="20"/>
                <w:lang w:eastAsia="en-AU"/>
              </w:rPr>
              <w:t>≥1 in the tumour sample</w:t>
            </w:r>
          </w:p>
        </w:tc>
      </w:tr>
      <w:tr w:rsidR="008618FB" w:rsidRPr="008618FB" w14:paraId="11D3970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1A0194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5F5CD59"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6C9A187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D562DF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E2DC2E1"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6EC6423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EA96844"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411ED37"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Patient must not have developed disease progression while being treated with this drug for this condition</w:t>
            </w:r>
          </w:p>
        </w:tc>
      </w:tr>
      <w:tr w:rsidR="008618FB" w:rsidRPr="008618FB" w14:paraId="56B83881"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6E69C0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7FCC257"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13C7AADE"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45C8FD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E072949"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4D04BC4E"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DF2B5D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33756AC"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Patient must have had a WHO performance status of 0 or 1 prior to initiation of non-PBS-subsidised treatment with this drug for this condition</w:t>
            </w:r>
          </w:p>
        </w:tc>
      </w:tr>
      <w:tr w:rsidR="008618FB" w:rsidRPr="008618FB" w14:paraId="6E092F2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9B8E28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54D798AE"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0445482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16343EF" w14:textId="77777777" w:rsidR="008618FB" w:rsidRPr="008618FB" w:rsidRDefault="008618FB" w:rsidP="008618FB">
            <w:pPr>
              <w:spacing w:before="0" w:after="0"/>
              <w:jc w:val="center"/>
              <w:rPr>
                <w:rFonts w:ascii="Arial Narrow" w:eastAsia="Times New Roman" w:hAnsi="Arial Narrow"/>
                <w:strike/>
                <w:color w:val="000000" w:themeColor="text1"/>
                <w:sz w:val="20"/>
                <w:szCs w:val="20"/>
                <w:lang w:eastAsia="en-AU"/>
              </w:rPr>
            </w:pPr>
          </w:p>
        </w:tc>
        <w:tc>
          <w:tcPr>
            <w:tcW w:w="4373" w:type="pct"/>
            <w:gridSpan w:val="7"/>
          </w:tcPr>
          <w:p w14:paraId="08321466" w14:textId="77777777" w:rsidR="008618FB" w:rsidRPr="008618FB" w:rsidRDefault="008618FB" w:rsidP="008618FB">
            <w:pPr>
              <w:pStyle w:val="Tabletext0"/>
              <w:rPr>
                <w:rFonts w:cstheme="minorBidi"/>
                <w:strike/>
                <w:color w:val="000000" w:themeColor="text1"/>
                <w:szCs w:val="20"/>
                <w:lang w:eastAsia="en-AU"/>
              </w:rPr>
            </w:pPr>
            <w:r w:rsidRPr="008618FB">
              <w:rPr>
                <w:rFonts w:cstheme="minorBidi"/>
                <w:strike/>
                <w:color w:val="000000" w:themeColor="text1"/>
                <w:szCs w:val="20"/>
                <w:lang w:eastAsia="en-AU"/>
              </w:rPr>
              <w:t>The patient must not have evidence of recurrence</w:t>
            </w:r>
          </w:p>
        </w:tc>
      </w:tr>
      <w:tr w:rsidR="008618FB" w:rsidRPr="008618FB" w14:paraId="6671B30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0EEA5E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E5ED082"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4F3DB57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2ED653D"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5851A542"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 xml:space="preserve">The treatment must not exceed a total of 35 cycles, or up to 24 months, of combined non-PBS subsidised and PBS-subsidised treatment under the grandfather and continuing treatment restrictions in a lifetime </w:t>
            </w:r>
            <w:r w:rsidRPr="008618FB">
              <w:rPr>
                <w:rFonts w:cstheme="minorBidi"/>
                <w:strike/>
                <w:color w:val="000000" w:themeColor="text1"/>
                <w:szCs w:val="20"/>
                <w:lang w:eastAsia="en-AU"/>
              </w:rPr>
              <w:t>or up to 24 months of treatment under this restriction</w:t>
            </w:r>
            <w:r w:rsidRPr="008618FB">
              <w:rPr>
                <w:rFonts w:cstheme="minorBidi"/>
                <w:color w:val="000000" w:themeColor="text1"/>
                <w:szCs w:val="20"/>
                <w:lang w:eastAsia="en-AU"/>
              </w:rPr>
              <w:t xml:space="preserve"> </w:t>
            </w:r>
          </w:p>
        </w:tc>
      </w:tr>
      <w:tr w:rsidR="008618FB" w:rsidRPr="008618FB" w14:paraId="1ABFCFB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D682E1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0BCEC3D"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 xml:space="preserve">Administrative Advice: </w:t>
            </w:r>
            <w:r w:rsidRPr="008618FB">
              <w:rPr>
                <w:rFonts w:cstheme="minorBidi"/>
                <w:color w:val="000000" w:themeColor="text1"/>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618FB" w:rsidRPr="008618FB" w14:paraId="1DF5224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90FE3E"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4766B0A"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 xml:space="preserve">Administrative Advice: </w:t>
            </w:r>
            <w:r w:rsidRPr="008618FB">
              <w:rPr>
                <w:rFonts w:cstheme="minorBidi"/>
                <w:color w:val="000000" w:themeColor="text1"/>
                <w:szCs w:val="20"/>
                <w:lang w:eastAsia="en-AU"/>
              </w:rPr>
              <w:t>This grandfather restriction will cease to operate from 12 months after the date specified in the clinical criteria.</w:t>
            </w:r>
          </w:p>
        </w:tc>
      </w:tr>
      <w:tr w:rsidR="008618FB" w:rsidRPr="008618FB" w14:paraId="679421F1"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03171E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3EBC93D"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Administrative Advice</w:t>
            </w:r>
            <w:r w:rsidRPr="008618FB">
              <w:rPr>
                <w:rFonts w:cstheme="minorBidi"/>
                <w:color w:val="000000" w:themeColor="text1"/>
                <w:szCs w:val="20"/>
                <w:lang w:eastAsia="en-AU"/>
              </w:rPr>
              <w:t>: A patient may only qualify for PBS-subsidised treatment under this restriction once.</w:t>
            </w:r>
          </w:p>
        </w:tc>
      </w:tr>
      <w:tr w:rsidR="008618FB" w:rsidRPr="008618FB" w14:paraId="4986AE58"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8E7134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3DABCB9"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Administrative Advice</w:t>
            </w:r>
            <w:r w:rsidRPr="008618FB">
              <w:rPr>
                <w:rFonts w:cstheme="minorBidi"/>
                <w:color w:val="000000" w:themeColor="text1"/>
                <w:szCs w:val="20"/>
                <w:lang w:eastAsia="en-AU"/>
              </w:rPr>
              <w:t>: Following completion of the initial PBS subsidised course, further applications for treatment will be assessed under the continuing treatment restriction.</w:t>
            </w:r>
          </w:p>
        </w:tc>
      </w:tr>
    </w:tbl>
    <w:p w14:paraId="4EDB3518" w14:textId="612E3D17" w:rsidR="008D5F42" w:rsidRDefault="008D5F42" w:rsidP="008D5F42">
      <w:pPr>
        <w:pStyle w:val="TableFooter"/>
      </w:pPr>
      <w:proofErr w:type="spellStart"/>
      <w:r w:rsidRPr="004F5BFC">
        <w:rPr>
          <w:vertAlign w:val="superscript"/>
        </w:rPr>
        <w:t>a</w:t>
      </w:r>
      <w:proofErr w:type="spellEnd"/>
      <w:r>
        <w:t xml:space="preserve"> </w:t>
      </w:r>
      <w:proofErr w:type="gramStart"/>
      <w:r>
        <w:t>The</w:t>
      </w:r>
      <w:proofErr w:type="gramEnd"/>
      <w:r w:rsidRPr="004F5BFC">
        <w:t xml:space="preserve"> resubmission proposed two separate prices for pembrolizumab in the economic model depending on the </w:t>
      </w:r>
      <w:r>
        <w:t xml:space="preserve">treatment </w:t>
      </w:r>
      <w:r w:rsidRPr="004F5BFC">
        <w:t>regimen</w:t>
      </w:r>
      <w:r>
        <w:t xml:space="preserve"> and assumed a 60:40 use of pembrolizumab monotherapy to combination therapy</w:t>
      </w:r>
      <w:r w:rsidRPr="004F5BFC">
        <w:t>. The price applied for pembrolizumab monotherapy was $</w:t>
      </w:r>
      <w:r w:rsidR="009A1388" w:rsidRPr="009A1388">
        <w:rPr>
          <w:noProof/>
          <w:color w:val="000000"/>
          <w:spacing w:val="40"/>
          <w:shd w:val="solid" w:color="000000" w:fill="000000"/>
          <w:fitText w:val="280" w:id="-1500867326"/>
          <w14:textFill>
            <w14:solidFill>
              <w14:srgbClr w14:val="000000">
                <w14:alpha w14:val="100000"/>
              </w14:srgbClr>
            </w14:solidFill>
          </w14:textFill>
        </w:rPr>
        <w:t xml:space="preserve">|  </w:t>
      </w:r>
      <w:r w:rsidR="009A1388" w:rsidRPr="009A1388">
        <w:rPr>
          <w:noProof/>
          <w:color w:val="000000"/>
          <w:spacing w:val="2"/>
          <w:shd w:val="solid" w:color="000000" w:fill="000000"/>
          <w:fitText w:val="280" w:id="-1500867326"/>
          <w14:textFill>
            <w14:solidFill>
              <w14:srgbClr w14:val="000000">
                <w14:alpha w14:val="100000"/>
              </w14:srgbClr>
            </w14:solidFill>
          </w14:textFill>
        </w:rPr>
        <w:t>|</w:t>
      </w:r>
      <w:r w:rsidRPr="004F5BFC">
        <w:t>/100mg ($</w:t>
      </w:r>
      <w:r w:rsidR="009A1388" w:rsidRPr="009A1388">
        <w:rPr>
          <w:noProof/>
          <w:color w:val="000000"/>
          <w:spacing w:val="37"/>
          <w:shd w:val="solid" w:color="000000" w:fill="000000"/>
          <w:fitText w:val="270" w:id="-1500867325"/>
          <w14:textFill>
            <w14:solidFill>
              <w14:srgbClr w14:val="000000">
                <w14:alpha w14:val="100000"/>
              </w14:srgbClr>
            </w14:solidFill>
          </w14:textFill>
        </w:rPr>
        <w:t xml:space="preserve">|  </w:t>
      </w:r>
      <w:r w:rsidR="009A1388" w:rsidRPr="009A1388">
        <w:rPr>
          <w:noProof/>
          <w:color w:val="000000"/>
          <w:spacing w:val="1"/>
          <w:shd w:val="solid" w:color="000000" w:fill="000000"/>
          <w:fitText w:val="270" w:id="-1500867325"/>
          <w14:textFill>
            <w14:solidFill>
              <w14:srgbClr w14:val="000000">
                <w14:alpha w14:val="100000"/>
              </w14:srgbClr>
            </w14:solidFill>
          </w14:textFill>
        </w:rPr>
        <w:t>|</w:t>
      </w:r>
      <w:r w:rsidRPr="004F5BFC">
        <w:t>/200mg) and the price applied for pembrolizumab when used with chemotherapy was $</w:t>
      </w:r>
      <w:r w:rsidR="009A1388" w:rsidRPr="009A1388">
        <w:rPr>
          <w:noProof/>
          <w:color w:val="000000"/>
          <w:spacing w:val="40"/>
          <w:shd w:val="solid" w:color="000000" w:fill="000000"/>
          <w:fitText w:val="280" w:id="-1500867324"/>
          <w14:textFill>
            <w14:solidFill>
              <w14:srgbClr w14:val="000000">
                <w14:alpha w14:val="100000"/>
              </w14:srgbClr>
            </w14:solidFill>
          </w14:textFill>
        </w:rPr>
        <w:t xml:space="preserve">|  </w:t>
      </w:r>
      <w:r w:rsidR="009A1388" w:rsidRPr="009A1388">
        <w:rPr>
          <w:noProof/>
          <w:color w:val="000000"/>
          <w:spacing w:val="2"/>
          <w:shd w:val="solid" w:color="000000" w:fill="000000"/>
          <w:fitText w:val="280" w:id="-1500867324"/>
          <w14:textFill>
            <w14:solidFill>
              <w14:srgbClr w14:val="000000">
                <w14:alpha w14:val="100000"/>
              </w14:srgbClr>
            </w14:solidFill>
          </w14:textFill>
        </w:rPr>
        <w:t>|</w:t>
      </w:r>
      <w:r w:rsidRPr="004F5BFC">
        <w:t>/100mg ($</w:t>
      </w:r>
      <w:r w:rsidR="009A1388" w:rsidRPr="009A1388">
        <w:rPr>
          <w:noProof/>
          <w:color w:val="000000"/>
          <w:spacing w:val="40"/>
          <w:shd w:val="solid" w:color="000000" w:fill="000000"/>
          <w:fitText w:val="280" w:id="-1500867323"/>
          <w14:textFill>
            <w14:solidFill>
              <w14:srgbClr w14:val="000000">
                <w14:alpha w14:val="100000"/>
              </w14:srgbClr>
            </w14:solidFill>
          </w14:textFill>
        </w:rPr>
        <w:t xml:space="preserve">|  </w:t>
      </w:r>
      <w:r w:rsidR="009A1388" w:rsidRPr="009A1388">
        <w:rPr>
          <w:noProof/>
          <w:color w:val="000000"/>
          <w:spacing w:val="2"/>
          <w:shd w:val="solid" w:color="000000" w:fill="000000"/>
          <w:fitText w:val="280" w:id="-1500867323"/>
          <w14:textFill>
            <w14:solidFill>
              <w14:srgbClr w14:val="000000">
                <w14:alpha w14:val="100000"/>
              </w14:srgbClr>
            </w14:solidFill>
          </w14:textFill>
        </w:rPr>
        <w:t>|</w:t>
      </w:r>
      <w:r w:rsidRPr="004F5BFC">
        <w:t xml:space="preserve">/200mg). </w:t>
      </w:r>
    </w:p>
    <w:p w14:paraId="4A90AC5D" w14:textId="77777777" w:rsidR="00D7609F" w:rsidRPr="00A24A89" w:rsidRDefault="00D7609F" w:rsidP="00D7609F">
      <w:pPr>
        <w:pStyle w:val="TableFooter"/>
      </w:pPr>
      <w:r w:rsidRPr="00A24A89">
        <w:t>Source: p7 of the resubmission</w:t>
      </w:r>
    </w:p>
    <w:p w14:paraId="2B31530A" w14:textId="77777777" w:rsidR="00D7609F" w:rsidRPr="00A24A89" w:rsidRDefault="00D7609F" w:rsidP="00D7609F">
      <w:pPr>
        <w:pStyle w:val="ListParagraph"/>
        <w:numPr>
          <w:ilvl w:val="4"/>
          <w:numId w:val="1"/>
        </w:numPr>
        <w:rPr>
          <w:color w:val="auto"/>
        </w:rPr>
      </w:pPr>
      <w:r w:rsidRPr="00A24A89">
        <w:rPr>
          <w:color w:val="auto"/>
        </w:rPr>
        <w:t>The recommended dose of pembrolizumab is 200</w:t>
      </w:r>
      <w:r w:rsidR="00541FF0">
        <w:rPr>
          <w:color w:val="auto"/>
        </w:rPr>
        <w:t xml:space="preserve"> </w:t>
      </w:r>
      <w:r w:rsidRPr="00A24A89">
        <w:rPr>
          <w:color w:val="auto"/>
        </w:rPr>
        <w:t>mg administered as an infusion over 30 minutes every 3 weeks, up to a maximum of 35 doses (equivalent to 2 years of continuous treatment).</w:t>
      </w:r>
    </w:p>
    <w:p w14:paraId="1E4B65A6" w14:textId="7BECFCD9" w:rsidR="00D7609F" w:rsidRPr="003D355A" w:rsidRDefault="00D7609F" w:rsidP="00D7609F">
      <w:pPr>
        <w:pStyle w:val="ListParagraph"/>
        <w:numPr>
          <w:ilvl w:val="4"/>
          <w:numId w:val="1"/>
        </w:numPr>
        <w:rPr>
          <w:color w:val="auto"/>
        </w:rPr>
      </w:pPr>
      <w:r w:rsidRPr="006E4068">
        <w:rPr>
          <w:color w:val="auto"/>
        </w:rPr>
        <w:t xml:space="preserve">The resubmission proposed an effective </w:t>
      </w:r>
      <w:r w:rsidR="00817232" w:rsidRPr="006E4068">
        <w:rPr>
          <w:color w:val="auto"/>
        </w:rPr>
        <w:t>DPM</w:t>
      </w:r>
      <w:r w:rsidR="00D21D4C" w:rsidRPr="006E4068">
        <w:rPr>
          <w:color w:val="auto"/>
        </w:rPr>
        <w:t>A</w:t>
      </w:r>
      <w:r w:rsidR="00817232" w:rsidRPr="006E4068">
        <w:rPr>
          <w:color w:val="auto"/>
        </w:rPr>
        <w:t xml:space="preserve"> </w:t>
      </w:r>
      <w:r w:rsidRPr="006E4068">
        <w:rPr>
          <w:color w:val="auto"/>
        </w:rPr>
        <w:t>of $</w:t>
      </w:r>
      <w:r w:rsidR="009A1388" w:rsidRPr="00A96938">
        <w:rPr>
          <w:noProof/>
          <w:color w:val="000000"/>
          <w:w w:val="60"/>
          <w:shd w:val="solid" w:color="000000" w:fill="000000"/>
          <w:fitText w:val="470" w:id="-1500867322"/>
          <w14:textFill>
            <w14:solidFill>
              <w14:srgbClr w14:val="000000">
                <w14:alpha w14:val="100000"/>
              </w14:srgbClr>
            </w14:solidFill>
          </w14:textFill>
        </w:rPr>
        <w:t>|||  ||</w:t>
      </w:r>
      <w:r w:rsidR="009A1388" w:rsidRPr="00A96938">
        <w:rPr>
          <w:noProof/>
          <w:color w:val="000000"/>
          <w:spacing w:val="6"/>
          <w:w w:val="60"/>
          <w:shd w:val="solid" w:color="000000" w:fill="000000"/>
          <w:fitText w:val="470" w:id="-1500867322"/>
          <w14:textFill>
            <w14:solidFill>
              <w14:srgbClr w14:val="000000">
                <w14:alpha w14:val="100000"/>
              </w14:srgbClr>
            </w14:solidFill>
          </w14:textFill>
        </w:rPr>
        <w:t>|</w:t>
      </w:r>
      <w:r w:rsidRPr="006E4068">
        <w:rPr>
          <w:color w:val="auto"/>
        </w:rPr>
        <w:t xml:space="preserve"> (private</w:t>
      </w:r>
      <w:r w:rsidR="008618FB" w:rsidRPr="006E4068">
        <w:rPr>
          <w:color w:val="auto"/>
        </w:rPr>
        <w:t xml:space="preserve"> hospital</w:t>
      </w:r>
      <w:r w:rsidRPr="006E4068">
        <w:rPr>
          <w:color w:val="auto"/>
        </w:rPr>
        <w:t>) and $</w:t>
      </w:r>
      <w:r w:rsidR="009A1388" w:rsidRPr="009A1388">
        <w:rPr>
          <w:noProof/>
          <w:color w:val="000000"/>
          <w:w w:val="62"/>
          <w:shd w:val="solid" w:color="000000" w:fill="000000"/>
          <w:fitText w:val="480" w:id="-1500867321"/>
          <w14:textFill>
            <w14:solidFill>
              <w14:srgbClr w14:val="000000">
                <w14:alpha w14:val="100000"/>
              </w14:srgbClr>
            </w14:solidFill>
          </w14:textFill>
        </w:rPr>
        <w:t>|||  ||</w:t>
      </w:r>
      <w:r w:rsidR="009A1388" w:rsidRPr="009A1388">
        <w:rPr>
          <w:noProof/>
          <w:color w:val="000000"/>
          <w:spacing w:val="2"/>
          <w:w w:val="62"/>
          <w:shd w:val="solid" w:color="000000" w:fill="000000"/>
          <w:fitText w:val="480" w:id="-1500867321"/>
          <w14:textFill>
            <w14:solidFill>
              <w14:srgbClr w14:val="000000">
                <w14:alpha w14:val="100000"/>
              </w14:srgbClr>
            </w14:solidFill>
          </w14:textFill>
        </w:rPr>
        <w:t>|</w:t>
      </w:r>
      <w:r w:rsidRPr="006E4068">
        <w:rPr>
          <w:color w:val="auto"/>
        </w:rPr>
        <w:t xml:space="preserve"> (public</w:t>
      </w:r>
      <w:r w:rsidR="008618FB" w:rsidRPr="006E4068">
        <w:rPr>
          <w:color w:val="auto"/>
        </w:rPr>
        <w:t xml:space="preserve"> hospital</w:t>
      </w:r>
      <w:r w:rsidRPr="006E4068">
        <w:rPr>
          <w:color w:val="auto"/>
        </w:rPr>
        <w:t>) for 200</w:t>
      </w:r>
      <w:r w:rsidR="00541FF0" w:rsidRPr="006E4068">
        <w:rPr>
          <w:color w:val="auto"/>
        </w:rPr>
        <w:t xml:space="preserve"> </w:t>
      </w:r>
      <w:r w:rsidRPr="006E4068">
        <w:rPr>
          <w:color w:val="auto"/>
        </w:rPr>
        <w:t>mg of pembrolizumab.</w:t>
      </w:r>
      <w:r w:rsidR="00C41B17" w:rsidRPr="006E4068">
        <w:rPr>
          <w:color w:val="auto"/>
        </w:rPr>
        <w:t xml:space="preserve"> </w:t>
      </w:r>
      <w:r w:rsidR="00541FF0" w:rsidRPr="006E4068">
        <w:rPr>
          <w:color w:val="auto"/>
        </w:rPr>
        <w:t>T</w:t>
      </w:r>
      <w:r w:rsidRPr="006E4068">
        <w:rPr>
          <w:color w:val="auto"/>
        </w:rPr>
        <w:t xml:space="preserve">he resubmission proposed two separate prices for pembrolizumab in the economic model depending on the regimen. The </w:t>
      </w:r>
      <w:r w:rsidR="009429D6">
        <w:rPr>
          <w:color w:val="auto"/>
        </w:rPr>
        <w:t>weighted effective DPMA</w:t>
      </w:r>
      <w:r w:rsidRPr="006E4068">
        <w:rPr>
          <w:color w:val="auto"/>
        </w:rPr>
        <w:t xml:space="preserve"> </w:t>
      </w:r>
      <w:r w:rsidR="00880BB0" w:rsidRPr="006E4068">
        <w:rPr>
          <w:color w:val="auto"/>
        </w:rPr>
        <w:t>(</w:t>
      </w:r>
      <w:r w:rsidR="009429D6" w:rsidRPr="006E4068">
        <w:rPr>
          <w:color w:val="auto"/>
        </w:rPr>
        <w:t xml:space="preserve">assuming </w:t>
      </w:r>
      <w:r w:rsidR="009429D6" w:rsidRPr="00274A20">
        <w:rPr>
          <w:color w:val="auto"/>
        </w:rPr>
        <w:t>40.79</w:t>
      </w:r>
      <w:r w:rsidR="009429D6" w:rsidRPr="006E4068">
        <w:rPr>
          <w:color w:val="auto"/>
        </w:rPr>
        <w:t>% public hospital use</w:t>
      </w:r>
      <w:r w:rsidR="00880BB0" w:rsidRPr="006E4068">
        <w:rPr>
          <w:color w:val="auto"/>
        </w:rPr>
        <w:t xml:space="preserve">) </w:t>
      </w:r>
      <w:r w:rsidRPr="006E4068">
        <w:rPr>
          <w:color w:val="auto"/>
        </w:rPr>
        <w:t>applied for pembrolizumab monotherapy was $</w:t>
      </w:r>
      <w:r w:rsidR="009A1388" w:rsidRPr="008B464E">
        <w:rPr>
          <w:noProof/>
          <w:color w:val="000000"/>
          <w:w w:val="15"/>
          <w:shd w:val="solid" w:color="000000" w:fill="000000"/>
          <w:fitText w:val="-20" w:id="-1500867320"/>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320"/>
          <w14:textFill>
            <w14:solidFill>
              <w14:srgbClr w14:val="000000">
                <w14:alpha w14:val="100000"/>
              </w14:srgbClr>
            </w14:solidFill>
          </w14:textFill>
        </w:rPr>
        <w:t>|</w:t>
      </w:r>
      <w:r w:rsidRPr="006E4068">
        <w:rPr>
          <w:color w:val="auto"/>
        </w:rPr>
        <w:t>/200</w:t>
      </w:r>
      <w:r w:rsidR="00541FF0" w:rsidRPr="006E4068">
        <w:rPr>
          <w:color w:val="auto"/>
        </w:rPr>
        <w:t xml:space="preserve"> </w:t>
      </w:r>
      <w:r w:rsidRPr="006E4068">
        <w:rPr>
          <w:color w:val="auto"/>
        </w:rPr>
        <w:t>mg</w:t>
      </w:r>
      <w:r w:rsidR="00A670CB" w:rsidRPr="006E4068">
        <w:rPr>
          <w:color w:val="auto"/>
        </w:rPr>
        <w:t xml:space="preserve"> </w:t>
      </w:r>
      <w:r w:rsidR="008D08CE">
        <w:rPr>
          <w:color w:val="auto"/>
        </w:rPr>
        <w:t>(</w:t>
      </w:r>
      <w:r w:rsidR="00A670CB" w:rsidRPr="006E4068">
        <w:rPr>
          <w:color w:val="auto"/>
        </w:rPr>
        <w:t>revised to $</w:t>
      </w:r>
      <w:r w:rsidR="009A1388" w:rsidRPr="008B464E">
        <w:rPr>
          <w:noProof/>
          <w:color w:val="000000"/>
          <w:w w:val="15"/>
          <w:shd w:val="solid" w:color="000000" w:fill="000000"/>
          <w:fitText w:val="-20" w:id="-1500867319"/>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319"/>
          <w14:textFill>
            <w14:solidFill>
              <w14:srgbClr w14:val="000000">
                <w14:alpha w14:val="100000"/>
              </w14:srgbClr>
            </w14:solidFill>
          </w14:textFill>
        </w:rPr>
        <w:t>|</w:t>
      </w:r>
      <w:r w:rsidR="00A670CB" w:rsidRPr="006E4068">
        <w:rPr>
          <w:color w:val="auto"/>
        </w:rPr>
        <w:t>/</w:t>
      </w:r>
      <w:r w:rsidR="008D08CE">
        <w:rPr>
          <w:color w:val="auto"/>
        </w:rPr>
        <w:t>2</w:t>
      </w:r>
      <w:r w:rsidR="007D2466" w:rsidRPr="006E4068">
        <w:rPr>
          <w:color w:val="auto"/>
        </w:rPr>
        <w:t>00 </w:t>
      </w:r>
      <w:r w:rsidR="00A670CB" w:rsidRPr="006E4068">
        <w:rPr>
          <w:color w:val="auto"/>
        </w:rPr>
        <w:t>mg in the PSCR</w:t>
      </w:r>
      <w:r w:rsidRPr="006E4068">
        <w:rPr>
          <w:color w:val="auto"/>
        </w:rPr>
        <w:t>) and the price applied for pembrolizumab when used with chemotherapy was $</w:t>
      </w:r>
      <w:r w:rsidR="009A1388" w:rsidRPr="008B464E">
        <w:rPr>
          <w:noProof/>
          <w:color w:val="000000"/>
          <w:w w:val="15"/>
          <w:shd w:val="solid" w:color="000000" w:fill="000000"/>
          <w:fitText w:val="-20" w:id="-1500867318"/>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318"/>
          <w14:textFill>
            <w14:solidFill>
              <w14:srgbClr w14:val="000000">
                <w14:alpha w14:val="100000"/>
              </w14:srgbClr>
            </w14:solidFill>
          </w14:textFill>
        </w:rPr>
        <w:t>|</w:t>
      </w:r>
      <w:r w:rsidRPr="006E4068">
        <w:rPr>
          <w:color w:val="auto"/>
        </w:rPr>
        <w:t>/200</w:t>
      </w:r>
      <w:r w:rsidR="00541FF0" w:rsidRPr="006E4068">
        <w:rPr>
          <w:color w:val="auto"/>
        </w:rPr>
        <w:t xml:space="preserve"> </w:t>
      </w:r>
      <w:r w:rsidRPr="006E4068">
        <w:rPr>
          <w:color w:val="auto"/>
        </w:rPr>
        <w:t>mg</w:t>
      </w:r>
      <w:r w:rsidR="00A670CB" w:rsidRPr="006E4068">
        <w:rPr>
          <w:color w:val="auto"/>
        </w:rPr>
        <w:t xml:space="preserve"> </w:t>
      </w:r>
      <w:r w:rsidR="008D08CE">
        <w:rPr>
          <w:color w:val="auto"/>
        </w:rPr>
        <w:t>(</w:t>
      </w:r>
      <w:r w:rsidR="00A670CB" w:rsidRPr="006E4068">
        <w:rPr>
          <w:color w:val="auto"/>
        </w:rPr>
        <w:t>revised to $</w:t>
      </w:r>
      <w:r w:rsidR="009A1388" w:rsidRPr="008B464E">
        <w:rPr>
          <w:noProof/>
          <w:color w:val="000000"/>
          <w:w w:val="15"/>
          <w:shd w:val="solid" w:color="000000" w:fill="000000"/>
          <w:fitText w:val="-20" w:id="-1500867317"/>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317"/>
          <w14:textFill>
            <w14:solidFill>
              <w14:srgbClr w14:val="000000">
                <w14:alpha w14:val="100000"/>
              </w14:srgbClr>
            </w14:solidFill>
          </w14:textFill>
        </w:rPr>
        <w:t>|</w:t>
      </w:r>
      <w:r w:rsidR="00A670CB" w:rsidRPr="006E4068">
        <w:rPr>
          <w:color w:val="auto"/>
        </w:rPr>
        <w:t>/</w:t>
      </w:r>
      <w:r w:rsidR="008D08CE">
        <w:rPr>
          <w:color w:val="auto"/>
        </w:rPr>
        <w:t>2</w:t>
      </w:r>
      <w:r w:rsidR="007D2466" w:rsidRPr="006E4068">
        <w:rPr>
          <w:color w:val="auto"/>
        </w:rPr>
        <w:t>00 </w:t>
      </w:r>
      <w:r w:rsidR="00A670CB" w:rsidRPr="006E4068">
        <w:rPr>
          <w:color w:val="auto"/>
        </w:rPr>
        <w:t>mg in the PSCR</w:t>
      </w:r>
      <w:r w:rsidRPr="006E4068">
        <w:rPr>
          <w:color w:val="auto"/>
        </w:rPr>
        <w:t>).</w:t>
      </w:r>
      <w:r w:rsidR="00D5531D" w:rsidRPr="006E4068">
        <w:rPr>
          <w:color w:val="auto"/>
        </w:rPr>
        <w:t xml:space="preserve"> </w:t>
      </w:r>
      <w:r w:rsidRPr="006E4068">
        <w:t xml:space="preserve">The </w:t>
      </w:r>
      <w:r w:rsidR="00A670CB" w:rsidRPr="006E4068">
        <w:t>ESC</w:t>
      </w:r>
      <w:r w:rsidR="003824BB" w:rsidRPr="006E4068">
        <w:t>s</w:t>
      </w:r>
      <w:r w:rsidR="00A670CB" w:rsidRPr="006E4068">
        <w:t xml:space="preserve"> noted that the revised weighted price for pembrolizumab was unclear as the revised CPS cut-off for monotherapy would </w:t>
      </w:r>
      <w:r w:rsidR="00217171" w:rsidRPr="006E4068">
        <w:t>affect</w:t>
      </w:r>
      <w:r w:rsidR="00A670CB" w:rsidRPr="006E4068">
        <w:t xml:space="preserve"> the relative proportions</w:t>
      </w:r>
      <w:r w:rsidR="00A670CB" w:rsidRPr="006E4068">
        <w:rPr>
          <w:iCs/>
        </w:rPr>
        <w:t xml:space="preserve"> of monotherapy and combination therapy</w:t>
      </w:r>
      <w:r w:rsidR="00362427" w:rsidRPr="006E4068">
        <w:rPr>
          <w:iCs/>
        </w:rPr>
        <w:t xml:space="preserve"> (see also paragraph </w:t>
      </w:r>
      <w:r w:rsidR="008D08CE">
        <w:rPr>
          <w:iCs/>
        </w:rPr>
        <w:t>1.8</w:t>
      </w:r>
      <w:r w:rsidR="00362427" w:rsidRPr="006E4068">
        <w:rPr>
          <w:iCs/>
        </w:rPr>
        <w:t>)</w:t>
      </w:r>
      <w:r w:rsidR="00A670CB" w:rsidRPr="006E4068">
        <w:rPr>
          <w:iCs/>
        </w:rPr>
        <w:t>.</w:t>
      </w:r>
      <w:r w:rsidR="00A21326" w:rsidRPr="006E4068">
        <w:rPr>
          <w:iCs/>
        </w:rPr>
        <w:t xml:space="preserve"> The pre-PBAC response revised the </w:t>
      </w:r>
      <w:r w:rsidR="00994EF5">
        <w:rPr>
          <w:iCs/>
        </w:rPr>
        <w:t>price</w:t>
      </w:r>
      <w:r w:rsidR="00994EF5" w:rsidRPr="006E4068">
        <w:rPr>
          <w:iCs/>
        </w:rPr>
        <w:t xml:space="preserve"> </w:t>
      </w:r>
      <w:r w:rsidR="00A21326" w:rsidRPr="006E4068">
        <w:rPr>
          <w:iCs/>
        </w:rPr>
        <w:t xml:space="preserve">for pembrolizumab to </w:t>
      </w:r>
      <w:r w:rsidR="00994EF5">
        <w:rPr>
          <w:iCs/>
        </w:rPr>
        <w:t xml:space="preserve">an </w:t>
      </w:r>
      <w:r w:rsidR="00D21D4C" w:rsidRPr="006E4068">
        <w:rPr>
          <w:iCs/>
        </w:rPr>
        <w:lastRenderedPageBreak/>
        <w:t xml:space="preserve">AEMP </w:t>
      </w:r>
      <w:r w:rsidR="00994EF5">
        <w:rPr>
          <w:iCs/>
        </w:rPr>
        <w:t xml:space="preserve">of </w:t>
      </w:r>
      <w:r w:rsidR="00D21D4C" w:rsidRPr="006E4068">
        <w:rPr>
          <w:iCs/>
        </w:rPr>
        <w:t>$</w:t>
      </w:r>
      <w:r w:rsidR="009A1388" w:rsidRPr="008B464E">
        <w:rPr>
          <w:iCs/>
          <w:noProof/>
          <w:color w:val="000000"/>
          <w:w w:val="15"/>
          <w:shd w:val="solid" w:color="000000" w:fill="000000"/>
          <w:fitText w:val="-20" w:id="-1500867316"/>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316"/>
          <w14:textFill>
            <w14:solidFill>
              <w14:srgbClr w14:val="000000">
                <w14:alpha w14:val="100000"/>
              </w14:srgbClr>
            </w14:solidFill>
          </w14:textFill>
        </w:rPr>
        <w:t>|</w:t>
      </w:r>
      <w:r w:rsidR="00D21D4C" w:rsidRPr="006E4068">
        <w:rPr>
          <w:iCs/>
        </w:rPr>
        <w:t>/100 mg</w:t>
      </w:r>
      <w:r w:rsidR="006E4068" w:rsidRPr="006E4068">
        <w:rPr>
          <w:iCs/>
        </w:rPr>
        <w:t xml:space="preserve">, </w:t>
      </w:r>
      <w:r w:rsidR="00664FFC">
        <w:rPr>
          <w:iCs/>
        </w:rPr>
        <w:t>(</w:t>
      </w:r>
      <w:r w:rsidR="006E4068" w:rsidRPr="006E4068">
        <w:rPr>
          <w:iCs/>
        </w:rPr>
        <w:t>weighted public/private DPMA $</w:t>
      </w:r>
      <w:r w:rsidR="009A1388" w:rsidRPr="008B464E">
        <w:rPr>
          <w:iCs/>
          <w:noProof/>
          <w:color w:val="000000"/>
          <w:w w:val="15"/>
          <w:shd w:val="solid" w:color="000000" w:fill="000000"/>
          <w:fitText w:val="-20" w:id="-1500867315"/>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315"/>
          <w14:textFill>
            <w14:solidFill>
              <w14:srgbClr w14:val="000000">
                <w14:alpha w14:val="100000"/>
              </w14:srgbClr>
            </w14:solidFill>
          </w14:textFill>
        </w:rPr>
        <w:t>|</w:t>
      </w:r>
      <w:r w:rsidR="007D2466" w:rsidRPr="006E4068">
        <w:rPr>
          <w:iCs/>
        </w:rPr>
        <w:t>)</w:t>
      </w:r>
      <w:r w:rsidR="00A21326" w:rsidRPr="006E4068">
        <w:rPr>
          <w:iCs/>
        </w:rPr>
        <w:t xml:space="preserve"> for both</w:t>
      </w:r>
      <w:r w:rsidR="00A21326">
        <w:rPr>
          <w:iCs/>
        </w:rPr>
        <w:t xml:space="preserve"> monotherapy and combination therapy. </w:t>
      </w:r>
    </w:p>
    <w:p w14:paraId="4D8761ED" w14:textId="77777777" w:rsidR="00D7609F" w:rsidRPr="00BA042F" w:rsidRDefault="00F001B7">
      <w:pPr>
        <w:pStyle w:val="ListParagraph"/>
        <w:numPr>
          <w:ilvl w:val="4"/>
          <w:numId w:val="1"/>
        </w:numPr>
        <w:rPr>
          <w:color w:val="auto"/>
        </w:rPr>
      </w:pPr>
      <w:r w:rsidRPr="00BA042F">
        <w:rPr>
          <w:iCs/>
        </w:rPr>
        <w:t>W</w:t>
      </w:r>
      <w:r w:rsidRPr="00BA042F">
        <w:rPr>
          <w:iCs/>
          <w:color w:val="auto"/>
        </w:rPr>
        <w:t>hile the requested PBS restriction limits use to patients with R/M HNSCC of the oral cavity, pharynx and larynx, the TGA indication does not restrict use to these locations (</w:t>
      </w:r>
      <w:proofErr w:type="gramStart"/>
      <w:r w:rsidRPr="00BA042F">
        <w:rPr>
          <w:iCs/>
          <w:color w:val="auto"/>
        </w:rPr>
        <w:t>i.e.</w:t>
      </w:r>
      <w:proofErr w:type="gramEnd"/>
      <w:r w:rsidRPr="00BA042F">
        <w:rPr>
          <w:iCs/>
          <w:color w:val="auto"/>
        </w:rPr>
        <w:t xml:space="preserve"> may include nasopharynx).</w:t>
      </w:r>
      <w:r w:rsidRPr="00F001B7">
        <w:rPr>
          <w:iCs/>
          <w:color w:val="auto"/>
        </w:rPr>
        <w:t xml:space="preserve"> </w:t>
      </w:r>
      <w:r w:rsidR="00D7609F" w:rsidRPr="00F001B7">
        <w:rPr>
          <w:color w:val="auto"/>
        </w:rPr>
        <w:t xml:space="preserve">The PBAC previously observed that it </w:t>
      </w:r>
      <w:r w:rsidR="003D355A" w:rsidRPr="00F001B7">
        <w:rPr>
          <w:color w:val="auto"/>
        </w:rPr>
        <w:t>wa</w:t>
      </w:r>
      <w:r w:rsidR="00D7609F" w:rsidRPr="00F001B7">
        <w:rPr>
          <w:color w:val="auto"/>
        </w:rPr>
        <w:t xml:space="preserve">s unclear whether the requested restriction </w:t>
      </w:r>
      <w:r w:rsidR="003D355A" w:rsidRPr="00F001B7">
        <w:rPr>
          <w:color w:val="auto"/>
        </w:rPr>
        <w:t>was</w:t>
      </w:r>
      <w:r w:rsidR="00D7609F" w:rsidRPr="00F001B7">
        <w:rPr>
          <w:color w:val="auto"/>
        </w:rPr>
        <w:t xml:space="preserve"> sufficient to exclude nasopharyngeal carcinomas </w:t>
      </w:r>
      <w:r w:rsidRPr="00BA042F">
        <w:rPr>
          <w:color w:val="auto"/>
        </w:rPr>
        <w:t xml:space="preserve">(which were excluded in the KN048 trial) </w:t>
      </w:r>
      <w:r w:rsidR="00D7609F" w:rsidRPr="00F001B7">
        <w:rPr>
          <w:color w:val="auto"/>
        </w:rPr>
        <w:t>as the nasopharynx is part of the pharynx</w:t>
      </w:r>
      <w:r w:rsidR="003D355A" w:rsidRPr="00F001B7">
        <w:rPr>
          <w:color w:val="auto"/>
        </w:rPr>
        <w:t>.</w:t>
      </w:r>
      <w:r w:rsidR="00D7609F" w:rsidRPr="00F001B7">
        <w:rPr>
          <w:color w:val="auto"/>
        </w:rPr>
        <w:t xml:space="preserve"> </w:t>
      </w:r>
      <w:r w:rsidR="003D355A" w:rsidRPr="00F001B7">
        <w:rPr>
          <w:color w:val="auto"/>
        </w:rPr>
        <w:t xml:space="preserve">The </w:t>
      </w:r>
      <w:r w:rsidR="00D7609F" w:rsidRPr="00F001B7">
        <w:rPr>
          <w:color w:val="auto"/>
        </w:rPr>
        <w:t xml:space="preserve">previous submission argued that clinicians </w:t>
      </w:r>
      <w:r w:rsidR="003D355A" w:rsidRPr="00F001B7">
        <w:rPr>
          <w:color w:val="auto"/>
        </w:rPr>
        <w:t>we</w:t>
      </w:r>
      <w:r w:rsidR="00D7609F" w:rsidRPr="00F001B7">
        <w:rPr>
          <w:color w:val="auto"/>
        </w:rPr>
        <w:t>re unlikely to treat patients with nasopharyngeal SCC with pembrolizumab due to its distinct disease aetiology (paragraph 2.5, pembrolizumab PSD</w:t>
      </w:r>
      <w:r w:rsidR="00CD561A" w:rsidRPr="00F001B7">
        <w:rPr>
          <w:color w:val="auto"/>
        </w:rPr>
        <w:t>,</w:t>
      </w:r>
      <w:r w:rsidR="00D7609F" w:rsidRPr="00F001B7">
        <w:rPr>
          <w:color w:val="auto"/>
        </w:rPr>
        <w:t xml:space="preserve"> November 2020</w:t>
      </w:r>
      <w:r w:rsidR="00CD561A" w:rsidRPr="00F001B7">
        <w:rPr>
          <w:color w:val="auto"/>
        </w:rPr>
        <w:t xml:space="preserve"> PBAC Meeting</w:t>
      </w:r>
      <w:r w:rsidR="00D7609F" w:rsidRPr="00F001B7">
        <w:rPr>
          <w:color w:val="auto"/>
        </w:rPr>
        <w:t>).</w:t>
      </w:r>
      <w:r w:rsidR="00A670CB" w:rsidRPr="00F001B7">
        <w:rPr>
          <w:color w:val="auto"/>
        </w:rPr>
        <w:t xml:space="preserve"> </w:t>
      </w:r>
      <w:r w:rsidR="00A670CB" w:rsidRPr="00BA042F">
        <w:rPr>
          <w:color w:val="auto"/>
        </w:rPr>
        <w:t xml:space="preserve">The ESCs agreed with the submission that clinicians are unlikely to treat patients with nasopharyngeal SCC with pembrolizumab, however noted that the restriction could specify treatment of hypopharynx or oropharynx rather than “pharynx”, </w:t>
      </w:r>
      <w:proofErr w:type="gramStart"/>
      <w:r w:rsidR="00A670CB" w:rsidRPr="00BA042F">
        <w:rPr>
          <w:color w:val="auto"/>
        </w:rPr>
        <w:t>in order to</w:t>
      </w:r>
      <w:proofErr w:type="gramEnd"/>
      <w:r w:rsidR="00A670CB" w:rsidRPr="00BA042F">
        <w:rPr>
          <w:color w:val="auto"/>
        </w:rPr>
        <w:t xml:space="preserve"> exclude nasopharyngeal SCC.</w:t>
      </w:r>
    </w:p>
    <w:p w14:paraId="5DC4AC05" w14:textId="77777777" w:rsidR="00327BDB" w:rsidRDefault="00327BDB" w:rsidP="00D7609F">
      <w:pPr>
        <w:pStyle w:val="ListParagraph"/>
        <w:numPr>
          <w:ilvl w:val="4"/>
          <w:numId w:val="1"/>
        </w:numPr>
        <w:rPr>
          <w:color w:val="auto"/>
        </w:rPr>
      </w:pPr>
      <w:r w:rsidRPr="00BA042F">
        <w:rPr>
          <w:color w:val="auto"/>
        </w:rPr>
        <w:t xml:space="preserve">The ESCs also noted that the requirement for combination treatment to be commenced in combination with “platinum-based chemotherapy” was broader than the TGA indication, which specifies combination with 5FU </w:t>
      </w:r>
      <w:r w:rsidR="00F001B7" w:rsidRPr="00BA042F">
        <w:rPr>
          <w:color w:val="auto"/>
        </w:rPr>
        <w:t>(</w:t>
      </w:r>
      <w:r w:rsidRPr="00BA042F">
        <w:rPr>
          <w:color w:val="auto"/>
        </w:rPr>
        <w:t>as used in KN048</w:t>
      </w:r>
      <w:r w:rsidR="00F001B7" w:rsidRPr="00BA042F">
        <w:rPr>
          <w:color w:val="auto"/>
        </w:rPr>
        <w:t>)</w:t>
      </w:r>
      <w:r w:rsidRPr="00BA042F">
        <w:rPr>
          <w:color w:val="auto"/>
        </w:rPr>
        <w:t xml:space="preserve">. The </w:t>
      </w:r>
      <w:r w:rsidR="00B16BA3">
        <w:rPr>
          <w:color w:val="auto"/>
        </w:rPr>
        <w:t xml:space="preserve">PBAC agreed with the </w:t>
      </w:r>
      <w:r w:rsidRPr="00BA042F">
        <w:rPr>
          <w:color w:val="auto"/>
        </w:rPr>
        <w:t xml:space="preserve">ESCs that </w:t>
      </w:r>
      <w:r w:rsidR="00B16BA3">
        <w:rPr>
          <w:color w:val="auto"/>
        </w:rPr>
        <w:t xml:space="preserve">the </w:t>
      </w:r>
      <w:r w:rsidRPr="00BA042F">
        <w:rPr>
          <w:color w:val="auto"/>
        </w:rPr>
        <w:t>restrictio</w:t>
      </w:r>
      <w:r w:rsidR="00B16BA3">
        <w:rPr>
          <w:color w:val="auto"/>
        </w:rPr>
        <w:t>n should allow use in combination with</w:t>
      </w:r>
      <w:r w:rsidRPr="00BA042F">
        <w:rPr>
          <w:color w:val="auto"/>
        </w:rPr>
        <w:t xml:space="preserve"> platinum-based chemotherapy rather than specifying 5FU</w:t>
      </w:r>
      <w:r w:rsidR="00B16BA3">
        <w:rPr>
          <w:color w:val="auto"/>
        </w:rPr>
        <w:t>,</w:t>
      </w:r>
      <w:r w:rsidRPr="00BA042F">
        <w:rPr>
          <w:color w:val="auto"/>
        </w:rPr>
        <w:t xml:space="preserve"> as outcomes are unlikely to be affected</w:t>
      </w:r>
      <w:r w:rsidR="003211BC" w:rsidRPr="00BA042F">
        <w:rPr>
          <w:color w:val="auto"/>
        </w:rPr>
        <w:t xml:space="preserve"> by the choice of platinum-based chemotherapy</w:t>
      </w:r>
      <w:r w:rsidRPr="00BA042F">
        <w:rPr>
          <w:color w:val="auto"/>
        </w:rPr>
        <w:t>.</w:t>
      </w:r>
      <w:r w:rsidR="006E4068">
        <w:rPr>
          <w:color w:val="auto"/>
        </w:rPr>
        <w:t xml:space="preserve"> </w:t>
      </w:r>
    </w:p>
    <w:p w14:paraId="5D081D5F" w14:textId="77777777" w:rsidR="00337B10" w:rsidRDefault="00337B10" w:rsidP="00337B10">
      <w:pPr>
        <w:pStyle w:val="ListParagraph"/>
        <w:numPr>
          <w:ilvl w:val="4"/>
          <w:numId w:val="1"/>
        </w:numPr>
        <w:rPr>
          <w:color w:val="auto"/>
        </w:rPr>
      </w:pPr>
      <w:bookmarkStart w:id="13" w:name="_Hlk76375324"/>
      <w:r>
        <w:rPr>
          <w:color w:val="auto"/>
        </w:rPr>
        <w:t xml:space="preserve">The PBAC noted that the </w:t>
      </w:r>
      <w:r w:rsidR="00D21D4C">
        <w:rPr>
          <w:color w:val="auto"/>
        </w:rPr>
        <w:t xml:space="preserve">above </w:t>
      </w:r>
      <w:r>
        <w:rPr>
          <w:color w:val="auto"/>
        </w:rPr>
        <w:t>criteria concerning PD-L1 CPS would need to be amended to reflect the populations accepted. The PBAC also considered that a single listing (rather than separate listings for monotherapy and combination therapy) was preferable as it would be simpler for prescribers.</w:t>
      </w:r>
    </w:p>
    <w:p w14:paraId="1B5BB263" w14:textId="77777777" w:rsidR="00DD3D4A" w:rsidRPr="00C33D30" w:rsidRDefault="00DD3D4A" w:rsidP="00DD3D4A">
      <w:pPr>
        <w:ind w:firstLine="709"/>
        <w:rPr>
          <w:i/>
        </w:rPr>
      </w:pPr>
      <w:r w:rsidRPr="00C33D30">
        <w:rPr>
          <w:i/>
        </w:rPr>
        <w:t>For more detail on PBAC’s view, see section 7 PBAC outcome.</w:t>
      </w:r>
    </w:p>
    <w:p w14:paraId="27D73085" w14:textId="77777777" w:rsidR="00D7609F" w:rsidRPr="00A24A89" w:rsidRDefault="00D7609F" w:rsidP="00D7609F">
      <w:pPr>
        <w:pStyle w:val="PBACESHeading1"/>
        <w:numPr>
          <w:ilvl w:val="0"/>
          <w:numId w:val="1"/>
        </w:numPr>
        <w:tabs>
          <w:tab w:val="clear" w:pos="1077"/>
          <w:tab w:val="left" w:pos="709"/>
        </w:tabs>
        <w:ind w:left="0" w:firstLine="0"/>
      </w:pPr>
      <w:bookmarkStart w:id="14" w:name="_Toc81727545"/>
      <w:bookmarkStart w:id="15" w:name="_Toc82600094"/>
      <w:bookmarkEnd w:id="13"/>
      <w:r w:rsidRPr="00A24A89">
        <w:t>Background</w:t>
      </w:r>
      <w:bookmarkEnd w:id="14"/>
      <w:bookmarkEnd w:id="15"/>
    </w:p>
    <w:p w14:paraId="056D2CC5" w14:textId="77777777" w:rsidR="00D7609F" w:rsidRPr="00A24A89" w:rsidRDefault="00D7609F" w:rsidP="00D7609F">
      <w:pPr>
        <w:pStyle w:val="PBACESHeading2"/>
        <w:numPr>
          <w:ilvl w:val="2"/>
          <w:numId w:val="1"/>
        </w:numPr>
      </w:pPr>
      <w:bookmarkStart w:id="16" w:name="_Toc81727546"/>
      <w:bookmarkStart w:id="17" w:name="_Toc82600095"/>
      <w:r w:rsidRPr="00A24A89">
        <w:t>Registration status</w:t>
      </w:r>
      <w:bookmarkEnd w:id="16"/>
      <w:bookmarkEnd w:id="17"/>
    </w:p>
    <w:p w14:paraId="485B3BDC" w14:textId="77777777" w:rsidR="00D7609F" w:rsidRPr="00A24A89" w:rsidRDefault="00D7609F" w:rsidP="00D7609F">
      <w:pPr>
        <w:pStyle w:val="ListParagraph"/>
        <w:numPr>
          <w:ilvl w:val="4"/>
          <w:numId w:val="1"/>
        </w:numPr>
        <w:rPr>
          <w:color w:val="auto"/>
        </w:rPr>
      </w:pPr>
      <w:r w:rsidRPr="00A24A89">
        <w:rPr>
          <w:color w:val="auto"/>
        </w:rPr>
        <w:t>Pembrolizumab was TGA registered on 22 September 2020 for:</w:t>
      </w:r>
    </w:p>
    <w:p w14:paraId="6F144CE6" w14:textId="77777777" w:rsidR="00D7609F" w:rsidRPr="00A24A89" w:rsidRDefault="00D7609F" w:rsidP="00D7609F">
      <w:pPr>
        <w:pStyle w:val="ListParagraph"/>
        <w:ind w:left="709"/>
      </w:pPr>
      <w:r w:rsidRPr="00A24A89">
        <w:t>Pembrolizumab as monotherapy or in combination with platinum and 5-fluorouracil (5-FU) chemotherapy, is indicated for the first-line treatment of patients with metastatic or unresectable recurrent HNSCC, and whose tumours express PD-L1 [Combined Positive Score (CPS) ≥1] as determined by a validated test.</w:t>
      </w:r>
    </w:p>
    <w:p w14:paraId="78D6F58F" w14:textId="77777777" w:rsidR="00D7609F" w:rsidRPr="00A24A89" w:rsidRDefault="00D7609F" w:rsidP="00D7609F">
      <w:pPr>
        <w:pStyle w:val="ListParagraph"/>
        <w:numPr>
          <w:ilvl w:val="4"/>
          <w:numId w:val="1"/>
        </w:numPr>
        <w:rPr>
          <w:color w:val="auto"/>
        </w:rPr>
      </w:pPr>
      <w:r w:rsidRPr="00A24A89">
        <w:rPr>
          <w:color w:val="auto"/>
        </w:rPr>
        <w:t xml:space="preserve">Pembrolizumab is also TGA approved </w:t>
      </w:r>
      <w:r w:rsidRPr="00362427">
        <w:rPr>
          <w:color w:val="auto"/>
        </w:rPr>
        <w:t xml:space="preserve">for </w:t>
      </w:r>
      <w:r w:rsidRPr="00362427">
        <w:t>the treatment of patients with metastatic or unresectable recurrent HNSCC with disease progression on or after platinum-containing chemotherapy whose tumours express PD-L1 (CPS ≥1)</w:t>
      </w:r>
      <w:r w:rsidRPr="00A24A89">
        <w:t xml:space="preserve"> </w:t>
      </w:r>
      <w:r w:rsidRPr="00A24A89">
        <w:rPr>
          <w:color w:val="auto"/>
        </w:rPr>
        <w:t xml:space="preserve">and </w:t>
      </w:r>
      <w:proofErr w:type="gramStart"/>
      <w:r w:rsidRPr="00A24A89">
        <w:rPr>
          <w:color w:val="auto"/>
        </w:rPr>
        <w:t>a number of</w:t>
      </w:r>
      <w:proofErr w:type="gramEnd"/>
      <w:r w:rsidRPr="00A24A89">
        <w:rPr>
          <w:color w:val="auto"/>
        </w:rPr>
        <w:t xml:space="preserve"> indications including for </w:t>
      </w:r>
      <w:proofErr w:type="spellStart"/>
      <w:r w:rsidRPr="00A24A89">
        <w:rPr>
          <w:color w:val="auto"/>
        </w:rPr>
        <w:t>non small</w:t>
      </w:r>
      <w:proofErr w:type="spellEnd"/>
      <w:r w:rsidRPr="00A24A89">
        <w:rPr>
          <w:color w:val="auto"/>
        </w:rPr>
        <w:t xml:space="preserve"> cell lung cancer (NSCLC), melanoma, Hodgkin </w:t>
      </w:r>
      <w:r w:rsidRPr="00A24A89">
        <w:rPr>
          <w:color w:val="auto"/>
        </w:rPr>
        <w:lastRenderedPageBreak/>
        <w:t>lymphoma, urothelial cancer, primary mediastinal B-cell lymphoma and microsatellite instability-high (MSI-H) or mismatch repair deficient (</w:t>
      </w:r>
      <w:proofErr w:type="spellStart"/>
      <w:r w:rsidRPr="00A24A89">
        <w:rPr>
          <w:color w:val="auto"/>
        </w:rPr>
        <w:t>dMMR</w:t>
      </w:r>
      <w:proofErr w:type="spellEnd"/>
      <w:r w:rsidRPr="00A24A89">
        <w:rPr>
          <w:color w:val="auto"/>
        </w:rPr>
        <w:t>) cancers.</w:t>
      </w:r>
    </w:p>
    <w:p w14:paraId="69975F44" w14:textId="77777777" w:rsidR="00D7609F" w:rsidRPr="00A24A89" w:rsidRDefault="00D7609F" w:rsidP="00D7609F">
      <w:pPr>
        <w:pStyle w:val="PBACESHeading2"/>
        <w:numPr>
          <w:ilvl w:val="2"/>
          <w:numId w:val="1"/>
        </w:numPr>
      </w:pPr>
      <w:bookmarkStart w:id="18" w:name="_Toc81727547"/>
      <w:bookmarkStart w:id="19" w:name="_Toc82600096"/>
      <w:r w:rsidRPr="00A24A89">
        <w:t>Previous PBAC consideration</w:t>
      </w:r>
      <w:bookmarkEnd w:id="18"/>
      <w:bookmarkEnd w:id="19"/>
    </w:p>
    <w:p w14:paraId="6F2E9854" w14:textId="5D8A4A44" w:rsidR="00D7609F" w:rsidRPr="00A24A89" w:rsidRDefault="00D7609F" w:rsidP="00D7609F">
      <w:pPr>
        <w:pStyle w:val="ListParagraph"/>
        <w:numPr>
          <w:ilvl w:val="4"/>
          <w:numId w:val="1"/>
        </w:numPr>
        <w:rPr>
          <w:color w:val="auto"/>
        </w:rPr>
      </w:pPr>
      <w:r w:rsidRPr="00A24A89">
        <w:rPr>
          <w:color w:val="auto"/>
        </w:rPr>
        <w:t xml:space="preserve">There was one previous consideration of pembrolizumab for the 1L treatment of patients with R/M HNSCC in November 2020. </w:t>
      </w:r>
      <w:r w:rsidR="008D43ED">
        <w:t xml:space="preserve">Table </w:t>
      </w:r>
      <w:r w:rsidR="008D43ED">
        <w:rPr>
          <w:noProof/>
        </w:rPr>
        <w:t>2</w:t>
      </w:r>
      <w:r w:rsidR="006E4068">
        <w:rPr>
          <w:color w:val="auto"/>
        </w:rPr>
        <w:t xml:space="preserve"> </w:t>
      </w:r>
      <w:r w:rsidRPr="00A24A89">
        <w:rPr>
          <w:color w:val="auto"/>
        </w:rPr>
        <w:t>summari</w:t>
      </w:r>
      <w:r w:rsidR="005E0628">
        <w:rPr>
          <w:color w:val="auto"/>
        </w:rPr>
        <w:t>s</w:t>
      </w:r>
      <w:r w:rsidRPr="00A24A89">
        <w:rPr>
          <w:color w:val="auto"/>
        </w:rPr>
        <w:t>es the outstanding matters of concern and how these matters were addressed in the resubmission.</w:t>
      </w:r>
    </w:p>
    <w:p w14:paraId="6996CC8B" w14:textId="77777777" w:rsidR="00D7609F" w:rsidRPr="00A24A89" w:rsidRDefault="00BD789E" w:rsidP="00024DCD">
      <w:pPr>
        <w:pStyle w:val="Caption"/>
      </w:pPr>
      <w:bookmarkStart w:id="20" w:name="_Ref80062695"/>
      <w:bookmarkStart w:id="21" w:name="_Ref88569808"/>
      <w:bookmarkStart w:id="22" w:name="_Hlk81580662"/>
      <w:r>
        <w:t xml:space="preserve">Table </w:t>
      </w:r>
      <w:r w:rsidR="008D43ED">
        <w:rPr>
          <w:noProof/>
        </w:rPr>
        <w:t>2</w:t>
      </w:r>
      <w:bookmarkEnd w:id="20"/>
      <w:r w:rsidR="00024DCD">
        <w:t xml:space="preserve">: </w:t>
      </w:r>
      <w:r w:rsidR="00D7609F" w:rsidRPr="00A24A89">
        <w:t>Summary of outstanding matters of concern</w:t>
      </w:r>
      <w:bookmarkEnd w:id="21"/>
    </w:p>
    <w:tbl>
      <w:tblPr>
        <w:tblStyle w:val="MSDTableGrid15"/>
        <w:tblpPr w:leftFromText="180" w:rightFromText="180" w:bottomFromText="120" w:vertAnchor="text" w:horzAnchor="margin"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Caption w:val="Table 2: Summary of outstanding matters of concern"/>
      </w:tblPr>
      <w:tblGrid>
        <w:gridCol w:w="1554"/>
        <w:gridCol w:w="3715"/>
        <w:gridCol w:w="3747"/>
      </w:tblGrid>
      <w:tr w:rsidR="00D7609F" w:rsidRPr="00A24A89" w14:paraId="3AFF559F" w14:textId="77777777" w:rsidTr="005642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5931DE6A" w14:textId="77777777" w:rsidR="00D7609F" w:rsidRPr="00A24A89" w:rsidRDefault="00D7609F" w:rsidP="00BD789E">
            <w:pPr>
              <w:pStyle w:val="Tabletext0"/>
              <w:keepNext/>
              <w:keepLines/>
              <w:widowControl w:val="0"/>
              <w:contextualSpacing/>
            </w:pPr>
            <w:r w:rsidRPr="00A24A89">
              <w:t>Component</w:t>
            </w:r>
          </w:p>
        </w:tc>
        <w:tc>
          <w:tcPr>
            <w:tcW w:w="206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692E7441" w14:textId="77777777" w:rsidR="00D7609F" w:rsidRPr="00A24A89" w:rsidRDefault="00D7609F" w:rsidP="00BD789E">
            <w:pPr>
              <w:pStyle w:val="Tabletext0"/>
              <w:keepNext/>
              <w:keepLines/>
              <w:widowControl w:val="0"/>
              <w:contextualSpacing/>
              <w:cnfStyle w:val="100000000000" w:firstRow="1" w:lastRow="0" w:firstColumn="0" w:lastColumn="0" w:oddVBand="0" w:evenVBand="0" w:oddHBand="0" w:evenHBand="0" w:firstRowFirstColumn="0" w:firstRowLastColumn="0" w:lastRowFirstColumn="0" w:lastRowLastColumn="0"/>
            </w:pPr>
            <w:r w:rsidRPr="00A24A89">
              <w:t>Matter of concern</w:t>
            </w:r>
          </w:p>
        </w:tc>
        <w:tc>
          <w:tcPr>
            <w:tcW w:w="207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362EC319" w14:textId="77777777" w:rsidR="00D7609F" w:rsidRPr="00A24A89" w:rsidRDefault="00D7609F" w:rsidP="00BD789E">
            <w:pPr>
              <w:pStyle w:val="Tabletext0"/>
              <w:keepNext/>
              <w:keepLines/>
              <w:widowControl w:val="0"/>
              <w:contextualSpacing/>
              <w:cnfStyle w:val="100000000000" w:firstRow="1" w:lastRow="0" w:firstColumn="0" w:lastColumn="0" w:oddVBand="0" w:evenVBand="0" w:oddHBand="0" w:evenHBand="0" w:firstRowFirstColumn="0" w:firstRowLastColumn="0" w:lastRowFirstColumn="0" w:lastRowLastColumn="0"/>
            </w:pPr>
            <w:r w:rsidRPr="00A24A89">
              <w:t>How the resubmission addresses it</w:t>
            </w:r>
          </w:p>
        </w:tc>
      </w:tr>
      <w:tr w:rsidR="00D7609F" w:rsidRPr="00A24A89" w14:paraId="288D798D" w14:textId="77777777" w:rsidTr="00BD789E">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bottom"/>
          </w:tcPr>
          <w:p w14:paraId="70848FCC" w14:textId="77777777" w:rsidR="00D7609F" w:rsidRPr="00A24A89" w:rsidRDefault="00D7609F" w:rsidP="00BD789E">
            <w:pPr>
              <w:pStyle w:val="Tabletext0"/>
              <w:keepNext/>
              <w:keepLines/>
              <w:widowControl w:val="0"/>
              <w:contextualSpacing/>
              <w:rPr>
                <w:b w:val="0"/>
                <w:bCs/>
              </w:rPr>
            </w:pPr>
            <w:r w:rsidRPr="00A24A89">
              <w:rPr>
                <w:b w:val="0"/>
                <w:bCs/>
              </w:rPr>
              <w:t>Clinical issues for PBAC</w:t>
            </w:r>
          </w:p>
        </w:tc>
      </w:tr>
      <w:tr w:rsidR="00D7609F" w:rsidRPr="00A24A89" w14:paraId="7475E07B"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hideMark/>
          </w:tcPr>
          <w:p w14:paraId="567CD430" w14:textId="77777777" w:rsidR="00D7609F" w:rsidRPr="00A24A89" w:rsidRDefault="003B65EC" w:rsidP="00BD789E">
            <w:pPr>
              <w:pStyle w:val="Tabletext0"/>
              <w:keepNext/>
              <w:keepLines/>
              <w:widowControl w:val="0"/>
              <w:contextualSpacing/>
              <w:rPr>
                <w:b w:val="0"/>
                <w:bCs/>
              </w:rPr>
            </w:pPr>
            <w:r>
              <w:rPr>
                <w:b w:val="0"/>
                <w:bCs/>
              </w:rPr>
              <w:t xml:space="preserve">Efficacy of </w:t>
            </w:r>
            <w:r w:rsidR="00D7609F" w:rsidRPr="00A24A89">
              <w:rPr>
                <w:b w:val="0"/>
                <w:bCs/>
              </w:rPr>
              <w:t>2L nivolumab</w:t>
            </w:r>
          </w:p>
        </w:tc>
        <w:tc>
          <w:tcPr>
            <w:tcW w:w="2060" w:type="pct"/>
            <w:shd w:val="clear" w:color="auto" w:fill="auto"/>
          </w:tcPr>
          <w:p w14:paraId="0DE51799" w14:textId="77777777" w:rsidR="00D7609F" w:rsidRPr="00A24A89" w:rsidRDefault="00D7609F" w:rsidP="00BD789E">
            <w:pPr>
              <w:pStyle w:val="Tabletext0"/>
              <w:keepNext/>
              <w:keepLines/>
              <w:widowControl w:val="0"/>
              <w:contextualSpacing/>
              <w:cnfStyle w:val="000000000000" w:firstRow="0" w:lastRow="0" w:firstColumn="0" w:lastColumn="0" w:oddVBand="0" w:evenVBand="0" w:oddHBand="0" w:evenHBand="0" w:firstRowFirstColumn="0" w:firstRowLastColumn="0" w:lastRowFirstColumn="0" w:lastRowLastColumn="0"/>
              <w:rPr>
                <w:sz w:val="22"/>
              </w:rPr>
            </w:pPr>
            <w:r w:rsidRPr="00A24A89">
              <w:t>The PBAC noted there was no clinical evidence presented in the submission to assess the impact of 2L nivolumab on the incremental efficacy and considered this was inappropriate. (paragraph 7.3, pembrolizumab PSD, November 2020</w:t>
            </w:r>
            <w:r w:rsidR="00CD561A" w:rsidRPr="00A24A89">
              <w:t xml:space="preserve"> PBAC</w:t>
            </w:r>
            <w:r w:rsidR="00CD561A">
              <w:t xml:space="preserve"> Meeting</w:t>
            </w:r>
            <w:r w:rsidRPr="00A24A89">
              <w:t>)</w:t>
            </w:r>
          </w:p>
        </w:tc>
        <w:tc>
          <w:tcPr>
            <w:tcW w:w="2078" w:type="pct"/>
            <w:shd w:val="clear" w:color="auto" w:fill="auto"/>
          </w:tcPr>
          <w:p w14:paraId="28C6FA1D" w14:textId="77777777" w:rsidR="00D7609F" w:rsidRPr="00A24A89" w:rsidRDefault="00D7609F" w:rsidP="007019BE">
            <w:pPr>
              <w:pStyle w:val="Tabletext0"/>
              <w:keepNext/>
              <w:keepLines/>
              <w:widowControl w:val="0"/>
              <w:contextualSpacing/>
              <w:cnfStyle w:val="000000000000" w:firstRow="0" w:lastRow="0" w:firstColumn="0" w:lastColumn="0" w:oddVBand="0" w:evenVBand="0" w:oddHBand="0" w:evenHBand="0" w:firstRowFirstColumn="0" w:firstRowLastColumn="0" w:lastRowFirstColumn="0" w:lastRowLastColumn="0"/>
            </w:pPr>
            <w:r w:rsidRPr="00A24A89">
              <w:t xml:space="preserve">A </w:t>
            </w:r>
            <w:r w:rsidR="003B65EC" w:rsidRPr="003B65EC">
              <w:t>simplified two stage model with no re-censoring based on Latimer 2013 was conducted on the cetuximab plus chemotherapy arm in KN048</w:t>
            </w:r>
            <w:r w:rsidR="003B65EC">
              <w:t xml:space="preserve"> </w:t>
            </w:r>
            <w:r w:rsidRPr="00A24A89">
              <w:t xml:space="preserve">to estimate the treatment effect of 2L nivolumab. This was then upscaled to reflect the estimated proportion of 2L use of nivolumab in Australia, effectively raising the hazard </w:t>
            </w:r>
            <w:r w:rsidR="007019BE">
              <w:t>rate</w:t>
            </w:r>
            <w:r w:rsidR="007019BE" w:rsidRPr="00A24A89">
              <w:t xml:space="preserve"> </w:t>
            </w:r>
            <w:r w:rsidRPr="00A24A89">
              <w:t xml:space="preserve">for the SoC arm. This resulted in OS hazard ratios for pembrolizumab monotherapy (HR=0.767) and </w:t>
            </w:r>
            <w:r w:rsidR="00A15BE8">
              <w:t>pembrolizumab plus</w:t>
            </w:r>
            <w:r w:rsidRPr="00A24A89">
              <w:t xml:space="preserve"> chemotherapy (HR=0.658).</w:t>
            </w:r>
          </w:p>
        </w:tc>
      </w:tr>
      <w:tr w:rsidR="00D7609F" w:rsidRPr="00A24A89" w14:paraId="73C3F136"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6931C67E" w14:textId="77777777" w:rsidR="00D7609F" w:rsidRPr="00A24A89" w:rsidRDefault="00D7609F" w:rsidP="003B65EC">
            <w:pPr>
              <w:pStyle w:val="Tabletext0"/>
              <w:keepNext/>
              <w:keepLines/>
              <w:widowControl w:val="0"/>
              <w:rPr>
                <w:b w:val="0"/>
                <w:bCs/>
              </w:rPr>
            </w:pPr>
            <w:r w:rsidRPr="00A24A89">
              <w:rPr>
                <w:b w:val="0"/>
                <w:bCs/>
              </w:rPr>
              <w:t>Pembrolizumab monotherapy clinical claim</w:t>
            </w:r>
          </w:p>
        </w:tc>
        <w:tc>
          <w:tcPr>
            <w:tcW w:w="2060" w:type="pct"/>
            <w:shd w:val="clear" w:color="auto" w:fill="auto"/>
          </w:tcPr>
          <w:p w14:paraId="3598BAB2"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PBAC did not accept the clinical claim that pembrolizumab monotherapy demonstrated superior clinical effectiveness compared to 1L chemotherapy alone for patients with CPS ≥1. </w:t>
            </w:r>
            <w:r w:rsidR="002813BA">
              <w:t>T</w:t>
            </w:r>
            <w:r w:rsidRPr="00A24A89">
              <w:t xml:space="preserve">he PBAC noted there was no planned statistical analysis for OS for pembrolizumab monotherapy versus </w:t>
            </w:r>
            <w:r w:rsidR="00C077D0">
              <w:t>cetuximab plus</w:t>
            </w:r>
            <w:r w:rsidRPr="00A24A89">
              <w:t xml:space="preserve"> chemotherapy in the CPS ≥1 subgroup. (paragraph 7.5,</w:t>
            </w:r>
            <w:r w:rsidR="00CD561A">
              <w:t xml:space="preserve"> </w:t>
            </w:r>
            <w:r w:rsidRPr="00A24A89">
              <w:t>pembrolizumab PSD, November 2020</w:t>
            </w:r>
            <w:r w:rsidR="00CD561A" w:rsidRPr="00A24A89">
              <w:t xml:space="preserve"> PBAC</w:t>
            </w:r>
            <w:r w:rsidR="00CD561A">
              <w:t xml:space="preserve"> Meeting</w:t>
            </w:r>
            <w:r w:rsidRPr="00A24A89">
              <w:t>)</w:t>
            </w:r>
          </w:p>
        </w:tc>
        <w:tc>
          <w:tcPr>
            <w:tcW w:w="2078" w:type="pct"/>
            <w:shd w:val="clear" w:color="auto" w:fill="auto"/>
          </w:tcPr>
          <w:p w14:paraId="3F3F2039" w14:textId="77777777" w:rsidR="00D7609F" w:rsidRPr="00A24A89" w:rsidRDefault="00D7609F" w:rsidP="007C4CDA">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resubmission stated that the statistical analysis plan required testing of </w:t>
            </w:r>
            <w:r w:rsidRPr="007C4CDA">
              <w:t xml:space="preserve">CPS </w:t>
            </w:r>
            <w:r w:rsidR="007C4CDA">
              <w:t>≥</w:t>
            </w:r>
            <w:r w:rsidRPr="007C4CDA">
              <w:t xml:space="preserve">20 first, if superiority was shown then CPS </w:t>
            </w:r>
            <w:r w:rsidR="007C4CDA">
              <w:t>≥</w:t>
            </w:r>
            <w:r w:rsidRPr="007C4CDA">
              <w:t>1 was tested, which was before ITT testing was done. Since superiority was demonstrated in CPS</w:t>
            </w:r>
            <w:r w:rsidR="00FA0491">
              <w:t xml:space="preserve"> </w:t>
            </w:r>
            <w:r w:rsidR="007C4CDA">
              <w:t>≥</w:t>
            </w:r>
            <w:r w:rsidRPr="007C4CDA">
              <w:t xml:space="preserve">20, testing in CPS </w:t>
            </w:r>
            <w:r w:rsidR="007C4CDA">
              <w:t>≥</w:t>
            </w:r>
            <w:r w:rsidRPr="007C4CDA">
              <w:t>1 was pre-specified and appropriately conducted. Since</w:t>
            </w:r>
            <w:r w:rsidRPr="00A24A89">
              <w:t xml:space="preserve"> superiority was also shown, the clinical claim is valid thereby demonstrating </w:t>
            </w:r>
            <w:proofErr w:type="spellStart"/>
            <w:r w:rsidRPr="00A24A89">
              <w:t>codependence</w:t>
            </w:r>
            <w:proofErr w:type="spellEnd"/>
            <w:r w:rsidRPr="00A24A89">
              <w:t>.</w:t>
            </w:r>
          </w:p>
        </w:tc>
      </w:tr>
      <w:tr w:rsidR="00D7609F" w:rsidRPr="00A24A89" w14:paraId="4A974BF1"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hideMark/>
          </w:tcPr>
          <w:p w14:paraId="3F09A1E6" w14:textId="77777777" w:rsidR="00D7609F" w:rsidRPr="00A24A89" w:rsidRDefault="00D7609F" w:rsidP="003B65EC">
            <w:pPr>
              <w:pStyle w:val="Tabletext0"/>
              <w:keepNext/>
              <w:keepLines/>
              <w:widowControl w:val="0"/>
              <w:rPr>
                <w:b w:val="0"/>
                <w:bCs/>
              </w:rPr>
            </w:pPr>
            <w:r w:rsidRPr="00A24A89">
              <w:rPr>
                <w:b w:val="0"/>
                <w:bCs/>
              </w:rPr>
              <w:t>Pembrolizumab combination non-inferiority safety claim</w:t>
            </w:r>
          </w:p>
        </w:tc>
        <w:tc>
          <w:tcPr>
            <w:tcW w:w="2060" w:type="pct"/>
            <w:shd w:val="clear" w:color="auto" w:fill="auto"/>
          </w:tcPr>
          <w:p w14:paraId="6F94C301"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PBAC also noted that KN048 showed that </w:t>
            </w:r>
            <w:r w:rsidR="00A15BE8">
              <w:t>pembrolizumab plus</w:t>
            </w:r>
            <w:r w:rsidRPr="00A24A89">
              <w:t xml:space="preserve"> chemotherapy was </w:t>
            </w:r>
            <w:proofErr w:type="gramStart"/>
            <w:r w:rsidRPr="00A24A89">
              <w:t>similar to</w:t>
            </w:r>
            <w:proofErr w:type="gramEnd"/>
            <w:r w:rsidRPr="00A24A89">
              <w:t xml:space="preserve"> </w:t>
            </w:r>
            <w:r w:rsidR="00C077D0">
              <w:t>cetuximab plus</w:t>
            </w:r>
            <w:r w:rsidRPr="00A24A89">
              <w:t xml:space="preserve"> chemotherapy in safety, with a similar proportion of patients in both arms reporting any grade 3 to 5 drug related adverse events (71.7% vs 69.3% respectively, RD = 2.4%, 95% CI -6.1, 9.9). On this basis, the PBAC considered that </w:t>
            </w:r>
            <w:r w:rsidR="00A15BE8">
              <w:t>pembrolizumab plus</w:t>
            </w:r>
            <w:r w:rsidRPr="00A24A89">
              <w:t xml:space="preserve"> chemotherapy was likely inferior in safety to chemotherapy alone. (paragraph 7.8, pembrolizumab PBAC PSD, November 2020)</w:t>
            </w:r>
          </w:p>
        </w:tc>
        <w:tc>
          <w:tcPr>
            <w:tcW w:w="2078" w:type="pct"/>
            <w:shd w:val="clear" w:color="auto" w:fill="auto"/>
          </w:tcPr>
          <w:p w14:paraId="3909DE06"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resubmission has revised the safety claim to one of inferior safety. The resubmission stated that this is conservative, as it has not </w:t>
            </w:r>
            <w:proofErr w:type="gramStart"/>
            <w:r w:rsidRPr="00A24A89">
              <w:t>taken into account</w:t>
            </w:r>
            <w:proofErr w:type="gramEnd"/>
            <w:r w:rsidRPr="00A24A89">
              <w:t xml:space="preserve"> the additional adverse events that would be seen in Australian patients currently receiving 2L nivolumab.</w:t>
            </w:r>
          </w:p>
        </w:tc>
      </w:tr>
      <w:tr w:rsidR="00D7609F" w:rsidRPr="00A24A89" w14:paraId="7C0865D8" w14:textId="77777777" w:rsidTr="00BD789E">
        <w:trPr>
          <w:trHeight w:val="175"/>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hideMark/>
          </w:tcPr>
          <w:p w14:paraId="29494C7F" w14:textId="77777777" w:rsidR="00D7609F" w:rsidRPr="00A24A89" w:rsidRDefault="00D7609F" w:rsidP="003B65EC">
            <w:pPr>
              <w:pStyle w:val="Tabletext0"/>
              <w:keepNext/>
              <w:keepLines/>
              <w:widowControl w:val="0"/>
              <w:rPr>
                <w:b w:val="0"/>
                <w:bCs/>
              </w:rPr>
            </w:pPr>
            <w:r w:rsidRPr="00A24A89">
              <w:rPr>
                <w:b w:val="0"/>
                <w:bCs/>
              </w:rPr>
              <w:t>Economic issues</w:t>
            </w:r>
          </w:p>
        </w:tc>
      </w:tr>
      <w:tr w:rsidR="00D7609F" w:rsidRPr="00A24A89" w14:paraId="23E3D8FC"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69381B22" w14:textId="77777777" w:rsidR="00D7609F" w:rsidRPr="00A24A89" w:rsidRDefault="002813BA" w:rsidP="003B65EC">
            <w:pPr>
              <w:pStyle w:val="Tabletext0"/>
              <w:keepNext/>
              <w:keepLines/>
              <w:widowControl w:val="0"/>
              <w:rPr>
                <w:b w:val="0"/>
                <w:bCs/>
              </w:rPr>
            </w:pPr>
            <w:r>
              <w:rPr>
                <w:b w:val="0"/>
                <w:bCs/>
              </w:rPr>
              <w:t xml:space="preserve">Efficacy of </w:t>
            </w:r>
            <w:r w:rsidR="00D7609F" w:rsidRPr="00A24A89">
              <w:rPr>
                <w:b w:val="0"/>
                <w:bCs/>
              </w:rPr>
              <w:t>2L nivolumab</w:t>
            </w:r>
          </w:p>
        </w:tc>
        <w:tc>
          <w:tcPr>
            <w:tcW w:w="2060" w:type="pct"/>
            <w:shd w:val="clear" w:color="auto" w:fill="auto"/>
          </w:tcPr>
          <w:p w14:paraId="2875D75F" w14:textId="77777777" w:rsidR="00D7609F" w:rsidRPr="00A24A89" w:rsidRDefault="00D7609F" w:rsidP="007B0C11">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PBAC considered there was a high level of uncertainty with the economic model and interpretation of the ICER for </w:t>
            </w:r>
            <w:proofErr w:type="gramStart"/>
            <w:r w:rsidRPr="00A24A89">
              <w:t>a number of</w:t>
            </w:r>
            <w:proofErr w:type="gramEnd"/>
            <w:r w:rsidRPr="00A24A89">
              <w:t xml:space="preserve"> reasons, including inappropriately excluding the effectiveness of 2L nivolumab in the SOC arm which resulted in a significant under-estimate of OS. (paragraph 7.10, pembrolizumab PSD, </w:t>
            </w:r>
            <w:r w:rsidRPr="00A24A89">
              <w:lastRenderedPageBreak/>
              <w:t>November 2020</w:t>
            </w:r>
            <w:r w:rsidR="007000C5" w:rsidRPr="00A24A89">
              <w:t xml:space="preserve"> PBAC</w:t>
            </w:r>
            <w:r w:rsidR="007000C5">
              <w:t xml:space="preserve"> Meeting</w:t>
            </w:r>
            <w:r w:rsidRPr="00A24A89">
              <w:t>)</w:t>
            </w:r>
            <w:r w:rsidR="007B0C11">
              <w:t xml:space="preserve"> The original submission presented an indirect comparison as the primary analysis that used data from KN048 and EXTREME to compare pembrolizumab</w:t>
            </w:r>
            <w:r w:rsidR="00021100">
              <w:t xml:space="preserve"> </w:t>
            </w:r>
            <w:r w:rsidR="007B0C11">
              <w:t>±</w:t>
            </w:r>
            <w:r w:rsidR="00021100">
              <w:t xml:space="preserve"> </w:t>
            </w:r>
            <w:r w:rsidR="007B0C11">
              <w:t xml:space="preserve">chemotherapy versus chemotherapy alone </w:t>
            </w:r>
            <w:r w:rsidR="004D49B0">
              <w:t>in</w:t>
            </w:r>
            <w:r w:rsidR="007B0C11">
              <w:t xml:space="preserve"> the CPS ≥1 population. </w:t>
            </w:r>
            <w:r w:rsidR="004D49B0">
              <w:t>The OS HRs</w:t>
            </w:r>
            <w:r w:rsidR="00451387">
              <w:t xml:space="preserve"> presented</w:t>
            </w:r>
            <w:r w:rsidR="004D49B0">
              <w:t xml:space="preserve"> were </w:t>
            </w:r>
            <w:r w:rsidR="004D49B0" w:rsidRPr="004D49B0">
              <w:t>0.61</w:t>
            </w:r>
            <w:r w:rsidR="004D49B0">
              <w:t xml:space="preserve"> (</w:t>
            </w:r>
            <w:r w:rsidR="004D49B0" w:rsidRPr="004D49B0">
              <w:t>95% CI: 0.46, 0.80)</w:t>
            </w:r>
            <w:r w:rsidR="004D49B0">
              <w:t xml:space="preserve"> for pembrolizumab monotherapy and </w:t>
            </w:r>
            <w:r w:rsidR="004D49B0" w:rsidRPr="004D49B0">
              <w:t>0.</w:t>
            </w:r>
            <w:r w:rsidR="00451387">
              <w:t>53</w:t>
            </w:r>
            <w:r w:rsidR="004D49B0" w:rsidRPr="004D49B0">
              <w:t xml:space="preserve"> </w:t>
            </w:r>
            <w:r w:rsidR="004D49B0">
              <w:t>(</w:t>
            </w:r>
            <w:r w:rsidR="004D49B0" w:rsidRPr="004D49B0">
              <w:t>95% CI: 0.</w:t>
            </w:r>
            <w:r w:rsidR="00451387">
              <w:t>40</w:t>
            </w:r>
            <w:r w:rsidR="004D49B0" w:rsidRPr="004D49B0">
              <w:t>, 0.</w:t>
            </w:r>
            <w:r w:rsidR="00451387">
              <w:t>71</w:t>
            </w:r>
            <w:r w:rsidR="004D49B0" w:rsidRPr="004D49B0">
              <w:t>)</w:t>
            </w:r>
            <w:r w:rsidR="004D49B0">
              <w:t xml:space="preserve"> for pembrolizumab + chemotherapy.</w:t>
            </w:r>
          </w:p>
        </w:tc>
        <w:tc>
          <w:tcPr>
            <w:tcW w:w="2078" w:type="pct"/>
            <w:shd w:val="clear" w:color="auto" w:fill="auto"/>
          </w:tcPr>
          <w:p w14:paraId="4BD42031" w14:textId="77777777" w:rsidR="00D7609F" w:rsidRPr="00A24A89" w:rsidRDefault="00D7609F" w:rsidP="007019BE">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lastRenderedPageBreak/>
              <w:t xml:space="preserve">The resubmission reported that a conservative approach was undertaken </w:t>
            </w:r>
            <w:r w:rsidRPr="000D42EF">
              <w:t>for</w:t>
            </w:r>
            <w:r w:rsidR="005D18E0">
              <w:t xml:space="preserve"> the economic evaluation</w:t>
            </w:r>
            <w:r w:rsidRPr="000D42EF">
              <w:t xml:space="preserve"> using</w:t>
            </w:r>
            <w:r w:rsidRPr="00A24A89">
              <w:t xml:space="preserve"> the KN048 pivotal trial SoC arm (</w:t>
            </w:r>
            <w:r w:rsidR="002813BA">
              <w:t xml:space="preserve">1L </w:t>
            </w:r>
            <w:r w:rsidR="00C077D0">
              <w:t>cetuximab plus</w:t>
            </w:r>
            <w:r w:rsidRPr="00A24A89">
              <w:t xml:space="preserve"> chemotherapy) </w:t>
            </w:r>
            <w:r w:rsidR="002813BA">
              <w:t xml:space="preserve">as a proxy for 1L chemotherapy alone. </w:t>
            </w:r>
            <w:r w:rsidRPr="00A24A89">
              <w:t xml:space="preserve">A </w:t>
            </w:r>
            <w:r w:rsidR="002813BA">
              <w:t>two</w:t>
            </w:r>
            <w:r w:rsidRPr="00A24A89">
              <w:t xml:space="preserve">-stage adjustment for treatment switching was applied to the SoC arm to estimate the treatment effect of </w:t>
            </w:r>
            <w:r w:rsidR="002813BA">
              <w:t xml:space="preserve">2L </w:t>
            </w:r>
            <w:r w:rsidRPr="00A24A89">
              <w:lastRenderedPageBreak/>
              <w:t xml:space="preserve">nivolumab. This was then upscaled to reflect the estimated 2L use of nivolumab in Australia, effectively raising the hazard </w:t>
            </w:r>
            <w:r w:rsidR="007019BE">
              <w:t>rate</w:t>
            </w:r>
            <w:r w:rsidR="007019BE" w:rsidRPr="00A24A89">
              <w:t xml:space="preserve"> </w:t>
            </w:r>
            <w:r w:rsidRPr="00A24A89">
              <w:t xml:space="preserve">for the SoC arm, resulting in OS hazard ratios for pembrolizumab monotherapy (HR=0.767) and </w:t>
            </w:r>
            <w:r w:rsidR="00A15BE8">
              <w:t>pembrolizumab plus</w:t>
            </w:r>
            <w:r w:rsidRPr="00A24A89">
              <w:t xml:space="preserve"> chemotherapy (HR=0.658).</w:t>
            </w:r>
          </w:p>
        </w:tc>
      </w:tr>
      <w:tr w:rsidR="00D7609F" w:rsidRPr="00A24A89" w14:paraId="06C0C3A0" w14:textId="77777777" w:rsidTr="00BD789E">
        <w:trPr>
          <w:trHeight w:val="705"/>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77080593" w14:textId="77777777" w:rsidR="00D7609F" w:rsidRPr="00A24A89" w:rsidRDefault="00D7609F" w:rsidP="003B65EC">
            <w:pPr>
              <w:pStyle w:val="Tabletext0"/>
              <w:keepNext/>
              <w:keepLines/>
              <w:widowControl w:val="0"/>
              <w:rPr>
                <w:b w:val="0"/>
                <w:bCs/>
              </w:rPr>
            </w:pPr>
            <w:r w:rsidRPr="00A24A89">
              <w:rPr>
                <w:b w:val="0"/>
                <w:bCs/>
              </w:rPr>
              <w:lastRenderedPageBreak/>
              <w:t>FP NMA data</w:t>
            </w:r>
          </w:p>
        </w:tc>
        <w:tc>
          <w:tcPr>
            <w:tcW w:w="2060" w:type="pct"/>
            <w:shd w:val="clear" w:color="auto" w:fill="auto"/>
          </w:tcPr>
          <w:p w14:paraId="09CAC3EE" w14:textId="77777777" w:rsidR="00D7609F" w:rsidRPr="00A24A89" w:rsidRDefault="002813BA"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t>A</w:t>
            </w:r>
            <w:r w:rsidR="00D7609F" w:rsidRPr="00A24A89">
              <w:t>pplying the inverse hazard ratio from the FPNMA to the pembrolizumab data as observed in KN048 resulted in increasing treatment benefit over time. (paragraph 7.10, pembrolizumab PSD, November 2020</w:t>
            </w:r>
            <w:r w:rsidR="007000C5" w:rsidRPr="00A24A89">
              <w:t xml:space="preserve"> PBAC</w:t>
            </w:r>
            <w:r w:rsidR="007000C5">
              <w:t xml:space="preserve"> Meeting</w:t>
            </w:r>
            <w:r w:rsidR="00D7609F" w:rsidRPr="00A24A89">
              <w:t>)</w:t>
            </w:r>
          </w:p>
        </w:tc>
        <w:tc>
          <w:tcPr>
            <w:tcW w:w="2078" w:type="pct"/>
            <w:shd w:val="clear" w:color="auto" w:fill="auto"/>
          </w:tcPr>
          <w:p w14:paraId="42CB27C0" w14:textId="77777777" w:rsidR="00D7609F" w:rsidRPr="00A24A89" w:rsidRDefault="002813BA"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t>FPNMA no longer used, instead KM data from KN048 with extrapolation and upscaling of 2L nivolumab is used to inform economic model</w:t>
            </w:r>
            <w:r w:rsidR="000D42EF">
              <w:t>.</w:t>
            </w:r>
          </w:p>
        </w:tc>
      </w:tr>
      <w:tr w:rsidR="00D7609F" w:rsidRPr="00A24A89" w14:paraId="132E37AA"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2C1D808E" w14:textId="77777777" w:rsidR="00D7609F" w:rsidRPr="00A24A89" w:rsidRDefault="00D7609F" w:rsidP="003B65EC">
            <w:pPr>
              <w:pStyle w:val="Tabletext0"/>
              <w:keepNext/>
              <w:keepLines/>
              <w:widowControl w:val="0"/>
              <w:rPr>
                <w:b w:val="0"/>
                <w:bCs/>
              </w:rPr>
            </w:pPr>
            <w:r w:rsidRPr="00A24A89">
              <w:rPr>
                <w:b w:val="0"/>
                <w:bCs/>
              </w:rPr>
              <w:t>Adverse events</w:t>
            </w:r>
          </w:p>
        </w:tc>
        <w:tc>
          <w:tcPr>
            <w:tcW w:w="2060" w:type="pct"/>
            <w:shd w:val="clear" w:color="auto" w:fill="auto"/>
          </w:tcPr>
          <w:p w14:paraId="02D9A09B" w14:textId="77777777" w:rsidR="00D7609F" w:rsidRPr="00A24A89" w:rsidRDefault="002813BA"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t>A</w:t>
            </w:r>
            <w:r w:rsidR="00D7609F" w:rsidRPr="00A24A89">
              <w:t>pplying all cause grade 3-4 adverse events from EXTREME to the SoC arm, but only selectively applying treatment related grade 3-5 adverse events which required hospitalisation from KN048 to the pembrolizumab arms. (paragraph 7.10, pembrolizumab PSD, November 2020</w:t>
            </w:r>
            <w:r w:rsidR="007000C5" w:rsidRPr="00A24A89">
              <w:t xml:space="preserve"> PBAC</w:t>
            </w:r>
            <w:r w:rsidR="007000C5">
              <w:t xml:space="preserve"> Meeting</w:t>
            </w:r>
            <w:r w:rsidR="00D7609F" w:rsidRPr="00A24A89">
              <w:t>)</w:t>
            </w:r>
          </w:p>
        </w:tc>
        <w:tc>
          <w:tcPr>
            <w:tcW w:w="2078" w:type="pct"/>
            <w:shd w:val="clear" w:color="auto" w:fill="auto"/>
          </w:tcPr>
          <w:p w14:paraId="71F305B0"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Despite stating that all-cause adverse events were used to compare pembrolizumab to chemotherapy in this resubmission, the same adverse event rates as used in the previous model were used in the resubmission.</w:t>
            </w:r>
            <w:r w:rsidRPr="002813BA">
              <w:rPr>
                <w:i/>
                <w:iCs/>
              </w:rPr>
              <w:t xml:space="preserve"> </w:t>
            </w:r>
            <w:r w:rsidR="002813BA" w:rsidRPr="00C60B5B">
              <w:rPr>
                <w:iCs/>
              </w:rPr>
              <w:t xml:space="preserve">During evaluation, a revised base case assuming </w:t>
            </w:r>
            <w:r w:rsidRPr="00C60B5B">
              <w:rPr>
                <w:iCs/>
              </w:rPr>
              <w:t>the weekly rate of AEs for the SoC arm to be the same as used for pembrolizumab plus chemotherapy</w:t>
            </w:r>
            <w:r w:rsidR="002813BA" w:rsidRPr="00C60B5B">
              <w:rPr>
                <w:iCs/>
              </w:rPr>
              <w:t xml:space="preserve"> was constructed</w:t>
            </w:r>
            <w:r w:rsidRPr="00C60B5B">
              <w:rPr>
                <w:iCs/>
              </w:rPr>
              <w:t>.</w:t>
            </w:r>
          </w:p>
        </w:tc>
      </w:tr>
      <w:tr w:rsidR="00D7609F" w:rsidRPr="00A24A89" w14:paraId="5AA00ACB" w14:textId="77777777" w:rsidTr="00BD789E">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hideMark/>
          </w:tcPr>
          <w:p w14:paraId="6F1A2F93" w14:textId="77777777" w:rsidR="00D7609F" w:rsidRPr="00A24A89" w:rsidRDefault="00D7609F" w:rsidP="003B65EC">
            <w:pPr>
              <w:pStyle w:val="Tabletext0"/>
              <w:keepNext/>
              <w:keepLines/>
              <w:widowControl w:val="0"/>
              <w:rPr>
                <w:b w:val="0"/>
                <w:bCs/>
              </w:rPr>
            </w:pPr>
            <w:r w:rsidRPr="00A24A89">
              <w:rPr>
                <w:b w:val="0"/>
                <w:bCs/>
              </w:rPr>
              <w:t xml:space="preserve">Financial </w:t>
            </w:r>
            <w:r w:rsidR="005D18E0" w:rsidRPr="00A24A89">
              <w:rPr>
                <w:b w:val="0"/>
                <w:bCs/>
              </w:rPr>
              <w:t>i</w:t>
            </w:r>
            <w:r w:rsidRPr="00A24A89">
              <w:rPr>
                <w:b w:val="0"/>
                <w:bCs/>
              </w:rPr>
              <w:t>ssues</w:t>
            </w:r>
          </w:p>
        </w:tc>
      </w:tr>
      <w:tr w:rsidR="00D7609F" w:rsidRPr="00A24A89" w14:paraId="3A0CE162"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hideMark/>
          </w:tcPr>
          <w:p w14:paraId="48CAF945" w14:textId="77777777" w:rsidR="00D7609F" w:rsidRPr="00A24A89" w:rsidRDefault="00D7609F" w:rsidP="003B65EC">
            <w:pPr>
              <w:pStyle w:val="Tabletext0"/>
              <w:keepNext/>
              <w:keepLines/>
              <w:widowControl w:val="0"/>
              <w:rPr>
                <w:b w:val="0"/>
                <w:bCs/>
              </w:rPr>
            </w:pPr>
            <w:r w:rsidRPr="00A24A89">
              <w:rPr>
                <w:b w:val="0"/>
                <w:bCs/>
              </w:rPr>
              <w:t xml:space="preserve">Prevalence estimates </w:t>
            </w:r>
          </w:p>
        </w:tc>
        <w:tc>
          <w:tcPr>
            <w:tcW w:w="2060" w:type="pct"/>
            <w:shd w:val="clear" w:color="auto" w:fill="auto"/>
          </w:tcPr>
          <w:p w14:paraId="2DC998A5"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Overall, the PBAC considered the prevalence estimates underpinning the financial forecasts were uncertain and likely overestimated. (paragraph 7.14, pembrolizumab PSD, November 2020</w:t>
            </w:r>
            <w:r w:rsidR="007000C5" w:rsidRPr="00A24A89">
              <w:t xml:space="preserve"> PBAC</w:t>
            </w:r>
            <w:r w:rsidR="007000C5">
              <w:t xml:space="preserve"> Meeting</w:t>
            </w:r>
            <w:r w:rsidRPr="00A24A89">
              <w:t>)</w:t>
            </w:r>
          </w:p>
        </w:tc>
        <w:tc>
          <w:tcPr>
            <w:tcW w:w="2078" w:type="pct"/>
            <w:shd w:val="clear" w:color="auto" w:fill="auto"/>
          </w:tcPr>
          <w:p w14:paraId="29F1BDD8"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Incidence and prevalence data have been revised using the most recent AIHW data. Patient pathways have been </w:t>
            </w:r>
            <w:r w:rsidR="00BC380C">
              <w:t xml:space="preserve">nominally </w:t>
            </w:r>
            <w:r w:rsidRPr="00A24A89">
              <w:t>simplified and reduced</w:t>
            </w:r>
            <w:r w:rsidR="00BC380C">
              <w:t xml:space="preserve"> </w:t>
            </w:r>
            <w:r w:rsidR="00BC380C" w:rsidRPr="00C60B5B">
              <w:rPr>
                <w:iCs/>
              </w:rPr>
              <w:t>but in fact the overall estimation method remains unchanged from the previous submission</w:t>
            </w:r>
            <w:r w:rsidRPr="00C60B5B">
              <w:t>.</w:t>
            </w:r>
            <w:r w:rsidRPr="00A24A89">
              <w:t xml:space="preserve"> Overall eligible patient pool has been reduced.</w:t>
            </w:r>
          </w:p>
        </w:tc>
      </w:tr>
      <w:tr w:rsidR="00D7609F" w:rsidRPr="00A24A89" w14:paraId="737FE0A3"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1B2F453F" w14:textId="77777777" w:rsidR="00D7609F" w:rsidRPr="00A24A89" w:rsidRDefault="00D7609F" w:rsidP="003B65EC">
            <w:pPr>
              <w:pStyle w:val="Tabletext0"/>
              <w:keepNext/>
              <w:keepLines/>
              <w:widowControl w:val="0"/>
              <w:rPr>
                <w:b w:val="0"/>
                <w:bCs/>
              </w:rPr>
            </w:pPr>
            <w:r w:rsidRPr="00A24A89">
              <w:rPr>
                <w:b w:val="0"/>
                <w:bCs/>
              </w:rPr>
              <w:t xml:space="preserve">Prevalence of CPS </w:t>
            </w:r>
            <w:r w:rsidR="003C277B" w:rsidRPr="00FA0491">
              <w:rPr>
                <w:b w:val="0"/>
                <w:bCs/>
              </w:rPr>
              <w:t>≥</w:t>
            </w:r>
            <w:r w:rsidRPr="00A24A89">
              <w:rPr>
                <w:b w:val="0"/>
                <w:bCs/>
              </w:rPr>
              <w:t>1</w:t>
            </w:r>
          </w:p>
        </w:tc>
        <w:tc>
          <w:tcPr>
            <w:tcW w:w="2060" w:type="pct"/>
            <w:shd w:val="clear" w:color="auto" w:fill="auto"/>
          </w:tcPr>
          <w:p w14:paraId="7F8030CA"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As outlined in paragraph 6.78, the PBAC advised that the prevalence of CPS ≥1 should be 80%. (paragraph 7.14, pembrolizumab PSD, November 2020</w:t>
            </w:r>
            <w:r w:rsidR="007000C5" w:rsidRPr="00A24A89">
              <w:t xml:space="preserve"> PBAC</w:t>
            </w:r>
            <w:r w:rsidR="007000C5">
              <w:t xml:space="preserve"> Meeting</w:t>
            </w:r>
            <w:r w:rsidRPr="00A24A89">
              <w:t>)</w:t>
            </w:r>
          </w:p>
        </w:tc>
        <w:tc>
          <w:tcPr>
            <w:tcW w:w="2078" w:type="pct"/>
            <w:shd w:val="clear" w:color="auto" w:fill="auto"/>
          </w:tcPr>
          <w:p w14:paraId="73DCAA58"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CPS </w:t>
            </w:r>
            <w:r w:rsidR="003C277B">
              <w:t>≥</w:t>
            </w:r>
            <w:r w:rsidRPr="00A24A89">
              <w:t>1 prevalence has been altered to 80%.</w:t>
            </w:r>
          </w:p>
        </w:tc>
      </w:tr>
      <w:tr w:rsidR="00D7609F" w:rsidRPr="00A24A89" w14:paraId="4446965E" w14:textId="77777777" w:rsidTr="00BD78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BD9B1FF" w14:textId="77777777" w:rsidR="00D7609F" w:rsidRPr="00A24A89" w:rsidRDefault="00D7609F" w:rsidP="003B65EC">
            <w:pPr>
              <w:pStyle w:val="Tabletext0"/>
              <w:keepNext/>
              <w:keepLines/>
              <w:widowControl w:val="0"/>
              <w:rPr>
                <w:b w:val="0"/>
                <w:bCs/>
              </w:rPr>
            </w:pPr>
            <w:r w:rsidRPr="00A24A89">
              <w:rPr>
                <w:b w:val="0"/>
                <w:bCs/>
              </w:rPr>
              <w:t>2L nivolumab estimates</w:t>
            </w:r>
          </w:p>
        </w:tc>
        <w:tc>
          <w:tcPr>
            <w:tcW w:w="206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8E42F4" w14:textId="77777777" w:rsidR="00D7609F" w:rsidRPr="00A24A89" w:rsidRDefault="00D7609F" w:rsidP="003B65EC">
            <w:pPr>
              <w:pStyle w:val="Tabletext0"/>
              <w:keepNext/>
              <w:keepLines/>
              <w:widowControl w:val="0"/>
              <w:cnfStyle w:val="010000000000" w:firstRow="0" w:lastRow="1" w:firstColumn="0" w:lastColumn="0" w:oddVBand="0" w:evenVBand="0" w:oddHBand="0" w:evenHBand="0" w:firstRowFirstColumn="0" w:firstRowLastColumn="0" w:lastRowFirstColumn="0" w:lastRowLastColumn="0"/>
            </w:pPr>
            <w:r w:rsidRPr="00A24A89">
              <w:t>The PBAC further advised that patients who have relapsed within 6 months of curative treatment (and are therefore eligible for nivolumab) should be excluded from the estimates. (paragraph 7.14, pembrolizumab PSD, November 2020</w:t>
            </w:r>
            <w:r w:rsidR="007000C5" w:rsidRPr="00A24A89">
              <w:t xml:space="preserve"> PBAC</w:t>
            </w:r>
            <w:r w:rsidR="007000C5">
              <w:t xml:space="preserve"> Meeting</w:t>
            </w:r>
            <w:r w:rsidRPr="00A24A89">
              <w:t>)</w:t>
            </w:r>
          </w:p>
        </w:tc>
        <w:tc>
          <w:tcPr>
            <w:tcW w:w="207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1AB50C7" w14:textId="77777777" w:rsidR="00D7609F" w:rsidRPr="00A24A89" w:rsidRDefault="00D7609F" w:rsidP="00A034F8">
            <w:pPr>
              <w:pStyle w:val="Tabletext0"/>
              <w:keepNext/>
              <w:keepLines/>
              <w:widowControl w:val="0"/>
              <w:cnfStyle w:val="010000000000" w:firstRow="0" w:lastRow="1" w:firstColumn="0" w:lastColumn="0" w:oddVBand="0" w:evenVBand="0" w:oddHBand="0" w:evenHBand="0" w:firstRowFirstColumn="0" w:firstRowLastColumn="0" w:lastRowFirstColumn="0" w:lastRowLastColumn="0"/>
            </w:pPr>
            <w:r w:rsidRPr="00A24A89">
              <w:t>The estimated use of 2L nivolumab has been adjusted to account for continued use in patients progressing from curative treatment within 6 months, as well as the 20% of patients with CPS</w:t>
            </w:r>
            <w:r w:rsidR="003C277B">
              <w:t> </w:t>
            </w:r>
            <w:r w:rsidRPr="00A24A89">
              <w:t>&lt;1 who would still be eligible to receive 2L nivolumab.</w:t>
            </w:r>
          </w:p>
        </w:tc>
      </w:tr>
    </w:tbl>
    <w:p w14:paraId="63037734" w14:textId="77777777" w:rsidR="00D7609F" w:rsidRPr="00A24A89" w:rsidRDefault="00D7609F" w:rsidP="003B65EC">
      <w:pPr>
        <w:pStyle w:val="TableFooter"/>
        <w:keepNext/>
        <w:keepLines/>
        <w:spacing w:after="0"/>
      </w:pPr>
      <w:r w:rsidRPr="00A24A89">
        <w:t xml:space="preserve">2L = second line; AIHW = Australian Institute of Health and Welfare; CPS = combined positive score; EA = economic analysis; </w:t>
      </w:r>
      <w:r w:rsidR="00B25E62" w:rsidRPr="00B25E62">
        <w:t>FPNMA</w:t>
      </w:r>
      <w:r w:rsidR="00B25E62">
        <w:t xml:space="preserve"> =</w:t>
      </w:r>
      <w:r w:rsidR="00B25E62" w:rsidRPr="00B25E62">
        <w:t xml:space="preserve"> fractional polynomial network meta-analysis</w:t>
      </w:r>
      <w:r w:rsidR="00B25E62">
        <w:t>;</w:t>
      </w:r>
      <w:r w:rsidR="00B25E62" w:rsidRPr="00B25E62">
        <w:t xml:space="preserve"> </w:t>
      </w:r>
      <w:r w:rsidRPr="00A24A89">
        <w:t>HR = hazard ratio; OS = overall survival; SoC = standard of care; RD = risk difference</w:t>
      </w:r>
    </w:p>
    <w:p w14:paraId="1700E4AE" w14:textId="77777777" w:rsidR="00D7609F" w:rsidRDefault="00D7609F" w:rsidP="003B65EC">
      <w:pPr>
        <w:pStyle w:val="TableFooter"/>
        <w:keepNext/>
        <w:keepLines/>
        <w:spacing w:after="0"/>
      </w:pPr>
      <w:r w:rsidRPr="00A24A89">
        <w:t>Source: Table 1.1, pages iii-v of the resubmission</w:t>
      </w:r>
    </w:p>
    <w:p w14:paraId="18519213" w14:textId="77777777" w:rsidR="00DD3D4A" w:rsidRDefault="00DD3D4A" w:rsidP="003B65EC">
      <w:pPr>
        <w:pStyle w:val="TableFooter"/>
        <w:keepNext/>
        <w:keepLines/>
        <w:spacing w:after="0"/>
      </w:pPr>
    </w:p>
    <w:p w14:paraId="0C5D927C" w14:textId="77777777" w:rsidR="00DD3D4A" w:rsidRPr="00DD3D4A" w:rsidRDefault="00DD3D4A" w:rsidP="00DD3D4A">
      <w:pPr>
        <w:spacing w:before="0" w:after="120"/>
        <w:ind w:firstLine="709"/>
        <w:rPr>
          <w:rFonts w:ascii="Calibri" w:eastAsia="Times New Roman" w:hAnsi="Calibri" w:cs="Times New Roman"/>
          <w:i/>
          <w:szCs w:val="24"/>
        </w:rPr>
      </w:pPr>
      <w:r w:rsidRPr="00DD3D4A">
        <w:rPr>
          <w:rFonts w:ascii="Calibri" w:eastAsia="Times New Roman" w:hAnsi="Calibri" w:cs="Times New Roman"/>
          <w:i/>
          <w:szCs w:val="24"/>
        </w:rPr>
        <w:t>For more detail on PBAC’s view, see section 7 PBAC outcome.</w:t>
      </w:r>
    </w:p>
    <w:p w14:paraId="7CC95FA2" w14:textId="77777777" w:rsidR="00DD3D4A" w:rsidRPr="00A24A89" w:rsidRDefault="00DD3D4A" w:rsidP="003B65EC">
      <w:pPr>
        <w:pStyle w:val="TableFooter"/>
        <w:keepNext/>
        <w:keepLines/>
        <w:spacing w:after="0"/>
      </w:pPr>
    </w:p>
    <w:p w14:paraId="5466B9B8" w14:textId="77777777" w:rsidR="00D7609F" w:rsidRPr="00A24A89" w:rsidRDefault="00D7609F" w:rsidP="00D7609F">
      <w:pPr>
        <w:pStyle w:val="PBACESHeading1"/>
        <w:numPr>
          <w:ilvl w:val="0"/>
          <w:numId w:val="1"/>
        </w:numPr>
        <w:tabs>
          <w:tab w:val="clear" w:pos="1077"/>
          <w:tab w:val="left" w:pos="709"/>
        </w:tabs>
        <w:ind w:left="0" w:firstLine="0"/>
      </w:pPr>
      <w:bookmarkStart w:id="23" w:name="_Toc81727548"/>
      <w:bookmarkStart w:id="24" w:name="_Toc82600097"/>
      <w:bookmarkEnd w:id="22"/>
      <w:r w:rsidRPr="00A24A89">
        <w:t>Population and disease</w:t>
      </w:r>
      <w:bookmarkEnd w:id="23"/>
      <w:bookmarkEnd w:id="24"/>
    </w:p>
    <w:p w14:paraId="03EFA908" w14:textId="77777777" w:rsidR="00D7609F" w:rsidRPr="00A24A89" w:rsidRDefault="00D7609F" w:rsidP="00D7609F">
      <w:pPr>
        <w:pStyle w:val="ListParagraph"/>
        <w:numPr>
          <w:ilvl w:val="4"/>
          <w:numId w:val="1"/>
        </w:numPr>
        <w:rPr>
          <w:rStyle w:val="InstructionalTextChar"/>
          <w:color w:val="000000" w:themeColor="text1"/>
        </w:rPr>
      </w:pPr>
      <w:r w:rsidRPr="00A24A89">
        <w:rPr>
          <w:rStyle w:val="InstructionalTextChar"/>
          <w:color w:val="auto"/>
        </w:rPr>
        <w:t xml:space="preserve">The target population was patients with R/M HNSCC, specifically the oral cavity, pharynx, and larynx, which </w:t>
      </w:r>
      <w:r w:rsidR="00BC380C">
        <w:rPr>
          <w:rStyle w:val="InstructionalTextChar"/>
          <w:color w:val="auto"/>
        </w:rPr>
        <w:t>wa</w:t>
      </w:r>
      <w:r w:rsidRPr="00A24A89">
        <w:rPr>
          <w:rStyle w:val="InstructionalTextChar"/>
          <w:color w:val="auto"/>
        </w:rPr>
        <w:t xml:space="preserve">s incurable by local therapy, who have not had prior </w:t>
      </w:r>
      <w:r w:rsidRPr="00A24A89">
        <w:rPr>
          <w:rStyle w:val="InstructionalTextChar"/>
          <w:color w:val="auto"/>
        </w:rPr>
        <w:lastRenderedPageBreak/>
        <w:t xml:space="preserve">systemic therapy administered in this setting and whose tumours express PD-L1 </w:t>
      </w:r>
      <w:r w:rsidR="003C277B" w:rsidRPr="00A24A89">
        <w:rPr>
          <w:rStyle w:val="InstructionalTextChar"/>
          <w:color w:val="auto"/>
        </w:rPr>
        <w:t>CPS</w:t>
      </w:r>
      <w:r w:rsidR="003C277B">
        <w:rPr>
          <w:rStyle w:val="InstructionalTextChar"/>
          <w:color w:val="auto"/>
        </w:rPr>
        <w:t> </w:t>
      </w:r>
      <w:r w:rsidRPr="00A24A89">
        <w:rPr>
          <w:rStyle w:val="InstructionalTextChar"/>
          <w:color w:val="auto"/>
        </w:rPr>
        <w:t>≥1</w:t>
      </w:r>
      <w:r w:rsidR="006E4068">
        <w:rPr>
          <w:rStyle w:val="InstructionalTextChar"/>
          <w:color w:val="auto"/>
        </w:rPr>
        <w:t xml:space="preserve"> (revised to CPS </w:t>
      </w:r>
      <w:r w:rsidR="006E4068" w:rsidRPr="00A24A89">
        <w:rPr>
          <w:rStyle w:val="InstructionalTextChar"/>
          <w:color w:val="auto"/>
        </w:rPr>
        <w:t>≥</w:t>
      </w:r>
      <w:r w:rsidR="006E4068">
        <w:rPr>
          <w:rStyle w:val="InstructionalTextChar"/>
          <w:color w:val="auto"/>
        </w:rPr>
        <w:t>20 for monotherapy</w:t>
      </w:r>
      <w:r w:rsidR="001E1223">
        <w:rPr>
          <w:rStyle w:val="InstructionalTextChar"/>
          <w:color w:val="auto"/>
        </w:rPr>
        <w:t xml:space="preserve"> in the PSCR</w:t>
      </w:r>
      <w:r w:rsidR="006E4068">
        <w:rPr>
          <w:rStyle w:val="InstructionalTextChar"/>
          <w:color w:val="auto"/>
        </w:rPr>
        <w:t>)</w:t>
      </w:r>
      <w:r w:rsidRPr="00A24A89">
        <w:rPr>
          <w:rStyle w:val="InstructionalTextChar"/>
          <w:color w:val="auto"/>
        </w:rPr>
        <w:t xml:space="preserve">. Based on estimates from the Australian Institute of Health and Welfare (AIHW) in 2019, approximately 4,455 Australian patients had SCC of the oral cavity, </w:t>
      </w:r>
      <w:proofErr w:type="gramStart"/>
      <w:r w:rsidRPr="00A24A89">
        <w:rPr>
          <w:rStyle w:val="InstructionalTextChar"/>
          <w:color w:val="auto"/>
        </w:rPr>
        <w:t>pharynx</w:t>
      </w:r>
      <w:proofErr w:type="gramEnd"/>
      <w:r w:rsidRPr="00A24A89">
        <w:rPr>
          <w:rStyle w:val="InstructionalTextChar"/>
          <w:color w:val="auto"/>
        </w:rPr>
        <w:t xml:space="preserve"> or larynx. A majority (73%) were male, with an average age of 65 years (based on 2014 data).</w:t>
      </w:r>
    </w:p>
    <w:p w14:paraId="1C343B93" w14:textId="77777777" w:rsidR="00D7609F" w:rsidRPr="00A24A89" w:rsidRDefault="00D7609F" w:rsidP="00D7609F">
      <w:pPr>
        <w:pStyle w:val="ListParagraph"/>
        <w:numPr>
          <w:ilvl w:val="4"/>
          <w:numId w:val="1"/>
        </w:numPr>
        <w:rPr>
          <w:color w:val="auto"/>
        </w:rPr>
      </w:pPr>
      <w:r w:rsidRPr="00A24A89">
        <w:rPr>
          <w:color w:val="auto"/>
        </w:rPr>
        <w:t xml:space="preserve">Patients with R/M HNSCC which </w:t>
      </w:r>
      <w:r w:rsidR="00BC380C">
        <w:rPr>
          <w:color w:val="auto"/>
        </w:rPr>
        <w:t>wa</w:t>
      </w:r>
      <w:r w:rsidRPr="00A24A89">
        <w:rPr>
          <w:color w:val="auto"/>
        </w:rPr>
        <w:t>s incurable by local therapy have significant mortality. The resubmission estimate</w:t>
      </w:r>
      <w:r w:rsidR="00BC380C">
        <w:rPr>
          <w:color w:val="auto"/>
        </w:rPr>
        <w:t>d</w:t>
      </w:r>
      <w:r w:rsidRPr="00A24A89">
        <w:rPr>
          <w:color w:val="auto"/>
        </w:rPr>
        <w:t xml:space="preserve"> that the </w:t>
      </w:r>
      <w:r w:rsidR="00BC380C">
        <w:rPr>
          <w:color w:val="auto"/>
        </w:rPr>
        <w:t>five-</w:t>
      </w:r>
      <w:r w:rsidRPr="00A24A89">
        <w:rPr>
          <w:color w:val="auto"/>
        </w:rPr>
        <w:t xml:space="preserve">year survival </w:t>
      </w:r>
      <w:r w:rsidR="00BC380C">
        <w:rPr>
          <w:color w:val="auto"/>
        </w:rPr>
        <w:t>wa</w:t>
      </w:r>
      <w:r w:rsidRPr="00A24A89">
        <w:rPr>
          <w:color w:val="auto"/>
        </w:rPr>
        <w:t>s only 5.3%.</w:t>
      </w:r>
    </w:p>
    <w:p w14:paraId="1ADE3B90" w14:textId="77777777" w:rsidR="00D7609F" w:rsidRPr="00A24A89" w:rsidRDefault="00D7609F" w:rsidP="00D7609F">
      <w:pPr>
        <w:pStyle w:val="ListParagraph"/>
        <w:numPr>
          <w:ilvl w:val="4"/>
          <w:numId w:val="1"/>
        </w:numPr>
        <w:rPr>
          <w:color w:val="auto"/>
        </w:rPr>
      </w:pPr>
      <w:r w:rsidRPr="00A24A89">
        <w:rPr>
          <w:color w:val="auto"/>
        </w:rPr>
        <w:t xml:space="preserve">Pembrolizumab </w:t>
      </w:r>
      <w:r w:rsidRPr="00A24A89">
        <w:rPr>
          <w:rFonts w:cstheme="minorHAnsi"/>
          <w:color w:val="auto"/>
        </w:rPr>
        <w:t>±</w:t>
      </w:r>
      <w:r w:rsidRPr="00A24A89">
        <w:rPr>
          <w:color w:val="auto"/>
        </w:rPr>
        <w:t xml:space="preserve"> chemotherapy </w:t>
      </w:r>
      <w:r w:rsidR="00BC380C">
        <w:rPr>
          <w:color w:val="auto"/>
        </w:rPr>
        <w:t>wa</w:t>
      </w:r>
      <w:r w:rsidRPr="00A24A89">
        <w:rPr>
          <w:color w:val="auto"/>
        </w:rPr>
        <w:t>s expected to replace 1L chemotherapy (and 2L nivolumab in a proportion) in patients with R/M HNSCC who have not previously been treated.</w:t>
      </w:r>
    </w:p>
    <w:p w14:paraId="5A9FCFE3" w14:textId="77777777" w:rsidR="00D7609F" w:rsidRPr="00F213AD" w:rsidRDefault="00D7609F" w:rsidP="00D7609F">
      <w:pPr>
        <w:pStyle w:val="ListParagraph"/>
        <w:numPr>
          <w:ilvl w:val="4"/>
          <w:numId w:val="1"/>
        </w:numPr>
        <w:rPr>
          <w:color w:val="auto"/>
        </w:rPr>
      </w:pPr>
      <w:r w:rsidRPr="00A24A89">
        <w:rPr>
          <w:color w:val="auto"/>
        </w:rPr>
        <w:t xml:space="preserve">The resubmission proposed the use of PD-L1 biomarker, as detected by the </w:t>
      </w:r>
      <w:proofErr w:type="spellStart"/>
      <w:r w:rsidR="00F20147" w:rsidRPr="00A24A89">
        <w:rPr>
          <w:color w:val="auto"/>
        </w:rPr>
        <w:t>pharmDx</w:t>
      </w:r>
      <w:proofErr w:type="spellEnd"/>
      <w:r w:rsidRPr="00A24A89">
        <w:rPr>
          <w:color w:val="auto"/>
        </w:rPr>
        <w:t xml:space="preserve"> 22C3 test using the CPS scoring algorithm, to determine eligibility to pembrolizumab in R/M HNSCC. The CPS measures the number of PD-L1 stained cells, including tumour cells, lymphocytes, and macrophages, divided by the total number of viable tumour cells, multiplied by 100. Despite its derivation, the CPS is expressed as a value and not a percentage, and although the result can exceed 100, the maximum score is defined as CPS 100. The resubmission estimated that 80% of all R/M HNSCC patients will have </w:t>
      </w:r>
      <w:r w:rsidRPr="00F213AD">
        <w:rPr>
          <w:color w:val="auto"/>
        </w:rPr>
        <w:t xml:space="preserve">CPS </w:t>
      </w:r>
      <w:r w:rsidRPr="00F213AD">
        <w:rPr>
          <w:rFonts w:cstheme="minorHAnsi"/>
          <w:color w:val="auto"/>
        </w:rPr>
        <w:t>≥</w:t>
      </w:r>
      <w:r w:rsidRPr="00F213AD">
        <w:rPr>
          <w:color w:val="auto"/>
        </w:rPr>
        <w:t>1.</w:t>
      </w:r>
      <w:r w:rsidR="00193EFF">
        <w:rPr>
          <w:color w:val="auto"/>
        </w:rPr>
        <w:t xml:space="preserve"> The PBAC requested that MSAC advise on the proportion of R/M HNSCC patients who will have CPS </w:t>
      </w:r>
      <w:r w:rsidR="00193EFF" w:rsidRPr="00A24A89">
        <w:rPr>
          <w:rStyle w:val="InstructionalTextChar"/>
          <w:color w:val="auto"/>
        </w:rPr>
        <w:t>≥</w:t>
      </w:r>
      <w:r w:rsidR="00193EFF">
        <w:rPr>
          <w:rStyle w:val="InstructionalTextChar"/>
          <w:color w:val="auto"/>
        </w:rPr>
        <w:t>20</w:t>
      </w:r>
      <w:r w:rsidR="0052574B">
        <w:rPr>
          <w:rStyle w:val="InstructionalTextChar"/>
          <w:color w:val="auto"/>
        </w:rPr>
        <w:t xml:space="preserve"> (see paragraph </w:t>
      </w:r>
      <w:r w:rsidR="008D43ED">
        <w:rPr>
          <w:rStyle w:val="InstructionalTextChar"/>
          <w:color w:val="auto"/>
        </w:rPr>
        <w:t>1.6</w:t>
      </w:r>
      <w:r w:rsidR="0052574B">
        <w:rPr>
          <w:rStyle w:val="InstructionalTextChar"/>
          <w:color w:val="auto"/>
        </w:rPr>
        <w:t>)</w:t>
      </w:r>
      <w:r w:rsidR="00193EFF">
        <w:rPr>
          <w:rStyle w:val="InstructionalTextChar"/>
          <w:color w:val="auto"/>
        </w:rPr>
        <w:t xml:space="preserve">. </w:t>
      </w:r>
    </w:p>
    <w:p w14:paraId="3FF729BB" w14:textId="77777777" w:rsidR="00DD3D4A" w:rsidRPr="00C33D30" w:rsidRDefault="00DD3D4A" w:rsidP="00DD3D4A">
      <w:pPr>
        <w:ind w:firstLine="709"/>
        <w:rPr>
          <w:i/>
        </w:rPr>
      </w:pPr>
      <w:r w:rsidRPr="00C33D30">
        <w:rPr>
          <w:i/>
        </w:rPr>
        <w:t>For more detail on PBAC’s view, see section 7 PBAC outcome.</w:t>
      </w:r>
    </w:p>
    <w:p w14:paraId="0808C4DA" w14:textId="77777777" w:rsidR="00DD3D4A" w:rsidRPr="00BA042F" w:rsidRDefault="00DD3D4A" w:rsidP="00DD3D4A">
      <w:pPr>
        <w:pStyle w:val="ListParagraph"/>
        <w:ind w:left="720"/>
        <w:rPr>
          <w:color w:val="auto"/>
        </w:rPr>
      </w:pPr>
    </w:p>
    <w:p w14:paraId="53749179" w14:textId="77777777" w:rsidR="00D7609F" w:rsidRPr="00A24A89" w:rsidRDefault="00D7609F" w:rsidP="00D7609F">
      <w:pPr>
        <w:pStyle w:val="PBACESHeading1"/>
        <w:numPr>
          <w:ilvl w:val="0"/>
          <w:numId w:val="1"/>
        </w:numPr>
        <w:tabs>
          <w:tab w:val="clear" w:pos="1077"/>
        </w:tabs>
        <w:ind w:left="0" w:firstLine="0"/>
      </w:pPr>
      <w:bookmarkStart w:id="25" w:name="_Toc81727549"/>
      <w:bookmarkStart w:id="26" w:name="_Toc82600098"/>
      <w:r w:rsidRPr="00A24A89">
        <w:t>Comparator</w:t>
      </w:r>
      <w:bookmarkEnd w:id="25"/>
      <w:bookmarkEnd w:id="26"/>
    </w:p>
    <w:p w14:paraId="39FDA43A" w14:textId="77777777" w:rsidR="00467CC0" w:rsidRPr="00467CC0" w:rsidRDefault="00D7609F" w:rsidP="00467CC0">
      <w:pPr>
        <w:pStyle w:val="ListParagraph"/>
        <w:numPr>
          <w:ilvl w:val="4"/>
          <w:numId w:val="1"/>
        </w:numPr>
      </w:pPr>
      <w:r w:rsidRPr="00467CC0">
        <w:rPr>
          <w:color w:val="auto"/>
        </w:rPr>
        <w:t xml:space="preserve">As in the previous submission, no PD-L1 testing was the </w:t>
      </w:r>
      <w:r w:rsidRPr="00C60B5B">
        <w:rPr>
          <w:iCs/>
          <w:color w:val="auto"/>
        </w:rPr>
        <w:t>appropriate</w:t>
      </w:r>
      <w:r w:rsidRPr="00467CC0">
        <w:rPr>
          <w:color w:val="auto"/>
        </w:rPr>
        <w:t xml:space="preserve"> nominated comparator to the proposed test as PD-L1 testing is not part of treatment with the current standard of care for R/M HNSCC patients.</w:t>
      </w:r>
    </w:p>
    <w:p w14:paraId="529213AB" w14:textId="77777777" w:rsidR="00467CC0" w:rsidRDefault="00467CC0" w:rsidP="00D7609F">
      <w:pPr>
        <w:pStyle w:val="ListParagraph"/>
        <w:numPr>
          <w:ilvl w:val="4"/>
          <w:numId w:val="1"/>
        </w:numPr>
        <w:rPr>
          <w:color w:val="auto"/>
        </w:rPr>
      </w:pPr>
      <w:r w:rsidRPr="00A24A89">
        <w:t>Pembrolizumab may be used as (</w:t>
      </w:r>
      <w:proofErr w:type="spellStart"/>
      <w:r w:rsidRPr="00A24A89">
        <w:t>i</w:t>
      </w:r>
      <w:proofErr w:type="spellEnd"/>
      <w:r w:rsidRPr="00A24A89">
        <w:t>) monotherapy and replace SoC (1L chemotherapy ± 2L nivolumab) or</w:t>
      </w:r>
      <w:r>
        <w:t xml:space="preserve"> </w:t>
      </w:r>
      <w:r w:rsidRPr="00A24A89">
        <w:t xml:space="preserve">(ii) together with chemotherapy as 1L therapy and replace 2L nivolumab. </w:t>
      </w:r>
      <w:r w:rsidRPr="00C60B5B">
        <w:t>The use of 1L pembrolizumab would preclude patients from accessing PBS subsidised 2L nivolumab</w:t>
      </w:r>
      <w:r w:rsidR="000A4849" w:rsidRPr="00C60B5B">
        <w:t xml:space="preserve">. </w:t>
      </w:r>
      <w:proofErr w:type="gramStart"/>
      <w:r w:rsidRPr="00C60B5B">
        <w:rPr>
          <w:color w:val="auto"/>
        </w:rPr>
        <w:t>Therefore</w:t>
      </w:r>
      <w:proofErr w:type="gramEnd"/>
      <w:r w:rsidRPr="00C60B5B">
        <w:rPr>
          <w:color w:val="auto"/>
        </w:rPr>
        <w:t xml:space="preserve"> 1L pembrolizumab would directly replace 2L nivolumab use in some patients.</w:t>
      </w:r>
    </w:p>
    <w:p w14:paraId="490975B7" w14:textId="77777777" w:rsidR="00D7609F" w:rsidRDefault="00D7609F" w:rsidP="00D7609F">
      <w:pPr>
        <w:pStyle w:val="ListParagraph"/>
        <w:numPr>
          <w:ilvl w:val="4"/>
          <w:numId w:val="1"/>
        </w:numPr>
        <w:rPr>
          <w:color w:val="auto"/>
        </w:rPr>
      </w:pPr>
      <w:r w:rsidRPr="00A24A89">
        <w:rPr>
          <w:color w:val="auto"/>
        </w:rPr>
        <w:t xml:space="preserve">The resubmission nominated </w:t>
      </w:r>
      <w:r w:rsidR="00BC380C">
        <w:rPr>
          <w:color w:val="auto"/>
        </w:rPr>
        <w:t xml:space="preserve">SoC, defined as </w:t>
      </w:r>
      <w:r w:rsidRPr="00A24A89">
        <w:rPr>
          <w:color w:val="auto"/>
        </w:rPr>
        <w:t>1L chemotherapy followed by 2L nivolumab in 50% of patients</w:t>
      </w:r>
      <w:r w:rsidR="00BC380C">
        <w:rPr>
          <w:color w:val="auto"/>
        </w:rPr>
        <w:t>,</w:t>
      </w:r>
      <w:r w:rsidRPr="00A24A89">
        <w:rPr>
          <w:color w:val="auto"/>
        </w:rPr>
        <w:t xml:space="preserve"> as </w:t>
      </w:r>
      <w:r w:rsidR="00BC380C">
        <w:rPr>
          <w:color w:val="auto"/>
        </w:rPr>
        <w:t xml:space="preserve">the </w:t>
      </w:r>
      <w:r w:rsidRPr="00A24A89">
        <w:rPr>
          <w:color w:val="auto"/>
        </w:rPr>
        <w:t xml:space="preserve">comparator. The PBAC </w:t>
      </w:r>
      <w:r w:rsidR="00BC380C">
        <w:rPr>
          <w:color w:val="auto"/>
        </w:rPr>
        <w:t xml:space="preserve">had previously </w:t>
      </w:r>
      <w:r w:rsidRPr="00A24A89">
        <w:rPr>
          <w:color w:val="auto"/>
        </w:rPr>
        <w:t xml:space="preserve">accepted that SoC was the appropriate </w:t>
      </w:r>
      <w:proofErr w:type="gramStart"/>
      <w:r w:rsidRPr="00A24A89">
        <w:rPr>
          <w:color w:val="auto"/>
        </w:rPr>
        <w:t xml:space="preserve">comparator, </w:t>
      </w:r>
      <w:r w:rsidR="003B2D17">
        <w:rPr>
          <w:color w:val="auto"/>
        </w:rPr>
        <w:t>and</w:t>
      </w:r>
      <w:proofErr w:type="gramEnd"/>
      <w:r w:rsidR="003B2D17" w:rsidRPr="00A24A89">
        <w:rPr>
          <w:color w:val="auto"/>
        </w:rPr>
        <w:t xml:space="preserve"> </w:t>
      </w:r>
      <w:r w:rsidRPr="00A24A89">
        <w:rPr>
          <w:color w:val="auto"/>
        </w:rPr>
        <w:t xml:space="preserve">noted that current SoC consists of 1L chemotherapy alone followed by 2L nivolumab for a proportion of patients. The ESCs </w:t>
      </w:r>
      <w:r w:rsidR="00F213AD">
        <w:rPr>
          <w:color w:val="auto"/>
        </w:rPr>
        <w:t xml:space="preserve">previously </w:t>
      </w:r>
      <w:r w:rsidRPr="00A24A89">
        <w:rPr>
          <w:color w:val="auto"/>
        </w:rPr>
        <w:t xml:space="preserve">considered that the proportion of patients likely to be treated with 2L nivolumab was uncertain as the sponsor’s calculations relied on assumptions regarding the number of patients to be treated with pembrolizumab from the complex </w:t>
      </w:r>
      <w:r w:rsidRPr="00A24A89">
        <w:rPr>
          <w:color w:val="auto"/>
        </w:rPr>
        <w:lastRenderedPageBreak/>
        <w:t xml:space="preserve">epidemiological approach presented in the financial estimates (paragraphs 5.2 and 7.3, </w:t>
      </w:r>
      <w:r w:rsidR="007000C5">
        <w:rPr>
          <w:color w:val="auto"/>
        </w:rPr>
        <w:t xml:space="preserve">pembrolizumab </w:t>
      </w:r>
      <w:r w:rsidRPr="00A24A89">
        <w:rPr>
          <w:color w:val="auto"/>
        </w:rPr>
        <w:t>PSD, November 2020</w:t>
      </w:r>
      <w:r w:rsidR="007000C5" w:rsidRPr="007000C5">
        <w:rPr>
          <w:color w:val="auto"/>
        </w:rPr>
        <w:t xml:space="preserve"> </w:t>
      </w:r>
      <w:r w:rsidR="007000C5" w:rsidRPr="00A24A89">
        <w:rPr>
          <w:color w:val="auto"/>
        </w:rPr>
        <w:t>PBAC</w:t>
      </w:r>
      <w:r w:rsidR="007000C5">
        <w:rPr>
          <w:color w:val="auto"/>
        </w:rPr>
        <w:t xml:space="preserve"> Meeting</w:t>
      </w:r>
      <w:r w:rsidRPr="00A24A89">
        <w:rPr>
          <w:color w:val="auto"/>
        </w:rPr>
        <w:t>).</w:t>
      </w:r>
      <w:r w:rsidR="003B2D17">
        <w:rPr>
          <w:color w:val="auto"/>
        </w:rPr>
        <w:t xml:space="preserve"> </w:t>
      </w:r>
    </w:p>
    <w:p w14:paraId="0AF5CB38" w14:textId="77777777" w:rsidR="00D7609F" w:rsidRPr="00A24A89" w:rsidRDefault="00BC380C" w:rsidP="00D7609F">
      <w:pPr>
        <w:pStyle w:val="ListParagraph"/>
        <w:numPr>
          <w:ilvl w:val="4"/>
          <w:numId w:val="1"/>
        </w:numPr>
        <w:rPr>
          <w:color w:val="auto"/>
        </w:rPr>
      </w:pPr>
      <w:r>
        <w:rPr>
          <w:color w:val="auto"/>
        </w:rPr>
        <w:t xml:space="preserve">The </w:t>
      </w:r>
      <w:r w:rsidR="004029D9">
        <w:rPr>
          <w:color w:val="auto"/>
        </w:rPr>
        <w:t xml:space="preserve">submission’s </w:t>
      </w:r>
      <w:r>
        <w:rPr>
          <w:color w:val="auto"/>
        </w:rPr>
        <w:t xml:space="preserve">derivation of </w:t>
      </w:r>
      <w:r w:rsidR="00D7609F" w:rsidRPr="00A24A89">
        <w:rPr>
          <w:color w:val="auto"/>
        </w:rPr>
        <w:t xml:space="preserve">the proportion of patients who </w:t>
      </w:r>
      <w:r>
        <w:rPr>
          <w:color w:val="auto"/>
        </w:rPr>
        <w:t xml:space="preserve">would have been treated </w:t>
      </w:r>
      <w:r w:rsidR="00D7609F" w:rsidRPr="00A24A89">
        <w:rPr>
          <w:color w:val="auto"/>
        </w:rPr>
        <w:t xml:space="preserve">with 2L nivolumab </w:t>
      </w:r>
      <w:r>
        <w:rPr>
          <w:color w:val="auto"/>
        </w:rPr>
        <w:t>in SoC is</w:t>
      </w:r>
      <w:r w:rsidR="00D7609F" w:rsidRPr="00A24A89">
        <w:rPr>
          <w:color w:val="auto"/>
        </w:rPr>
        <w:t xml:space="preserve"> shown in</w:t>
      </w:r>
      <w:r w:rsidR="00BD789E">
        <w:rPr>
          <w:color w:val="auto"/>
        </w:rPr>
        <w:t xml:space="preserve"> </w:t>
      </w:r>
      <w:r w:rsidR="008D43ED">
        <w:t xml:space="preserve">Table </w:t>
      </w:r>
      <w:r w:rsidR="008D43ED">
        <w:rPr>
          <w:noProof/>
        </w:rPr>
        <w:t>3</w:t>
      </w:r>
      <w:r w:rsidR="00BD789E">
        <w:rPr>
          <w:color w:val="auto"/>
        </w:rPr>
        <w:t>.</w:t>
      </w:r>
    </w:p>
    <w:p w14:paraId="1281DFBD" w14:textId="77777777" w:rsidR="00D7609F" w:rsidRPr="00A24A89" w:rsidRDefault="00BD789E" w:rsidP="00024DCD">
      <w:pPr>
        <w:pStyle w:val="Caption"/>
      </w:pPr>
      <w:bookmarkStart w:id="27" w:name="_Ref80063912"/>
      <w:r>
        <w:t xml:space="preserve">Table </w:t>
      </w:r>
      <w:r w:rsidR="008D43ED">
        <w:rPr>
          <w:noProof/>
        </w:rPr>
        <w:t>3</w:t>
      </w:r>
      <w:bookmarkEnd w:id="27"/>
      <w:r w:rsidR="00024DCD">
        <w:t xml:space="preserve">: </w:t>
      </w:r>
      <w:r w:rsidR="00D7609F" w:rsidRPr="00A24A89">
        <w:t>Derivation of proportion of patients treated with 2L nivolumab and eligible for pembrolizumab</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Derivation of proportion of patients treated with 2L nivolumab and eligible for pembrolizumab"/>
      </w:tblPr>
      <w:tblGrid>
        <w:gridCol w:w="308"/>
        <w:gridCol w:w="4932"/>
        <w:gridCol w:w="1546"/>
        <w:gridCol w:w="2230"/>
      </w:tblGrid>
      <w:tr w:rsidR="00D7609F" w:rsidRPr="00A24A89" w14:paraId="55972749"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308" w:type="dxa"/>
            <w:shd w:val="clear" w:color="auto" w:fill="auto"/>
          </w:tcPr>
          <w:p w14:paraId="1B711893" w14:textId="77777777" w:rsidR="00D7609F" w:rsidRPr="00A24A89" w:rsidRDefault="00D7609F" w:rsidP="006419CD">
            <w:pPr>
              <w:keepNext/>
              <w:keepLines/>
              <w:spacing w:before="0"/>
              <w:rPr>
                <w:rFonts w:ascii="Arial Narrow" w:hAnsi="Arial Narrow"/>
                <w:sz w:val="20"/>
                <w:szCs w:val="20"/>
                <w:lang w:val="en-AU"/>
              </w:rPr>
            </w:pPr>
          </w:p>
        </w:tc>
        <w:tc>
          <w:tcPr>
            <w:tcW w:w="4932" w:type="dxa"/>
            <w:shd w:val="clear" w:color="auto" w:fill="auto"/>
          </w:tcPr>
          <w:p w14:paraId="5CC87ABE" w14:textId="77777777" w:rsidR="00D7609F" w:rsidRPr="00A24A89" w:rsidRDefault="00D7609F" w:rsidP="006419CD">
            <w:pPr>
              <w:keepNext/>
              <w:keepLines/>
              <w:spacing w:before="0"/>
              <w:rPr>
                <w:rFonts w:ascii="Arial Narrow" w:hAnsi="Arial Narrow"/>
                <w:sz w:val="20"/>
                <w:szCs w:val="20"/>
                <w:lang w:val="en-AU"/>
              </w:rPr>
            </w:pPr>
          </w:p>
        </w:tc>
        <w:tc>
          <w:tcPr>
            <w:tcW w:w="1546" w:type="dxa"/>
            <w:shd w:val="clear" w:color="auto" w:fill="auto"/>
            <w:vAlign w:val="center"/>
          </w:tcPr>
          <w:p w14:paraId="1219C5D6"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Proportion</w:t>
            </w:r>
          </w:p>
        </w:tc>
        <w:tc>
          <w:tcPr>
            <w:tcW w:w="2230" w:type="dxa"/>
            <w:shd w:val="clear" w:color="auto" w:fill="auto"/>
            <w:vAlign w:val="center"/>
          </w:tcPr>
          <w:p w14:paraId="01C74B0F"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Number of patients (2019)</w:t>
            </w:r>
          </w:p>
        </w:tc>
      </w:tr>
      <w:tr w:rsidR="00D7609F" w:rsidRPr="00A24A89" w14:paraId="0AE04AF4" w14:textId="77777777" w:rsidTr="006419CD">
        <w:tc>
          <w:tcPr>
            <w:tcW w:w="308" w:type="dxa"/>
            <w:shd w:val="clear" w:color="auto" w:fill="auto"/>
          </w:tcPr>
          <w:p w14:paraId="22CAF523"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a</w:t>
            </w:r>
          </w:p>
        </w:tc>
        <w:tc>
          <w:tcPr>
            <w:tcW w:w="4932" w:type="dxa"/>
            <w:shd w:val="clear" w:color="auto" w:fill="auto"/>
          </w:tcPr>
          <w:p w14:paraId="5F2B137C"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Using 2L nivolumab</w:t>
            </w:r>
          </w:p>
        </w:tc>
        <w:tc>
          <w:tcPr>
            <w:tcW w:w="1546" w:type="dxa"/>
            <w:shd w:val="clear" w:color="auto" w:fill="auto"/>
            <w:vAlign w:val="center"/>
          </w:tcPr>
          <w:p w14:paraId="129758BC"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w:t>
            </w:r>
          </w:p>
        </w:tc>
        <w:tc>
          <w:tcPr>
            <w:tcW w:w="2230" w:type="dxa"/>
            <w:shd w:val="clear" w:color="auto" w:fill="auto"/>
            <w:vAlign w:val="center"/>
          </w:tcPr>
          <w:p w14:paraId="5333F239" w14:textId="5255206C" w:rsidR="00D7609F" w:rsidRPr="00737EE2" w:rsidRDefault="009A1388" w:rsidP="006419CD">
            <w:pPr>
              <w:keepNext/>
              <w:keepLines/>
              <w:spacing w:before="0"/>
              <w:jc w:val="center"/>
              <w:rPr>
                <w:rFonts w:ascii="Arial Narrow" w:hAnsi="Arial Narrow"/>
                <w:sz w:val="20"/>
                <w:szCs w:val="20"/>
                <w:vertAlign w:val="superscript"/>
                <w:lang w:val="en-AU"/>
              </w:rPr>
            </w:pPr>
            <w:r w:rsidRPr="009A1388">
              <w:rPr>
                <w:rFonts w:ascii="Arial Narrow" w:hAnsi="Arial Narrow"/>
                <w:noProof/>
                <w:color w:val="000000"/>
                <w:sz w:val="20"/>
                <w:szCs w:val="20"/>
                <w:shd w:val="solid" w:color="000000" w:fill="000000"/>
                <w:lang w:val="en-AU"/>
                <w14:textFill>
                  <w14:solidFill>
                    <w14:srgbClr w14:val="000000">
                      <w14:alpha w14:val="100000"/>
                    </w14:srgbClr>
                  </w14:solidFill>
                </w14:textFill>
              </w:rPr>
              <w:t>|</w:t>
            </w:r>
            <w:r w:rsidR="0093310A">
              <w:rPr>
                <w:rFonts w:ascii="Arial Narrow" w:hAnsi="Arial Narrow"/>
                <w:sz w:val="20"/>
                <w:szCs w:val="20"/>
                <w:lang w:val="en-AU"/>
              </w:rPr>
              <w:t xml:space="preserve"> </w:t>
            </w:r>
            <w:r w:rsidR="0093310A">
              <w:rPr>
                <w:rFonts w:ascii="Arial Narrow" w:hAnsi="Arial Narrow"/>
                <w:sz w:val="20"/>
                <w:szCs w:val="20"/>
                <w:vertAlign w:val="superscript"/>
                <w:lang w:val="en-AU"/>
              </w:rPr>
              <w:t>a</w:t>
            </w:r>
            <w:r w:rsidR="00737EE2">
              <w:rPr>
                <w:rFonts w:ascii="Arial Narrow" w:hAnsi="Arial Narrow"/>
                <w:sz w:val="20"/>
                <w:szCs w:val="20"/>
                <w:vertAlign w:val="superscript"/>
                <w:lang w:val="en-AU"/>
              </w:rPr>
              <w:t>, 1</w:t>
            </w:r>
          </w:p>
        </w:tc>
      </w:tr>
      <w:tr w:rsidR="00D7609F" w:rsidRPr="00A24A89" w14:paraId="04AEF12F" w14:textId="77777777" w:rsidTr="006419CD">
        <w:tc>
          <w:tcPr>
            <w:tcW w:w="308" w:type="dxa"/>
            <w:shd w:val="clear" w:color="auto" w:fill="auto"/>
          </w:tcPr>
          <w:p w14:paraId="59A828BD"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b</w:t>
            </w:r>
          </w:p>
        </w:tc>
        <w:tc>
          <w:tcPr>
            <w:tcW w:w="4932" w:type="dxa"/>
            <w:shd w:val="clear" w:color="auto" w:fill="auto"/>
          </w:tcPr>
          <w:p w14:paraId="232FBA0C" w14:textId="77777777" w:rsidR="00D7609F" w:rsidRPr="0093310A" w:rsidRDefault="00D7609F" w:rsidP="006419CD">
            <w:pPr>
              <w:keepNext/>
              <w:keepLines/>
              <w:spacing w:before="0"/>
              <w:rPr>
                <w:rFonts w:ascii="Arial Narrow" w:hAnsi="Arial Narrow"/>
                <w:sz w:val="20"/>
                <w:szCs w:val="20"/>
                <w:vertAlign w:val="superscript"/>
                <w:lang w:val="en-AU"/>
              </w:rPr>
            </w:pPr>
            <w:r w:rsidRPr="00A24A89">
              <w:rPr>
                <w:rFonts w:ascii="Arial Narrow" w:hAnsi="Arial Narrow"/>
                <w:sz w:val="20"/>
                <w:szCs w:val="20"/>
                <w:lang w:val="en-AU"/>
              </w:rPr>
              <w:t xml:space="preserve">Assumed to be using 2L nivolumab </w:t>
            </w:r>
            <w:r w:rsidRPr="00A24A89">
              <w:rPr>
                <w:rFonts w:ascii="Arial Narrow" w:hAnsi="Arial Narrow"/>
                <w:sz w:val="20"/>
                <w:szCs w:val="20"/>
                <w:u w:val="single"/>
                <w:lang w:val="en-AU"/>
              </w:rPr>
              <w:t>not</w:t>
            </w:r>
            <w:r w:rsidRPr="00A24A89">
              <w:rPr>
                <w:rFonts w:ascii="Arial Narrow" w:hAnsi="Arial Narrow"/>
                <w:sz w:val="20"/>
                <w:szCs w:val="20"/>
                <w:lang w:val="en-AU"/>
              </w:rPr>
              <w:t xml:space="preserve"> in early recurrent setting </w:t>
            </w:r>
          </w:p>
        </w:tc>
        <w:tc>
          <w:tcPr>
            <w:tcW w:w="1546" w:type="dxa"/>
            <w:shd w:val="clear" w:color="auto" w:fill="auto"/>
            <w:vAlign w:val="center"/>
          </w:tcPr>
          <w:p w14:paraId="79011A99" w14:textId="77777777" w:rsidR="00D7609F" w:rsidRPr="0093310A" w:rsidRDefault="00D7609F" w:rsidP="006419CD">
            <w:pPr>
              <w:keepNext/>
              <w:keepLines/>
              <w:spacing w:before="0"/>
              <w:jc w:val="center"/>
              <w:rPr>
                <w:rFonts w:ascii="Arial Narrow" w:hAnsi="Arial Narrow"/>
                <w:sz w:val="20"/>
                <w:szCs w:val="20"/>
                <w:vertAlign w:val="superscript"/>
                <w:lang w:val="en-AU"/>
              </w:rPr>
            </w:pPr>
            <w:r w:rsidRPr="00A24A89">
              <w:rPr>
                <w:rFonts w:ascii="Arial Narrow" w:hAnsi="Arial Narrow"/>
                <w:sz w:val="20"/>
                <w:szCs w:val="20"/>
                <w:lang w:val="en-AU"/>
              </w:rPr>
              <w:t>80%</w:t>
            </w:r>
            <w:r w:rsidR="0093310A">
              <w:rPr>
                <w:rFonts w:ascii="Arial Narrow" w:hAnsi="Arial Narrow"/>
                <w:sz w:val="20"/>
                <w:szCs w:val="20"/>
                <w:lang w:val="en-AU"/>
              </w:rPr>
              <w:t xml:space="preserve"> </w:t>
            </w:r>
            <w:r w:rsidR="0093310A">
              <w:rPr>
                <w:rFonts w:ascii="Arial Narrow" w:hAnsi="Arial Narrow"/>
                <w:sz w:val="20"/>
                <w:szCs w:val="20"/>
                <w:vertAlign w:val="superscript"/>
                <w:lang w:val="en-AU"/>
              </w:rPr>
              <w:t>b</w:t>
            </w:r>
          </w:p>
        </w:tc>
        <w:tc>
          <w:tcPr>
            <w:tcW w:w="2230" w:type="dxa"/>
            <w:shd w:val="clear" w:color="auto" w:fill="auto"/>
            <w:vAlign w:val="center"/>
          </w:tcPr>
          <w:p w14:paraId="3A666149" w14:textId="340E067F" w:rsidR="00D7609F" w:rsidRPr="00737EE2" w:rsidRDefault="009A1388" w:rsidP="006419CD">
            <w:pPr>
              <w:keepNext/>
              <w:keepLines/>
              <w:spacing w:before="0"/>
              <w:jc w:val="center"/>
              <w:rPr>
                <w:rFonts w:ascii="Arial Narrow" w:hAnsi="Arial Narrow"/>
                <w:sz w:val="20"/>
                <w:szCs w:val="20"/>
                <w:vertAlign w:val="superscript"/>
                <w:lang w:val="en-AU"/>
              </w:rPr>
            </w:pPr>
            <w:r w:rsidRPr="009A1388">
              <w:rPr>
                <w:rFonts w:ascii="Arial Narrow" w:hAnsi="Arial Narrow"/>
                <w:noProof/>
                <w:color w:val="000000"/>
                <w:sz w:val="20"/>
                <w:szCs w:val="20"/>
                <w:shd w:val="solid" w:color="000000" w:fill="000000"/>
                <w:lang w:val="en-AU"/>
                <w14:textFill>
                  <w14:solidFill>
                    <w14:srgbClr w14:val="000000">
                      <w14:alpha w14:val="100000"/>
                    </w14:srgbClr>
                  </w14:solidFill>
                </w14:textFill>
              </w:rPr>
              <w:t>|</w:t>
            </w:r>
            <w:r w:rsidR="00737EE2" w:rsidRPr="00737EE2">
              <w:rPr>
                <w:rFonts w:ascii="Arial Narrow" w:hAnsi="Arial Narrow"/>
                <w:sz w:val="20"/>
                <w:szCs w:val="20"/>
                <w:vertAlign w:val="superscript"/>
                <w:lang w:val="en-AU"/>
              </w:rPr>
              <w:t>1</w:t>
            </w:r>
          </w:p>
        </w:tc>
      </w:tr>
      <w:tr w:rsidR="00D7609F" w:rsidRPr="00A24A89" w14:paraId="6317F8DE" w14:textId="77777777" w:rsidTr="006419CD">
        <w:tc>
          <w:tcPr>
            <w:tcW w:w="308" w:type="dxa"/>
            <w:shd w:val="clear" w:color="auto" w:fill="auto"/>
          </w:tcPr>
          <w:p w14:paraId="46674C60"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c</w:t>
            </w:r>
          </w:p>
        </w:tc>
        <w:tc>
          <w:tcPr>
            <w:tcW w:w="4932" w:type="dxa"/>
            <w:shd w:val="clear" w:color="auto" w:fill="auto"/>
          </w:tcPr>
          <w:p w14:paraId="03E9D07A" w14:textId="77777777" w:rsidR="00D7609F" w:rsidRPr="00A24A89" w:rsidRDefault="002B1C15" w:rsidP="006419CD">
            <w:pPr>
              <w:keepNext/>
              <w:keepLines/>
              <w:spacing w:before="0"/>
              <w:rPr>
                <w:rFonts w:ascii="Arial Narrow" w:hAnsi="Arial Narrow"/>
                <w:sz w:val="20"/>
                <w:szCs w:val="20"/>
                <w:lang w:val="en-AU"/>
              </w:rPr>
            </w:pPr>
            <w:r w:rsidRPr="00A24A89">
              <w:rPr>
                <w:rFonts w:ascii="Arial Narrow" w:hAnsi="Arial Narrow"/>
                <w:sz w:val="20"/>
                <w:szCs w:val="20"/>
                <w:lang w:val="en-AU"/>
              </w:rPr>
              <w:t>CPS ≥1</w:t>
            </w:r>
          </w:p>
        </w:tc>
        <w:tc>
          <w:tcPr>
            <w:tcW w:w="1546" w:type="dxa"/>
            <w:shd w:val="clear" w:color="auto" w:fill="auto"/>
            <w:vAlign w:val="center"/>
          </w:tcPr>
          <w:p w14:paraId="3BEF8461" w14:textId="77777777" w:rsidR="00D7609F" w:rsidRPr="0093310A" w:rsidRDefault="00D7609F" w:rsidP="006419CD">
            <w:pPr>
              <w:keepNext/>
              <w:keepLines/>
              <w:spacing w:before="0"/>
              <w:jc w:val="center"/>
              <w:rPr>
                <w:rFonts w:ascii="Arial Narrow" w:hAnsi="Arial Narrow"/>
                <w:sz w:val="20"/>
                <w:szCs w:val="20"/>
                <w:vertAlign w:val="superscript"/>
                <w:lang w:val="en-AU"/>
              </w:rPr>
            </w:pPr>
            <w:r w:rsidRPr="00A24A89">
              <w:rPr>
                <w:rFonts w:ascii="Arial Narrow" w:hAnsi="Arial Narrow"/>
                <w:sz w:val="20"/>
                <w:szCs w:val="20"/>
                <w:lang w:val="en-AU"/>
              </w:rPr>
              <w:t>80%</w:t>
            </w:r>
            <w:r w:rsidR="0093310A">
              <w:rPr>
                <w:rFonts w:ascii="Arial Narrow" w:hAnsi="Arial Narrow"/>
                <w:sz w:val="20"/>
                <w:szCs w:val="20"/>
                <w:lang w:val="en-AU"/>
              </w:rPr>
              <w:t xml:space="preserve"> </w:t>
            </w:r>
            <w:r w:rsidR="0093310A">
              <w:rPr>
                <w:rFonts w:ascii="Arial Narrow" w:hAnsi="Arial Narrow"/>
                <w:sz w:val="20"/>
                <w:szCs w:val="20"/>
                <w:vertAlign w:val="superscript"/>
                <w:lang w:val="en-AU"/>
              </w:rPr>
              <w:t>c</w:t>
            </w:r>
          </w:p>
        </w:tc>
        <w:tc>
          <w:tcPr>
            <w:tcW w:w="2230" w:type="dxa"/>
            <w:shd w:val="clear" w:color="auto" w:fill="auto"/>
            <w:vAlign w:val="center"/>
          </w:tcPr>
          <w:p w14:paraId="6EB64F95" w14:textId="54DF3ACC" w:rsidR="00D7609F" w:rsidRPr="00737EE2" w:rsidRDefault="009A1388" w:rsidP="006419CD">
            <w:pPr>
              <w:keepNext/>
              <w:keepLines/>
              <w:spacing w:before="0"/>
              <w:jc w:val="center"/>
              <w:rPr>
                <w:rFonts w:ascii="Arial Narrow" w:hAnsi="Arial Narrow"/>
                <w:sz w:val="20"/>
                <w:szCs w:val="20"/>
                <w:vertAlign w:val="superscript"/>
                <w:lang w:val="en-AU"/>
              </w:rPr>
            </w:pPr>
            <w:r w:rsidRPr="009A1388">
              <w:rPr>
                <w:rFonts w:ascii="Arial Narrow" w:hAnsi="Arial Narrow"/>
                <w:noProof/>
                <w:color w:val="000000"/>
                <w:sz w:val="20"/>
                <w:szCs w:val="20"/>
                <w:shd w:val="solid" w:color="000000" w:fill="000000"/>
                <w:lang w:val="en-AU"/>
                <w14:textFill>
                  <w14:solidFill>
                    <w14:srgbClr w14:val="000000">
                      <w14:alpha w14:val="100000"/>
                    </w14:srgbClr>
                  </w14:solidFill>
                </w14:textFill>
              </w:rPr>
              <w:t>|</w:t>
            </w:r>
            <w:r w:rsidR="00737EE2" w:rsidRPr="00737EE2">
              <w:rPr>
                <w:rFonts w:ascii="Arial Narrow" w:hAnsi="Arial Narrow"/>
                <w:sz w:val="20"/>
                <w:szCs w:val="20"/>
                <w:vertAlign w:val="superscript"/>
                <w:lang w:val="en-AU"/>
              </w:rPr>
              <w:t>1</w:t>
            </w:r>
          </w:p>
        </w:tc>
      </w:tr>
      <w:tr w:rsidR="00D7609F" w:rsidRPr="00A24A89" w14:paraId="48EC687E" w14:textId="77777777" w:rsidTr="006419CD">
        <w:tc>
          <w:tcPr>
            <w:tcW w:w="308" w:type="dxa"/>
            <w:shd w:val="clear" w:color="auto" w:fill="auto"/>
          </w:tcPr>
          <w:p w14:paraId="29B352AA"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d</w:t>
            </w:r>
          </w:p>
        </w:tc>
        <w:tc>
          <w:tcPr>
            <w:tcW w:w="4932" w:type="dxa"/>
            <w:shd w:val="clear" w:color="auto" w:fill="auto"/>
          </w:tcPr>
          <w:p w14:paraId="5F76FA74"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Eligible for, but did not take 2L nivolumab</w:t>
            </w:r>
          </w:p>
        </w:tc>
        <w:tc>
          <w:tcPr>
            <w:tcW w:w="1546" w:type="dxa"/>
            <w:shd w:val="clear" w:color="auto" w:fill="auto"/>
            <w:vAlign w:val="center"/>
          </w:tcPr>
          <w:p w14:paraId="727324E8"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15%</w:t>
            </w:r>
          </w:p>
        </w:tc>
        <w:tc>
          <w:tcPr>
            <w:tcW w:w="2230" w:type="dxa"/>
            <w:shd w:val="clear" w:color="auto" w:fill="auto"/>
            <w:vAlign w:val="center"/>
          </w:tcPr>
          <w:p w14:paraId="465BC048" w14:textId="22707691" w:rsidR="00D7609F" w:rsidRPr="00737EE2" w:rsidRDefault="009A1388" w:rsidP="006419CD">
            <w:pPr>
              <w:keepNext/>
              <w:keepLines/>
              <w:spacing w:before="0"/>
              <w:jc w:val="center"/>
              <w:rPr>
                <w:rFonts w:ascii="Arial Narrow" w:hAnsi="Arial Narrow"/>
                <w:sz w:val="20"/>
                <w:szCs w:val="20"/>
                <w:vertAlign w:val="superscript"/>
                <w:lang w:val="en-AU"/>
              </w:rPr>
            </w:pPr>
            <w:r w:rsidRPr="009A1388">
              <w:rPr>
                <w:rFonts w:ascii="Arial Narrow" w:hAnsi="Arial Narrow"/>
                <w:noProof/>
                <w:color w:val="000000"/>
                <w:sz w:val="20"/>
                <w:szCs w:val="20"/>
                <w:shd w:val="solid" w:color="000000" w:fill="000000"/>
                <w:lang w:val="en-AU"/>
                <w14:textFill>
                  <w14:solidFill>
                    <w14:srgbClr w14:val="000000">
                      <w14:alpha w14:val="100000"/>
                    </w14:srgbClr>
                  </w14:solidFill>
                </w14:textFill>
              </w:rPr>
              <w:t>|</w:t>
            </w:r>
            <w:r w:rsidR="00737EE2" w:rsidRPr="00737EE2">
              <w:rPr>
                <w:rFonts w:ascii="Arial Narrow" w:hAnsi="Arial Narrow"/>
                <w:sz w:val="20"/>
                <w:szCs w:val="20"/>
                <w:vertAlign w:val="superscript"/>
                <w:lang w:val="en-AU"/>
              </w:rPr>
              <w:t>1</w:t>
            </w:r>
          </w:p>
        </w:tc>
      </w:tr>
      <w:tr w:rsidR="00D7609F" w:rsidRPr="00A24A89" w14:paraId="27ED7A78" w14:textId="77777777" w:rsidTr="006419CD">
        <w:tc>
          <w:tcPr>
            <w:tcW w:w="308" w:type="dxa"/>
            <w:shd w:val="clear" w:color="auto" w:fill="auto"/>
          </w:tcPr>
          <w:p w14:paraId="3071778D"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w:t>
            </w:r>
          </w:p>
        </w:tc>
        <w:tc>
          <w:tcPr>
            <w:tcW w:w="4932" w:type="dxa"/>
            <w:shd w:val="clear" w:color="auto" w:fill="auto"/>
          </w:tcPr>
          <w:p w14:paraId="0C042488"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Estimated 2019 pembrolizumab patients</w:t>
            </w:r>
          </w:p>
        </w:tc>
        <w:tc>
          <w:tcPr>
            <w:tcW w:w="1546" w:type="dxa"/>
            <w:shd w:val="clear" w:color="auto" w:fill="auto"/>
            <w:vAlign w:val="center"/>
          </w:tcPr>
          <w:p w14:paraId="15FA33C0" w14:textId="77777777" w:rsidR="00D7609F" w:rsidRPr="00A24A89" w:rsidRDefault="00D7609F" w:rsidP="006419CD">
            <w:pPr>
              <w:keepNext/>
              <w:keepLines/>
              <w:spacing w:before="0"/>
              <w:jc w:val="center"/>
              <w:rPr>
                <w:rFonts w:ascii="Arial Narrow" w:hAnsi="Arial Narrow"/>
                <w:sz w:val="20"/>
                <w:szCs w:val="20"/>
                <w:lang w:val="en-AU"/>
              </w:rPr>
            </w:pPr>
          </w:p>
        </w:tc>
        <w:tc>
          <w:tcPr>
            <w:tcW w:w="2230" w:type="dxa"/>
            <w:shd w:val="clear" w:color="auto" w:fill="auto"/>
            <w:vAlign w:val="center"/>
          </w:tcPr>
          <w:p w14:paraId="3AA00506" w14:textId="4E47D90D" w:rsidR="00D7609F" w:rsidRPr="00737EE2" w:rsidRDefault="009A1388" w:rsidP="006419CD">
            <w:pPr>
              <w:keepNext/>
              <w:keepLines/>
              <w:spacing w:before="0"/>
              <w:jc w:val="center"/>
              <w:rPr>
                <w:rFonts w:ascii="Arial Narrow" w:hAnsi="Arial Narrow"/>
                <w:sz w:val="20"/>
                <w:szCs w:val="20"/>
                <w:vertAlign w:val="superscript"/>
                <w:lang w:val="en-AU"/>
              </w:rPr>
            </w:pPr>
            <w:r w:rsidRPr="009A1388">
              <w:rPr>
                <w:rFonts w:ascii="Arial Narrow" w:hAnsi="Arial Narrow"/>
                <w:noProof/>
                <w:color w:val="000000"/>
                <w:sz w:val="20"/>
                <w:szCs w:val="20"/>
                <w:shd w:val="solid" w:color="000000" w:fill="000000"/>
                <w:lang w:val="en-AU"/>
                <w14:textFill>
                  <w14:solidFill>
                    <w14:srgbClr w14:val="000000">
                      <w14:alpha w14:val="100000"/>
                    </w14:srgbClr>
                  </w14:solidFill>
                </w14:textFill>
              </w:rPr>
              <w:t>|</w:t>
            </w:r>
            <w:r w:rsidR="00737EE2" w:rsidRPr="00737EE2">
              <w:rPr>
                <w:rFonts w:ascii="Arial Narrow" w:hAnsi="Arial Narrow"/>
                <w:sz w:val="20"/>
                <w:szCs w:val="20"/>
                <w:vertAlign w:val="superscript"/>
                <w:lang w:val="en-AU"/>
              </w:rPr>
              <w:t>2</w:t>
            </w:r>
          </w:p>
        </w:tc>
      </w:tr>
      <w:tr w:rsidR="00D7609F" w:rsidRPr="00A24A89" w14:paraId="00F437CD" w14:textId="77777777" w:rsidTr="006419CD">
        <w:tc>
          <w:tcPr>
            <w:tcW w:w="308" w:type="dxa"/>
            <w:shd w:val="clear" w:color="auto" w:fill="auto"/>
          </w:tcPr>
          <w:p w14:paraId="5C80056A" w14:textId="77777777" w:rsidR="00D7609F" w:rsidRPr="00A24A89" w:rsidRDefault="00D7609F" w:rsidP="006419CD">
            <w:pPr>
              <w:keepNext/>
              <w:keepLines/>
              <w:spacing w:before="0"/>
              <w:rPr>
                <w:rFonts w:ascii="Arial Narrow" w:hAnsi="Arial Narrow"/>
                <w:sz w:val="20"/>
                <w:szCs w:val="20"/>
                <w:lang w:val="en-AU"/>
              </w:rPr>
            </w:pPr>
          </w:p>
        </w:tc>
        <w:tc>
          <w:tcPr>
            <w:tcW w:w="4932" w:type="dxa"/>
            <w:shd w:val="clear" w:color="auto" w:fill="auto"/>
          </w:tcPr>
          <w:p w14:paraId="365C99B6"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Estimate proportion who would be eligible for pembrolizumab who would be eligible for 2L nivolumab</w:t>
            </w:r>
          </w:p>
        </w:tc>
        <w:tc>
          <w:tcPr>
            <w:tcW w:w="1546" w:type="dxa"/>
            <w:shd w:val="clear" w:color="auto" w:fill="auto"/>
            <w:vAlign w:val="center"/>
          </w:tcPr>
          <w:p w14:paraId="1981ABAB"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48% [(</w:t>
            </w:r>
            <w:proofErr w:type="spellStart"/>
            <w:r w:rsidRPr="00A24A89">
              <w:rPr>
                <w:rFonts w:ascii="Arial Narrow" w:hAnsi="Arial Narrow"/>
                <w:sz w:val="20"/>
                <w:szCs w:val="20"/>
                <w:lang w:val="en-AU"/>
              </w:rPr>
              <w:t>c+</w:t>
            </w:r>
            <w:proofErr w:type="gramStart"/>
            <w:r w:rsidRPr="00A24A89">
              <w:rPr>
                <w:rFonts w:ascii="Arial Narrow" w:hAnsi="Arial Narrow"/>
                <w:sz w:val="20"/>
                <w:szCs w:val="20"/>
                <w:lang w:val="en-AU"/>
              </w:rPr>
              <w:t>d</w:t>
            </w:r>
            <w:proofErr w:type="spellEnd"/>
            <w:r w:rsidRPr="00A24A89">
              <w:rPr>
                <w:rFonts w:ascii="Arial Narrow" w:hAnsi="Arial Narrow"/>
                <w:sz w:val="20"/>
                <w:szCs w:val="20"/>
                <w:lang w:val="en-AU"/>
              </w:rPr>
              <w:t>)</w:t>
            </w:r>
            <w:r w:rsidRPr="00A24A89">
              <w:rPr>
                <w:rFonts w:ascii="Arial Narrow" w:hAnsi="Arial Narrow" w:cstheme="minorHAnsi"/>
                <w:sz w:val="20"/>
                <w:szCs w:val="20"/>
                <w:lang w:val="en-AU"/>
              </w:rPr>
              <w:t>÷</w:t>
            </w:r>
            <w:proofErr w:type="gramEnd"/>
            <w:r w:rsidRPr="00A24A89">
              <w:rPr>
                <w:rFonts w:ascii="Arial Narrow" w:hAnsi="Arial Narrow"/>
                <w:sz w:val="20"/>
                <w:szCs w:val="20"/>
                <w:lang w:val="en-AU"/>
              </w:rPr>
              <w:t xml:space="preserve">e] </w:t>
            </w:r>
            <w:r w:rsidR="0093310A" w:rsidRPr="0093310A">
              <w:rPr>
                <w:rFonts w:ascii="Arial Narrow" w:hAnsi="Arial Narrow"/>
                <w:sz w:val="20"/>
                <w:szCs w:val="20"/>
                <w:vertAlign w:val="superscript"/>
                <w:lang w:val="en-AU"/>
              </w:rPr>
              <w:t>d</w:t>
            </w:r>
          </w:p>
        </w:tc>
        <w:tc>
          <w:tcPr>
            <w:tcW w:w="2230" w:type="dxa"/>
            <w:shd w:val="clear" w:color="auto" w:fill="auto"/>
            <w:vAlign w:val="center"/>
          </w:tcPr>
          <w:p w14:paraId="1EA37CB7"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w:t>
            </w:r>
          </w:p>
        </w:tc>
      </w:tr>
      <w:tr w:rsidR="00D7609F" w:rsidRPr="00A24A89" w14:paraId="738DCC30" w14:textId="77777777" w:rsidTr="006419CD">
        <w:tc>
          <w:tcPr>
            <w:tcW w:w="308" w:type="dxa"/>
            <w:shd w:val="clear" w:color="auto" w:fill="auto"/>
          </w:tcPr>
          <w:p w14:paraId="340D533E" w14:textId="77777777" w:rsidR="00D7609F" w:rsidRPr="00A24A89" w:rsidRDefault="00D7609F" w:rsidP="006419CD">
            <w:pPr>
              <w:keepNext/>
              <w:keepLines/>
              <w:spacing w:before="0"/>
              <w:rPr>
                <w:rFonts w:ascii="Arial Narrow" w:hAnsi="Arial Narrow"/>
                <w:sz w:val="20"/>
                <w:szCs w:val="20"/>
                <w:lang w:val="en-AU"/>
              </w:rPr>
            </w:pPr>
          </w:p>
        </w:tc>
        <w:tc>
          <w:tcPr>
            <w:tcW w:w="4932" w:type="dxa"/>
            <w:shd w:val="clear" w:color="auto" w:fill="auto"/>
          </w:tcPr>
          <w:p w14:paraId="7E3F4BF6"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 xml:space="preserve">Estimate proportion who would be eligible for pembrolizumab and would not have used 2L nivolumab </w:t>
            </w:r>
            <w:r w:rsidR="00F213AD">
              <w:rPr>
                <w:rFonts w:ascii="Arial Narrow" w:hAnsi="Arial Narrow"/>
                <w:sz w:val="20"/>
                <w:szCs w:val="20"/>
                <w:lang w:val="en-AU"/>
              </w:rPr>
              <w:t>(revised in commentary)</w:t>
            </w:r>
          </w:p>
        </w:tc>
        <w:tc>
          <w:tcPr>
            <w:tcW w:w="1546" w:type="dxa"/>
            <w:shd w:val="clear" w:color="auto" w:fill="auto"/>
            <w:vAlign w:val="center"/>
          </w:tcPr>
          <w:p w14:paraId="5D520AEC" w14:textId="77777777" w:rsidR="00D7609F" w:rsidRPr="005D18E0" w:rsidRDefault="00D7609F" w:rsidP="006419CD">
            <w:pPr>
              <w:keepNext/>
              <w:keepLines/>
              <w:spacing w:before="0"/>
              <w:jc w:val="center"/>
              <w:rPr>
                <w:rFonts w:ascii="Arial Narrow" w:hAnsi="Arial Narrow"/>
                <w:sz w:val="20"/>
                <w:szCs w:val="20"/>
                <w:lang w:val="en-AU"/>
              </w:rPr>
            </w:pPr>
            <w:r w:rsidRPr="005D18E0">
              <w:rPr>
                <w:rFonts w:ascii="Arial Narrow" w:hAnsi="Arial Narrow"/>
                <w:sz w:val="20"/>
                <w:szCs w:val="20"/>
              </w:rPr>
              <w:t>42% [</w:t>
            </w:r>
            <w:proofErr w:type="spellStart"/>
            <w:r w:rsidRPr="005D18E0">
              <w:rPr>
                <w:rFonts w:ascii="Arial Narrow" w:hAnsi="Arial Narrow"/>
                <w:sz w:val="20"/>
                <w:szCs w:val="20"/>
              </w:rPr>
              <w:t>c</w:t>
            </w:r>
            <w:r w:rsidRPr="005D18E0">
              <w:rPr>
                <w:rFonts w:ascii="Arial Narrow" w:hAnsi="Arial Narrow" w:cstheme="minorHAnsi"/>
                <w:sz w:val="20"/>
                <w:szCs w:val="20"/>
              </w:rPr>
              <w:t>÷</w:t>
            </w:r>
            <w:r w:rsidRPr="005D18E0">
              <w:rPr>
                <w:rFonts w:ascii="Arial Narrow" w:hAnsi="Arial Narrow"/>
                <w:sz w:val="20"/>
                <w:szCs w:val="20"/>
              </w:rPr>
              <w:t>e</w:t>
            </w:r>
            <w:proofErr w:type="spellEnd"/>
            <w:r w:rsidRPr="005D18E0">
              <w:rPr>
                <w:rFonts w:ascii="Arial Narrow" w:hAnsi="Arial Narrow"/>
                <w:sz w:val="20"/>
                <w:szCs w:val="20"/>
              </w:rPr>
              <w:t>]</w:t>
            </w:r>
          </w:p>
        </w:tc>
        <w:tc>
          <w:tcPr>
            <w:tcW w:w="2230" w:type="dxa"/>
            <w:shd w:val="clear" w:color="auto" w:fill="auto"/>
            <w:vAlign w:val="center"/>
          </w:tcPr>
          <w:p w14:paraId="2F79ED35"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w:t>
            </w:r>
          </w:p>
        </w:tc>
      </w:tr>
    </w:tbl>
    <w:p w14:paraId="21DF47A6" w14:textId="77777777" w:rsidR="00467CC0" w:rsidRDefault="0093310A" w:rsidP="00D7609F">
      <w:pPr>
        <w:keepNext/>
        <w:keepLines/>
        <w:spacing w:before="0" w:after="0"/>
        <w:rPr>
          <w:rFonts w:ascii="Arial Narrow" w:hAnsi="Arial Narrow"/>
          <w:sz w:val="20"/>
          <w:szCs w:val="20"/>
        </w:rPr>
      </w:pPr>
      <w:proofErr w:type="spellStart"/>
      <w:r>
        <w:rPr>
          <w:rFonts w:ascii="Arial Narrow" w:hAnsi="Arial Narrow"/>
          <w:sz w:val="20"/>
          <w:szCs w:val="20"/>
          <w:vertAlign w:val="superscript"/>
        </w:rPr>
        <w:t>a</w:t>
      </w:r>
      <w:r>
        <w:rPr>
          <w:rFonts w:ascii="Arial Narrow" w:hAnsi="Arial Narrow"/>
          <w:sz w:val="20"/>
          <w:szCs w:val="20"/>
        </w:rPr>
        <w:t>N</w:t>
      </w:r>
      <w:r w:rsidR="00B95888">
        <w:rPr>
          <w:rFonts w:ascii="Arial Narrow" w:hAnsi="Arial Narrow"/>
          <w:sz w:val="20"/>
          <w:szCs w:val="20"/>
        </w:rPr>
        <w:t>umber</w:t>
      </w:r>
      <w:proofErr w:type="spellEnd"/>
      <w:r w:rsidR="00B95888">
        <w:rPr>
          <w:rFonts w:ascii="Arial Narrow" w:hAnsi="Arial Narrow"/>
          <w:sz w:val="20"/>
          <w:szCs w:val="20"/>
        </w:rPr>
        <w:t xml:space="preserve"> of </w:t>
      </w:r>
      <w:r w:rsidR="00B95888" w:rsidRPr="00467CC0">
        <w:rPr>
          <w:rFonts w:ascii="Arial Narrow" w:hAnsi="Arial Narrow"/>
          <w:sz w:val="20"/>
          <w:szCs w:val="20"/>
        </w:rPr>
        <w:t xml:space="preserve">individual patients </w:t>
      </w:r>
      <w:r w:rsidR="00B95888">
        <w:rPr>
          <w:rFonts w:ascii="Arial Narrow" w:hAnsi="Arial Narrow"/>
          <w:sz w:val="20"/>
          <w:szCs w:val="20"/>
        </w:rPr>
        <w:t xml:space="preserve">who </w:t>
      </w:r>
      <w:r w:rsidR="00B95888" w:rsidRPr="00467CC0">
        <w:rPr>
          <w:rFonts w:ascii="Arial Narrow" w:hAnsi="Arial Narrow"/>
          <w:sz w:val="20"/>
          <w:szCs w:val="20"/>
        </w:rPr>
        <w:t xml:space="preserve">received at least one prescription for nivolumab for </w:t>
      </w:r>
      <w:r w:rsidR="00B95888">
        <w:rPr>
          <w:rFonts w:ascii="Arial Narrow" w:hAnsi="Arial Narrow"/>
          <w:sz w:val="20"/>
          <w:szCs w:val="20"/>
        </w:rPr>
        <w:t xml:space="preserve">the treatment of </w:t>
      </w:r>
      <w:r w:rsidR="00B95888" w:rsidRPr="00467CC0">
        <w:rPr>
          <w:rFonts w:ascii="Arial Narrow" w:hAnsi="Arial Narrow"/>
          <w:sz w:val="20"/>
          <w:szCs w:val="20"/>
        </w:rPr>
        <w:t>head and neck cancer</w:t>
      </w:r>
      <w:r w:rsidR="00B95888">
        <w:rPr>
          <w:rFonts w:ascii="Arial Narrow" w:hAnsi="Arial Narrow"/>
          <w:sz w:val="20"/>
          <w:szCs w:val="20"/>
        </w:rPr>
        <w:t xml:space="preserve"> in 2019, as </w:t>
      </w:r>
      <w:r w:rsidR="00B95888" w:rsidRPr="00467CC0">
        <w:rPr>
          <w:rFonts w:ascii="Arial Narrow" w:hAnsi="Arial Narrow"/>
          <w:sz w:val="20"/>
          <w:szCs w:val="20"/>
        </w:rPr>
        <w:t xml:space="preserve">provided </w:t>
      </w:r>
      <w:r w:rsidR="00B95888">
        <w:rPr>
          <w:rFonts w:ascii="Arial Narrow" w:hAnsi="Arial Narrow"/>
          <w:sz w:val="20"/>
          <w:szCs w:val="20"/>
        </w:rPr>
        <w:t>by</w:t>
      </w:r>
      <w:r w:rsidR="00B95888" w:rsidRPr="00467CC0">
        <w:rPr>
          <w:rFonts w:ascii="Arial Narrow" w:hAnsi="Arial Narrow"/>
          <w:sz w:val="20"/>
          <w:szCs w:val="20"/>
        </w:rPr>
        <w:t xml:space="preserve"> DUSC </w:t>
      </w:r>
      <w:r w:rsidR="00B95888">
        <w:rPr>
          <w:rFonts w:ascii="Arial Narrow" w:hAnsi="Arial Narrow"/>
          <w:sz w:val="20"/>
          <w:szCs w:val="20"/>
        </w:rPr>
        <w:t>d</w:t>
      </w:r>
      <w:r w:rsidR="00467CC0" w:rsidRPr="00467CC0">
        <w:rPr>
          <w:rFonts w:ascii="Arial Narrow" w:hAnsi="Arial Narrow"/>
          <w:sz w:val="20"/>
          <w:szCs w:val="20"/>
        </w:rPr>
        <w:t xml:space="preserve">uring evaluation of the </w:t>
      </w:r>
      <w:r w:rsidR="00467CC0">
        <w:rPr>
          <w:rFonts w:ascii="Arial Narrow" w:hAnsi="Arial Narrow"/>
          <w:sz w:val="20"/>
          <w:szCs w:val="20"/>
        </w:rPr>
        <w:t>previous</w:t>
      </w:r>
      <w:r w:rsidR="00467CC0" w:rsidRPr="00467CC0">
        <w:rPr>
          <w:rFonts w:ascii="Arial Narrow" w:hAnsi="Arial Narrow"/>
          <w:sz w:val="20"/>
          <w:szCs w:val="20"/>
        </w:rPr>
        <w:t xml:space="preserve"> </w:t>
      </w:r>
      <w:r w:rsidR="00B95888">
        <w:rPr>
          <w:rFonts w:ascii="Arial Narrow" w:hAnsi="Arial Narrow"/>
          <w:sz w:val="20"/>
          <w:szCs w:val="20"/>
        </w:rPr>
        <w:t xml:space="preserve">pembrolizumab </w:t>
      </w:r>
      <w:r w:rsidR="00467CC0" w:rsidRPr="00467CC0">
        <w:rPr>
          <w:rFonts w:ascii="Arial Narrow" w:hAnsi="Arial Narrow"/>
          <w:sz w:val="20"/>
          <w:szCs w:val="20"/>
        </w:rPr>
        <w:t>submission</w:t>
      </w:r>
      <w:r w:rsidR="00467CC0">
        <w:rPr>
          <w:rFonts w:ascii="Arial Narrow" w:hAnsi="Arial Narrow"/>
          <w:sz w:val="20"/>
          <w:szCs w:val="20"/>
        </w:rPr>
        <w:t>.</w:t>
      </w:r>
    </w:p>
    <w:p w14:paraId="0DCC68AD" w14:textId="77777777" w:rsidR="0093310A" w:rsidRPr="005D18E0" w:rsidRDefault="0093310A" w:rsidP="0093310A">
      <w:pPr>
        <w:keepNext/>
        <w:keepLines/>
        <w:spacing w:before="0" w:after="0"/>
        <w:rPr>
          <w:rFonts w:ascii="Arial Narrow" w:hAnsi="Arial Narrow"/>
          <w:sz w:val="20"/>
          <w:szCs w:val="20"/>
        </w:rPr>
      </w:pPr>
      <w:r w:rsidRPr="005D18E0">
        <w:rPr>
          <w:rFonts w:ascii="Arial Narrow" w:hAnsi="Arial Narrow"/>
          <w:sz w:val="20"/>
          <w:szCs w:val="20"/>
          <w:vertAlign w:val="superscript"/>
        </w:rPr>
        <w:t xml:space="preserve">b </w:t>
      </w:r>
      <w:proofErr w:type="gramStart"/>
      <w:r w:rsidRPr="005D18E0">
        <w:rPr>
          <w:rFonts w:ascii="Arial Narrow" w:hAnsi="Arial Narrow"/>
          <w:sz w:val="20"/>
          <w:szCs w:val="20"/>
        </w:rPr>
        <w:t>The</w:t>
      </w:r>
      <w:proofErr w:type="gramEnd"/>
      <w:r w:rsidRPr="005D18E0">
        <w:rPr>
          <w:rFonts w:ascii="Arial Narrow" w:hAnsi="Arial Narrow"/>
          <w:sz w:val="20"/>
          <w:szCs w:val="20"/>
        </w:rPr>
        <w:t xml:space="preserve"> proportion of patients using 2L nivolumab </w:t>
      </w:r>
      <w:r w:rsidRPr="005D18E0">
        <w:rPr>
          <w:rFonts w:ascii="Arial Narrow" w:hAnsi="Arial Narrow"/>
          <w:sz w:val="20"/>
          <w:szCs w:val="20"/>
          <w:u w:val="single"/>
        </w:rPr>
        <w:t>not</w:t>
      </w:r>
      <w:r w:rsidRPr="005D18E0">
        <w:rPr>
          <w:rFonts w:ascii="Arial Narrow" w:hAnsi="Arial Narrow"/>
          <w:sz w:val="20"/>
          <w:szCs w:val="20"/>
        </w:rPr>
        <w:t xml:space="preserve"> in early recurrent setting (b) was an assumption and was not further justified.</w:t>
      </w:r>
    </w:p>
    <w:p w14:paraId="75D85F41" w14:textId="77777777" w:rsidR="0093310A" w:rsidRPr="0017405A" w:rsidRDefault="0093310A" w:rsidP="0093310A">
      <w:pPr>
        <w:keepNext/>
        <w:keepLines/>
        <w:spacing w:before="0" w:after="0"/>
        <w:rPr>
          <w:iCs/>
        </w:rPr>
      </w:pPr>
      <w:r w:rsidRPr="0017405A">
        <w:rPr>
          <w:rFonts w:ascii="Arial Narrow" w:hAnsi="Arial Narrow"/>
          <w:iCs/>
          <w:sz w:val="20"/>
          <w:szCs w:val="20"/>
          <w:vertAlign w:val="superscript"/>
        </w:rPr>
        <w:t xml:space="preserve">c </w:t>
      </w:r>
      <w:proofErr w:type="gramStart"/>
      <w:r w:rsidRPr="0017405A">
        <w:rPr>
          <w:rFonts w:ascii="Arial Narrow" w:hAnsi="Arial Narrow"/>
          <w:iCs/>
          <w:sz w:val="20"/>
          <w:szCs w:val="20"/>
        </w:rPr>
        <w:t>The</w:t>
      </w:r>
      <w:proofErr w:type="gramEnd"/>
      <w:r w:rsidRPr="0017405A">
        <w:rPr>
          <w:rFonts w:ascii="Arial Narrow" w:hAnsi="Arial Narrow"/>
          <w:iCs/>
          <w:sz w:val="20"/>
          <w:szCs w:val="20"/>
        </w:rPr>
        <w:t xml:space="preserve"> proportion of patients who did not take 2L nivolumab (d) was an assumption and was not further justified.</w:t>
      </w:r>
    </w:p>
    <w:p w14:paraId="08CB397A" w14:textId="77777777" w:rsidR="00D7609F" w:rsidRPr="00A24A89" w:rsidRDefault="0093310A" w:rsidP="00D7609F">
      <w:pPr>
        <w:keepNext/>
        <w:keepLines/>
        <w:spacing w:before="0" w:after="0"/>
        <w:rPr>
          <w:rFonts w:ascii="Arial Narrow" w:hAnsi="Arial Narrow"/>
          <w:sz w:val="20"/>
          <w:szCs w:val="20"/>
        </w:rPr>
      </w:pPr>
      <w:r>
        <w:rPr>
          <w:rFonts w:ascii="Arial Narrow" w:hAnsi="Arial Narrow"/>
          <w:sz w:val="20"/>
          <w:szCs w:val="20"/>
          <w:vertAlign w:val="superscript"/>
        </w:rPr>
        <w:t>d</w:t>
      </w:r>
      <w:r>
        <w:rPr>
          <w:rFonts w:ascii="Arial Narrow" w:hAnsi="Arial Narrow"/>
          <w:sz w:val="20"/>
          <w:szCs w:val="20"/>
        </w:rPr>
        <w:t xml:space="preserve"> </w:t>
      </w:r>
      <w:r w:rsidR="00D7609F" w:rsidRPr="00A24A89">
        <w:rPr>
          <w:rFonts w:ascii="Arial Narrow" w:hAnsi="Arial Narrow"/>
          <w:sz w:val="20"/>
          <w:szCs w:val="20"/>
        </w:rPr>
        <w:t>rounded up to 50% by resubmission</w:t>
      </w:r>
    </w:p>
    <w:p w14:paraId="7768B058" w14:textId="77777777" w:rsidR="00D7609F" w:rsidRDefault="00D7609F" w:rsidP="00D7609F">
      <w:pPr>
        <w:keepNext/>
        <w:keepLines/>
        <w:spacing w:before="0" w:after="0"/>
        <w:rPr>
          <w:rFonts w:ascii="Arial Narrow" w:hAnsi="Arial Narrow"/>
          <w:sz w:val="20"/>
          <w:szCs w:val="20"/>
        </w:rPr>
      </w:pPr>
      <w:r w:rsidRPr="00A24A89">
        <w:rPr>
          <w:rFonts w:ascii="Arial Narrow" w:hAnsi="Arial Narrow"/>
          <w:sz w:val="20"/>
          <w:szCs w:val="20"/>
        </w:rPr>
        <w:t>Source: adapted from p279 of resubmission</w:t>
      </w:r>
    </w:p>
    <w:p w14:paraId="06421490" w14:textId="77777777" w:rsidR="00737EE2" w:rsidRPr="00737EE2" w:rsidRDefault="00737EE2" w:rsidP="00D7609F">
      <w:pPr>
        <w:keepNext/>
        <w:keepLines/>
        <w:spacing w:before="0" w:after="0"/>
        <w:rPr>
          <w:rFonts w:ascii="Arial Narrow" w:hAnsi="Arial Narrow"/>
          <w:i/>
          <w:sz w:val="20"/>
          <w:szCs w:val="20"/>
        </w:rPr>
      </w:pPr>
      <w:r w:rsidRPr="00737EE2">
        <w:rPr>
          <w:rFonts w:ascii="Arial Narrow" w:hAnsi="Arial Narrow"/>
          <w:i/>
          <w:sz w:val="20"/>
          <w:szCs w:val="20"/>
        </w:rPr>
        <w:t>The redacted values correspond to the following ranges:</w:t>
      </w:r>
    </w:p>
    <w:p w14:paraId="301B7DB4" w14:textId="77777777" w:rsidR="00737EE2" w:rsidRPr="00737EE2" w:rsidRDefault="00737EE2" w:rsidP="00D7609F">
      <w:pPr>
        <w:keepNext/>
        <w:keepLines/>
        <w:spacing w:before="0" w:after="0"/>
        <w:rPr>
          <w:rFonts w:ascii="Arial Narrow" w:hAnsi="Arial Narrow"/>
          <w:i/>
          <w:sz w:val="20"/>
          <w:szCs w:val="20"/>
        </w:rPr>
      </w:pPr>
      <w:r w:rsidRPr="00737EE2">
        <w:rPr>
          <w:rFonts w:ascii="Arial Narrow" w:hAnsi="Arial Narrow"/>
          <w:i/>
          <w:sz w:val="20"/>
          <w:szCs w:val="20"/>
          <w:vertAlign w:val="superscript"/>
        </w:rPr>
        <w:t>1</w:t>
      </w:r>
      <w:r w:rsidRPr="00737EE2">
        <w:rPr>
          <w:rFonts w:ascii="Arial Narrow" w:hAnsi="Arial Narrow"/>
          <w:i/>
          <w:sz w:val="20"/>
          <w:szCs w:val="20"/>
        </w:rPr>
        <w:t xml:space="preserve"> &lt; 500</w:t>
      </w:r>
    </w:p>
    <w:p w14:paraId="29B22E5F" w14:textId="77777777" w:rsidR="00737EE2" w:rsidRPr="00737EE2" w:rsidRDefault="00737EE2" w:rsidP="00D7609F">
      <w:pPr>
        <w:keepNext/>
        <w:keepLines/>
        <w:spacing w:before="0" w:after="0"/>
        <w:rPr>
          <w:rFonts w:ascii="Arial Narrow" w:hAnsi="Arial Narrow"/>
          <w:i/>
          <w:sz w:val="20"/>
          <w:szCs w:val="20"/>
        </w:rPr>
      </w:pPr>
      <w:r w:rsidRPr="00737EE2">
        <w:rPr>
          <w:rFonts w:ascii="Arial Narrow" w:hAnsi="Arial Narrow"/>
          <w:i/>
          <w:sz w:val="20"/>
          <w:szCs w:val="20"/>
          <w:vertAlign w:val="superscript"/>
        </w:rPr>
        <w:t>2</w:t>
      </w:r>
      <w:r w:rsidRPr="00737EE2">
        <w:rPr>
          <w:rFonts w:ascii="Arial Narrow" w:hAnsi="Arial Narrow"/>
          <w:i/>
          <w:sz w:val="20"/>
          <w:szCs w:val="20"/>
        </w:rPr>
        <w:t xml:space="preserve"> 500 to &lt; 5,000</w:t>
      </w:r>
    </w:p>
    <w:p w14:paraId="33A9AD08" w14:textId="77777777" w:rsidR="00D7609F" w:rsidRDefault="00D7609F" w:rsidP="00D7609F">
      <w:pPr>
        <w:pStyle w:val="ListParagraph"/>
        <w:numPr>
          <w:ilvl w:val="4"/>
          <w:numId w:val="1"/>
        </w:numPr>
        <w:rPr>
          <w:iCs/>
          <w:color w:val="auto"/>
        </w:rPr>
      </w:pPr>
      <w:bookmarkStart w:id="28" w:name="_Ref81941477"/>
      <w:r w:rsidRPr="0017405A">
        <w:rPr>
          <w:iCs/>
          <w:color w:val="auto"/>
        </w:rPr>
        <w:t>The resubmission inappropriately included patients who were eligible but did not use 2L nivolumab in its estimates. There was no justification to include these patients in the economic model or financial estimates as they never received 2L nivolumab, and as such, the 50% figure was likely overestimated. Based on the resubmission’s assumptions, an overestimate in the proportion of patients treated with 2L nivolumab will lead to an underestimate in the ICER and financial impact of listing pembrolizumab.</w:t>
      </w:r>
      <w:r w:rsidR="000346FE" w:rsidRPr="0017405A">
        <w:rPr>
          <w:iCs/>
          <w:color w:val="auto"/>
        </w:rPr>
        <w:t xml:space="preserve"> Based on data provided by DUSC there were </w:t>
      </w:r>
      <w:r w:rsidR="00672DBA">
        <w:rPr>
          <w:iCs/>
          <w:color w:val="auto"/>
        </w:rPr>
        <w:t>&lt; 500</w:t>
      </w:r>
      <w:r w:rsidR="000346FE" w:rsidRPr="0017405A">
        <w:rPr>
          <w:iCs/>
          <w:color w:val="auto"/>
        </w:rPr>
        <w:t xml:space="preserve"> and </w:t>
      </w:r>
      <w:r w:rsidR="00672DBA">
        <w:rPr>
          <w:iCs/>
          <w:color w:val="auto"/>
        </w:rPr>
        <w:t>&lt; 500</w:t>
      </w:r>
      <w:r w:rsidR="000346FE" w:rsidRPr="0017405A">
        <w:rPr>
          <w:iCs/>
          <w:color w:val="auto"/>
        </w:rPr>
        <w:t xml:space="preserve"> incident patients treated with 2L nivolumab in 2019 and 2020, respectively. Assuming this increased to </w:t>
      </w:r>
      <w:r w:rsidR="00672DBA">
        <w:rPr>
          <w:iCs/>
          <w:color w:val="auto"/>
        </w:rPr>
        <w:t>&lt; 500</w:t>
      </w:r>
      <w:r w:rsidR="000346FE" w:rsidRPr="0017405A">
        <w:rPr>
          <w:iCs/>
          <w:color w:val="auto"/>
        </w:rPr>
        <w:t xml:space="preserve"> in 2022 and using the resubmission’s estimates of </w:t>
      </w:r>
      <w:r w:rsidR="00672DBA">
        <w:rPr>
          <w:iCs/>
          <w:color w:val="auto"/>
        </w:rPr>
        <w:t>500 to &lt; 5,000</w:t>
      </w:r>
      <w:r w:rsidR="000346FE" w:rsidRPr="0017405A">
        <w:rPr>
          <w:iCs/>
          <w:color w:val="auto"/>
        </w:rPr>
        <w:t xml:space="preserve"> incident patients treated with pembrolizumab in </w:t>
      </w:r>
      <w:proofErr w:type="gramStart"/>
      <w:r w:rsidR="000346FE" w:rsidRPr="0017405A">
        <w:rPr>
          <w:iCs/>
          <w:color w:val="auto"/>
        </w:rPr>
        <w:t>2022, and</w:t>
      </w:r>
      <w:proofErr w:type="gramEnd"/>
      <w:r w:rsidR="000346FE" w:rsidRPr="0017405A">
        <w:rPr>
          <w:iCs/>
          <w:color w:val="auto"/>
        </w:rPr>
        <w:t xml:space="preserve"> adjusting for uptake (85%) and prevalence of CPS ≥1 (80%) it was estimated that there would be </w:t>
      </w:r>
      <w:r w:rsidR="00672DBA">
        <w:rPr>
          <w:iCs/>
          <w:color w:val="auto"/>
        </w:rPr>
        <w:t>500 to &lt; 5,000</w:t>
      </w:r>
      <w:r w:rsidR="000346FE" w:rsidRPr="0017405A">
        <w:rPr>
          <w:iCs/>
          <w:color w:val="auto"/>
        </w:rPr>
        <w:t xml:space="preserve"> incident patients in 2022. This would equate to </w:t>
      </w:r>
      <w:r w:rsidR="00672DBA">
        <w:rPr>
          <w:iCs/>
          <w:color w:val="auto"/>
        </w:rPr>
        <w:t>&lt; 500</w:t>
      </w:r>
      <w:r w:rsidR="000346FE" w:rsidRPr="0017405A">
        <w:rPr>
          <w:iCs/>
          <w:color w:val="auto"/>
        </w:rPr>
        <w:t>/</w:t>
      </w:r>
      <w:r w:rsidR="00672DBA">
        <w:rPr>
          <w:iCs/>
          <w:color w:val="auto"/>
        </w:rPr>
        <w:t>500 to &lt; 5,000</w:t>
      </w:r>
      <w:r w:rsidR="000346FE" w:rsidRPr="0017405A">
        <w:rPr>
          <w:iCs/>
          <w:color w:val="auto"/>
        </w:rPr>
        <w:t xml:space="preserve"> (43.7%) patients estimated to use 2L nivolumab in 2022.</w:t>
      </w:r>
      <w:bookmarkEnd w:id="28"/>
    </w:p>
    <w:p w14:paraId="0F5FE06E" w14:textId="77777777" w:rsidR="004029D9" w:rsidRPr="0017405A" w:rsidRDefault="004029D9" w:rsidP="00D7609F">
      <w:pPr>
        <w:pStyle w:val="ListParagraph"/>
        <w:numPr>
          <w:ilvl w:val="4"/>
          <w:numId w:val="1"/>
        </w:numPr>
        <w:rPr>
          <w:iCs/>
          <w:color w:val="auto"/>
        </w:rPr>
      </w:pPr>
      <w:bookmarkStart w:id="29" w:name="_Ref88733166"/>
      <w:r>
        <w:rPr>
          <w:iCs/>
          <w:color w:val="auto"/>
        </w:rPr>
        <w:t xml:space="preserve">The PBAC considered that the proportion of HNSCC patients treated with 2L nivolumab appears to be underestimated in these calculations. </w:t>
      </w:r>
      <w:r w:rsidR="00D927FA">
        <w:rPr>
          <w:iCs/>
          <w:color w:val="auto"/>
        </w:rPr>
        <w:t xml:space="preserve">The PBAC considered that the proportion of R/M HNSCC patients receiving 2L nivolumab in practice would be expected to be </w:t>
      </w:r>
      <w:r w:rsidR="001E7D27">
        <w:rPr>
          <w:iCs/>
          <w:color w:val="auto"/>
        </w:rPr>
        <w:t>around</w:t>
      </w:r>
      <w:r w:rsidR="00D927FA">
        <w:rPr>
          <w:iCs/>
          <w:color w:val="auto"/>
        </w:rPr>
        <w:t xml:space="preserve"> 80%</w:t>
      </w:r>
      <w:r w:rsidR="00BB2D8B">
        <w:rPr>
          <w:iCs/>
          <w:color w:val="auto"/>
        </w:rPr>
        <w:t xml:space="preserve"> as </w:t>
      </w:r>
      <w:proofErr w:type="gramStart"/>
      <w:r w:rsidR="00BB2D8B">
        <w:rPr>
          <w:iCs/>
          <w:color w:val="auto"/>
        </w:rPr>
        <w:t>the majority of</w:t>
      </w:r>
      <w:proofErr w:type="gramEnd"/>
      <w:r w:rsidR="00BB2D8B">
        <w:rPr>
          <w:iCs/>
          <w:color w:val="auto"/>
        </w:rPr>
        <w:t xml:space="preserve"> patients are well enough to receive 2L treatment, especially given the general shift to younger patients who are otherwise well</w:t>
      </w:r>
      <w:r w:rsidR="00D927FA">
        <w:rPr>
          <w:iCs/>
          <w:color w:val="auto"/>
        </w:rPr>
        <w:t>. The PBAC considered that this suggested that the number of patients</w:t>
      </w:r>
      <w:r w:rsidR="00CD6B34">
        <w:rPr>
          <w:iCs/>
          <w:color w:val="auto"/>
        </w:rPr>
        <w:t xml:space="preserve"> treated with pembrolizumab</w:t>
      </w:r>
      <w:r w:rsidR="00D927FA">
        <w:rPr>
          <w:iCs/>
          <w:color w:val="auto"/>
        </w:rPr>
        <w:t xml:space="preserve"> </w:t>
      </w:r>
      <w:r w:rsidR="00CD6B34">
        <w:rPr>
          <w:iCs/>
          <w:color w:val="auto"/>
        </w:rPr>
        <w:t xml:space="preserve">from the financial estimates </w:t>
      </w:r>
      <w:r w:rsidR="00D927FA">
        <w:rPr>
          <w:iCs/>
          <w:color w:val="auto"/>
        </w:rPr>
        <w:t xml:space="preserve">was overestimated, noting that </w:t>
      </w:r>
      <w:r w:rsidR="00D927FA">
        <w:rPr>
          <w:iCs/>
          <w:color w:val="auto"/>
        </w:rPr>
        <w:lastRenderedPageBreak/>
        <w:t xml:space="preserve">estimation of </w:t>
      </w:r>
      <w:r w:rsidR="00CD6B34">
        <w:rPr>
          <w:iCs/>
          <w:color w:val="auto"/>
        </w:rPr>
        <w:t xml:space="preserve">incident and prevalent patients </w:t>
      </w:r>
      <w:r w:rsidR="00D927FA">
        <w:rPr>
          <w:iCs/>
          <w:color w:val="auto"/>
        </w:rPr>
        <w:t>w</w:t>
      </w:r>
      <w:r w:rsidR="00CD6B34">
        <w:rPr>
          <w:iCs/>
          <w:color w:val="auto"/>
        </w:rPr>
        <w:t>as</w:t>
      </w:r>
      <w:r w:rsidR="00D927FA">
        <w:rPr>
          <w:iCs/>
          <w:color w:val="auto"/>
        </w:rPr>
        <w:t xml:space="preserve"> complex and </w:t>
      </w:r>
      <w:r w:rsidR="00CD6B34">
        <w:rPr>
          <w:iCs/>
          <w:color w:val="auto"/>
        </w:rPr>
        <w:t xml:space="preserve">relied on </w:t>
      </w:r>
      <w:proofErr w:type="gramStart"/>
      <w:r w:rsidR="00CD6B34">
        <w:rPr>
          <w:iCs/>
          <w:color w:val="auto"/>
        </w:rPr>
        <w:t>a number of</w:t>
      </w:r>
      <w:proofErr w:type="gramEnd"/>
      <w:r w:rsidR="00CD6B34">
        <w:rPr>
          <w:iCs/>
          <w:color w:val="auto"/>
        </w:rPr>
        <w:t xml:space="preserve"> assumptions, where relatively small differences in some steps would result in a large difference in the final patient numbers (see </w:t>
      </w:r>
      <w:r w:rsidR="008D43ED">
        <w:t xml:space="preserve">Figure </w:t>
      </w:r>
      <w:r w:rsidR="008D43ED">
        <w:rPr>
          <w:noProof/>
        </w:rPr>
        <w:t>6</w:t>
      </w:r>
      <w:r w:rsidR="00CD6B34">
        <w:rPr>
          <w:iCs/>
          <w:color w:val="auto"/>
        </w:rPr>
        <w:t>)</w:t>
      </w:r>
      <w:r w:rsidR="00D927FA">
        <w:rPr>
          <w:iCs/>
          <w:color w:val="auto"/>
        </w:rPr>
        <w:t xml:space="preserve">. </w:t>
      </w:r>
      <w:bookmarkEnd w:id="29"/>
    </w:p>
    <w:p w14:paraId="6C318B3D" w14:textId="77777777" w:rsidR="00DD3D4A" w:rsidRPr="00C33D30" w:rsidRDefault="00DD3D4A" w:rsidP="00DD3D4A">
      <w:pPr>
        <w:ind w:firstLine="709"/>
        <w:rPr>
          <w:i/>
        </w:rPr>
      </w:pPr>
      <w:r w:rsidRPr="00C33D30">
        <w:rPr>
          <w:i/>
        </w:rPr>
        <w:t>For more detail on PBAC’s view, see section 7 PBAC outcome.</w:t>
      </w:r>
    </w:p>
    <w:p w14:paraId="43B7949A" w14:textId="77777777" w:rsidR="00DD3D4A" w:rsidRPr="00A24A89" w:rsidRDefault="00DD3D4A" w:rsidP="00DD3D4A">
      <w:pPr>
        <w:pStyle w:val="ListParagraph"/>
        <w:ind w:left="720"/>
        <w:rPr>
          <w:color w:val="auto"/>
        </w:rPr>
      </w:pPr>
    </w:p>
    <w:p w14:paraId="74CCB215" w14:textId="77777777" w:rsidR="00D7609F" w:rsidRDefault="00D7609F" w:rsidP="001F42BE">
      <w:pPr>
        <w:pStyle w:val="PBACESHeading1"/>
        <w:numPr>
          <w:ilvl w:val="0"/>
          <w:numId w:val="1"/>
        </w:numPr>
        <w:tabs>
          <w:tab w:val="clear" w:pos="1077"/>
          <w:tab w:val="left" w:pos="709"/>
        </w:tabs>
        <w:ind w:left="0" w:firstLine="0"/>
      </w:pPr>
      <w:bookmarkStart w:id="30" w:name="_Toc81727550"/>
      <w:bookmarkStart w:id="31" w:name="_Toc82600099"/>
      <w:r w:rsidRPr="00A24A89">
        <w:t>Consideration of the evidence</w:t>
      </w:r>
      <w:bookmarkEnd w:id="30"/>
      <w:bookmarkEnd w:id="31"/>
    </w:p>
    <w:p w14:paraId="6BD8BD2C" w14:textId="77777777" w:rsidR="00DD3D4A" w:rsidRPr="006E1229" w:rsidRDefault="00DD3D4A" w:rsidP="00B7761D">
      <w:pPr>
        <w:pStyle w:val="PBACESHeading2"/>
      </w:pPr>
      <w:bookmarkStart w:id="32" w:name="_Hlk76375935"/>
      <w:r w:rsidRPr="006E1229">
        <w:t xml:space="preserve">Sponsor </w:t>
      </w:r>
      <w:r w:rsidRPr="00B7761D">
        <w:t>hearing</w:t>
      </w:r>
    </w:p>
    <w:p w14:paraId="74DE3066" w14:textId="763554E7" w:rsidR="00DD3D4A" w:rsidRPr="00DD3D4A" w:rsidRDefault="004E222D" w:rsidP="00DD3D4A">
      <w:pPr>
        <w:pStyle w:val="ListParagraph"/>
        <w:numPr>
          <w:ilvl w:val="4"/>
          <w:numId w:val="1"/>
        </w:numPr>
        <w:rPr>
          <w:color w:val="auto"/>
        </w:rPr>
      </w:pPr>
      <w:bookmarkStart w:id="33" w:name="_Hlk76382586"/>
      <w:r w:rsidRPr="00DD3D4A">
        <w:rPr>
          <w:color w:val="auto"/>
        </w:rPr>
        <w:t xml:space="preserve">The sponsor requested a hearing for this item. </w:t>
      </w:r>
      <w:r w:rsidR="0003647F">
        <w:rPr>
          <w:color w:val="auto"/>
        </w:rPr>
        <w:t>The clinician noted that there is a s</w:t>
      </w:r>
      <w:r w:rsidR="00CD0633">
        <w:rPr>
          <w:color w:val="auto"/>
        </w:rPr>
        <w:t xml:space="preserve">ignificant </w:t>
      </w:r>
      <w:r w:rsidR="0003647F">
        <w:rPr>
          <w:color w:val="auto"/>
        </w:rPr>
        <w:t xml:space="preserve">burden of </w:t>
      </w:r>
      <w:r w:rsidR="00CD0633">
        <w:rPr>
          <w:color w:val="auto"/>
        </w:rPr>
        <w:t>morbidity and mortality</w:t>
      </w:r>
      <w:r w:rsidR="0003647F">
        <w:rPr>
          <w:color w:val="auto"/>
        </w:rPr>
        <w:t xml:space="preserve"> from HNSCC. The clinician noted that there has been a s</w:t>
      </w:r>
      <w:r w:rsidR="00CD0633">
        <w:rPr>
          <w:color w:val="auto"/>
        </w:rPr>
        <w:t xml:space="preserve">hift from </w:t>
      </w:r>
      <w:r w:rsidR="0003647F">
        <w:rPr>
          <w:color w:val="auto"/>
        </w:rPr>
        <w:t xml:space="preserve">older patients with disease related to </w:t>
      </w:r>
      <w:r w:rsidR="00CD0633">
        <w:rPr>
          <w:color w:val="auto"/>
        </w:rPr>
        <w:t>sm</w:t>
      </w:r>
      <w:r w:rsidR="0003647F">
        <w:rPr>
          <w:color w:val="auto"/>
        </w:rPr>
        <w:t>o</w:t>
      </w:r>
      <w:r w:rsidR="00CD0633">
        <w:rPr>
          <w:color w:val="auto"/>
        </w:rPr>
        <w:t>k</w:t>
      </w:r>
      <w:r w:rsidR="0003647F">
        <w:rPr>
          <w:color w:val="auto"/>
        </w:rPr>
        <w:t>i</w:t>
      </w:r>
      <w:r w:rsidR="00CD0633">
        <w:rPr>
          <w:color w:val="auto"/>
        </w:rPr>
        <w:t xml:space="preserve">ng and alcohol </w:t>
      </w:r>
      <w:r w:rsidR="0003647F">
        <w:rPr>
          <w:color w:val="auto"/>
        </w:rPr>
        <w:t>exposure to a younger patient population who are otherwise well</w:t>
      </w:r>
      <w:r w:rsidR="00BB2D8B">
        <w:rPr>
          <w:color w:val="auto"/>
        </w:rPr>
        <w:t>,</w:t>
      </w:r>
      <w:r w:rsidR="0003647F">
        <w:rPr>
          <w:color w:val="auto"/>
        </w:rPr>
        <w:t xml:space="preserve"> with disease related </w:t>
      </w:r>
      <w:r w:rsidR="00CD0633">
        <w:rPr>
          <w:color w:val="auto"/>
        </w:rPr>
        <w:t xml:space="preserve">to exposure to </w:t>
      </w:r>
      <w:r w:rsidR="003A4A5E" w:rsidRPr="003A4A5E">
        <w:rPr>
          <w:color w:val="auto"/>
        </w:rPr>
        <w:t>human papilloma virus</w:t>
      </w:r>
      <w:r w:rsidR="003A4A5E">
        <w:rPr>
          <w:color w:val="auto"/>
        </w:rPr>
        <w:t xml:space="preserve"> (HPV)</w:t>
      </w:r>
      <w:r w:rsidR="00CD0633">
        <w:rPr>
          <w:color w:val="auto"/>
        </w:rPr>
        <w:t xml:space="preserve">. </w:t>
      </w:r>
      <w:r w:rsidR="0003647F">
        <w:rPr>
          <w:color w:val="auto"/>
        </w:rPr>
        <w:t xml:space="preserve">The clinician noted that </w:t>
      </w:r>
      <w:r w:rsidR="00CD0633">
        <w:rPr>
          <w:color w:val="auto"/>
        </w:rPr>
        <w:t xml:space="preserve">immune checkpoint inhibitors </w:t>
      </w:r>
      <w:r w:rsidR="0003647F">
        <w:rPr>
          <w:color w:val="auto"/>
        </w:rPr>
        <w:t xml:space="preserve">are PBS listed in the second line setting (nivolumab) </w:t>
      </w:r>
      <w:r w:rsidR="00CD0633">
        <w:rPr>
          <w:color w:val="auto"/>
        </w:rPr>
        <w:t>but note</w:t>
      </w:r>
      <w:r w:rsidR="0003647F">
        <w:rPr>
          <w:color w:val="auto"/>
        </w:rPr>
        <w:t xml:space="preserve">d that the evidence suggests </w:t>
      </w:r>
      <w:r w:rsidR="00BB2D8B">
        <w:rPr>
          <w:color w:val="auto"/>
        </w:rPr>
        <w:t xml:space="preserve">these </w:t>
      </w:r>
      <w:r w:rsidR="0003647F">
        <w:rPr>
          <w:color w:val="auto"/>
        </w:rPr>
        <w:t>treatments</w:t>
      </w:r>
      <w:r w:rsidR="00CF5232">
        <w:rPr>
          <w:color w:val="auto"/>
        </w:rPr>
        <w:t xml:space="preserve"> are most effective when used earlier</w:t>
      </w:r>
      <w:r w:rsidR="00CD0633">
        <w:rPr>
          <w:color w:val="auto"/>
        </w:rPr>
        <w:t xml:space="preserve">. </w:t>
      </w:r>
      <w:r w:rsidR="0003647F">
        <w:rPr>
          <w:color w:val="auto"/>
        </w:rPr>
        <w:t>The clinician commented that for any level of PD</w:t>
      </w:r>
      <w:r w:rsidR="007F4CDC">
        <w:rPr>
          <w:color w:val="auto"/>
        </w:rPr>
        <w:noBreakHyphen/>
      </w:r>
      <w:r w:rsidR="0003647F">
        <w:rPr>
          <w:color w:val="auto"/>
        </w:rPr>
        <w:t>L1 expression</w:t>
      </w:r>
      <w:r w:rsidR="00CF5232">
        <w:rPr>
          <w:color w:val="auto"/>
        </w:rPr>
        <w:t xml:space="preserve"> first line</w:t>
      </w:r>
      <w:r w:rsidR="0003647F">
        <w:rPr>
          <w:color w:val="auto"/>
        </w:rPr>
        <w:t xml:space="preserve"> treatment should include a PD-L1 </w:t>
      </w:r>
      <w:proofErr w:type="gramStart"/>
      <w:r w:rsidR="0003647F">
        <w:rPr>
          <w:color w:val="auto"/>
        </w:rPr>
        <w:t>inhibitor</w:t>
      </w:r>
      <w:proofErr w:type="gramEnd"/>
      <w:r w:rsidR="0003647F">
        <w:rPr>
          <w:color w:val="auto"/>
        </w:rPr>
        <w:t xml:space="preserve"> and the main decision point is whether to treat with monotherapy or in combination with chemotherapy. </w:t>
      </w:r>
      <w:r w:rsidR="005251C9">
        <w:rPr>
          <w:color w:val="auto"/>
        </w:rPr>
        <w:t>The clinician stated for patients with CPS &gt;20</w:t>
      </w:r>
      <w:r w:rsidR="00BB2D8B">
        <w:rPr>
          <w:color w:val="auto"/>
        </w:rPr>
        <w:t>,</w:t>
      </w:r>
      <w:r w:rsidR="005251C9">
        <w:rPr>
          <w:color w:val="auto"/>
        </w:rPr>
        <w:t xml:space="preserve"> with no significant symptoms</w:t>
      </w:r>
      <w:r w:rsidR="00BB2D8B">
        <w:rPr>
          <w:color w:val="auto"/>
        </w:rPr>
        <w:t>,</w:t>
      </w:r>
      <w:r w:rsidR="005251C9">
        <w:rPr>
          <w:color w:val="auto"/>
        </w:rPr>
        <w:t xml:space="preserve"> monotherapy is likely to be appropriate</w:t>
      </w:r>
      <w:r w:rsidR="00CF5232">
        <w:rPr>
          <w:color w:val="auto"/>
        </w:rPr>
        <w:t>. F</w:t>
      </w:r>
      <w:r w:rsidR="005251C9">
        <w:rPr>
          <w:color w:val="auto"/>
        </w:rPr>
        <w:t>or patients with lower CPS (1</w:t>
      </w:r>
      <w:r w:rsidR="007F4CDC">
        <w:rPr>
          <w:color w:val="auto"/>
        </w:rPr>
        <w:noBreakHyphen/>
      </w:r>
      <w:r w:rsidR="005251C9">
        <w:rPr>
          <w:color w:val="auto"/>
        </w:rPr>
        <w:t>10) monotherapy would not be suitable</w:t>
      </w:r>
      <w:r w:rsidR="00CF5232">
        <w:rPr>
          <w:color w:val="auto"/>
        </w:rPr>
        <w:t xml:space="preserve"> as chemotherapy is also needed to ensure sufficient speed of response to prevent further problems arising before immunotherapy is likely to produce benefit. For patients with CPS levels i</w:t>
      </w:r>
      <w:r w:rsidR="005251C9">
        <w:rPr>
          <w:color w:val="auto"/>
        </w:rPr>
        <w:t xml:space="preserve">n between </w:t>
      </w:r>
      <w:r w:rsidR="00CF5232">
        <w:rPr>
          <w:color w:val="auto"/>
        </w:rPr>
        <w:t xml:space="preserve">(10-20) </w:t>
      </w:r>
      <w:r w:rsidR="005251C9">
        <w:rPr>
          <w:color w:val="auto"/>
        </w:rPr>
        <w:t xml:space="preserve">there </w:t>
      </w:r>
      <w:r w:rsidR="00CF5232">
        <w:rPr>
          <w:color w:val="auto"/>
        </w:rPr>
        <w:t>may be</w:t>
      </w:r>
      <w:r w:rsidR="005251C9">
        <w:rPr>
          <w:color w:val="auto"/>
        </w:rPr>
        <w:t xml:space="preserve"> other factors </w:t>
      </w:r>
      <w:r w:rsidR="00CF5232">
        <w:rPr>
          <w:color w:val="auto"/>
        </w:rPr>
        <w:t>to consider in choosing whether to include chemotherapy such as tumour bulk or</w:t>
      </w:r>
      <w:r w:rsidR="00BB2D8B">
        <w:rPr>
          <w:color w:val="auto"/>
        </w:rPr>
        <w:t xml:space="preserve"> the presence of</w:t>
      </w:r>
      <w:r w:rsidR="005251C9">
        <w:rPr>
          <w:color w:val="auto"/>
        </w:rPr>
        <w:t xml:space="preserve"> </w:t>
      </w:r>
      <w:r w:rsidR="00CF5232">
        <w:rPr>
          <w:color w:val="auto"/>
        </w:rPr>
        <w:t xml:space="preserve">significant </w:t>
      </w:r>
      <w:r w:rsidR="005251C9">
        <w:rPr>
          <w:color w:val="auto"/>
        </w:rPr>
        <w:t>symptom</w:t>
      </w:r>
      <w:r w:rsidR="00CF5232">
        <w:rPr>
          <w:color w:val="auto"/>
        </w:rPr>
        <w:t xml:space="preserve">s. The clinician noted that </w:t>
      </w:r>
      <w:r w:rsidR="00F17604">
        <w:rPr>
          <w:color w:val="auto"/>
        </w:rPr>
        <w:t xml:space="preserve">many </w:t>
      </w:r>
      <w:r w:rsidR="00CF5232">
        <w:rPr>
          <w:color w:val="auto"/>
        </w:rPr>
        <w:t>p</w:t>
      </w:r>
      <w:r w:rsidR="0003647F">
        <w:rPr>
          <w:color w:val="auto"/>
        </w:rPr>
        <w:t xml:space="preserve">atients </w:t>
      </w:r>
      <w:r w:rsidR="00CF5232">
        <w:rPr>
          <w:color w:val="auto"/>
        </w:rPr>
        <w:t xml:space="preserve">are </w:t>
      </w:r>
      <w:r w:rsidR="0003647F">
        <w:rPr>
          <w:color w:val="auto"/>
        </w:rPr>
        <w:t xml:space="preserve">aware of data supporting 1L use of checkpoint </w:t>
      </w:r>
      <w:proofErr w:type="gramStart"/>
      <w:r w:rsidR="0003647F">
        <w:rPr>
          <w:color w:val="auto"/>
        </w:rPr>
        <w:t>inhibitors</w:t>
      </w:r>
      <w:proofErr w:type="gramEnd"/>
      <w:r w:rsidR="00CF5232">
        <w:rPr>
          <w:color w:val="auto"/>
        </w:rPr>
        <w:t xml:space="preserve"> </w:t>
      </w:r>
      <w:r w:rsidR="005251C9">
        <w:rPr>
          <w:color w:val="auto"/>
        </w:rPr>
        <w:t xml:space="preserve">but </w:t>
      </w:r>
      <w:r w:rsidR="00F17604">
        <w:rPr>
          <w:color w:val="auto"/>
        </w:rPr>
        <w:t>the majority of</w:t>
      </w:r>
      <w:r>
        <w:rPr>
          <w:color w:val="auto"/>
        </w:rPr>
        <w:t xml:space="preserve"> patients</w:t>
      </w:r>
      <w:r w:rsidR="00CF5232">
        <w:rPr>
          <w:color w:val="auto"/>
        </w:rPr>
        <w:t xml:space="preserve"> are</w:t>
      </w:r>
      <w:r>
        <w:rPr>
          <w:color w:val="auto"/>
        </w:rPr>
        <w:t xml:space="preserve"> not in a position to afford treatment without PBS reimbursement.</w:t>
      </w:r>
      <w:r w:rsidR="00CD0633">
        <w:rPr>
          <w:color w:val="auto"/>
        </w:rPr>
        <w:t xml:space="preserve"> </w:t>
      </w:r>
    </w:p>
    <w:bookmarkEnd w:id="33"/>
    <w:p w14:paraId="0AF3BD28" w14:textId="77777777" w:rsidR="00DD3D4A" w:rsidRPr="006E1229" w:rsidRDefault="00DD3D4A" w:rsidP="00DD3D4A">
      <w:pPr>
        <w:pStyle w:val="PBACESHeading2"/>
        <w:numPr>
          <w:ilvl w:val="2"/>
          <w:numId w:val="1"/>
        </w:numPr>
      </w:pPr>
      <w:r w:rsidRPr="006E1229">
        <w:t>Consumer comments</w:t>
      </w:r>
    </w:p>
    <w:p w14:paraId="43AC6400" w14:textId="77777777" w:rsidR="00DD3D4A" w:rsidRPr="00DD3D4A" w:rsidRDefault="00DD3D4A" w:rsidP="00DD3D4A">
      <w:pPr>
        <w:pStyle w:val="ListParagraph"/>
        <w:numPr>
          <w:ilvl w:val="4"/>
          <w:numId w:val="1"/>
        </w:numPr>
        <w:rPr>
          <w:color w:val="auto"/>
        </w:rPr>
      </w:pPr>
      <w:bookmarkStart w:id="34" w:name="_Hlk76382618"/>
      <w:r w:rsidRPr="00DD3D4A">
        <w:rPr>
          <w:color w:val="auto"/>
        </w:rPr>
        <w:t>The PBAC noted and welcomed the input from individuals (</w:t>
      </w:r>
      <w:r w:rsidR="00F17604">
        <w:rPr>
          <w:color w:val="auto"/>
        </w:rPr>
        <w:t>3</w:t>
      </w:r>
      <w:r w:rsidRPr="00DD3D4A">
        <w:rPr>
          <w:color w:val="auto"/>
        </w:rPr>
        <w:t>), health care professionals (</w:t>
      </w:r>
      <w:r w:rsidR="00F17604">
        <w:rPr>
          <w:color w:val="auto"/>
        </w:rPr>
        <w:t>4</w:t>
      </w:r>
      <w:r w:rsidRPr="00DD3D4A">
        <w:rPr>
          <w:color w:val="auto"/>
        </w:rPr>
        <w:t>) and organisations (</w:t>
      </w:r>
      <w:r w:rsidR="00F17604">
        <w:rPr>
          <w:color w:val="auto"/>
        </w:rPr>
        <w:t>4</w:t>
      </w:r>
      <w:r w:rsidRPr="00DD3D4A">
        <w:rPr>
          <w:color w:val="auto"/>
        </w:rPr>
        <w:t xml:space="preserve">) via the Consumer Comments facility on the PBS website.  The comments described </w:t>
      </w:r>
      <w:r w:rsidR="003D197F">
        <w:rPr>
          <w:color w:val="auto"/>
        </w:rPr>
        <w:t xml:space="preserve">the devastating impacts of surgical treatments for HNSCC in terms of physical appearance and the ability to </w:t>
      </w:r>
      <w:r w:rsidR="00BB2D8B">
        <w:rPr>
          <w:color w:val="auto"/>
        </w:rPr>
        <w:t xml:space="preserve">breath, </w:t>
      </w:r>
      <w:r w:rsidR="003A4A5E">
        <w:rPr>
          <w:color w:val="auto"/>
        </w:rPr>
        <w:t xml:space="preserve">speak, </w:t>
      </w:r>
      <w:proofErr w:type="gramStart"/>
      <w:r w:rsidR="003D197F">
        <w:rPr>
          <w:color w:val="auto"/>
        </w:rPr>
        <w:t>eat</w:t>
      </w:r>
      <w:proofErr w:type="gramEnd"/>
      <w:r w:rsidR="003D197F">
        <w:rPr>
          <w:color w:val="auto"/>
        </w:rPr>
        <w:t xml:space="preserve"> and drink. Individuals noted that outcomes from trials of pembrolizumab look promising, however patients are unable to access treatment due to </w:t>
      </w:r>
      <w:r w:rsidR="00BB2D8B">
        <w:rPr>
          <w:color w:val="auto"/>
        </w:rPr>
        <w:t>its</w:t>
      </w:r>
      <w:r w:rsidR="003D197F">
        <w:rPr>
          <w:color w:val="auto"/>
        </w:rPr>
        <w:t xml:space="preserve"> high cost.</w:t>
      </w:r>
    </w:p>
    <w:p w14:paraId="47851DE1" w14:textId="77777777" w:rsidR="009869C9" w:rsidRDefault="00DD3D4A" w:rsidP="008618FB">
      <w:pPr>
        <w:pStyle w:val="ListParagraph"/>
        <w:numPr>
          <w:ilvl w:val="4"/>
          <w:numId w:val="1"/>
        </w:numPr>
        <w:rPr>
          <w:color w:val="auto"/>
        </w:rPr>
      </w:pPr>
      <w:r w:rsidRPr="003A4A5E">
        <w:rPr>
          <w:color w:val="auto"/>
        </w:rPr>
        <w:t xml:space="preserve">The PBAC noted the advice received from </w:t>
      </w:r>
      <w:r w:rsidR="003D197F" w:rsidRPr="003A4A5E">
        <w:rPr>
          <w:color w:val="auto"/>
        </w:rPr>
        <w:t>the Australasian College of Dermatologists, Head and Neck Cancers Australia and Rare Cancers Australia in support of the pembrolizumab submission</w:t>
      </w:r>
      <w:r w:rsidRPr="003A4A5E">
        <w:rPr>
          <w:color w:val="auto"/>
        </w:rPr>
        <w:t xml:space="preserve">. </w:t>
      </w:r>
      <w:r w:rsidR="009869C9">
        <w:rPr>
          <w:color w:val="auto"/>
        </w:rPr>
        <w:t>The</w:t>
      </w:r>
      <w:r w:rsidR="00EB1DFC">
        <w:rPr>
          <w:color w:val="auto"/>
        </w:rPr>
        <w:t xml:space="preserve">se groups also noted the profound </w:t>
      </w:r>
      <w:r w:rsidR="009869C9">
        <w:rPr>
          <w:color w:val="auto"/>
        </w:rPr>
        <w:t>impact of treatment for head and neck cancer</w:t>
      </w:r>
      <w:r w:rsidR="00EB1DFC">
        <w:rPr>
          <w:color w:val="auto"/>
        </w:rPr>
        <w:t xml:space="preserve"> on patients’ physical and psychological wellbeing. </w:t>
      </w:r>
      <w:r w:rsidR="00EB1DFC">
        <w:rPr>
          <w:color w:val="auto"/>
        </w:rPr>
        <w:lastRenderedPageBreak/>
        <w:t>Immunotherapy is perceived as effective and well tolerate</w:t>
      </w:r>
      <w:r w:rsidR="00BB2D8B">
        <w:rPr>
          <w:color w:val="auto"/>
        </w:rPr>
        <w:t>d</w:t>
      </w:r>
      <w:r w:rsidR="00EB1DFC">
        <w:rPr>
          <w:color w:val="auto"/>
        </w:rPr>
        <w:t xml:space="preserve"> compared with standard treatments. </w:t>
      </w:r>
      <w:r w:rsidRPr="003A4A5E">
        <w:rPr>
          <w:color w:val="auto"/>
        </w:rPr>
        <w:t xml:space="preserve">The PBAC noted the advice </w:t>
      </w:r>
      <w:r w:rsidR="00EB1DFC">
        <w:rPr>
          <w:color w:val="auto"/>
        </w:rPr>
        <w:t>from Head and Neck Cancers Australia</w:t>
      </w:r>
      <w:r w:rsidR="00BB2D8B">
        <w:rPr>
          <w:color w:val="auto"/>
        </w:rPr>
        <w:t>,</w:t>
      </w:r>
      <w:r w:rsidR="00EB1DFC">
        <w:rPr>
          <w:color w:val="auto"/>
        </w:rPr>
        <w:t xml:space="preserve"> </w:t>
      </w:r>
      <w:r w:rsidR="00BB2D8B">
        <w:rPr>
          <w:color w:val="auto"/>
        </w:rPr>
        <w:t xml:space="preserve">concurring with statements in the sponsor hearing, </w:t>
      </w:r>
      <w:r w:rsidRPr="003A4A5E">
        <w:rPr>
          <w:color w:val="auto"/>
        </w:rPr>
        <w:t xml:space="preserve">that </w:t>
      </w:r>
      <w:r w:rsidR="003A4A5E">
        <w:rPr>
          <w:color w:val="auto"/>
        </w:rPr>
        <w:t>i</w:t>
      </w:r>
      <w:r w:rsidR="003A4A5E" w:rsidRPr="003A4A5E">
        <w:rPr>
          <w:color w:val="auto"/>
        </w:rPr>
        <w:t>n the past smoking and alcohol were the most common causes of head and neck cancers</w:t>
      </w:r>
      <w:r w:rsidR="003A4A5E">
        <w:rPr>
          <w:color w:val="auto"/>
        </w:rPr>
        <w:t>, whereas t</w:t>
      </w:r>
      <w:r w:rsidR="003A4A5E" w:rsidRPr="003A4A5E">
        <w:rPr>
          <w:color w:val="auto"/>
        </w:rPr>
        <w:t>oday in Australia many head and neck cancers are due to other causes including HPV which can affect young,</w:t>
      </w:r>
      <w:r w:rsidR="003A4A5E">
        <w:rPr>
          <w:color w:val="auto"/>
        </w:rPr>
        <w:t xml:space="preserve"> </w:t>
      </w:r>
      <w:r w:rsidR="003A4A5E" w:rsidRPr="003A4A5E">
        <w:rPr>
          <w:color w:val="auto"/>
        </w:rPr>
        <w:t>otherwise healthy, non-smoking men and women.</w:t>
      </w:r>
      <w:r w:rsidR="003A4A5E">
        <w:rPr>
          <w:color w:val="auto"/>
        </w:rPr>
        <w:t xml:space="preserve"> </w:t>
      </w:r>
    </w:p>
    <w:bookmarkEnd w:id="32"/>
    <w:bookmarkEnd w:id="34"/>
    <w:p w14:paraId="58D81E53" w14:textId="77777777" w:rsidR="00DD3D4A" w:rsidRPr="006715F7" w:rsidRDefault="00DD3D4A" w:rsidP="006715F7">
      <w:pPr>
        <w:pStyle w:val="ListParagraph"/>
        <w:numPr>
          <w:ilvl w:val="4"/>
          <w:numId w:val="1"/>
        </w:numPr>
        <w:rPr>
          <w:color w:val="auto"/>
        </w:rPr>
      </w:pPr>
      <w:r w:rsidRPr="006715F7">
        <w:rPr>
          <w:color w:val="auto"/>
        </w:rPr>
        <w:t xml:space="preserve">The Medical Oncology Group of Australia (MOGA) also expressed its strong support for the </w:t>
      </w:r>
      <w:r w:rsidR="006715F7">
        <w:rPr>
          <w:color w:val="auto"/>
        </w:rPr>
        <w:t>pembrolizumab</w:t>
      </w:r>
      <w:r w:rsidRPr="006715F7">
        <w:rPr>
          <w:color w:val="auto"/>
        </w:rPr>
        <w:t xml:space="preserve"> submission, categorising it as one of the therapies of “highest priority for PBS listing” </w:t>
      </w:r>
      <w:proofErr w:type="gramStart"/>
      <w:r w:rsidRPr="006715F7">
        <w:rPr>
          <w:color w:val="auto"/>
        </w:rPr>
        <w:t>on the basis of</w:t>
      </w:r>
      <w:proofErr w:type="gramEnd"/>
      <w:r w:rsidRPr="006715F7">
        <w:rPr>
          <w:color w:val="auto"/>
        </w:rPr>
        <w:t xml:space="preserve"> the </w:t>
      </w:r>
      <w:r w:rsidR="006715F7">
        <w:rPr>
          <w:color w:val="auto"/>
        </w:rPr>
        <w:t>KN048</w:t>
      </w:r>
      <w:r w:rsidRPr="006715F7">
        <w:rPr>
          <w:color w:val="auto"/>
        </w:rPr>
        <w:t xml:space="preserve"> trial. The PBAC noted that the MOGA presented a European Society for Medical Oncology Magnitude of Clinical Benefit Scale (ESMO-MCBS) for </w:t>
      </w:r>
      <w:r w:rsidR="006715F7">
        <w:rPr>
          <w:color w:val="auto"/>
        </w:rPr>
        <w:t>KN048</w:t>
      </w:r>
      <w:r w:rsidRPr="006715F7">
        <w:rPr>
          <w:color w:val="auto"/>
        </w:rPr>
        <w:t xml:space="preserve">, which was limited to </w:t>
      </w:r>
      <w:r w:rsidR="006715F7">
        <w:rPr>
          <w:color w:val="auto"/>
        </w:rPr>
        <w:t>4</w:t>
      </w:r>
      <w:r w:rsidRPr="006715F7">
        <w:rPr>
          <w:color w:val="auto"/>
        </w:rPr>
        <w:t xml:space="preserve"> (out of a maximum of 5, where 5 and 4 represent the grades with substantial improvement)</w:t>
      </w:r>
      <w:r w:rsidR="006715F7">
        <w:rPr>
          <w:rStyle w:val="FootnoteReference"/>
          <w:color w:val="auto"/>
        </w:rPr>
        <w:footnoteReference w:id="2"/>
      </w:r>
      <w:r w:rsidR="006715F7">
        <w:rPr>
          <w:color w:val="auto"/>
        </w:rPr>
        <w:t xml:space="preserve"> for patients with CPS</w:t>
      </w:r>
      <w:r w:rsidR="006715F7">
        <w:rPr>
          <w:rFonts w:cstheme="minorHAnsi"/>
          <w:color w:val="auto"/>
        </w:rPr>
        <w:t>≥</w:t>
      </w:r>
      <w:r w:rsidR="006715F7">
        <w:rPr>
          <w:color w:val="auto"/>
        </w:rPr>
        <w:t>1.</w:t>
      </w:r>
    </w:p>
    <w:p w14:paraId="76102AF8" w14:textId="77777777" w:rsidR="00D7609F" w:rsidRPr="00A24A89" w:rsidRDefault="00CD0633" w:rsidP="00D7609F">
      <w:pPr>
        <w:pStyle w:val="PBACESHeading2"/>
        <w:numPr>
          <w:ilvl w:val="2"/>
          <w:numId w:val="1"/>
        </w:numPr>
      </w:pPr>
      <w:r>
        <w:t>Clinical trials</w:t>
      </w:r>
    </w:p>
    <w:p w14:paraId="654D5D9C" w14:textId="77777777" w:rsidR="00D7609F" w:rsidRPr="00A24A89" w:rsidRDefault="00D7609F" w:rsidP="00D7609F">
      <w:pPr>
        <w:pStyle w:val="ListParagraph"/>
        <w:numPr>
          <w:ilvl w:val="4"/>
          <w:numId w:val="1"/>
        </w:numPr>
        <w:rPr>
          <w:rStyle w:val="InstructionalTextChar"/>
          <w:color w:val="auto"/>
        </w:rPr>
      </w:pPr>
      <w:r w:rsidRPr="00A24A89">
        <w:rPr>
          <w:color w:val="auto"/>
        </w:rPr>
        <w:t>The approach taken in the resubmission was to present evidence that ha</w:t>
      </w:r>
      <w:r w:rsidR="00535B73">
        <w:rPr>
          <w:color w:val="auto"/>
        </w:rPr>
        <w:t>d</w:t>
      </w:r>
      <w:r w:rsidRPr="00A24A89">
        <w:rPr>
          <w:color w:val="auto"/>
        </w:rPr>
        <w:t xml:space="preserve"> been linked to support the contention that targeting of CPS ≥1 with pembrolizumab will identify patients with R/M HNSCC</w:t>
      </w:r>
      <w:r w:rsidR="006715F7">
        <w:rPr>
          <w:color w:val="auto"/>
        </w:rPr>
        <w:t xml:space="preserve"> </w:t>
      </w:r>
      <w:r w:rsidRPr="00A24A89">
        <w:rPr>
          <w:color w:val="auto"/>
        </w:rPr>
        <w:t>who may derive the most benefit from immunotherapy.</w:t>
      </w:r>
    </w:p>
    <w:p w14:paraId="640D0AB4" w14:textId="77777777" w:rsidR="00D7609F" w:rsidRPr="00A24A89" w:rsidRDefault="00BD789E" w:rsidP="00024DCD">
      <w:pPr>
        <w:pStyle w:val="Caption"/>
      </w:pPr>
      <w:bookmarkStart w:id="35" w:name="_Ref86677268"/>
      <w:r>
        <w:lastRenderedPageBreak/>
        <w:t xml:space="preserve">Table </w:t>
      </w:r>
      <w:r w:rsidR="008D43ED">
        <w:rPr>
          <w:noProof/>
        </w:rPr>
        <w:t>4</w:t>
      </w:r>
      <w:bookmarkEnd w:id="35"/>
      <w:r w:rsidR="00024DCD">
        <w:t xml:space="preserve">: </w:t>
      </w:r>
      <w:r w:rsidR="00D7609F" w:rsidRPr="00A24A89">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the linked evidence approach"/>
      </w:tblPr>
      <w:tblGrid>
        <w:gridCol w:w="1414"/>
        <w:gridCol w:w="3118"/>
        <w:gridCol w:w="1700"/>
        <w:gridCol w:w="2784"/>
      </w:tblGrid>
      <w:tr w:rsidR="00D7609F" w:rsidRPr="00A24A89" w14:paraId="585F804D" w14:textId="77777777" w:rsidTr="006419CD">
        <w:tc>
          <w:tcPr>
            <w:tcW w:w="784" w:type="pct"/>
            <w:tcBorders>
              <w:top w:val="single" w:sz="4" w:space="0" w:color="auto"/>
              <w:left w:val="single" w:sz="4" w:space="0" w:color="auto"/>
              <w:bottom w:val="single" w:sz="4" w:space="0" w:color="auto"/>
              <w:right w:val="single" w:sz="4" w:space="0" w:color="auto"/>
            </w:tcBorders>
            <w:vAlign w:val="bottom"/>
          </w:tcPr>
          <w:p w14:paraId="63607DD8" w14:textId="77777777" w:rsidR="00D7609F" w:rsidRPr="00A24A89" w:rsidRDefault="00D7609F" w:rsidP="002E792B">
            <w:pPr>
              <w:pStyle w:val="TableRowHeader"/>
              <w:keepNext/>
              <w:keepLines/>
            </w:pPr>
          </w:p>
        </w:tc>
        <w:tc>
          <w:tcPr>
            <w:tcW w:w="1729" w:type="pct"/>
            <w:tcBorders>
              <w:top w:val="single" w:sz="4" w:space="0" w:color="auto"/>
              <w:left w:val="single" w:sz="4" w:space="0" w:color="auto"/>
              <w:bottom w:val="single" w:sz="4" w:space="0" w:color="auto"/>
              <w:right w:val="single" w:sz="4" w:space="0" w:color="auto"/>
            </w:tcBorders>
            <w:vAlign w:val="center"/>
            <w:hideMark/>
          </w:tcPr>
          <w:p w14:paraId="07C8BB3D" w14:textId="77777777" w:rsidR="00D7609F" w:rsidRPr="00A24A89" w:rsidRDefault="00D7609F" w:rsidP="002E792B">
            <w:pPr>
              <w:pStyle w:val="TableRowHeader"/>
              <w:keepNext/>
              <w:keepLines/>
            </w:pPr>
            <w:r w:rsidRPr="00A24A89">
              <w:t>Type of evidence supplied</w:t>
            </w:r>
          </w:p>
        </w:tc>
        <w:tc>
          <w:tcPr>
            <w:tcW w:w="943" w:type="pct"/>
            <w:tcBorders>
              <w:top w:val="single" w:sz="4" w:space="0" w:color="auto"/>
              <w:left w:val="single" w:sz="4" w:space="0" w:color="auto"/>
              <w:bottom w:val="single" w:sz="4" w:space="0" w:color="auto"/>
              <w:right w:val="single" w:sz="4" w:space="0" w:color="auto"/>
            </w:tcBorders>
            <w:vAlign w:val="center"/>
            <w:hideMark/>
          </w:tcPr>
          <w:p w14:paraId="3AC3B8A0" w14:textId="77777777" w:rsidR="00D7609F" w:rsidRPr="00A24A89" w:rsidRDefault="00D7609F" w:rsidP="002E792B">
            <w:pPr>
              <w:pStyle w:val="TableRowHeader"/>
              <w:keepNext/>
              <w:keepLines/>
            </w:pPr>
            <w:r w:rsidRPr="00A24A89">
              <w:t>Extent of evidence supplied</w:t>
            </w:r>
          </w:p>
        </w:tc>
        <w:tc>
          <w:tcPr>
            <w:tcW w:w="1544" w:type="pct"/>
            <w:tcBorders>
              <w:top w:val="single" w:sz="4" w:space="0" w:color="auto"/>
              <w:left w:val="single" w:sz="4" w:space="0" w:color="auto"/>
              <w:bottom w:val="single" w:sz="4" w:space="0" w:color="auto"/>
              <w:right w:val="single" w:sz="4" w:space="0" w:color="auto"/>
            </w:tcBorders>
            <w:vAlign w:val="center"/>
            <w:hideMark/>
          </w:tcPr>
          <w:p w14:paraId="018EA513" w14:textId="77777777" w:rsidR="00D7609F" w:rsidRPr="00A24A89" w:rsidRDefault="00D7609F" w:rsidP="002E792B">
            <w:pPr>
              <w:pStyle w:val="TableRowHeader"/>
              <w:keepNext/>
              <w:keepLines/>
            </w:pPr>
            <w:r w:rsidRPr="00A24A89">
              <w:t>Overall risk of bias in clinical trials</w:t>
            </w:r>
          </w:p>
        </w:tc>
      </w:tr>
      <w:tr w:rsidR="00D7609F" w:rsidRPr="00A24A89" w14:paraId="08B41434" w14:textId="77777777" w:rsidTr="006419CD">
        <w:tc>
          <w:tcPr>
            <w:tcW w:w="784" w:type="pct"/>
            <w:tcBorders>
              <w:top w:val="single" w:sz="4" w:space="0" w:color="auto"/>
              <w:left w:val="single" w:sz="4" w:space="0" w:color="auto"/>
              <w:bottom w:val="single" w:sz="4" w:space="0" w:color="auto"/>
              <w:right w:val="single" w:sz="4" w:space="0" w:color="auto"/>
            </w:tcBorders>
            <w:hideMark/>
          </w:tcPr>
          <w:p w14:paraId="62C9DEDE" w14:textId="77777777" w:rsidR="00D7609F" w:rsidRPr="00A24A89" w:rsidRDefault="00D7609F" w:rsidP="002E792B">
            <w:pPr>
              <w:pStyle w:val="TableText"/>
              <w:keepNext/>
              <w:keepLines/>
              <w:spacing w:before="0" w:after="0" w:line="240" w:lineRule="auto"/>
            </w:pPr>
            <w:r w:rsidRPr="00A24A89">
              <w:t>Accuracy and performance of the test (analytical validity)</w:t>
            </w:r>
          </w:p>
        </w:tc>
        <w:tc>
          <w:tcPr>
            <w:tcW w:w="1729" w:type="pct"/>
            <w:tcBorders>
              <w:top w:val="single" w:sz="4" w:space="0" w:color="auto"/>
              <w:left w:val="single" w:sz="4" w:space="0" w:color="auto"/>
              <w:bottom w:val="single" w:sz="4" w:space="0" w:color="auto"/>
              <w:right w:val="single" w:sz="4" w:space="0" w:color="auto"/>
            </w:tcBorders>
            <w:hideMark/>
          </w:tcPr>
          <w:p w14:paraId="7577C83B" w14:textId="77777777" w:rsidR="00D7609F" w:rsidRPr="00A24A89" w:rsidRDefault="00D7609F" w:rsidP="002E792B">
            <w:pPr>
              <w:pStyle w:val="TableText"/>
              <w:keepNext/>
              <w:keepLines/>
              <w:spacing w:before="0" w:after="0" w:line="240" w:lineRule="auto"/>
            </w:pPr>
            <w:r w:rsidRPr="00A24A89">
              <w:t>Emancipator 2020 included a portion of patients enrolled in KN012 and KN055 (n=252) and aimed to determine whether CPS or TPS is the preferred PD-L1 scoring method in advanced HNSCC. Cohen 2019 (n=475) reported a similar study with the patients in KN040.</w:t>
            </w:r>
          </w:p>
          <w:p w14:paraId="0F497A9E" w14:textId="77777777" w:rsidR="00D7609F" w:rsidRPr="00A24A89" w:rsidRDefault="00D7609F" w:rsidP="002E792B">
            <w:pPr>
              <w:pStyle w:val="TableText"/>
              <w:keepNext/>
              <w:keepLines/>
              <w:spacing w:before="0" w:after="0" w:line="240" w:lineRule="auto"/>
            </w:pPr>
            <w:r w:rsidRPr="00A24A89">
              <w:t xml:space="preserve">No reference </w:t>
            </w:r>
            <w:r w:rsidR="005D18E0" w:rsidRPr="00A24A89">
              <w:t xml:space="preserve">standard </w:t>
            </w:r>
            <w:r w:rsidRPr="00A24A89">
              <w:t>was identified</w:t>
            </w:r>
            <w:r w:rsidR="005D18E0">
              <w:t>.</w:t>
            </w:r>
          </w:p>
        </w:tc>
        <w:tc>
          <w:tcPr>
            <w:tcW w:w="943" w:type="pct"/>
            <w:tcBorders>
              <w:top w:val="single" w:sz="4" w:space="0" w:color="auto"/>
              <w:left w:val="single" w:sz="4" w:space="0" w:color="auto"/>
              <w:bottom w:val="single" w:sz="4" w:space="0" w:color="auto"/>
              <w:right w:val="single" w:sz="4" w:space="0" w:color="auto"/>
            </w:tcBorders>
            <w:hideMark/>
          </w:tcPr>
          <w:p w14:paraId="10F1CA8E" w14:textId="45195CBF" w:rsidR="00D7609F" w:rsidRPr="00A24A89" w:rsidRDefault="00D7609F" w:rsidP="002E792B">
            <w:pPr>
              <w:pStyle w:val="TableText"/>
              <w:keepNext/>
              <w:keepLines/>
              <w:tabs>
                <w:tab w:val="left" w:pos="317"/>
              </w:tabs>
              <w:spacing w:before="0" w:after="0" w:line="240" w:lineRule="auto"/>
              <w:ind w:right="311"/>
            </w:pPr>
            <w:r w:rsidRPr="00A24A89">
              <w:rPr>
                <w:rFonts w:ascii="Segoe UI Symbol" w:hAnsi="Segoe UI Symbol" w:cs="Segoe UI Symbol"/>
              </w:rPr>
              <w:t>☐</w:t>
            </w:r>
            <w:r w:rsidRPr="00A24A89">
              <w:tab/>
              <w:t>k=2 n=727</w:t>
            </w:r>
          </w:p>
        </w:tc>
        <w:tc>
          <w:tcPr>
            <w:tcW w:w="1544" w:type="pct"/>
            <w:tcBorders>
              <w:top w:val="single" w:sz="4" w:space="0" w:color="auto"/>
              <w:left w:val="single" w:sz="4" w:space="0" w:color="auto"/>
              <w:bottom w:val="single" w:sz="4" w:space="0" w:color="auto"/>
              <w:right w:val="single" w:sz="4" w:space="0" w:color="auto"/>
            </w:tcBorders>
            <w:hideMark/>
          </w:tcPr>
          <w:p w14:paraId="26F4642F" w14:textId="77777777" w:rsidR="00D7609F" w:rsidRPr="00A24A89" w:rsidRDefault="00D7609F" w:rsidP="002E792B">
            <w:pPr>
              <w:pStyle w:val="TableText"/>
              <w:keepNext/>
              <w:keepLines/>
              <w:spacing w:before="0" w:after="0" w:line="240" w:lineRule="auto"/>
            </w:pPr>
            <w:r w:rsidRPr="00A24A89">
              <w:t xml:space="preserve">An updated full QUADAS-2 assessment provided in the resubmission. Overall risk of bias </w:t>
            </w:r>
            <w:proofErr w:type="gramStart"/>
            <w:r w:rsidRPr="00A24A89">
              <w:t>was considered to be</w:t>
            </w:r>
            <w:proofErr w:type="gramEnd"/>
            <w:r w:rsidRPr="00A24A89">
              <w:t xml:space="preserve"> high.</w:t>
            </w:r>
          </w:p>
        </w:tc>
      </w:tr>
      <w:tr w:rsidR="00D7609F" w:rsidRPr="00A24A89" w14:paraId="3996D75F" w14:textId="77777777" w:rsidTr="006419CD">
        <w:tc>
          <w:tcPr>
            <w:tcW w:w="784" w:type="pct"/>
            <w:tcBorders>
              <w:top w:val="single" w:sz="4" w:space="0" w:color="auto"/>
              <w:left w:val="single" w:sz="4" w:space="0" w:color="auto"/>
              <w:bottom w:val="single" w:sz="4" w:space="0" w:color="auto"/>
              <w:right w:val="single" w:sz="4" w:space="0" w:color="auto"/>
            </w:tcBorders>
            <w:hideMark/>
          </w:tcPr>
          <w:p w14:paraId="7F77BA0C" w14:textId="77777777" w:rsidR="00D7609F" w:rsidRPr="00A24A89" w:rsidRDefault="00D7609F" w:rsidP="002E792B">
            <w:pPr>
              <w:pStyle w:val="TableText"/>
              <w:keepNext/>
              <w:keepLines/>
              <w:spacing w:before="0" w:after="0" w:line="240" w:lineRule="auto"/>
            </w:pPr>
            <w:r w:rsidRPr="00A24A89">
              <w:t>Prognostic evidence</w:t>
            </w:r>
          </w:p>
        </w:tc>
        <w:tc>
          <w:tcPr>
            <w:tcW w:w="1729" w:type="pct"/>
            <w:tcBorders>
              <w:top w:val="single" w:sz="4" w:space="0" w:color="auto"/>
              <w:left w:val="single" w:sz="4" w:space="0" w:color="auto"/>
              <w:bottom w:val="single" w:sz="4" w:space="0" w:color="auto"/>
              <w:right w:val="single" w:sz="4" w:space="0" w:color="auto"/>
            </w:tcBorders>
            <w:hideMark/>
          </w:tcPr>
          <w:p w14:paraId="2F29502D" w14:textId="77777777" w:rsidR="00D7609F" w:rsidRPr="00A24A89" w:rsidRDefault="00D7609F" w:rsidP="002E792B">
            <w:pPr>
              <w:pStyle w:val="TableText"/>
              <w:keepNext/>
              <w:keepLines/>
              <w:spacing w:before="0" w:after="0" w:line="240" w:lineRule="auto"/>
            </w:pPr>
            <w:r w:rsidRPr="00A24A89">
              <w:t xml:space="preserve">Five systematic reviews – </w:t>
            </w:r>
            <w:proofErr w:type="spellStart"/>
            <w:r w:rsidRPr="00A24A89">
              <w:t>Lenouvel</w:t>
            </w:r>
            <w:proofErr w:type="spellEnd"/>
            <w:r w:rsidRPr="00A24A89">
              <w:t xml:space="preserve"> 2020 (n=2532), Tang 2020 (n=1729), Troiano 2019 (n=1060), Yang 2018 (n=3105) and Peng 2017 (n=1777) – which examined the relationship between PD-L1 and survival in HNSCC were identified by the submission.</w:t>
            </w:r>
          </w:p>
        </w:tc>
        <w:tc>
          <w:tcPr>
            <w:tcW w:w="943" w:type="pct"/>
            <w:tcBorders>
              <w:top w:val="single" w:sz="4" w:space="0" w:color="auto"/>
              <w:left w:val="single" w:sz="4" w:space="0" w:color="auto"/>
              <w:bottom w:val="single" w:sz="4" w:space="0" w:color="auto"/>
              <w:right w:val="single" w:sz="4" w:space="0" w:color="auto"/>
            </w:tcBorders>
            <w:hideMark/>
          </w:tcPr>
          <w:p w14:paraId="5EF5A4E3" w14:textId="73BD169B" w:rsidR="00D7609F" w:rsidRPr="00A24A89" w:rsidRDefault="00D7609F" w:rsidP="002E792B">
            <w:pPr>
              <w:pStyle w:val="TableText"/>
              <w:keepNext/>
              <w:keepLines/>
              <w:tabs>
                <w:tab w:val="left" w:pos="326"/>
              </w:tabs>
              <w:spacing w:before="0" w:after="0" w:line="240" w:lineRule="auto"/>
            </w:pPr>
            <w:r w:rsidRPr="00A24A89">
              <w:rPr>
                <w:rFonts w:ascii="Segoe UI Symbol" w:hAnsi="Segoe UI Symbol" w:cs="Segoe UI Symbol"/>
              </w:rPr>
              <w:t>☐</w:t>
            </w:r>
            <w:r w:rsidRPr="00A24A89">
              <w:tab/>
              <w:t>k=5 n=10,203</w:t>
            </w:r>
          </w:p>
        </w:tc>
        <w:tc>
          <w:tcPr>
            <w:tcW w:w="1544" w:type="pct"/>
            <w:tcBorders>
              <w:top w:val="single" w:sz="4" w:space="0" w:color="auto"/>
              <w:left w:val="single" w:sz="4" w:space="0" w:color="auto"/>
              <w:bottom w:val="single" w:sz="4" w:space="0" w:color="auto"/>
              <w:right w:val="single" w:sz="4" w:space="0" w:color="auto"/>
            </w:tcBorders>
            <w:hideMark/>
          </w:tcPr>
          <w:p w14:paraId="10C390CE" w14:textId="77777777" w:rsidR="00D7609F" w:rsidRPr="00A24A89" w:rsidRDefault="00D7609F" w:rsidP="002E792B">
            <w:pPr>
              <w:pStyle w:val="TableText"/>
              <w:keepNext/>
              <w:keepLines/>
              <w:spacing w:before="0" w:after="0" w:line="240" w:lineRule="auto"/>
              <w:rPr>
                <w:i/>
              </w:rPr>
            </w:pPr>
            <w:r w:rsidRPr="00A24A89">
              <w:t xml:space="preserve">Risk of bias was not assessed by the resubmission. </w:t>
            </w:r>
            <w:r w:rsidRPr="0017405A">
              <w:t>Significant overlap in the included trials of the systematic reviews.</w:t>
            </w:r>
          </w:p>
        </w:tc>
      </w:tr>
      <w:tr w:rsidR="00D7609F" w:rsidRPr="00A24A89" w14:paraId="42955A7D" w14:textId="77777777" w:rsidTr="006419CD">
        <w:tc>
          <w:tcPr>
            <w:tcW w:w="784" w:type="pct"/>
            <w:tcBorders>
              <w:top w:val="single" w:sz="4" w:space="0" w:color="auto"/>
              <w:left w:val="single" w:sz="4" w:space="0" w:color="auto"/>
              <w:bottom w:val="single" w:sz="4" w:space="0" w:color="auto"/>
              <w:right w:val="single" w:sz="4" w:space="0" w:color="auto"/>
            </w:tcBorders>
            <w:hideMark/>
          </w:tcPr>
          <w:p w14:paraId="6AD13B9D" w14:textId="77777777" w:rsidR="00D7609F" w:rsidRPr="00A24A89" w:rsidRDefault="00D7609F" w:rsidP="002E792B">
            <w:pPr>
              <w:pStyle w:val="TableText"/>
              <w:keepNext/>
              <w:keepLines/>
              <w:spacing w:before="0" w:after="0" w:line="240" w:lineRule="auto"/>
            </w:pPr>
            <w:r w:rsidRPr="00A24A89">
              <w:t xml:space="preserve">Change in patient management </w:t>
            </w:r>
          </w:p>
        </w:tc>
        <w:tc>
          <w:tcPr>
            <w:tcW w:w="1729" w:type="pct"/>
            <w:tcBorders>
              <w:top w:val="single" w:sz="4" w:space="0" w:color="auto"/>
              <w:left w:val="single" w:sz="4" w:space="0" w:color="auto"/>
              <w:bottom w:val="single" w:sz="4" w:space="0" w:color="auto"/>
              <w:right w:val="single" w:sz="4" w:space="0" w:color="auto"/>
            </w:tcBorders>
            <w:hideMark/>
          </w:tcPr>
          <w:p w14:paraId="77E8E9A5" w14:textId="77777777" w:rsidR="00D7609F" w:rsidRPr="00A24A89" w:rsidRDefault="00D7609F" w:rsidP="002E792B">
            <w:pPr>
              <w:pStyle w:val="TableText"/>
              <w:keepNext/>
              <w:keepLines/>
              <w:spacing w:before="0" w:after="0" w:line="240" w:lineRule="auto"/>
              <w:rPr>
                <w:iCs/>
              </w:rPr>
            </w:pPr>
            <w:r w:rsidRPr="00A24A89">
              <w:rPr>
                <w:iCs/>
              </w:rPr>
              <w:t>Not explicitly assessed. CPS thresholds were based on KN048 results.</w:t>
            </w:r>
          </w:p>
        </w:tc>
        <w:tc>
          <w:tcPr>
            <w:tcW w:w="943" w:type="pct"/>
            <w:tcBorders>
              <w:top w:val="single" w:sz="4" w:space="0" w:color="auto"/>
              <w:left w:val="single" w:sz="4" w:space="0" w:color="auto"/>
              <w:bottom w:val="single" w:sz="4" w:space="0" w:color="auto"/>
              <w:right w:val="single" w:sz="4" w:space="0" w:color="auto"/>
            </w:tcBorders>
            <w:hideMark/>
          </w:tcPr>
          <w:p w14:paraId="3D5869A2" w14:textId="2DC9756F" w:rsidR="00D7609F" w:rsidRPr="00A24A89" w:rsidRDefault="00D7609F" w:rsidP="002E792B">
            <w:pPr>
              <w:pStyle w:val="TableText"/>
              <w:keepNext/>
              <w:keepLines/>
              <w:tabs>
                <w:tab w:val="left" w:pos="364"/>
              </w:tabs>
              <w:spacing w:before="0" w:after="0" w:line="240" w:lineRule="auto"/>
            </w:pPr>
            <w:r w:rsidRPr="00A24A89">
              <w:rPr>
                <w:rFonts w:ascii="Segoe UI Symbol" w:hAnsi="Segoe UI Symbol" w:cs="Segoe UI Symbol"/>
              </w:rPr>
              <w:t>☐</w:t>
            </w:r>
            <w:r w:rsidRPr="00A24A89">
              <w:tab/>
              <w:t>k=0 n=0</w:t>
            </w:r>
          </w:p>
        </w:tc>
        <w:tc>
          <w:tcPr>
            <w:tcW w:w="1544" w:type="pct"/>
            <w:tcBorders>
              <w:top w:val="single" w:sz="4" w:space="0" w:color="auto"/>
              <w:left w:val="single" w:sz="4" w:space="0" w:color="auto"/>
              <w:bottom w:val="single" w:sz="4" w:space="0" w:color="auto"/>
              <w:right w:val="single" w:sz="4" w:space="0" w:color="auto"/>
            </w:tcBorders>
            <w:hideMark/>
          </w:tcPr>
          <w:p w14:paraId="03D94E16" w14:textId="77777777" w:rsidR="00D7609F" w:rsidRPr="00A24A89" w:rsidRDefault="00D7609F" w:rsidP="002E792B">
            <w:pPr>
              <w:pStyle w:val="TableText"/>
              <w:keepNext/>
              <w:keepLines/>
              <w:spacing w:before="0" w:after="0" w:line="240" w:lineRule="auto"/>
            </w:pPr>
            <w:r w:rsidRPr="00A24A89">
              <w:t>NA</w:t>
            </w:r>
          </w:p>
        </w:tc>
      </w:tr>
      <w:tr w:rsidR="00D7609F" w:rsidRPr="00A24A89" w14:paraId="2EB3B7D5" w14:textId="77777777" w:rsidTr="006419CD">
        <w:tc>
          <w:tcPr>
            <w:tcW w:w="784" w:type="pct"/>
            <w:tcBorders>
              <w:top w:val="single" w:sz="4" w:space="0" w:color="auto"/>
              <w:left w:val="single" w:sz="4" w:space="0" w:color="auto"/>
              <w:bottom w:val="nil"/>
              <w:right w:val="single" w:sz="4" w:space="0" w:color="auto"/>
            </w:tcBorders>
          </w:tcPr>
          <w:p w14:paraId="76BD4599" w14:textId="77777777" w:rsidR="00D7609F" w:rsidRPr="00A24A89" w:rsidRDefault="00D7609F" w:rsidP="002E792B">
            <w:pPr>
              <w:pStyle w:val="TableText"/>
              <w:keepNext/>
              <w:keepLines/>
              <w:spacing w:before="0" w:after="0" w:line="240" w:lineRule="auto"/>
            </w:pPr>
            <w:r w:rsidRPr="00A24A89">
              <w:t>Treatment effectiveness</w:t>
            </w:r>
          </w:p>
        </w:tc>
        <w:tc>
          <w:tcPr>
            <w:tcW w:w="1729" w:type="pct"/>
            <w:tcBorders>
              <w:top w:val="single" w:sz="4" w:space="0" w:color="auto"/>
              <w:left w:val="single" w:sz="4" w:space="0" w:color="auto"/>
              <w:bottom w:val="nil"/>
              <w:right w:val="single" w:sz="4" w:space="0" w:color="auto"/>
            </w:tcBorders>
          </w:tcPr>
          <w:p w14:paraId="5623F6C4" w14:textId="77777777" w:rsidR="00D7609F" w:rsidRPr="00A24A89" w:rsidRDefault="00D7609F" w:rsidP="007F4CDC">
            <w:pPr>
              <w:pStyle w:val="TableText"/>
              <w:keepNext/>
              <w:keepLines/>
              <w:spacing w:before="0" w:after="0" w:line="240" w:lineRule="auto"/>
              <w:contextualSpacing/>
            </w:pPr>
          </w:p>
        </w:tc>
        <w:tc>
          <w:tcPr>
            <w:tcW w:w="943" w:type="pct"/>
            <w:tcBorders>
              <w:top w:val="single" w:sz="4" w:space="0" w:color="auto"/>
              <w:left w:val="single" w:sz="4" w:space="0" w:color="auto"/>
              <w:bottom w:val="nil"/>
              <w:right w:val="single" w:sz="4" w:space="0" w:color="auto"/>
            </w:tcBorders>
          </w:tcPr>
          <w:p w14:paraId="3CBEA488" w14:textId="77777777" w:rsidR="00D7609F" w:rsidRPr="00A24A89" w:rsidRDefault="00D7609F" w:rsidP="007F4CDC">
            <w:pPr>
              <w:pStyle w:val="TableText"/>
              <w:keepNext/>
              <w:keepLines/>
              <w:spacing w:before="0" w:after="0" w:line="240" w:lineRule="auto"/>
              <w:contextualSpacing/>
            </w:pPr>
          </w:p>
        </w:tc>
        <w:tc>
          <w:tcPr>
            <w:tcW w:w="1544" w:type="pct"/>
            <w:tcBorders>
              <w:top w:val="single" w:sz="4" w:space="0" w:color="auto"/>
              <w:left w:val="single" w:sz="4" w:space="0" w:color="auto"/>
              <w:bottom w:val="nil"/>
              <w:right w:val="single" w:sz="4" w:space="0" w:color="auto"/>
            </w:tcBorders>
          </w:tcPr>
          <w:p w14:paraId="78BABB63" w14:textId="77777777" w:rsidR="00D7609F" w:rsidRPr="00A24A89" w:rsidRDefault="00D7609F" w:rsidP="007F4CDC">
            <w:pPr>
              <w:pStyle w:val="TableText"/>
              <w:keepNext/>
              <w:keepLines/>
              <w:spacing w:before="0" w:after="0" w:line="240" w:lineRule="auto"/>
              <w:contextualSpacing/>
              <w:rPr>
                <w:highlight w:val="yellow"/>
              </w:rPr>
            </w:pPr>
          </w:p>
        </w:tc>
      </w:tr>
      <w:tr w:rsidR="00D7609F" w:rsidRPr="00A24A89" w14:paraId="6E8272FA" w14:textId="77777777" w:rsidTr="006419CD">
        <w:tc>
          <w:tcPr>
            <w:tcW w:w="784" w:type="pct"/>
            <w:tcBorders>
              <w:top w:val="nil"/>
              <w:left w:val="single" w:sz="4" w:space="0" w:color="auto"/>
              <w:bottom w:val="single" w:sz="4" w:space="0" w:color="auto"/>
              <w:right w:val="single" w:sz="4" w:space="0" w:color="auto"/>
            </w:tcBorders>
          </w:tcPr>
          <w:p w14:paraId="3FA02B63" w14:textId="77777777" w:rsidR="00D7609F" w:rsidRPr="00A24A89" w:rsidRDefault="00D7609F" w:rsidP="002E792B">
            <w:pPr>
              <w:pStyle w:val="TableText"/>
              <w:keepNext/>
              <w:keepLines/>
              <w:spacing w:before="0" w:after="0" w:line="240" w:lineRule="auto"/>
            </w:pPr>
            <w:r w:rsidRPr="00A24A89">
              <w:t>Predictive effect</w:t>
            </w:r>
          </w:p>
          <w:p w14:paraId="7EAD59F7" w14:textId="77777777" w:rsidR="00D7609F" w:rsidRPr="00A24A89" w:rsidRDefault="00D7609F" w:rsidP="002E792B">
            <w:pPr>
              <w:pStyle w:val="TableText"/>
              <w:keepNext/>
              <w:keepLines/>
              <w:spacing w:before="0" w:after="0" w:line="240" w:lineRule="auto"/>
            </w:pPr>
            <w:r w:rsidRPr="00A24A89">
              <w:t>(treatment effect variation)</w:t>
            </w:r>
          </w:p>
        </w:tc>
        <w:tc>
          <w:tcPr>
            <w:tcW w:w="1729" w:type="pct"/>
            <w:tcBorders>
              <w:top w:val="nil"/>
              <w:left w:val="single" w:sz="4" w:space="0" w:color="auto"/>
              <w:bottom w:val="single" w:sz="4" w:space="0" w:color="auto"/>
              <w:right w:val="single" w:sz="4" w:space="0" w:color="auto"/>
            </w:tcBorders>
          </w:tcPr>
          <w:p w14:paraId="5B61533D" w14:textId="77777777" w:rsidR="00D7609F" w:rsidRPr="00A24A89" w:rsidRDefault="00D7609F" w:rsidP="002E792B">
            <w:pPr>
              <w:pStyle w:val="TableText"/>
              <w:keepNext/>
              <w:keepLines/>
              <w:spacing w:before="0" w:after="0" w:line="240" w:lineRule="auto"/>
            </w:pPr>
            <w:r w:rsidRPr="00A24A89">
              <w:t>Based on KN048 with subgroups defined using CPS.</w:t>
            </w:r>
          </w:p>
        </w:tc>
        <w:tc>
          <w:tcPr>
            <w:tcW w:w="943" w:type="pct"/>
            <w:tcBorders>
              <w:top w:val="nil"/>
              <w:left w:val="single" w:sz="4" w:space="0" w:color="auto"/>
              <w:bottom w:val="single" w:sz="4" w:space="0" w:color="auto"/>
              <w:right w:val="single" w:sz="4" w:space="0" w:color="auto"/>
            </w:tcBorders>
          </w:tcPr>
          <w:p w14:paraId="3FC32466" w14:textId="1AD3F056" w:rsidR="00D7609F" w:rsidRPr="00A24A89" w:rsidRDefault="00D7609F" w:rsidP="002E792B">
            <w:pPr>
              <w:pStyle w:val="TableText"/>
              <w:keepNext/>
              <w:keepLines/>
              <w:tabs>
                <w:tab w:val="left" w:pos="364"/>
              </w:tabs>
              <w:spacing w:before="0" w:after="0" w:line="240" w:lineRule="auto"/>
            </w:pPr>
            <w:r w:rsidRPr="00A24A89">
              <w:rPr>
                <w:rFonts w:ascii="Segoe UI Symbol" w:hAnsi="Segoe UI Symbol" w:cs="Segoe UI Symbol"/>
              </w:rPr>
              <w:t>☐</w:t>
            </w:r>
            <w:r w:rsidRPr="00A24A89">
              <w:tab/>
              <w:t>k=1 n=477</w:t>
            </w:r>
          </w:p>
        </w:tc>
        <w:tc>
          <w:tcPr>
            <w:tcW w:w="1544" w:type="pct"/>
            <w:tcBorders>
              <w:top w:val="nil"/>
              <w:left w:val="single" w:sz="4" w:space="0" w:color="auto"/>
              <w:bottom w:val="single" w:sz="4" w:space="0" w:color="auto"/>
              <w:right w:val="single" w:sz="4" w:space="0" w:color="auto"/>
            </w:tcBorders>
            <w:shd w:val="clear" w:color="auto" w:fill="auto"/>
          </w:tcPr>
          <w:p w14:paraId="3C5843B5" w14:textId="77777777" w:rsidR="00D7609F" w:rsidRPr="0017405A" w:rsidRDefault="00D7609F" w:rsidP="002E792B">
            <w:pPr>
              <w:pStyle w:val="TableText"/>
              <w:keepNext/>
              <w:keepLines/>
              <w:spacing w:before="0" w:after="0" w:line="240" w:lineRule="auto"/>
            </w:pPr>
            <w:r w:rsidRPr="0017405A">
              <w:t>Overall risk of bias considered low because of the objective nature of the overall survival endpoint.</w:t>
            </w:r>
          </w:p>
          <w:p w14:paraId="212A4AC0" w14:textId="77777777" w:rsidR="00D7609F" w:rsidRPr="00A24A89" w:rsidRDefault="00D7609F" w:rsidP="002E792B">
            <w:pPr>
              <w:pStyle w:val="TableText"/>
              <w:keepNext/>
              <w:keepLines/>
              <w:spacing w:before="0" w:after="0" w:line="240" w:lineRule="auto"/>
              <w:rPr>
                <w:i/>
              </w:rPr>
            </w:pPr>
            <w:r w:rsidRPr="0017405A">
              <w:t>However, risk of bias may possibly be higher due to the change in protocol from measuring PD-L1 via TPS to CPS.</w:t>
            </w:r>
          </w:p>
        </w:tc>
      </w:tr>
    </w:tbl>
    <w:p w14:paraId="1D81C8C0" w14:textId="77777777" w:rsidR="00D7609F" w:rsidRPr="00A24A89" w:rsidRDefault="00D7609F" w:rsidP="002E792B">
      <w:pPr>
        <w:pStyle w:val="TableFooter"/>
        <w:keepNext/>
        <w:keepLines/>
      </w:pPr>
      <w:r w:rsidRPr="00A24A89">
        <w:t>CPS = combined positive score, k=number of studies, n=number of patients, NA=not applicable, TPS = tumour proportion score</w:t>
      </w:r>
    </w:p>
    <w:p w14:paraId="16FF1ED5" w14:textId="77777777" w:rsidR="00D7609F" w:rsidRPr="00A24A89" w:rsidRDefault="00D7609F" w:rsidP="002E792B">
      <w:pPr>
        <w:pStyle w:val="TableFooter"/>
        <w:keepNext/>
        <w:keepLines/>
        <w:rPr>
          <w:rStyle w:val="InstructionalTextChar"/>
          <w:color w:val="auto"/>
          <w:sz w:val="18"/>
        </w:rPr>
      </w:pPr>
      <w:r w:rsidRPr="00A24A89">
        <w:t>Source: Table 2.13-1, p164 and Table 2.14-4, p168 of the resubmission</w:t>
      </w:r>
    </w:p>
    <w:p w14:paraId="544E83E1" w14:textId="6FFABE2F" w:rsidR="00D7609F" w:rsidRPr="00A24A89" w:rsidRDefault="00D7609F" w:rsidP="00D7609F">
      <w:pPr>
        <w:pStyle w:val="ListParagraph"/>
        <w:numPr>
          <w:ilvl w:val="4"/>
          <w:numId w:val="1"/>
        </w:numPr>
      </w:pPr>
      <w:r w:rsidRPr="00A24A89">
        <w:t>The data available to inform the comparison are summarised in</w:t>
      </w:r>
      <w:r w:rsidR="00BD789E">
        <w:t xml:space="preserve"> </w:t>
      </w:r>
      <w:r w:rsidR="008D43ED">
        <w:t xml:space="preserve">Table </w:t>
      </w:r>
      <w:r w:rsidR="007F2BE5">
        <w:rPr>
          <w:noProof/>
        </w:rPr>
        <w:t>5</w:t>
      </w:r>
      <w:r w:rsidRPr="00A24A89">
        <w:t>. The data available w</w:t>
      </w:r>
      <w:r w:rsidR="00BB2D8B">
        <w:t>ere</w:t>
      </w:r>
      <w:r w:rsidRPr="00A24A89">
        <w:t xml:space="preserve"> the same as in the previous submission, however in the resubmission only data from KN048 w</w:t>
      </w:r>
      <w:r w:rsidR="00BB2D8B">
        <w:t>ere</w:t>
      </w:r>
      <w:r w:rsidRPr="00A24A89">
        <w:t xml:space="preserve"> presented in the main analysis with the cetuximab plus chemotherapy arm used as proxy for chemotherapy.</w:t>
      </w:r>
    </w:p>
    <w:p w14:paraId="632638E9" w14:textId="77777777" w:rsidR="00D7609F" w:rsidRPr="00A24A89" w:rsidRDefault="00BD789E" w:rsidP="00024DCD">
      <w:pPr>
        <w:pStyle w:val="Caption"/>
      </w:pPr>
      <w:bookmarkStart w:id="36" w:name="_Ref80064087"/>
      <w:r>
        <w:t xml:space="preserve">Table </w:t>
      </w:r>
      <w:r w:rsidR="008D43ED">
        <w:rPr>
          <w:noProof/>
        </w:rPr>
        <w:t>5</w:t>
      </w:r>
      <w:bookmarkEnd w:id="36"/>
      <w:r w:rsidR="00024DCD">
        <w:t xml:space="preserve">: </w:t>
      </w:r>
      <w:r w:rsidR="00D7609F" w:rsidRPr="00A24A89">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5: Data availability to inform comparisons"/>
      </w:tblPr>
      <w:tblGrid>
        <w:gridCol w:w="3114"/>
        <w:gridCol w:w="2952"/>
        <w:gridCol w:w="2950"/>
      </w:tblGrid>
      <w:tr w:rsidR="00D7609F" w:rsidRPr="00A24A89" w14:paraId="4697F2B2" w14:textId="77777777" w:rsidTr="00535B73">
        <w:tc>
          <w:tcPr>
            <w:tcW w:w="1727" w:type="pct"/>
            <w:tcBorders>
              <w:top w:val="single" w:sz="4" w:space="0" w:color="000000"/>
              <w:left w:val="single" w:sz="4" w:space="0" w:color="000000"/>
              <w:bottom w:val="single" w:sz="4" w:space="0" w:color="000000"/>
              <w:right w:val="single" w:sz="4" w:space="0" w:color="000000"/>
            </w:tcBorders>
            <w:hideMark/>
          </w:tcPr>
          <w:p w14:paraId="4C622B3E" w14:textId="77777777" w:rsidR="00D7609F" w:rsidRPr="00A24A89" w:rsidRDefault="00D7609F" w:rsidP="00535B73">
            <w:pPr>
              <w:pStyle w:val="TableText"/>
              <w:keepNext/>
              <w:keepLines/>
              <w:spacing w:before="0" w:after="0" w:line="240" w:lineRule="auto"/>
            </w:pPr>
            <w:r w:rsidRPr="00A24A89">
              <w:t>Proposed test vs no test</w:t>
            </w:r>
          </w:p>
        </w:tc>
        <w:tc>
          <w:tcPr>
            <w:tcW w:w="3273" w:type="pct"/>
            <w:gridSpan w:val="2"/>
            <w:tcBorders>
              <w:top w:val="single" w:sz="4" w:space="0" w:color="000000"/>
              <w:left w:val="single" w:sz="4" w:space="0" w:color="000000"/>
              <w:bottom w:val="single" w:sz="4" w:space="0" w:color="000000"/>
              <w:right w:val="single" w:sz="4" w:space="0" w:color="000000"/>
            </w:tcBorders>
            <w:vAlign w:val="center"/>
            <w:hideMark/>
          </w:tcPr>
          <w:p w14:paraId="6D21D93D" w14:textId="77777777" w:rsidR="00D7609F" w:rsidRPr="00A24A89" w:rsidRDefault="00D7609F" w:rsidP="00535B73">
            <w:pPr>
              <w:pStyle w:val="TableText"/>
              <w:keepNext/>
              <w:keepLines/>
              <w:spacing w:before="0" w:after="0" w:line="240" w:lineRule="auto"/>
              <w:jc w:val="center"/>
              <w:rPr>
                <w:b/>
              </w:rPr>
            </w:pPr>
            <w:r w:rsidRPr="00A24A89">
              <w:t>Subgroup analysis of KN048</w:t>
            </w:r>
          </w:p>
        </w:tc>
      </w:tr>
      <w:tr w:rsidR="00D7609F" w:rsidRPr="00A24A89" w14:paraId="0CA1B428" w14:textId="77777777" w:rsidTr="00535B73">
        <w:tc>
          <w:tcPr>
            <w:tcW w:w="1727" w:type="pct"/>
            <w:tcBorders>
              <w:top w:val="single" w:sz="4" w:space="0" w:color="000000"/>
              <w:left w:val="single" w:sz="4" w:space="0" w:color="000000"/>
              <w:bottom w:val="single" w:sz="4" w:space="0" w:color="000000"/>
              <w:right w:val="single" w:sz="4" w:space="0" w:color="000000"/>
            </w:tcBorders>
            <w:hideMark/>
          </w:tcPr>
          <w:p w14:paraId="4E46621E" w14:textId="77777777" w:rsidR="00D7609F" w:rsidRPr="00A24A89" w:rsidRDefault="00D7609F" w:rsidP="00535B73">
            <w:pPr>
              <w:pStyle w:val="TableText"/>
              <w:keepNext/>
              <w:keepLines/>
              <w:spacing w:before="0" w:after="0" w:line="240" w:lineRule="auto"/>
            </w:pPr>
            <w:r w:rsidRPr="00A24A89">
              <w:t>Proposed test vs alternative test</w:t>
            </w:r>
          </w:p>
        </w:tc>
        <w:tc>
          <w:tcPr>
            <w:tcW w:w="3273" w:type="pct"/>
            <w:gridSpan w:val="2"/>
            <w:tcBorders>
              <w:top w:val="single" w:sz="4" w:space="0" w:color="000000"/>
              <w:left w:val="single" w:sz="4" w:space="0" w:color="000000"/>
              <w:bottom w:val="single" w:sz="4" w:space="0" w:color="000000"/>
              <w:right w:val="single" w:sz="4" w:space="0" w:color="000000"/>
            </w:tcBorders>
            <w:vAlign w:val="center"/>
            <w:hideMark/>
          </w:tcPr>
          <w:p w14:paraId="7D2EEF5D" w14:textId="77777777" w:rsidR="00D7609F" w:rsidRPr="00A24A89" w:rsidRDefault="00D7609F" w:rsidP="00535B73">
            <w:pPr>
              <w:pStyle w:val="TableText"/>
              <w:keepNext/>
              <w:keepLines/>
              <w:spacing w:before="0" w:after="0" w:line="240" w:lineRule="auto"/>
              <w:jc w:val="center"/>
              <w:rPr>
                <w:b/>
              </w:rPr>
            </w:pPr>
            <w:r w:rsidRPr="00A24A89">
              <w:t>NA</w:t>
            </w:r>
          </w:p>
        </w:tc>
      </w:tr>
      <w:tr w:rsidR="00D7609F" w:rsidRPr="00A24A89" w14:paraId="7EDE0763" w14:textId="77777777" w:rsidTr="006419CD">
        <w:tc>
          <w:tcPr>
            <w:tcW w:w="1727" w:type="pct"/>
            <w:tcBorders>
              <w:top w:val="single" w:sz="4" w:space="0" w:color="000000"/>
              <w:left w:val="single" w:sz="4" w:space="0" w:color="000000"/>
              <w:bottom w:val="single" w:sz="4" w:space="0" w:color="000000"/>
              <w:right w:val="single" w:sz="4" w:space="0" w:color="000000"/>
            </w:tcBorders>
          </w:tcPr>
          <w:p w14:paraId="32890F44" w14:textId="77777777" w:rsidR="00D7609F" w:rsidRPr="00A24A89" w:rsidRDefault="00D7609F" w:rsidP="00535B73">
            <w:pPr>
              <w:pStyle w:val="TableText"/>
              <w:keepNext/>
              <w:keepLines/>
              <w:spacing w:before="0" w:after="0" w:line="240" w:lineRule="auto"/>
            </w:pP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4F1B680A" w14:textId="77777777" w:rsidR="00D7609F" w:rsidRPr="00A24A89" w:rsidRDefault="00D7609F" w:rsidP="00535B73">
            <w:pPr>
              <w:pStyle w:val="TableText"/>
              <w:keepNext/>
              <w:keepLines/>
              <w:spacing w:before="0" w:after="0" w:line="240" w:lineRule="auto"/>
              <w:jc w:val="center"/>
              <w:rPr>
                <w:b/>
              </w:rPr>
            </w:pPr>
            <w:r w:rsidRPr="00A24A89">
              <w:rPr>
                <w:b/>
              </w:rPr>
              <w:t>Pembrolizumab</w:t>
            </w: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69731448" w14:textId="77777777" w:rsidR="00D7609F" w:rsidRPr="00A24A89" w:rsidRDefault="00D7609F" w:rsidP="00535B73">
            <w:pPr>
              <w:pStyle w:val="TableText"/>
              <w:keepNext/>
              <w:keepLines/>
              <w:spacing w:before="0" w:after="0" w:line="240" w:lineRule="auto"/>
              <w:jc w:val="center"/>
              <w:rPr>
                <w:b/>
              </w:rPr>
            </w:pPr>
            <w:r w:rsidRPr="00A24A89">
              <w:rPr>
                <w:b/>
              </w:rPr>
              <w:t>Chemotherapy</w:t>
            </w:r>
          </w:p>
        </w:tc>
      </w:tr>
      <w:tr w:rsidR="00D7609F" w:rsidRPr="00A24A89" w14:paraId="2ABD3862" w14:textId="77777777" w:rsidTr="006419CD">
        <w:tc>
          <w:tcPr>
            <w:tcW w:w="1727" w:type="pct"/>
            <w:tcBorders>
              <w:top w:val="single" w:sz="4" w:space="0" w:color="000000"/>
              <w:left w:val="single" w:sz="4" w:space="0" w:color="000000"/>
              <w:bottom w:val="single" w:sz="4" w:space="0" w:color="000000"/>
              <w:right w:val="single" w:sz="4" w:space="0" w:color="000000"/>
            </w:tcBorders>
            <w:hideMark/>
          </w:tcPr>
          <w:p w14:paraId="26CE5D1F" w14:textId="77777777" w:rsidR="00D7609F" w:rsidRPr="00A24A89" w:rsidRDefault="00D7609F" w:rsidP="00535B73">
            <w:pPr>
              <w:pStyle w:val="TableText"/>
              <w:keepNext/>
              <w:keepLines/>
              <w:spacing w:before="0" w:after="0" w:line="240" w:lineRule="auto"/>
            </w:pPr>
            <w:r w:rsidRPr="00A24A89">
              <w:t>Biomarker test positive</w:t>
            </w: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55D7475A" w14:textId="77777777" w:rsidR="00D7609F" w:rsidRPr="00A24A89" w:rsidRDefault="00D7609F" w:rsidP="00535B73">
            <w:pPr>
              <w:pStyle w:val="TableText"/>
              <w:keepNext/>
              <w:keepLines/>
              <w:spacing w:before="0" w:after="0" w:line="240" w:lineRule="auto"/>
              <w:jc w:val="center"/>
            </w:pPr>
            <w:r w:rsidRPr="00A24A89">
              <w:t>KN048</w:t>
            </w: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3ED92069" w14:textId="77777777" w:rsidR="00D7609F" w:rsidRPr="00A24A89" w:rsidRDefault="00D7609F" w:rsidP="00535B73">
            <w:pPr>
              <w:pStyle w:val="TableText"/>
              <w:keepNext/>
              <w:keepLines/>
              <w:spacing w:before="0" w:after="0" w:line="240" w:lineRule="auto"/>
              <w:jc w:val="center"/>
            </w:pPr>
            <w:r w:rsidRPr="00A24A89">
              <w:t>KN048*</w:t>
            </w:r>
          </w:p>
        </w:tc>
      </w:tr>
      <w:tr w:rsidR="00D7609F" w:rsidRPr="00A24A89" w14:paraId="5720B13D" w14:textId="77777777" w:rsidTr="006419CD">
        <w:tc>
          <w:tcPr>
            <w:tcW w:w="1727" w:type="pct"/>
            <w:tcBorders>
              <w:top w:val="single" w:sz="4" w:space="0" w:color="000000"/>
              <w:left w:val="single" w:sz="4" w:space="0" w:color="000000"/>
              <w:bottom w:val="single" w:sz="4" w:space="0" w:color="000000"/>
              <w:right w:val="single" w:sz="4" w:space="0" w:color="000000"/>
            </w:tcBorders>
            <w:hideMark/>
          </w:tcPr>
          <w:p w14:paraId="3828D215" w14:textId="77777777" w:rsidR="00D7609F" w:rsidRPr="00A24A89" w:rsidRDefault="00D7609F" w:rsidP="00535B73">
            <w:pPr>
              <w:pStyle w:val="TableText"/>
              <w:keepNext/>
              <w:keepLines/>
              <w:spacing w:before="0" w:after="0" w:line="240" w:lineRule="auto"/>
            </w:pPr>
            <w:r w:rsidRPr="00A24A89">
              <w:t>Biomarker test negative</w:t>
            </w:r>
            <w:r w:rsidRPr="00A24A89">
              <w:rPr>
                <w:b/>
              </w:rPr>
              <w:t xml:space="preserve"> </w:t>
            </w: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1110383D" w14:textId="77777777" w:rsidR="00D7609F" w:rsidRPr="00A24A89" w:rsidRDefault="00D7609F" w:rsidP="00535B73">
            <w:pPr>
              <w:pStyle w:val="TableText"/>
              <w:keepNext/>
              <w:keepLines/>
              <w:spacing w:before="0" w:after="0" w:line="240" w:lineRule="auto"/>
              <w:jc w:val="center"/>
            </w:pPr>
            <w:r w:rsidRPr="00A24A89">
              <w:t>KN048</w:t>
            </w: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364A3003" w14:textId="77777777" w:rsidR="00D7609F" w:rsidRPr="00A24A89" w:rsidRDefault="00D7609F" w:rsidP="00535B73">
            <w:pPr>
              <w:pStyle w:val="TableText"/>
              <w:keepNext/>
              <w:keepLines/>
              <w:spacing w:before="0" w:after="0" w:line="240" w:lineRule="auto"/>
              <w:jc w:val="center"/>
            </w:pPr>
            <w:r w:rsidRPr="00A24A89">
              <w:t>KN048*</w:t>
            </w:r>
          </w:p>
        </w:tc>
      </w:tr>
    </w:tbl>
    <w:p w14:paraId="1C3C5C4F" w14:textId="77777777" w:rsidR="00D7609F" w:rsidRPr="00A24A89" w:rsidRDefault="00D7609F" w:rsidP="00535B73">
      <w:pPr>
        <w:pStyle w:val="TableFooter"/>
        <w:keepNext/>
        <w:keepLines/>
      </w:pPr>
      <w:r w:rsidRPr="00A24A89">
        <w:t>Source: constructed during evaluation</w:t>
      </w:r>
    </w:p>
    <w:p w14:paraId="52AE12CC" w14:textId="77777777" w:rsidR="00D7609F" w:rsidRPr="00A24A89" w:rsidRDefault="00D7609F" w:rsidP="00535B73">
      <w:pPr>
        <w:pStyle w:val="TableFooter"/>
        <w:keepNext/>
        <w:keepLines/>
      </w:pPr>
      <w:r w:rsidRPr="00A24A89">
        <w:t>*Cetuximab plus chemotherapy arm used as proxy for chemotherapy.</w:t>
      </w:r>
    </w:p>
    <w:p w14:paraId="7B13FC9D" w14:textId="77777777" w:rsidR="00D7609F" w:rsidRPr="00A24A89" w:rsidRDefault="00D7609F" w:rsidP="00D7609F">
      <w:pPr>
        <w:pStyle w:val="PBACESHeading2"/>
      </w:pPr>
      <w:bookmarkStart w:id="37" w:name="_Toc81727552"/>
      <w:bookmarkStart w:id="38" w:name="_Toc82600101"/>
      <w:r w:rsidRPr="00A24A89">
        <w:t>Comparative effectiveness</w:t>
      </w:r>
      <w:bookmarkEnd w:id="37"/>
      <w:bookmarkEnd w:id="38"/>
    </w:p>
    <w:p w14:paraId="48CF1170" w14:textId="77777777" w:rsidR="00D7609F" w:rsidRPr="00A24A89" w:rsidRDefault="00D7609F" w:rsidP="00D7609F">
      <w:pPr>
        <w:pStyle w:val="ListParagraph"/>
        <w:numPr>
          <w:ilvl w:val="4"/>
          <w:numId w:val="1"/>
        </w:numPr>
      </w:pPr>
      <w:r w:rsidRPr="00A24A89">
        <w:t>Details of the treatment trials presented in the resubmission are provided in</w:t>
      </w:r>
      <w:r w:rsidR="00BD789E">
        <w:t xml:space="preserve"> </w:t>
      </w:r>
      <w:r w:rsidR="008D43ED">
        <w:t xml:space="preserve">Table </w:t>
      </w:r>
      <w:r w:rsidR="008D43ED">
        <w:rPr>
          <w:noProof/>
        </w:rPr>
        <w:t>6</w:t>
      </w:r>
      <w:r w:rsidRPr="00A24A89">
        <w:t>.</w:t>
      </w:r>
    </w:p>
    <w:p w14:paraId="4ADCE003" w14:textId="77777777" w:rsidR="00D7609F" w:rsidRPr="00A24A89" w:rsidRDefault="00BD789E" w:rsidP="00024DCD">
      <w:pPr>
        <w:pStyle w:val="Caption"/>
      </w:pPr>
      <w:bookmarkStart w:id="39" w:name="_Ref80064223"/>
      <w:r>
        <w:lastRenderedPageBreak/>
        <w:t xml:space="preserve">Table </w:t>
      </w:r>
      <w:r w:rsidR="008D43ED">
        <w:rPr>
          <w:noProof/>
        </w:rPr>
        <w:t>6</w:t>
      </w:r>
      <w:bookmarkEnd w:id="39"/>
      <w:r w:rsidR="00024DCD">
        <w:t xml:space="preserve">: </w:t>
      </w:r>
      <w:r w:rsidR="00D7609F" w:rsidRPr="00A24A89">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Trials and associated reports presented in the submission"/>
      </w:tblPr>
      <w:tblGrid>
        <w:gridCol w:w="1720"/>
        <w:gridCol w:w="3538"/>
        <w:gridCol w:w="3758"/>
      </w:tblGrid>
      <w:tr w:rsidR="00D7609F" w:rsidRPr="00A24A89" w14:paraId="24B22218" w14:textId="77777777" w:rsidTr="006419CD">
        <w:tc>
          <w:tcPr>
            <w:tcW w:w="954" w:type="pct"/>
            <w:vAlign w:val="bottom"/>
          </w:tcPr>
          <w:p w14:paraId="168AA344" w14:textId="77777777" w:rsidR="00D7609F" w:rsidRPr="00A24A89" w:rsidRDefault="00D7609F" w:rsidP="00535B73">
            <w:pPr>
              <w:pStyle w:val="TableText"/>
              <w:keepNext/>
              <w:keepLines/>
              <w:rPr>
                <w:b/>
              </w:rPr>
            </w:pPr>
            <w:r w:rsidRPr="00A24A89">
              <w:rPr>
                <w:b/>
              </w:rPr>
              <w:t>Trial ID</w:t>
            </w:r>
          </w:p>
        </w:tc>
        <w:tc>
          <w:tcPr>
            <w:tcW w:w="1962" w:type="pct"/>
            <w:vAlign w:val="bottom"/>
          </w:tcPr>
          <w:p w14:paraId="5FA628D0" w14:textId="77777777" w:rsidR="00D7609F" w:rsidRPr="00A24A89" w:rsidRDefault="00D7609F" w:rsidP="00535B73">
            <w:pPr>
              <w:pStyle w:val="TableText"/>
              <w:keepNext/>
              <w:keepLines/>
              <w:jc w:val="center"/>
              <w:rPr>
                <w:b/>
              </w:rPr>
            </w:pPr>
            <w:r w:rsidRPr="00A24A89">
              <w:rPr>
                <w:b/>
              </w:rPr>
              <w:t>Protocol title/ Publication title</w:t>
            </w:r>
          </w:p>
        </w:tc>
        <w:tc>
          <w:tcPr>
            <w:tcW w:w="2084" w:type="pct"/>
            <w:vAlign w:val="bottom"/>
          </w:tcPr>
          <w:p w14:paraId="0478ADD9" w14:textId="77777777" w:rsidR="00D7609F" w:rsidRPr="00A24A89" w:rsidRDefault="00D7609F" w:rsidP="00535B73">
            <w:pPr>
              <w:pStyle w:val="TableText"/>
              <w:keepNext/>
              <w:keepLines/>
              <w:jc w:val="center"/>
              <w:rPr>
                <w:b/>
              </w:rPr>
            </w:pPr>
            <w:r w:rsidRPr="00A24A89">
              <w:rPr>
                <w:b/>
              </w:rPr>
              <w:t>Publication citation</w:t>
            </w:r>
          </w:p>
        </w:tc>
      </w:tr>
      <w:tr w:rsidR="00D7609F" w:rsidRPr="00A24A89" w14:paraId="0EF91E6A" w14:textId="77777777" w:rsidTr="006419CD">
        <w:tc>
          <w:tcPr>
            <w:tcW w:w="5000" w:type="pct"/>
            <w:gridSpan w:val="3"/>
          </w:tcPr>
          <w:p w14:paraId="60D2B866" w14:textId="77777777" w:rsidR="00D7609F" w:rsidRPr="00A24A89" w:rsidRDefault="00D7609F" w:rsidP="00535B73">
            <w:pPr>
              <w:pStyle w:val="TableText"/>
              <w:keepNext/>
              <w:keepLines/>
              <w:rPr>
                <w:b/>
                <w:bCs/>
              </w:rPr>
            </w:pPr>
            <w:r w:rsidRPr="00A24A89">
              <w:rPr>
                <w:b/>
                <w:bCs/>
              </w:rPr>
              <w:t>Pembrolizumab (± chemotherapy) versus cetuximab plus chemotherapy</w:t>
            </w:r>
          </w:p>
        </w:tc>
      </w:tr>
      <w:tr w:rsidR="00D7609F" w:rsidRPr="00A24A89" w14:paraId="137A0B90" w14:textId="77777777" w:rsidTr="006419CD">
        <w:tc>
          <w:tcPr>
            <w:tcW w:w="954" w:type="pct"/>
            <w:tcBorders>
              <w:bottom w:val="nil"/>
            </w:tcBorders>
          </w:tcPr>
          <w:p w14:paraId="06107791" w14:textId="77777777" w:rsidR="00D7609F" w:rsidRPr="00A24A89" w:rsidRDefault="00D7609F" w:rsidP="00535B73">
            <w:pPr>
              <w:pStyle w:val="TableText"/>
              <w:keepNext/>
              <w:keepLines/>
            </w:pPr>
            <w:r w:rsidRPr="00A24A89">
              <w:t>KN048</w:t>
            </w:r>
          </w:p>
        </w:tc>
        <w:tc>
          <w:tcPr>
            <w:tcW w:w="1962" w:type="pct"/>
            <w:tcBorders>
              <w:bottom w:val="nil"/>
            </w:tcBorders>
          </w:tcPr>
          <w:p w14:paraId="40C7ABD9" w14:textId="77777777" w:rsidR="00D7609F" w:rsidRPr="00A24A89" w:rsidRDefault="00D7609F" w:rsidP="00535B73">
            <w:pPr>
              <w:pStyle w:val="TableText"/>
              <w:keepNext/>
              <w:keepLines/>
            </w:pPr>
            <w:r w:rsidRPr="00A24A89">
              <w:t>A Study of Pembrolizumab (MK-3475) for First Line Treatment of Recurrent or Metastatic Squamous Cell Cancer of the Head and Neck (MK-3475-048/KEYNOTE-048)</w:t>
            </w:r>
          </w:p>
        </w:tc>
        <w:tc>
          <w:tcPr>
            <w:tcW w:w="2084" w:type="pct"/>
            <w:tcBorders>
              <w:bottom w:val="nil"/>
            </w:tcBorders>
          </w:tcPr>
          <w:p w14:paraId="47188A2F" w14:textId="77777777" w:rsidR="00D7609F" w:rsidRPr="00A24A89" w:rsidRDefault="00D7609F" w:rsidP="00535B73">
            <w:pPr>
              <w:pStyle w:val="TableText"/>
              <w:keepNext/>
              <w:keepLines/>
            </w:pPr>
            <w:r w:rsidRPr="00A24A89">
              <w:t>22 July 2019</w:t>
            </w:r>
          </w:p>
        </w:tc>
      </w:tr>
      <w:tr w:rsidR="00D7609F" w:rsidRPr="00A24A89" w14:paraId="7CF0429C" w14:textId="77777777" w:rsidTr="006419CD">
        <w:tc>
          <w:tcPr>
            <w:tcW w:w="954" w:type="pct"/>
            <w:tcBorders>
              <w:top w:val="nil"/>
            </w:tcBorders>
          </w:tcPr>
          <w:p w14:paraId="4C1A48A9" w14:textId="77777777" w:rsidR="00D7609F" w:rsidRPr="00A24A89" w:rsidRDefault="00D7609F" w:rsidP="00535B73">
            <w:pPr>
              <w:pStyle w:val="TableText"/>
              <w:keepNext/>
              <w:keepLines/>
            </w:pPr>
          </w:p>
        </w:tc>
        <w:tc>
          <w:tcPr>
            <w:tcW w:w="1962" w:type="pct"/>
            <w:tcBorders>
              <w:top w:val="nil"/>
            </w:tcBorders>
          </w:tcPr>
          <w:p w14:paraId="276261D3" w14:textId="77777777" w:rsidR="00D7609F" w:rsidRPr="00A24A89" w:rsidRDefault="00D7609F" w:rsidP="00535B73">
            <w:pPr>
              <w:pStyle w:val="TableText"/>
              <w:keepNext/>
              <w:keepLines/>
            </w:pPr>
            <w:r w:rsidRPr="00A24A89">
              <w:t>Pembrolizumab alone or with chemotherapy versus cetuximab with chemotherapy for recurrent or metastatic squamous cell carcinoma of the head and neck (KEYNOTE-048): a randomised, open-label, phase 3 study</w:t>
            </w:r>
          </w:p>
        </w:tc>
        <w:tc>
          <w:tcPr>
            <w:tcW w:w="2084" w:type="pct"/>
            <w:tcBorders>
              <w:top w:val="nil"/>
            </w:tcBorders>
          </w:tcPr>
          <w:p w14:paraId="044F9ABF" w14:textId="77777777" w:rsidR="00D7609F" w:rsidRPr="00A24A89" w:rsidRDefault="00D7609F" w:rsidP="00535B73">
            <w:pPr>
              <w:pStyle w:val="TableText"/>
              <w:keepNext/>
              <w:keepLines/>
            </w:pPr>
            <w:r w:rsidRPr="00A24A89">
              <w:t>Lancet. 2019;394(10212):1915-1928.</w:t>
            </w:r>
          </w:p>
        </w:tc>
      </w:tr>
    </w:tbl>
    <w:p w14:paraId="283867D7" w14:textId="77777777" w:rsidR="00D7609F" w:rsidRPr="00A24A89" w:rsidRDefault="00D7609F" w:rsidP="00535B73">
      <w:pPr>
        <w:pStyle w:val="TableFooter"/>
        <w:keepNext/>
        <w:keepLines/>
      </w:pPr>
      <w:r w:rsidRPr="00A24A89">
        <w:t>Source: Table 2.2-1, p35 of the resubmission</w:t>
      </w:r>
    </w:p>
    <w:p w14:paraId="16F45EAD" w14:textId="77777777" w:rsidR="00D7609F" w:rsidRPr="00A24A89" w:rsidRDefault="00D7609F" w:rsidP="00D7609F">
      <w:pPr>
        <w:pStyle w:val="ListParagraph"/>
        <w:numPr>
          <w:ilvl w:val="4"/>
          <w:numId w:val="1"/>
        </w:numPr>
      </w:pPr>
      <w:r w:rsidRPr="00A24A89">
        <w:t xml:space="preserve">Unlike in the previous submission </w:t>
      </w:r>
      <w:r w:rsidR="00535B73">
        <w:t xml:space="preserve">in which </w:t>
      </w:r>
      <w:r w:rsidRPr="00A24A89">
        <w:t xml:space="preserve">an indirect analysis using data from KN048 and EXTREME (using cetuximab plus chemotherapy as the common comparator) was presented as the main analysis, the resubmission based the clinical claim and economic model on the results of KN048 alone, </w:t>
      </w:r>
      <w:r w:rsidR="00535B73">
        <w:t xml:space="preserve">using 1L cetuximab + chemotherapy as a proxy for 1L chemotherapy alone, </w:t>
      </w:r>
      <w:r w:rsidRPr="00A24A89">
        <w:t xml:space="preserve">with the indirect comparison of KN048 and EXTREME used as supportive data. </w:t>
      </w:r>
      <w:r w:rsidR="00535B73">
        <w:t>Results from an additional 12 months of follow-up from KN048</w:t>
      </w:r>
      <w:r w:rsidR="00CB2B22">
        <w:t xml:space="preserve"> </w:t>
      </w:r>
      <w:r w:rsidR="008F0B8A">
        <w:t xml:space="preserve">with data </w:t>
      </w:r>
      <w:proofErr w:type="spellStart"/>
      <w:r w:rsidR="008F0B8A">
        <w:t>cut off</w:t>
      </w:r>
      <w:proofErr w:type="spellEnd"/>
      <w:r w:rsidR="008F0B8A">
        <w:t xml:space="preserve"> date of 18 February 2020 </w:t>
      </w:r>
      <w:r w:rsidR="00535B73">
        <w:t xml:space="preserve">(referred to as </w:t>
      </w:r>
      <w:proofErr w:type="gramStart"/>
      <w:r w:rsidR="00535B73">
        <w:t>four year</w:t>
      </w:r>
      <w:proofErr w:type="gramEnd"/>
      <w:r w:rsidR="00535B73">
        <w:t xml:space="preserve"> follow-up) compared to the previous submission </w:t>
      </w:r>
      <w:r w:rsidR="007662B9">
        <w:t xml:space="preserve">were </w:t>
      </w:r>
      <w:r w:rsidR="00535B73">
        <w:t xml:space="preserve">also presented. Results </w:t>
      </w:r>
      <w:r w:rsidR="007662B9">
        <w:t xml:space="preserve">presented in </w:t>
      </w:r>
      <w:r w:rsidR="00535B73">
        <w:t xml:space="preserve">the previous submission </w:t>
      </w:r>
      <w:r w:rsidR="007662B9">
        <w:t xml:space="preserve">(data </w:t>
      </w:r>
      <w:proofErr w:type="spellStart"/>
      <w:r w:rsidR="007662B9">
        <w:t>cut off</w:t>
      </w:r>
      <w:proofErr w:type="spellEnd"/>
      <w:r w:rsidR="007662B9">
        <w:t xml:space="preserve"> date </w:t>
      </w:r>
      <w:r w:rsidR="00CB2B22">
        <w:t>25 February 2019</w:t>
      </w:r>
      <w:r w:rsidR="007662B9">
        <w:t>) reflect</w:t>
      </w:r>
      <w:r w:rsidR="00FA0491">
        <w:t>ing</w:t>
      </w:r>
      <w:r w:rsidR="007662B9">
        <w:t xml:space="preserve"> the </w:t>
      </w:r>
      <w:r w:rsidR="00EF63EF">
        <w:t xml:space="preserve">planned </w:t>
      </w:r>
      <w:r w:rsidR="007662B9">
        <w:t xml:space="preserve">final </w:t>
      </w:r>
      <w:r w:rsidR="00EF63EF">
        <w:t xml:space="preserve">analysis </w:t>
      </w:r>
      <w:r w:rsidR="007662B9">
        <w:t>are also</w:t>
      </w:r>
      <w:r w:rsidR="00535B73">
        <w:t xml:space="preserve"> referred to </w:t>
      </w:r>
      <w:r w:rsidR="00EF63EF">
        <w:t xml:space="preserve">throughout </w:t>
      </w:r>
      <w:r w:rsidR="00535B73">
        <w:t xml:space="preserve">as </w:t>
      </w:r>
      <w:r w:rsidR="007662B9">
        <w:t xml:space="preserve">the </w:t>
      </w:r>
      <w:r w:rsidR="00535B73">
        <w:t>final analysis.</w:t>
      </w:r>
      <w:r w:rsidR="000F37A9">
        <w:t xml:space="preserve"> </w:t>
      </w:r>
    </w:p>
    <w:p w14:paraId="37E0D5D6" w14:textId="77777777" w:rsidR="00D7609F" w:rsidRPr="00A24A89" w:rsidRDefault="00BD789E" w:rsidP="00024DCD">
      <w:pPr>
        <w:pStyle w:val="Caption"/>
      </w:pPr>
      <w:r>
        <w:t xml:space="preserve">Table </w:t>
      </w:r>
      <w:r w:rsidR="008D43ED">
        <w:rPr>
          <w:noProof/>
        </w:rPr>
        <w:t>7</w:t>
      </w:r>
      <w:r w:rsidR="00024DCD">
        <w:t xml:space="preserve">: </w:t>
      </w:r>
      <w:r w:rsidR="00D7609F" w:rsidRPr="00A24A89">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features of the included evidence"/>
      </w:tblPr>
      <w:tblGrid>
        <w:gridCol w:w="1205"/>
        <w:gridCol w:w="748"/>
        <w:gridCol w:w="1587"/>
        <w:gridCol w:w="2946"/>
        <w:gridCol w:w="1205"/>
        <w:gridCol w:w="1325"/>
      </w:tblGrid>
      <w:tr w:rsidR="00D7609F" w:rsidRPr="00A24A89" w14:paraId="72C0E24B" w14:textId="77777777" w:rsidTr="006419CD">
        <w:tc>
          <w:tcPr>
            <w:tcW w:w="668" w:type="pct"/>
            <w:tcBorders>
              <w:top w:val="single" w:sz="4" w:space="0" w:color="auto"/>
              <w:left w:val="single" w:sz="4" w:space="0" w:color="auto"/>
              <w:bottom w:val="single" w:sz="4" w:space="0" w:color="auto"/>
              <w:right w:val="single" w:sz="4" w:space="0" w:color="auto"/>
            </w:tcBorders>
            <w:hideMark/>
          </w:tcPr>
          <w:p w14:paraId="4778350E" w14:textId="77777777" w:rsidR="00D7609F" w:rsidRPr="00A24A89" w:rsidRDefault="00D7609F" w:rsidP="00535B73">
            <w:pPr>
              <w:pStyle w:val="TableText"/>
              <w:keepNext/>
              <w:keepLines/>
              <w:spacing w:before="0" w:after="0" w:line="240" w:lineRule="auto"/>
              <w:jc w:val="center"/>
              <w:rPr>
                <w:b/>
              </w:rPr>
            </w:pPr>
            <w:r w:rsidRPr="00A24A89">
              <w:rPr>
                <w:b/>
              </w:rPr>
              <w:t>Trial</w:t>
            </w:r>
          </w:p>
        </w:tc>
        <w:tc>
          <w:tcPr>
            <w:tcW w:w="415" w:type="pct"/>
            <w:tcBorders>
              <w:top w:val="single" w:sz="4" w:space="0" w:color="auto"/>
              <w:left w:val="single" w:sz="4" w:space="0" w:color="auto"/>
              <w:bottom w:val="single" w:sz="4" w:space="0" w:color="auto"/>
              <w:right w:val="single" w:sz="4" w:space="0" w:color="auto"/>
            </w:tcBorders>
            <w:hideMark/>
          </w:tcPr>
          <w:p w14:paraId="69982A68" w14:textId="77777777" w:rsidR="00D7609F" w:rsidRPr="00A24A89" w:rsidRDefault="00D7609F" w:rsidP="00535B73">
            <w:pPr>
              <w:pStyle w:val="TableText"/>
              <w:keepNext/>
              <w:keepLines/>
              <w:spacing w:before="0" w:after="0" w:line="240" w:lineRule="auto"/>
              <w:jc w:val="center"/>
              <w:rPr>
                <w:b/>
              </w:rPr>
            </w:pPr>
            <w:r w:rsidRPr="00A24A89">
              <w:rPr>
                <w:b/>
              </w:rPr>
              <w:t>N</w:t>
            </w:r>
          </w:p>
        </w:tc>
        <w:tc>
          <w:tcPr>
            <w:tcW w:w="880" w:type="pct"/>
            <w:tcBorders>
              <w:top w:val="single" w:sz="4" w:space="0" w:color="auto"/>
              <w:left w:val="single" w:sz="4" w:space="0" w:color="auto"/>
              <w:bottom w:val="single" w:sz="4" w:space="0" w:color="auto"/>
              <w:right w:val="single" w:sz="4" w:space="0" w:color="auto"/>
            </w:tcBorders>
            <w:hideMark/>
          </w:tcPr>
          <w:p w14:paraId="0D9FCD33" w14:textId="77777777" w:rsidR="00D7609F" w:rsidRPr="00A24A89" w:rsidRDefault="00D7609F" w:rsidP="00535B73">
            <w:pPr>
              <w:pStyle w:val="TableText"/>
              <w:keepNext/>
              <w:keepLines/>
              <w:spacing w:before="0" w:after="0" w:line="240" w:lineRule="auto"/>
              <w:jc w:val="center"/>
              <w:rPr>
                <w:b/>
              </w:rPr>
            </w:pPr>
            <w:r w:rsidRPr="00A24A89">
              <w:rPr>
                <w:b/>
              </w:rPr>
              <w:t>Design, median follow up</w:t>
            </w:r>
          </w:p>
        </w:tc>
        <w:tc>
          <w:tcPr>
            <w:tcW w:w="1634" w:type="pct"/>
            <w:tcBorders>
              <w:top w:val="single" w:sz="4" w:space="0" w:color="auto"/>
              <w:left w:val="single" w:sz="4" w:space="0" w:color="auto"/>
              <w:bottom w:val="single" w:sz="4" w:space="0" w:color="auto"/>
              <w:right w:val="single" w:sz="4" w:space="0" w:color="auto"/>
            </w:tcBorders>
            <w:hideMark/>
          </w:tcPr>
          <w:p w14:paraId="468FC2D7" w14:textId="77777777" w:rsidR="00D7609F" w:rsidRPr="00A24A89" w:rsidRDefault="00D7609F" w:rsidP="00535B73">
            <w:pPr>
              <w:pStyle w:val="TableText"/>
              <w:keepNext/>
              <w:keepLines/>
              <w:spacing w:before="0" w:after="0" w:line="240" w:lineRule="auto"/>
              <w:jc w:val="center"/>
              <w:rPr>
                <w:b/>
              </w:rPr>
            </w:pPr>
            <w:r w:rsidRPr="00A24A89">
              <w:rPr>
                <w:b/>
              </w:rPr>
              <w:t>Patient population</w:t>
            </w:r>
          </w:p>
        </w:tc>
        <w:tc>
          <w:tcPr>
            <w:tcW w:w="668" w:type="pct"/>
            <w:tcBorders>
              <w:top w:val="single" w:sz="4" w:space="0" w:color="auto"/>
              <w:left w:val="single" w:sz="4" w:space="0" w:color="auto"/>
              <w:bottom w:val="single" w:sz="4" w:space="0" w:color="auto"/>
              <w:right w:val="single" w:sz="4" w:space="0" w:color="auto"/>
            </w:tcBorders>
            <w:hideMark/>
          </w:tcPr>
          <w:p w14:paraId="14329D7B" w14:textId="77777777" w:rsidR="00D7609F" w:rsidRPr="00A24A89" w:rsidRDefault="00D7609F" w:rsidP="00535B73">
            <w:pPr>
              <w:pStyle w:val="TableText"/>
              <w:keepNext/>
              <w:keepLines/>
              <w:spacing w:before="0" w:after="0" w:line="240" w:lineRule="auto"/>
              <w:jc w:val="center"/>
              <w:rPr>
                <w:b/>
              </w:rPr>
            </w:pPr>
            <w:r w:rsidRPr="00A24A89">
              <w:rPr>
                <w:b/>
              </w:rPr>
              <w:t>Outcome(s)</w:t>
            </w:r>
          </w:p>
        </w:tc>
        <w:tc>
          <w:tcPr>
            <w:tcW w:w="735" w:type="pct"/>
            <w:tcBorders>
              <w:top w:val="single" w:sz="4" w:space="0" w:color="auto"/>
              <w:left w:val="single" w:sz="4" w:space="0" w:color="auto"/>
              <w:bottom w:val="single" w:sz="4" w:space="0" w:color="auto"/>
              <w:right w:val="single" w:sz="4" w:space="0" w:color="auto"/>
            </w:tcBorders>
            <w:hideMark/>
          </w:tcPr>
          <w:p w14:paraId="74D03652" w14:textId="77777777" w:rsidR="00D7609F" w:rsidRPr="00A24A89" w:rsidRDefault="00D7609F" w:rsidP="00535B73">
            <w:pPr>
              <w:pStyle w:val="TableText"/>
              <w:keepNext/>
              <w:keepLines/>
              <w:spacing w:before="0" w:after="0" w:line="240" w:lineRule="auto"/>
              <w:jc w:val="center"/>
              <w:rPr>
                <w:b/>
              </w:rPr>
            </w:pPr>
            <w:r w:rsidRPr="00A24A89">
              <w:rPr>
                <w:b/>
              </w:rPr>
              <w:t>Use in modelled evaluation</w:t>
            </w:r>
          </w:p>
        </w:tc>
      </w:tr>
      <w:tr w:rsidR="00D7609F" w:rsidRPr="00A24A89" w14:paraId="2A2EA98F" w14:textId="77777777" w:rsidTr="006419CD">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CB656D9" w14:textId="77777777" w:rsidR="00D7609F" w:rsidRPr="00A24A89" w:rsidRDefault="00D7609F" w:rsidP="00535B73">
            <w:pPr>
              <w:pStyle w:val="TableText"/>
              <w:keepNext/>
              <w:keepLines/>
              <w:spacing w:before="0" w:after="0" w:line="240" w:lineRule="auto"/>
            </w:pPr>
            <w:r w:rsidRPr="00A24A89">
              <w:t>Pembrolizumab ± chemotherapy vs cetuximab plus chemotherapy</w:t>
            </w:r>
          </w:p>
        </w:tc>
      </w:tr>
      <w:tr w:rsidR="00D7609F" w:rsidRPr="00A24A89" w14:paraId="7DB90A97" w14:textId="77777777" w:rsidTr="006419CD">
        <w:tc>
          <w:tcPr>
            <w:tcW w:w="668" w:type="pct"/>
            <w:tcBorders>
              <w:top w:val="single" w:sz="4" w:space="0" w:color="auto"/>
              <w:left w:val="single" w:sz="4" w:space="0" w:color="auto"/>
              <w:bottom w:val="single" w:sz="4" w:space="0" w:color="auto"/>
              <w:right w:val="single" w:sz="4" w:space="0" w:color="auto"/>
            </w:tcBorders>
            <w:vAlign w:val="center"/>
            <w:hideMark/>
          </w:tcPr>
          <w:p w14:paraId="5B2BADFC" w14:textId="77777777" w:rsidR="00D7609F" w:rsidRPr="00A24A89" w:rsidRDefault="00D7609F" w:rsidP="00535B73">
            <w:pPr>
              <w:pStyle w:val="TableText"/>
              <w:keepNext/>
              <w:keepLines/>
              <w:spacing w:before="0" w:after="0" w:line="240" w:lineRule="auto"/>
            </w:pPr>
            <w:r w:rsidRPr="00A24A89">
              <w:t>KN048</w:t>
            </w:r>
          </w:p>
        </w:tc>
        <w:tc>
          <w:tcPr>
            <w:tcW w:w="415" w:type="pct"/>
            <w:tcBorders>
              <w:top w:val="single" w:sz="4" w:space="0" w:color="auto"/>
              <w:left w:val="single" w:sz="4" w:space="0" w:color="auto"/>
              <w:bottom w:val="single" w:sz="4" w:space="0" w:color="auto"/>
              <w:right w:val="single" w:sz="4" w:space="0" w:color="auto"/>
            </w:tcBorders>
            <w:vAlign w:val="center"/>
            <w:hideMark/>
          </w:tcPr>
          <w:p w14:paraId="35BE90FD" w14:textId="77777777" w:rsidR="00D7609F" w:rsidRPr="00A24A89" w:rsidRDefault="00D7609F" w:rsidP="00535B73">
            <w:pPr>
              <w:pStyle w:val="TableText"/>
              <w:keepNext/>
              <w:keepLines/>
              <w:spacing w:before="0" w:after="0" w:line="240" w:lineRule="auto"/>
            </w:pPr>
            <w:r w:rsidRPr="00A24A89">
              <w:t>882</w:t>
            </w:r>
          </w:p>
        </w:tc>
        <w:tc>
          <w:tcPr>
            <w:tcW w:w="880" w:type="pct"/>
            <w:tcBorders>
              <w:top w:val="single" w:sz="4" w:space="0" w:color="auto"/>
              <w:left w:val="single" w:sz="4" w:space="0" w:color="auto"/>
              <w:bottom w:val="single" w:sz="4" w:space="0" w:color="auto"/>
              <w:right w:val="single" w:sz="4" w:space="0" w:color="auto"/>
            </w:tcBorders>
            <w:vAlign w:val="center"/>
            <w:hideMark/>
          </w:tcPr>
          <w:p w14:paraId="6ACCF7B9" w14:textId="77777777" w:rsidR="00D7609F" w:rsidRPr="00A24A89" w:rsidRDefault="00D7609F" w:rsidP="00535B73">
            <w:pPr>
              <w:pStyle w:val="TableText"/>
              <w:keepNext/>
              <w:keepLines/>
              <w:spacing w:before="0" w:after="0" w:line="240" w:lineRule="auto"/>
            </w:pPr>
            <w:r w:rsidRPr="00A24A89">
              <w:t>Randomised, open label, 46 months</w:t>
            </w:r>
          </w:p>
        </w:tc>
        <w:tc>
          <w:tcPr>
            <w:tcW w:w="1634" w:type="pct"/>
            <w:tcBorders>
              <w:top w:val="single" w:sz="4" w:space="0" w:color="auto"/>
              <w:left w:val="single" w:sz="4" w:space="0" w:color="auto"/>
              <w:bottom w:val="single" w:sz="4" w:space="0" w:color="auto"/>
              <w:right w:val="single" w:sz="4" w:space="0" w:color="auto"/>
            </w:tcBorders>
            <w:vAlign w:val="center"/>
            <w:hideMark/>
          </w:tcPr>
          <w:p w14:paraId="54486ECA" w14:textId="77777777" w:rsidR="00D7609F" w:rsidRPr="00A24A89" w:rsidRDefault="00D7609F" w:rsidP="00535B73">
            <w:pPr>
              <w:pStyle w:val="TableText"/>
              <w:keepNext/>
              <w:keepLines/>
              <w:spacing w:before="0" w:after="0" w:line="240" w:lineRule="auto"/>
            </w:pPr>
            <w:r w:rsidRPr="00A24A89">
              <w:t xml:space="preserve">Previously untreated R/M HNSCC, disease unsuitable for local therapy with curative intent and ECOG PS 0-1, all PD-L1 status </w:t>
            </w:r>
          </w:p>
        </w:tc>
        <w:tc>
          <w:tcPr>
            <w:tcW w:w="668" w:type="pct"/>
            <w:tcBorders>
              <w:top w:val="single" w:sz="4" w:space="0" w:color="auto"/>
              <w:left w:val="single" w:sz="4" w:space="0" w:color="auto"/>
              <w:bottom w:val="single" w:sz="4" w:space="0" w:color="auto"/>
              <w:right w:val="single" w:sz="4" w:space="0" w:color="auto"/>
            </w:tcBorders>
            <w:vAlign w:val="center"/>
            <w:hideMark/>
          </w:tcPr>
          <w:p w14:paraId="79CF1B83" w14:textId="77777777" w:rsidR="00D7609F" w:rsidRPr="00A24A89" w:rsidRDefault="00D7609F" w:rsidP="00535B73">
            <w:pPr>
              <w:pStyle w:val="TableText"/>
              <w:keepNext/>
              <w:keepLines/>
              <w:spacing w:before="0" w:after="0" w:line="240" w:lineRule="auto"/>
            </w:pPr>
            <w:r w:rsidRPr="00A24A89">
              <w:t>OS, PFS</w:t>
            </w:r>
          </w:p>
        </w:tc>
        <w:tc>
          <w:tcPr>
            <w:tcW w:w="735" w:type="pct"/>
            <w:tcBorders>
              <w:top w:val="single" w:sz="4" w:space="0" w:color="auto"/>
              <w:left w:val="single" w:sz="4" w:space="0" w:color="auto"/>
              <w:bottom w:val="single" w:sz="4" w:space="0" w:color="auto"/>
              <w:right w:val="single" w:sz="4" w:space="0" w:color="auto"/>
            </w:tcBorders>
            <w:vAlign w:val="center"/>
            <w:hideMark/>
          </w:tcPr>
          <w:p w14:paraId="195F7285" w14:textId="77777777" w:rsidR="00D7609F" w:rsidRPr="00A24A89" w:rsidRDefault="00D7609F" w:rsidP="00535B73">
            <w:pPr>
              <w:pStyle w:val="TableText"/>
              <w:keepNext/>
              <w:keepLines/>
              <w:spacing w:before="0" w:after="0" w:line="240" w:lineRule="auto"/>
            </w:pPr>
            <w:r w:rsidRPr="00A24A89">
              <w:t xml:space="preserve">Informs OS, PFS, </w:t>
            </w:r>
            <w:proofErr w:type="spellStart"/>
            <w:r w:rsidRPr="00A24A89">
              <w:t>ToT</w:t>
            </w:r>
            <w:proofErr w:type="spellEnd"/>
            <w:r w:rsidRPr="00A24A89">
              <w:t>, AE resource use and utilities</w:t>
            </w:r>
          </w:p>
        </w:tc>
      </w:tr>
    </w:tbl>
    <w:p w14:paraId="3ED83E7D" w14:textId="77777777" w:rsidR="00D7609F" w:rsidRPr="00A24A89" w:rsidRDefault="00D7609F" w:rsidP="00535B73">
      <w:pPr>
        <w:pStyle w:val="TableFooter"/>
        <w:keepNext/>
        <w:keepLines/>
        <w:rPr>
          <w:i/>
        </w:rPr>
      </w:pPr>
      <w:r w:rsidRPr="00A24A89">
        <w:t xml:space="preserve">R/M = recurrent or metastatic, HNSCC = head and neck squamous cell carcinoma, ECOG = eastern cooperative oncology group, PD-L1 = programmed death ligand 1, OS = overall survival, PFS = progression free survival, </w:t>
      </w:r>
      <w:proofErr w:type="spellStart"/>
      <w:r w:rsidRPr="00A24A89">
        <w:t>ToT</w:t>
      </w:r>
      <w:proofErr w:type="spellEnd"/>
      <w:r w:rsidRPr="00A24A89">
        <w:t xml:space="preserve"> = time on treatment, AE = adverse event</w:t>
      </w:r>
    </w:p>
    <w:p w14:paraId="08E2102A" w14:textId="77777777" w:rsidR="00D7609F" w:rsidRPr="00A24A89" w:rsidRDefault="00D7609F" w:rsidP="00535B73">
      <w:pPr>
        <w:pStyle w:val="TableFooter"/>
        <w:keepNext/>
        <w:keepLines/>
      </w:pPr>
      <w:r w:rsidRPr="00A24A89">
        <w:t>Source: constructed during evaluation</w:t>
      </w:r>
    </w:p>
    <w:p w14:paraId="6392CB0F" w14:textId="77777777" w:rsidR="0058370E" w:rsidRPr="00A24A89" w:rsidRDefault="0058370E" w:rsidP="0058370E">
      <w:pPr>
        <w:pStyle w:val="ListParagraph"/>
        <w:numPr>
          <w:ilvl w:val="4"/>
          <w:numId w:val="1"/>
        </w:numPr>
        <w:rPr>
          <w:color w:val="auto"/>
        </w:rPr>
      </w:pPr>
      <w:r>
        <w:rPr>
          <w:color w:val="auto"/>
        </w:rPr>
        <w:t>D</w:t>
      </w:r>
      <w:r w:rsidRPr="00A24A89">
        <w:rPr>
          <w:color w:val="auto"/>
        </w:rPr>
        <w:t xml:space="preserve">espite the open label nature of the key clinical trial KN048, the risk of bias for the efficacy outcome of overall survival (OS) was considered low, as </w:t>
      </w:r>
      <w:r>
        <w:rPr>
          <w:color w:val="auto"/>
        </w:rPr>
        <w:t>it</w:t>
      </w:r>
      <w:r w:rsidRPr="00A24A89">
        <w:rPr>
          <w:color w:val="auto"/>
        </w:rPr>
        <w:t xml:space="preserve"> </w:t>
      </w:r>
      <w:r>
        <w:rPr>
          <w:color w:val="auto"/>
        </w:rPr>
        <w:t>is an</w:t>
      </w:r>
      <w:r w:rsidRPr="00A24A89">
        <w:rPr>
          <w:color w:val="auto"/>
        </w:rPr>
        <w:t xml:space="preserve"> objective</w:t>
      </w:r>
      <w:r>
        <w:rPr>
          <w:color w:val="auto"/>
        </w:rPr>
        <w:t xml:space="preserve"> measure</w:t>
      </w:r>
      <w:r w:rsidRPr="00A24A89">
        <w:rPr>
          <w:color w:val="auto"/>
        </w:rPr>
        <w:t>.</w:t>
      </w:r>
    </w:p>
    <w:p w14:paraId="1184FA4F" w14:textId="77777777" w:rsidR="00FB22D0" w:rsidRPr="00093440" w:rsidRDefault="00FB22D0" w:rsidP="00FB22D0">
      <w:pPr>
        <w:pStyle w:val="ListParagraph"/>
        <w:numPr>
          <w:ilvl w:val="4"/>
          <w:numId w:val="1"/>
        </w:numPr>
        <w:rPr>
          <w:color w:val="auto"/>
        </w:rPr>
      </w:pPr>
      <w:r w:rsidRPr="00093440">
        <w:rPr>
          <w:color w:val="auto"/>
        </w:rPr>
        <w:t>KN048 underwent many protocol changes. These included:</w:t>
      </w:r>
    </w:p>
    <w:p w14:paraId="358365D7" w14:textId="77777777" w:rsidR="00FB22D0" w:rsidRPr="00093440" w:rsidRDefault="00FB22D0" w:rsidP="00FB22D0">
      <w:pPr>
        <w:pStyle w:val="ListParagraph"/>
        <w:numPr>
          <w:ilvl w:val="0"/>
          <w:numId w:val="19"/>
        </w:numPr>
        <w:ind w:left="993" w:hanging="284"/>
        <w:rPr>
          <w:color w:val="auto"/>
        </w:rPr>
      </w:pPr>
      <w:r w:rsidRPr="00093440">
        <w:rPr>
          <w:color w:val="auto"/>
        </w:rPr>
        <w:t xml:space="preserve">OS was moved from a secondary efficacy endpoint to a primary </w:t>
      </w:r>
      <w:proofErr w:type="gramStart"/>
      <w:r w:rsidRPr="00093440">
        <w:rPr>
          <w:color w:val="auto"/>
        </w:rPr>
        <w:t>endpoint;</w:t>
      </w:r>
      <w:proofErr w:type="gramEnd"/>
    </w:p>
    <w:p w14:paraId="0CE6CB57" w14:textId="77777777" w:rsidR="00FB22D0" w:rsidRPr="00093440" w:rsidRDefault="00FB22D0" w:rsidP="00FB22D0">
      <w:pPr>
        <w:pStyle w:val="ListParagraph"/>
        <w:numPr>
          <w:ilvl w:val="0"/>
          <w:numId w:val="19"/>
        </w:numPr>
        <w:ind w:left="993" w:hanging="284"/>
        <w:rPr>
          <w:color w:val="auto"/>
        </w:rPr>
      </w:pPr>
      <w:r w:rsidRPr="00093440">
        <w:rPr>
          <w:color w:val="auto"/>
        </w:rPr>
        <w:t xml:space="preserve">The definition of the PD-L1 positive subpopulations were updated from TPS to CPS. The resubmission clarified that the KN048 remained stratified by TPS </w:t>
      </w:r>
      <w:proofErr w:type="gramStart"/>
      <w:r w:rsidRPr="00093440">
        <w:rPr>
          <w:color w:val="auto"/>
        </w:rPr>
        <w:t>throughout;</w:t>
      </w:r>
      <w:proofErr w:type="gramEnd"/>
    </w:p>
    <w:p w14:paraId="0D13811B" w14:textId="77777777" w:rsidR="00FB22D0" w:rsidRPr="00093440" w:rsidRDefault="00FB22D0" w:rsidP="00FB22D0">
      <w:pPr>
        <w:pStyle w:val="ListParagraph"/>
        <w:numPr>
          <w:ilvl w:val="0"/>
          <w:numId w:val="19"/>
        </w:numPr>
        <w:ind w:left="993" w:hanging="284"/>
        <w:rPr>
          <w:color w:val="auto"/>
        </w:rPr>
      </w:pPr>
      <w:r w:rsidRPr="00093440">
        <w:rPr>
          <w:color w:val="auto"/>
        </w:rPr>
        <w:lastRenderedPageBreak/>
        <w:t xml:space="preserve">Added hypotheses for PFS and OS superiority in the biomarker-positive subpopulation comparison of pembrolizumab in combination with chemotherapy versus the comparator </w:t>
      </w:r>
      <w:proofErr w:type="gramStart"/>
      <w:r w:rsidRPr="00093440">
        <w:rPr>
          <w:color w:val="auto"/>
        </w:rPr>
        <w:t>arm;</w:t>
      </w:r>
      <w:proofErr w:type="gramEnd"/>
    </w:p>
    <w:p w14:paraId="404C9AA3" w14:textId="77777777" w:rsidR="00FB22D0" w:rsidRPr="00093440" w:rsidRDefault="00FB22D0" w:rsidP="00FB22D0">
      <w:pPr>
        <w:pStyle w:val="ListParagraph"/>
        <w:numPr>
          <w:ilvl w:val="0"/>
          <w:numId w:val="19"/>
        </w:numPr>
        <w:ind w:left="993" w:hanging="284"/>
        <w:rPr>
          <w:color w:val="auto"/>
        </w:rPr>
      </w:pPr>
      <w:r w:rsidRPr="00093440">
        <w:rPr>
          <w:color w:val="auto"/>
        </w:rPr>
        <w:t>Updates to the statistical methods, power and sample size calculation, multiplicity strategy and analysis plans.</w:t>
      </w:r>
    </w:p>
    <w:p w14:paraId="55D53109" w14:textId="77777777" w:rsidR="00FB22D0" w:rsidRDefault="00FB22D0" w:rsidP="00FB22D0">
      <w:pPr>
        <w:pStyle w:val="ListParagraph"/>
        <w:numPr>
          <w:ilvl w:val="4"/>
          <w:numId w:val="1"/>
        </w:numPr>
        <w:rPr>
          <w:color w:val="auto"/>
        </w:rPr>
      </w:pPr>
      <w:r w:rsidRPr="00780204">
        <w:rPr>
          <w:color w:val="auto"/>
        </w:rPr>
        <w:t>The resubmission acknowledged that ten protocol amendments were made during the KN048 trial, with some of these amendments potentially leading to misunderstandings during the previous</w:t>
      </w:r>
      <w:r w:rsidR="00680F31">
        <w:rPr>
          <w:color w:val="auto"/>
        </w:rPr>
        <w:t xml:space="preserve"> </w:t>
      </w:r>
      <w:r w:rsidRPr="00780204">
        <w:rPr>
          <w:color w:val="auto"/>
        </w:rPr>
        <w:t>submission. The resubmission sought to clarify these issues</w:t>
      </w:r>
      <w:r>
        <w:rPr>
          <w:color w:val="auto"/>
        </w:rPr>
        <w:t>:</w:t>
      </w:r>
    </w:p>
    <w:p w14:paraId="6EC70D98" w14:textId="77777777" w:rsidR="00FB22D0" w:rsidRDefault="00FB22D0" w:rsidP="00FB22D0">
      <w:pPr>
        <w:pStyle w:val="ListParagraph"/>
        <w:numPr>
          <w:ilvl w:val="0"/>
          <w:numId w:val="19"/>
        </w:numPr>
        <w:ind w:left="993" w:hanging="284"/>
        <w:rPr>
          <w:iCs/>
          <w:color w:val="auto"/>
        </w:rPr>
      </w:pPr>
      <w:r w:rsidRPr="00780204">
        <w:rPr>
          <w:iCs/>
          <w:color w:val="auto"/>
        </w:rPr>
        <w:t xml:space="preserve">TPS ≥50% was used as a stratification factor during enrolment. During KN048 the primary objectives of the trial were altered to include analysis of </w:t>
      </w:r>
      <w:r>
        <w:rPr>
          <w:iCs/>
          <w:color w:val="auto"/>
        </w:rPr>
        <w:t>OS</w:t>
      </w:r>
      <w:r w:rsidRPr="00780204">
        <w:rPr>
          <w:iCs/>
          <w:color w:val="auto"/>
        </w:rPr>
        <w:t xml:space="preserve"> and progression-free survival by CPS ≥1 and CPS ≥20 instead of TPS, based on early data from KN012 and KN055 (a non-randomised phase 2 study of pembrolizumab in patients with R/M HNSCC in whom platinum and cetuximab therapy failed). No change was made to the stratification of KN048, and it remained TPS ≥50% to maintain the internal validity of the trial (</w:t>
      </w:r>
      <w:r w:rsidRPr="008D405B">
        <w:rPr>
          <w:iCs/>
          <w:color w:val="auto"/>
        </w:rPr>
        <w:t>Global amendment 5</w:t>
      </w:r>
      <w:r w:rsidRPr="00780204">
        <w:rPr>
          <w:iCs/>
          <w:color w:val="auto"/>
        </w:rPr>
        <w:t>).</w:t>
      </w:r>
    </w:p>
    <w:p w14:paraId="65616C90" w14:textId="77777777" w:rsidR="00FB22D0" w:rsidRPr="00F15D6E" w:rsidRDefault="00FB22D0" w:rsidP="00FB22D0">
      <w:pPr>
        <w:pStyle w:val="ListParagraph"/>
        <w:numPr>
          <w:ilvl w:val="0"/>
          <w:numId w:val="19"/>
        </w:numPr>
        <w:ind w:left="993" w:hanging="284"/>
        <w:rPr>
          <w:iCs/>
          <w:color w:val="auto"/>
        </w:rPr>
      </w:pPr>
      <w:r w:rsidRPr="00CD4A79">
        <w:rPr>
          <w:iCs/>
          <w:color w:val="auto"/>
        </w:rPr>
        <w:t>While there was a protocol amendment (Global Amendment 1) made to ensure inclusio</w:t>
      </w:r>
      <w:r w:rsidRPr="00893B28">
        <w:rPr>
          <w:iCs/>
          <w:color w:val="auto"/>
        </w:rPr>
        <w:t>n of additional</w:t>
      </w:r>
      <w:r w:rsidRPr="00DB577B">
        <w:rPr>
          <w:iCs/>
          <w:color w:val="auto"/>
        </w:rPr>
        <w:t xml:space="preserve"> patients with strongly positive PD-L1 expression, this amendment was </w:t>
      </w:r>
      <w:r w:rsidRPr="00EC6A4B">
        <w:rPr>
          <w:iCs/>
          <w:color w:val="auto"/>
        </w:rPr>
        <w:t>subsequently superseded (Global amendment 5) and was not implemented. Consequently, there was no enrichment of TPS</w:t>
      </w:r>
      <w:r>
        <w:rPr>
          <w:iCs/>
          <w:color w:val="auto"/>
        </w:rPr>
        <w:t xml:space="preserve"> </w:t>
      </w:r>
      <w:r w:rsidRPr="00436667">
        <w:rPr>
          <w:rFonts w:cstheme="minorHAnsi"/>
          <w:iCs/>
          <w:color w:val="auto"/>
        </w:rPr>
        <w:t>≥</w:t>
      </w:r>
      <w:r w:rsidRPr="00436667">
        <w:rPr>
          <w:iCs/>
          <w:color w:val="auto"/>
        </w:rPr>
        <w:t>50% patients.</w:t>
      </w:r>
    </w:p>
    <w:p w14:paraId="658EC353" w14:textId="77777777" w:rsidR="00FB22D0" w:rsidRPr="00BA042F" w:rsidRDefault="00FB22D0" w:rsidP="001E1223">
      <w:pPr>
        <w:pStyle w:val="ListParagraph"/>
        <w:numPr>
          <w:ilvl w:val="4"/>
          <w:numId w:val="1"/>
        </w:numPr>
        <w:rPr>
          <w:rFonts w:ascii="Calibri" w:eastAsia="Calibri" w:hAnsi="Calibri" w:cs="Calibri"/>
        </w:rPr>
      </w:pPr>
      <w:r w:rsidRPr="00AD0F2A">
        <w:rPr>
          <w:color w:val="auto"/>
        </w:rPr>
        <w:t xml:space="preserve">The resubmission </w:t>
      </w:r>
      <w:r>
        <w:rPr>
          <w:color w:val="auto"/>
        </w:rPr>
        <w:t>stated</w:t>
      </w:r>
      <w:r w:rsidRPr="00AD0F2A">
        <w:rPr>
          <w:color w:val="auto"/>
        </w:rPr>
        <w:t xml:space="preserve"> that a multiplicity strategy was used in KN048 to determine the statistical significance of analyses whereby the group-sequential approach was used to allocate alpha between the interim and final </w:t>
      </w:r>
      <w:r w:rsidRPr="00C9746C">
        <w:rPr>
          <w:color w:val="auto"/>
        </w:rPr>
        <w:t>analyses</w:t>
      </w:r>
      <w:r w:rsidRPr="00E30B6C">
        <w:rPr>
          <w:rFonts w:cstheme="minorHAnsi"/>
        </w:rPr>
        <w:t xml:space="preserve">. </w:t>
      </w:r>
      <w:r w:rsidRPr="00E30B6C">
        <w:rPr>
          <w:rFonts w:ascii="Calibri" w:eastAsia="Calibri" w:hAnsi="Calibri" w:cs="Calibri"/>
        </w:rPr>
        <w:t>The allocation of alpha across the hypotheses changed during KN048. There were substantial changes to the trial from the protocol to interim analysis 2. This included the addition of new hypothes</w:t>
      </w:r>
      <w:r>
        <w:rPr>
          <w:rFonts w:ascii="Calibri" w:eastAsia="Calibri" w:hAnsi="Calibri" w:cs="Calibri"/>
        </w:rPr>
        <w:t>e</w:t>
      </w:r>
      <w:r w:rsidRPr="00E30B6C">
        <w:rPr>
          <w:rFonts w:ascii="Calibri" w:eastAsia="Calibri" w:hAnsi="Calibri" w:cs="Calibri"/>
        </w:rPr>
        <w:t xml:space="preserve">s and reallocating alpha away from PFS outcomes. </w:t>
      </w:r>
    </w:p>
    <w:p w14:paraId="30E84063" w14:textId="77777777" w:rsidR="00FB22D0" w:rsidRPr="00FB22D0" w:rsidRDefault="00FB22D0" w:rsidP="00FB22D0">
      <w:pPr>
        <w:pStyle w:val="ListParagraph"/>
        <w:numPr>
          <w:ilvl w:val="4"/>
          <w:numId w:val="1"/>
        </w:numPr>
        <w:rPr>
          <w:color w:val="auto"/>
        </w:rPr>
      </w:pPr>
      <w:r w:rsidRPr="00A24A89">
        <w:t>The resubmission concluded that, based on the statistical analysis plan, statistical significance for pembrolizumab monotherapy and pembrolizumab plus chemotherapy over SoC was demonstrated for the CPS</w:t>
      </w:r>
      <w:r w:rsidR="00330F2C">
        <w:t xml:space="preserve"> </w:t>
      </w:r>
      <w:r w:rsidRPr="00A24A89">
        <w:t>≥20 and then the CPS ≥1 population</w:t>
      </w:r>
      <w:r>
        <w:t xml:space="preserve">. </w:t>
      </w:r>
      <w:r w:rsidRPr="00093440">
        <w:rPr>
          <w:color w:val="auto"/>
        </w:rPr>
        <w:t>The ESCs noted that statistical significance was demonstrated for pembrolizumab monotherapy in the CP</w:t>
      </w:r>
      <w:r>
        <w:rPr>
          <w:color w:val="auto"/>
        </w:rPr>
        <w:t xml:space="preserve">S </w:t>
      </w:r>
      <w:r w:rsidRPr="00093440">
        <w:rPr>
          <w:rFonts w:cstheme="minorHAnsi"/>
          <w:color w:val="auto"/>
        </w:rPr>
        <w:t>≥</w:t>
      </w:r>
      <w:r w:rsidRPr="00093440">
        <w:rPr>
          <w:color w:val="auto"/>
        </w:rPr>
        <w:t xml:space="preserve">20 population based on the statistical analysis plan for KN048 described in the resubmission. </w:t>
      </w:r>
    </w:p>
    <w:p w14:paraId="58FAEBC2" w14:textId="77777777" w:rsidR="00D7609F" w:rsidRDefault="00D7609F" w:rsidP="00D7609F">
      <w:pPr>
        <w:pStyle w:val="ListParagraph"/>
        <w:numPr>
          <w:ilvl w:val="4"/>
          <w:numId w:val="1"/>
        </w:numPr>
      </w:pPr>
      <w:r w:rsidRPr="00A24A89">
        <w:t xml:space="preserve">The </w:t>
      </w:r>
      <w:r w:rsidR="00535B73">
        <w:t xml:space="preserve">OS </w:t>
      </w:r>
      <w:r w:rsidRPr="00A24A89">
        <w:t xml:space="preserve">results of patients in KN048 are </w:t>
      </w:r>
      <w:r w:rsidR="00643BA3">
        <w:t>presented in</w:t>
      </w:r>
      <w:r w:rsidRPr="00A24A89">
        <w:t xml:space="preserve"> </w:t>
      </w:r>
      <w:r w:rsidR="008D43ED">
        <w:t xml:space="preserve">Table </w:t>
      </w:r>
      <w:r w:rsidR="008D43ED">
        <w:rPr>
          <w:noProof/>
        </w:rPr>
        <w:t>8</w:t>
      </w:r>
      <w:r w:rsidR="00BD789E">
        <w:t xml:space="preserve"> </w:t>
      </w:r>
      <w:r w:rsidR="00CD6C99">
        <w:t>(final analysis)</w:t>
      </w:r>
      <w:r w:rsidR="006A6503">
        <w:t>, and</w:t>
      </w:r>
      <w:r w:rsidR="00643BA3">
        <w:t xml:space="preserve"> in</w:t>
      </w:r>
      <w:r w:rsidR="004206D4">
        <w:t xml:space="preserve"> </w:t>
      </w:r>
      <w:r w:rsidR="008D43ED">
        <w:t xml:space="preserve">Table </w:t>
      </w:r>
      <w:r w:rsidR="008D43ED">
        <w:rPr>
          <w:noProof/>
        </w:rPr>
        <w:t>9</w:t>
      </w:r>
      <w:r w:rsidR="00BA042F">
        <w:t xml:space="preserve"> </w:t>
      </w:r>
      <w:r w:rsidR="00CD6C99">
        <w:t>(</w:t>
      </w:r>
      <w:proofErr w:type="gramStart"/>
      <w:r w:rsidR="00CD6C99">
        <w:t>four year</w:t>
      </w:r>
      <w:proofErr w:type="gramEnd"/>
      <w:r w:rsidR="00CD6C99">
        <w:t xml:space="preserve"> follow-up)</w:t>
      </w:r>
      <w:r w:rsidRPr="0017405A">
        <w:t>.</w:t>
      </w:r>
      <w:r w:rsidR="00643BA3" w:rsidRPr="0017405A">
        <w:rPr>
          <w:iCs/>
        </w:rPr>
        <w:t xml:space="preserve"> </w:t>
      </w:r>
      <w:r w:rsidR="008D43ED">
        <w:t xml:space="preserve">Figure </w:t>
      </w:r>
      <w:r w:rsidR="008D43ED">
        <w:rPr>
          <w:noProof/>
        </w:rPr>
        <w:t>1</w:t>
      </w:r>
      <w:r w:rsidR="00BD789E">
        <w:rPr>
          <w:iCs/>
        </w:rPr>
        <w:t xml:space="preserve"> and </w:t>
      </w:r>
      <w:r w:rsidR="008D43ED">
        <w:t xml:space="preserve">Figure </w:t>
      </w:r>
      <w:r w:rsidR="008D43ED">
        <w:rPr>
          <w:noProof/>
        </w:rPr>
        <w:t>2</w:t>
      </w:r>
      <w:r w:rsidR="00535B73">
        <w:t xml:space="preserve"> </w:t>
      </w:r>
      <w:r w:rsidRPr="00A24A89">
        <w:t>present the Kaplan Meier curves for KN048 updated with 12 months of additional follow up data.</w:t>
      </w:r>
      <w:r w:rsidR="004206D4">
        <w:t xml:space="preserve"> </w:t>
      </w:r>
      <w:r w:rsidR="004206D4" w:rsidRPr="00BA042F">
        <w:t>OS HR for the complement to the subgroups and tests for interaction are provided in</w:t>
      </w:r>
      <w:r w:rsidR="000F37A9">
        <w:t xml:space="preserve"> </w:t>
      </w:r>
      <w:r w:rsidR="008D43ED">
        <w:t xml:space="preserve">Table </w:t>
      </w:r>
      <w:r w:rsidR="008D43ED">
        <w:rPr>
          <w:noProof/>
        </w:rPr>
        <w:t>14</w:t>
      </w:r>
      <w:r w:rsidR="000F37A9">
        <w:t xml:space="preserve"> (claim of </w:t>
      </w:r>
      <w:proofErr w:type="spellStart"/>
      <w:r w:rsidR="000F37A9">
        <w:t>codependence</w:t>
      </w:r>
      <w:proofErr w:type="spellEnd"/>
      <w:r w:rsidR="000F37A9">
        <w:t xml:space="preserve"> section)</w:t>
      </w:r>
      <w:r w:rsidR="004206D4" w:rsidRPr="00BA042F">
        <w:t>.</w:t>
      </w:r>
    </w:p>
    <w:p w14:paraId="2D334A7E" w14:textId="77777777" w:rsidR="00B6659F" w:rsidRPr="00A24A89" w:rsidRDefault="00B6659F" w:rsidP="00D7609F">
      <w:pPr>
        <w:pStyle w:val="ListParagraph"/>
        <w:numPr>
          <w:ilvl w:val="4"/>
          <w:numId w:val="1"/>
        </w:numPr>
      </w:pPr>
      <w:r>
        <w:t>The PBAC noted that KN048 was not powered to detect a difference between monotherapy and combination therapy.</w:t>
      </w:r>
    </w:p>
    <w:p w14:paraId="23BD9586" w14:textId="77777777" w:rsidR="006A6503" w:rsidRPr="0084663E" w:rsidRDefault="00BD789E" w:rsidP="00024DCD">
      <w:pPr>
        <w:pStyle w:val="Caption"/>
      </w:pPr>
      <w:bookmarkStart w:id="40" w:name="_Ref80066022"/>
      <w:bookmarkStart w:id="41" w:name="_Ref80064403"/>
      <w:r>
        <w:lastRenderedPageBreak/>
        <w:t xml:space="preserve">Table </w:t>
      </w:r>
      <w:r w:rsidR="008D43ED">
        <w:rPr>
          <w:noProof/>
        </w:rPr>
        <w:t>8</w:t>
      </w:r>
      <w:bookmarkEnd w:id="40"/>
      <w:r w:rsidR="00024DCD">
        <w:t xml:space="preserve">: </w:t>
      </w:r>
      <w:r w:rsidR="006A6503" w:rsidRPr="0084663E">
        <w:t>Overall survival in KN048 by CPS status</w:t>
      </w:r>
      <w:r w:rsidR="00643BA3" w:rsidRPr="00643BA3">
        <w:t xml:space="preserve"> at final analysis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8: Overall survival in KN048 by CPS status at final analysis"/>
      </w:tblPr>
      <w:tblGrid>
        <w:gridCol w:w="1271"/>
        <w:gridCol w:w="1276"/>
        <w:gridCol w:w="1417"/>
        <w:gridCol w:w="1276"/>
        <w:gridCol w:w="1418"/>
        <w:gridCol w:w="1559"/>
        <w:gridCol w:w="799"/>
      </w:tblGrid>
      <w:tr w:rsidR="0017405A" w:rsidRPr="0084663E" w14:paraId="4B36EBE5"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3B1DEFAD" w14:textId="77777777" w:rsidR="0017405A" w:rsidRPr="0084663E" w:rsidRDefault="0017405A" w:rsidP="002E792B">
            <w:pPr>
              <w:pStyle w:val="Tabletext0"/>
              <w:keepNext/>
              <w:keepLines/>
            </w:pPr>
          </w:p>
        </w:tc>
        <w:tc>
          <w:tcPr>
            <w:tcW w:w="2693" w:type="dxa"/>
            <w:gridSpan w:val="2"/>
            <w:shd w:val="clear" w:color="auto" w:fill="auto"/>
            <w:vAlign w:val="center"/>
          </w:tcPr>
          <w:p w14:paraId="068089F5" w14:textId="77777777" w:rsidR="0017405A" w:rsidRPr="0084663E" w:rsidRDefault="0017405A" w:rsidP="002E792B">
            <w:pPr>
              <w:pStyle w:val="Tabletext0"/>
              <w:keepNext/>
              <w:keepLines/>
              <w:jc w:val="center"/>
            </w:pPr>
            <w:r w:rsidRPr="0084663E">
              <w:t>Pembrolizumab</w:t>
            </w:r>
          </w:p>
        </w:tc>
        <w:tc>
          <w:tcPr>
            <w:tcW w:w="2694" w:type="dxa"/>
            <w:gridSpan w:val="2"/>
            <w:shd w:val="clear" w:color="auto" w:fill="auto"/>
            <w:vAlign w:val="center"/>
          </w:tcPr>
          <w:p w14:paraId="0C3921C5" w14:textId="77777777" w:rsidR="0017405A" w:rsidRPr="0084663E" w:rsidRDefault="0017405A" w:rsidP="002E792B">
            <w:pPr>
              <w:pStyle w:val="Tabletext0"/>
              <w:keepNext/>
              <w:keepLines/>
              <w:jc w:val="center"/>
            </w:pPr>
            <w:r w:rsidRPr="0084663E">
              <w:t>Cetuximab + chemotherapy</w:t>
            </w:r>
          </w:p>
        </w:tc>
        <w:tc>
          <w:tcPr>
            <w:tcW w:w="1559" w:type="dxa"/>
            <w:vMerge w:val="restart"/>
            <w:shd w:val="clear" w:color="auto" w:fill="auto"/>
            <w:vAlign w:val="center"/>
          </w:tcPr>
          <w:p w14:paraId="06D14B07" w14:textId="77777777" w:rsidR="0017405A" w:rsidRPr="00BC3CD3" w:rsidRDefault="0017405A" w:rsidP="002E792B">
            <w:pPr>
              <w:pStyle w:val="Tabletext0"/>
              <w:keepNext/>
              <w:keepLines/>
              <w:jc w:val="center"/>
              <w:rPr>
                <w:bCs/>
              </w:rPr>
            </w:pPr>
            <w:r w:rsidRPr="00BC3CD3">
              <w:rPr>
                <w:bCs/>
              </w:rPr>
              <w:t>OS HR (95%CI)</w:t>
            </w:r>
          </w:p>
        </w:tc>
        <w:tc>
          <w:tcPr>
            <w:tcW w:w="799" w:type="dxa"/>
            <w:vMerge w:val="restart"/>
            <w:shd w:val="clear" w:color="auto" w:fill="auto"/>
            <w:vAlign w:val="center"/>
          </w:tcPr>
          <w:p w14:paraId="2637F175" w14:textId="77777777" w:rsidR="0017405A" w:rsidRPr="00BC3CD3" w:rsidRDefault="0017405A" w:rsidP="002E792B">
            <w:pPr>
              <w:pStyle w:val="Tabletext0"/>
              <w:keepNext/>
              <w:keepLines/>
              <w:jc w:val="center"/>
              <w:rPr>
                <w:bCs/>
              </w:rPr>
            </w:pPr>
            <w:r w:rsidRPr="00BC3CD3">
              <w:rPr>
                <w:bCs/>
              </w:rPr>
              <w:t>p-value</w:t>
            </w:r>
          </w:p>
        </w:tc>
      </w:tr>
      <w:tr w:rsidR="0017405A" w:rsidRPr="00BC3CD3" w14:paraId="1FB1EECF"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15049A98" w14:textId="77777777" w:rsidR="0017405A" w:rsidRPr="00BC3CD3" w:rsidRDefault="0017405A" w:rsidP="002E792B">
            <w:pPr>
              <w:pStyle w:val="Tabletext0"/>
              <w:keepNext/>
              <w:keepLines/>
              <w:jc w:val="center"/>
              <w:rPr>
                <w:b w:val="0"/>
              </w:rPr>
            </w:pPr>
          </w:p>
        </w:tc>
        <w:tc>
          <w:tcPr>
            <w:tcW w:w="1276" w:type="dxa"/>
            <w:shd w:val="clear" w:color="auto" w:fill="auto"/>
            <w:vAlign w:val="center"/>
          </w:tcPr>
          <w:p w14:paraId="6CAB69FF" w14:textId="77777777" w:rsidR="0017405A" w:rsidRPr="00BC3CD3" w:rsidRDefault="0017405A" w:rsidP="002E792B">
            <w:pPr>
              <w:pStyle w:val="Tabletext0"/>
              <w:keepNext/>
              <w:keepLines/>
              <w:jc w:val="center"/>
              <w:rPr>
                <w:b w:val="0"/>
              </w:rPr>
            </w:pPr>
            <w:r w:rsidRPr="00BC3CD3">
              <w:t>Deaths, n/N (%)</w:t>
            </w:r>
          </w:p>
        </w:tc>
        <w:tc>
          <w:tcPr>
            <w:tcW w:w="1417" w:type="dxa"/>
            <w:shd w:val="clear" w:color="auto" w:fill="auto"/>
            <w:vAlign w:val="center"/>
          </w:tcPr>
          <w:p w14:paraId="070E3EFF" w14:textId="77777777" w:rsidR="0017405A" w:rsidRPr="00BC3CD3" w:rsidRDefault="0017405A" w:rsidP="002E792B">
            <w:pPr>
              <w:pStyle w:val="Tabletext0"/>
              <w:keepNext/>
              <w:keepLines/>
              <w:jc w:val="center"/>
              <w:rPr>
                <w:b w:val="0"/>
              </w:rPr>
            </w:pPr>
            <w:r w:rsidRPr="00BC3CD3">
              <w:t>Median OS months (95%CI)</w:t>
            </w:r>
          </w:p>
        </w:tc>
        <w:tc>
          <w:tcPr>
            <w:tcW w:w="1276" w:type="dxa"/>
            <w:shd w:val="clear" w:color="auto" w:fill="auto"/>
            <w:vAlign w:val="center"/>
          </w:tcPr>
          <w:p w14:paraId="48936AB8" w14:textId="77777777" w:rsidR="0017405A" w:rsidRPr="00BC3CD3" w:rsidRDefault="0017405A" w:rsidP="002E792B">
            <w:pPr>
              <w:pStyle w:val="Tabletext0"/>
              <w:keepNext/>
              <w:keepLines/>
              <w:jc w:val="center"/>
              <w:rPr>
                <w:b w:val="0"/>
              </w:rPr>
            </w:pPr>
            <w:r w:rsidRPr="00BC3CD3">
              <w:t>Deaths, n/N (%)</w:t>
            </w:r>
          </w:p>
        </w:tc>
        <w:tc>
          <w:tcPr>
            <w:tcW w:w="1418" w:type="dxa"/>
            <w:shd w:val="clear" w:color="auto" w:fill="auto"/>
            <w:vAlign w:val="center"/>
          </w:tcPr>
          <w:p w14:paraId="5A71E384" w14:textId="77777777" w:rsidR="0017405A" w:rsidRPr="00BC3CD3" w:rsidRDefault="0017405A" w:rsidP="002E792B">
            <w:pPr>
              <w:pStyle w:val="Tabletext0"/>
              <w:keepNext/>
              <w:keepLines/>
              <w:jc w:val="center"/>
              <w:rPr>
                <w:b w:val="0"/>
              </w:rPr>
            </w:pPr>
            <w:r w:rsidRPr="00BC3CD3">
              <w:t>Median OS months (95%CI)</w:t>
            </w:r>
          </w:p>
        </w:tc>
        <w:tc>
          <w:tcPr>
            <w:tcW w:w="1559" w:type="dxa"/>
            <w:vMerge/>
            <w:shd w:val="clear" w:color="auto" w:fill="auto"/>
            <w:vAlign w:val="center"/>
          </w:tcPr>
          <w:p w14:paraId="5E323484" w14:textId="77777777" w:rsidR="0017405A" w:rsidRPr="00BC3CD3" w:rsidRDefault="0017405A" w:rsidP="002E792B">
            <w:pPr>
              <w:pStyle w:val="Tabletext0"/>
              <w:keepNext/>
              <w:keepLines/>
              <w:jc w:val="center"/>
              <w:rPr>
                <w:b w:val="0"/>
              </w:rPr>
            </w:pPr>
          </w:p>
        </w:tc>
        <w:tc>
          <w:tcPr>
            <w:tcW w:w="799" w:type="dxa"/>
            <w:vMerge/>
            <w:shd w:val="clear" w:color="auto" w:fill="auto"/>
            <w:vAlign w:val="center"/>
          </w:tcPr>
          <w:p w14:paraId="47158591" w14:textId="77777777" w:rsidR="0017405A" w:rsidRPr="00BC3CD3" w:rsidRDefault="0017405A" w:rsidP="002E792B">
            <w:pPr>
              <w:pStyle w:val="Tabletext0"/>
              <w:keepNext/>
              <w:keepLines/>
              <w:jc w:val="center"/>
              <w:rPr>
                <w:b w:val="0"/>
              </w:rPr>
            </w:pPr>
          </w:p>
        </w:tc>
      </w:tr>
      <w:tr w:rsidR="0017405A" w:rsidRPr="0084663E" w14:paraId="4A8B7FF5" w14:textId="77777777" w:rsidTr="00CD6C99">
        <w:trPr>
          <w:trHeight w:val="20"/>
        </w:trPr>
        <w:tc>
          <w:tcPr>
            <w:tcW w:w="9016" w:type="dxa"/>
            <w:gridSpan w:val="7"/>
            <w:shd w:val="clear" w:color="auto" w:fill="auto"/>
            <w:vAlign w:val="center"/>
          </w:tcPr>
          <w:p w14:paraId="08233A98" w14:textId="77777777" w:rsidR="0017405A" w:rsidRPr="00643BA3" w:rsidRDefault="0017405A" w:rsidP="002E792B">
            <w:pPr>
              <w:pStyle w:val="Tabletext0"/>
              <w:keepNext/>
              <w:keepLines/>
              <w:rPr>
                <w:b/>
                <w:bCs/>
              </w:rPr>
            </w:pPr>
            <w:r w:rsidRPr="00643BA3">
              <w:rPr>
                <w:b/>
                <w:bCs/>
              </w:rPr>
              <w:t>Pembrolizumab + chemotherapy</w:t>
            </w:r>
          </w:p>
        </w:tc>
      </w:tr>
      <w:tr w:rsidR="0017405A" w:rsidRPr="0084663E" w14:paraId="5C0226F1" w14:textId="77777777" w:rsidTr="00CD6C99">
        <w:trPr>
          <w:trHeight w:val="20"/>
        </w:trPr>
        <w:tc>
          <w:tcPr>
            <w:tcW w:w="1271" w:type="dxa"/>
            <w:shd w:val="clear" w:color="auto" w:fill="auto"/>
          </w:tcPr>
          <w:p w14:paraId="64B8B052" w14:textId="77777777" w:rsidR="0017405A" w:rsidRPr="004A4471" w:rsidRDefault="0017405A" w:rsidP="002E792B">
            <w:pPr>
              <w:pStyle w:val="Tabletext0"/>
              <w:keepNext/>
              <w:keepLines/>
              <w:rPr>
                <w:vertAlign w:val="superscript"/>
              </w:rPr>
            </w:pPr>
            <w:r>
              <w:t>ITT</w:t>
            </w:r>
            <w:r w:rsidR="00907857">
              <w:t xml:space="preserve"> (allcomers)</w:t>
            </w:r>
          </w:p>
        </w:tc>
        <w:tc>
          <w:tcPr>
            <w:tcW w:w="1276" w:type="dxa"/>
            <w:shd w:val="clear" w:color="auto" w:fill="auto"/>
            <w:vAlign w:val="center"/>
          </w:tcPr>
          <w:p w14:paraId="1C511D39" w14:textId="77777777" w:rsidR="0017405A" w:rsidRPr="0084663E" w:rsidRDefault="0017405A" w:rsidP="002E792B">
            <w:pPr>
              <w:pStyle w:val="Tabletext0"/>
              <w:keepNext/>
              <w:keepLines/>
              <w:jc w:val="center"/>
            </w:pPr>
            <w:r>
              <w:t>213/281(75.8)</w:t>
            </w:r>
          </w:p>
        </w:tc>
        <w:tc>
          <w:tcPr>
            <w:tcW w:w="1417" w:type="dxa"/>
            <w:shd w:val="clear" w:color="auto" w:fill="auto"/>
            <w:vAlign w:val="center"/>
          </w:tcPr>
          <w:p w14:paraId="6EDAC89B" w14:textId="77777777" w:rsidR="0017405A" w:rsidRPr="0084663E" w:rsidRDefault="0017405A" w:rsidP="002E792B">
            <w:pPr>
              <w:pStyle w:val="Tabletext0"/>
              <w:keepNext/>
              <w:keepLines/>
              <w:jc w:val="center"/>
            </w:pPr>
            <w:r>
              <w:t>13.0(10.9,14.7)</w:t>
            </w:r>
          </w:p>
        </w:tc>
        <w:tc>
          <w:tcPr>
            <w:tcW w:w="1276" w:type="dxa"/>
            <w:shd w:val="clear" w:color="auto" w:fill="auto"/>
            <w:vAlign w:val="center"/>
          </w:tcPr>
          <w:p w14:paraId="5A4EC54A" w14:textId="77777777" w:rsidR="0017405A" w:rsidRPr="0084663E" w:rsidRDefault="0017405A" w:rsidP="002E792B">
            <w:pPr>
              <w:pStyle w:val="Tabletext0"/>
              <w:keepNext/>
              <w:keepLines/>
              <w:jc w:val="center"/>
            </w:pPr>
            <w:r>
              <w:t>247/278(88.8)</w:t>
            </w:r>
          </w:p>
        </w:tc>
        <w:tc>
          <w:tcPr>
            <w:tcW w:w="1418" w:type="dxa"/>
            <w:shd w:val="clear" w:color="auto" w:fill="auto"/>
            <w:vAlign w:val="center"/>
          </w:tcPr>
          <w:p w14:paraId="1AF37FC7" w14:textId="77777777" w:rsidR="0017405A" w:rsidRPr="0084663E" w:rsidRDefault="0017405A" w:rsidP="002E792B">
            <w:pPr>
              <w:pStyle w:val="Tabletext0"/>
              <w:keepNext/>
              <w:keepLines/>
              <w:jc w:val="center"/>
            </w:pPr>
            <w:r>
              <w:t>10.7</w:t>
            </w:r>
            <w:r w:rsidR="00A26EF0">
              <w:t xml:space="preserve"> </w:t>
            </w:r>
            <w:r>
              <w:t>(9.3,11.7)</w:t>
            </w:r>
          </w:p>
        </w:tc>
        <w:tc>
          <w:tcPr>
            <w:tcW w:w="1559" w:type="dxa"/>
            <w:shd w:val="clear" w:color="auto" w:fill="auto"/>
          </w:tcPr>
          <w:p w14:paraId="0A79AB3F" w14:textId="77777777" w:rsidR="0017405A" w:rsidRPr="00BC3CD3" w:rsidRDefault="0017405A" w:rsidP="002E792B">
            <w:pPr>
              <w:pStyle w:val="Tabletext0"/>
              <w:keepNext/>
              <w:keepLines/>
              <w:jc w:val="center"/>
              <w:rPr>
                <w:b/>
              </w:rPr>
            </w:pPr>
            <w:r w:rsidRPr="00BC3CD3">
              <w:rPr>
                <w:b/>
              </w:rPr>
              <w:t>0.72 (0.60, 0.87)</w:t>
            </w:r>
          </w:p>
        </w:tc>
        <w:tc>
          <w:tcPr>
            <w:tcW w:w="799" w:type="dxa"/>
            <w:shd w:val="clear" w:color="auto" w:fill="auto"/>
          </w:tcPr>
          <w:p w14:paraId="78AB3AF8" w14:textId="77777777" w:rsidR="0017405A" w:rsidRPr="00CD6C99" w:rsidRDefault="00012105" w:rsidP="00DD266B">
            <w:pPr>
              <w:pStyle w:val="Tabletext0"/>
              <w:keepNext/>
              <w:keepLines/>
              <w:jc w:val="center"/>
              <w:rPr>
                <w:b/>
                <w:bCs/>
              </w:rPr>
            </w:pPr>
            <w:r w:rsidRPr="00CD6C99">
              <w:rPr>
                <w:b/>
                <w:bCs/>
              </w:rPr>
              <w:t>0.00025</w:t>
            </w:r>
          </w:p>
        </w:tc>
      </w:tr>
      <w:tr w:rsidR="0017405A" w:rsidRPr="0084663E" w14:paraId="56160CED" w14:textId="77777777" w:rsidTr="00CD6C99">
        <w:trPr>
          <w:trHeight w:val="20"/>
        </w:trPr>
        <w:tc>
          <w:tcPr>
            <w:tcW w:w="1271" w:type="dxa"/>
            <w:shd w:val="clear" w:color="auto" w:fill="auto"/>
          </w:tcPr>
          <w:p w14:paraId="599CC64A" w14:textId="77777777" w:rsidR="0017405A" w:rsidRPr="0084663E" w:rsidRDefault="0017405A" w:rsidP="002E792B">
            <w:pPr>
              <w:pStyle w:val="Tabletext0"/>
              <w:keepNext/>
              <w:keepLines/>
            </w:pPr>
            <w:r w:rsidRPr="0084663E">
              <w:t>CPS &lt;1</w:t>
            </w:r>
          </w:p>
        </w:tc>
        <w:tc>
          <w:tcPr>
            <w:tcW w:w="1276" w:type="dxa"/>
            <w:shd w:val="clear" w:color="auto" w:fill="auto"/>
            <w:vAlign w:val="center"/>
          </w:tcPr>
          <w:p w14:paraId="6E6FDD72" w14:textId="77777777" w:rsidR="0017405A" w:rsidRPr="0084663E" w:rsidRDefault="0017405A" w:rsidP="002E792B">
            <w:pPr>
              <w:pStyle w:val="Tabletext0"/>
              <w:keepNext/>
              <w:keepLines/>
              <w:jc w:val="center"/>
            </w:pPr>
            <w:r w:rsidRPr="0084663E">
              <w:t>36/39 (92.3)</w:t>
            </w:r>
          </w:p>
        </w:tc>
        <w:tc>
          <w:tcPr>
            <w:tcW w:w="1417" w:type="dxa"/>
            <w:shd w:val="clear" w:color="auto" w:fill="auto"/>
            <w:vAlign w:val="center"/>
          </w:tcPr>
          <w:p w14:paraId="548F5314" w14:textId="77777777" w:rsidR="0017405A" w:rsidRPr="0084663E" w:rsidRDefault="0017405A" w:rsidP="002E792B">
            <w:pPr>
              <w:pStyle w:val="Tabletext0"/>
              <w:keepNext/>
              <w:keepLines/>
              <w:jc w:val="center"/>
            </w:pPr>
            <w:r w:rsidRPr="0084663E">
              <w:t>11.3 (9.5, 14.0)</w:t>
            </w:r>
          </w:p>
        </w:tc>
        <w:tc>
          <w:tcPr>
            <w:tcW w:w="1276" w:type="dxa"/>
            <w:shd w:val="clear" w:color="auto" w:fill="auto"/>
            <w:vAlign w:val="center"/>
          </w:tcPr>
          <w:p w14:paraId="1972F910" w14:textId="77777777" w:rsidR="0017405A" w:rsidRPr="0084663E" w:rsidRDefault="0017405A" w:rsidP="002E792B">
            <w:pPr>
              <w:pStyle w:val="Tabletext0"/>
              <w:keepNext/>
              <w:keepLines/>
              <w:jc w:val="center"/>
            </w:pPr>
            <w:r w:rsidRPr="0084663E">
              <w:t>34/43 (79.1)</w:t>
            </w:r>
          </w:p>
        </w:tc>
        <w:tc>
          <w:tcPr>
            <w:tcW w:w="1418" w:type="dxa"/>
            <w:shd w:val="clear" w:color="auto" w:fill="auto"/>
            <w:vAlign w:val="center"/>
          </w:tcPr>
          <w:p w14:paraId="6AC9A9A3" w14:textId="77777777" w:rsidR="0017405A" w:rsidRPr="0084663E" w:rsidRDefault="0017405A" w:rsidP="002E792B">
            <w:pPr>
              <w:pStyle w:val="Tabletext0"/>
              <w:keepNext/>
              <w:keepLines/>
              <w:jc w:val="center"/>
            </w:pPr>
            <w:r w:rsidRPr="0084663E">
              <w:t>10.7 (8.5, 15.9)</w:t>
            </w:r>
          </w:p>
        </w:tc>
        <w:tc>
          <w:tcPr>
            <w:tcW w:w="1559" w:type="dxa"/>
            <w:shd w:val="clear" w:color="auto" w:fill="auto"/>
          </w:tcPr>
          <w:p w14:paraId="557DAF5A" w14:textId="77777777" w:rsidR="0017405A" w:rsidRPr="0084663E" w:rsidRDefault="0017405A" w:rsidP="002E792B">
            <w:pPr>
              <w:pStyle w:val="Tabletext0"/>
              <w:keepNext/>
              <w:keepLines/>
              <w:jc w:val="center"/>
            </w:pPr>
            <w:r w:rsidRPr="0084663E">
              <w:t>1.18 (0.73, 1.90)</w:t>
            </w:r>
          </w:p>
        </w:tc>
        <w:tc>
          <w:tcPr>
            <w:tcW w:w="799" w:type="dxa"/>
            <w:shd w:val="clear" w:color="auto" w:fill="auto"/>
          </w:tcPr>
          <w:p w14:paraId="51BCE124" w14:textId="77777777" w:rsidR="0017405A" w:rsidRPr="0084663E" w:rsidRDefault="00012105" w:rsidP="00DD266B">
            <w:pPr>
              <w:pStyle w:val="Tabletext0"/>
              <w:keepNext/>
              <w:keepLines/>
              <w:jc w:val="center"/>
            </w:pPr>
            <w:r>
              <w:t>0.498</w:t>
            </w:r>
          </w:p>
        </w:tc>
      </w:tr>
      <w:tr w:rsidR="0017405A" w:rsidRPr="0084663E" w14:paraId="492016B1" w14:textId="77777777" w:rsidTr="00CD6C99">
        <w:trPr>
          <w:trHeight w:val="20"/>
        </w:trPr>
        <w:tc>
          <w:tcPr>
            <w:tcW w:w="1271" w:type="dxa"/>
            <w:shd w:val="clear" w:color="auto" w:fill="auto"/>
          </w:tcPr>
          <w:p w14:paraId="26FABAB0" w14:textId="77777777" w:rsidR="0017405A" w:rsidRPr="0084663E" w:rsidRDefault="0017405A" w:rsidP="002E792B">
            <w:pPr>
              <w:pStyle w:val="Tabletext0"/>
              <w:keepNext/>
              <w:keepLines/>
            </w:pPr>
            <w:r w:rsidRPr="0084663E">
              <w:t>CPS ≥1</w:t>
            </w:r>
          </w:p>
        </w:tc>
        <w:tc>
          <w:tcPr>
            <w:tcW w:w="1276" w:type="dxa"/>
            <w:shd w:val="clear" w:color="auto" w:fill="auto"/>
            <w:vAlign w:val="center"/>
          </w:tcPr>
          <w:p w14:paraId="7BD8BC90" w14:textId="77777777" w:rsidR="0017405A" w:rsidRPr="0084663E" w:rsidRDefault="0017405A" w:rsidP="002E792B">
            <w:pPr>
              <w:pStyle w:val="Tabletext0"/>
              <w:keepNext/>
              <w:keepLines/>
              <w:jc w:val="center"/>
            </w:pPr>
            <w:r w:rsidRPr="0084663E">
              <w:t>177/242 (73.1)</w:t>
            </w:r>
          </w:p>
        </w:tc>
        <w:tc>
          <w:tcPr>
            <w:tcW w:w="1417" w:type="dxa"/>
            <w:shd w:val="clear" w:color="auto" w:fill="auto"/>
            <w:vAlign w:val="center"/>
          </w:tcPr>
          <w:p w14:paraId="44C6DD38" w14:textId="77777777" w:rsidR="0017405A" w:rsidRPr="0084663E" w:rsidRDefault="0017405A" w:rsidP="002E792B">
            <w:pPr>
              <w:pStyle w:val="Tabletext0"/>
              <w:keepNext/>
              <w:keepLines/>
              <w:jc w:val="center"/>
            </w:pPr>
            <w:r w:rsidRPr="0084663E">
              <w:t>13.6(10.7,15.5)</w:t>
            </w:r>
          </w:p>
        </w:tc>
        <w:tc>
          <w:tcPr>
            <w:tcW w:w="1276" w:type="dxa"/>
            <w:shd w:val="clear" w:color="auto" w:fill="auto"/>
            <w:vAlign w:val="center"/>
          </w:tcPr>
          <w:p w14:paraId="1C217F65" w14:textId="77777777" w:rsidR="0017405A" w:rsidRPr="0084663E" w:rsidRDefault="0017405A" w:rsidP="002E792B">
            <w:pPr>
              <w:pStyle w:val="Tabletext0"/>
              <w:keepNext/>
              <w:keepLines/>
              <w:jc w:val="center"/>
            </w:pPr>
            <w:r w:rsidRPr="0084663E">
              <w:t>213/235 (90.6)</w:t>
            </w:r>
          </w:p>
        </w:tc>
        <w:tc>
          <w:tcPr>
            <w:tcW w:w="1418" w:type="dxa"/>
            <w:shd w:val="clear" w:color="auto" w:fill="auto"/>
            <w:vAlign w:val="center"/>
          </w:tcPr>
          <w:p w14:paraId="4C20F532" w14:textId="77777777" w:rsidR="0017405A" w:rsidRPr="0084663E" w:rsidRDefault="0017405A" w:rsidP="002E792B">
            <w:pPr>
              <w:pStyle w:val="Tabletext0"/>
              <w:keepNext/>
              <w:keepLines/>
              <w:jc w:val="center"/>
            </w:pPr>
            <w:r w:rsidRPr="0084663E">
              <w:t>10.4 (9.1, 11.7)</w:t>
            </w:r>
          </w:p>
        </w:tc>
        <w:tc>
          <w:tcPr>
            <w:tcW w:w="1559" w:type="dxa"/>
            <w:shd w:val="clear" w:color="auto" w:fill="auto"/>
          </w:tcPr>
          <w:p w14:paraId="276B5F26" w14:textId="77777777" w:rsidR="0017405A" w:rsidRPr="00BC3CD3" w:rsidRDefault="0017405A" w:rsidP="002E792B">
            <w:pPr>
              <w:pStyle w:val="Tabletext0"/>
              <w:keepNext/>
              <w:keepLines/>
              <w:jc w:val="center"/>
              <w:rPr>
                <w:b/>
                <w:bCs/>
              </w:rPr>
            </w:pPr>
            <w:r w:rsidRPr="00BC3CD3">
              <w:rPr>
                <w:b/>
                <w:bCs/>
              </w:rPr>
              <w:t>0.65 (0.53, 0.80)</w:t>
            </w:r>
          </w:p>
        </w:tc>
        <w:tc>
          <w:tcPr>
            <w:tcW w:w="799" w:type="dxa"/>
            <w:shd w:val="clear" w:color="auto" w:fill="auto"/>
          </w:tcPr>
          <w:p w14:paraId="5D2E026E" w14:textId="77777777" w:rsidR="0017405A" w:rsidRPr="00CD6C99" w:rsidRDefault="00012105" w:rsidP="00DD266B">
            <w:pPr>
              <w:pStyle w:val="Tabletext0"/>
              <w:keepNext/>
              <w:keepLines/>
              <w:jc w:val="center"/>
              <w:rPr>
                <w:b/>
                <w:bCs/>
              </w:rPr>
            </w:pPr>
            <w:r w:rsidRPr="00CD6C99">
              <w:rPr>
                <w:b/>
                <w:bCs/>
              </w:rPr>
              <w:t>&lt;0.001</w:t>
            </w:r>
          </w:p>
        </w:tc>
      </w:tr>
      <w:tr w:rsidR="0017405A" w:rsidRPr="0084663E" w14:paraId="539784A8" w14:textId="77777777" w:rsidTr="00CD6C99">
        <w:trPr>
          <w:trHeight w:val="20"/>
        </w:trPr>
        <w:tc>
          <w:tcPr>
            <w:tcW w:w="1271" w:type="dxa"/>
            <w:shd w:val="clear" w:color="auto" w:fill="auto"/>
            <w:vAlign w:val="center"/>
          </w:tcPr>
          <w:p w14:paraId="6F13713E" w14:textId="77777777" w:rsidR="0017405A" w:rsidRPr="0084663E" w:rsidRDefault="0017405A" w:rsidP="002E792B">
            <w:pPr>
              <w:pStyle w:val="Tabletext0"/>
              <w:keepNext/>
              <w:keepLines/>
            </w:pPr>
            <w:r>
              <w:t>1≤ CPS &lt;20</w:t>
            </w:r>
          </w:p>
        </w:tc>
        <w:tc>
          <w:tcPr>
            <w:tcW w:w="1276" w:type="dxa"/>
            <w:shd w:val="clear" w:color="auto" w:fill="auto"/>
            <w:vAlign w:val="center"/>
          </w:tcPr>
          <w:p w14:paraId="57EC5BC5" w14:textId="77777777" w:rsidR="0017405A" w:rsidRPr="0084663E" w:rsidRDefault="0017405A" w:rsidP="002E792B">
            <w:pPr>
              <w:pStyle w:val="Tabletext0"/>
              <w:keepNext/>
              <w:keepLines/>
              <w:jc w:val="center"/>
            </w:pPr>
            <w:r>
              <w:t>93/116 (80.2)</w:t>
            </w:r>
          </w:p>
        </w:tc>
        <w:tc>
          <w:tcPr>
            <w:tcW w:w="1417" w:type="dxa"/>
            <w:shd w:val="clear" w:color="auto" w:fill="auto"/>
            <w:vAlign w:val="center"/>
          </w:tcPr>
          <w:p w14:paraId="21898556" w14:textId="77777777" w:rsidR="0017405A" w:rsidRPr="0084663E" w:rsidRDefault="0017405A" w:rsidP="002E792B">
            <w:pPr>
              <w:pStyle w:val="Tabletext0"/>
              <w:keepNext/>
              <w:keepLines/>
              <w:jc w:val="center"/>
            </w:pPr>
            <w:r>
              <w:t>12.7 (9.4, 15.3)</w:t>
            </w:r>
          </w:p>
        </w:tc>
        <w:tc>
          <w:tcPr>
            <w:tcW w:w="1276" w:type="dxa"/>
            <w:shd w:val="clear" w:color="auto" w:fill="auto"/>
            <w:vAlign w:val="center"/>
          </w:tcPr>
          <w:p w14:paraId="33CCF5E1" w14:textId="77777777" w:rsidR="0017405A" w:rsidRPr="0084663E" w:rsidRDefault="0017405A" w:rsidP="002E792B">
            <w:pPr>
              <w:pStyle w:val="Tabletext0"/>
              <w:keepNext/>
              <w:keepLines/>
              <w:jc w:val="center"/>
            </w:pPr>
            <w:r>
              <w:t>115/125 (92.0)</w:t>
            </w:r>
          </w:p>
        </w:tc>
        <w:tc>
          <w:tcPr>
            <w:tcW w:w="1418" w:type="dxa"/>
            <w:shd w:val="clear" w:color="auto" w:fill="auto"/>
            <w:vAlign w:val="center"/>
          </w:tcPr>
          <w:p w14:paraId="59019712" w14:textId="77777777" w:rsidR="0017405A" w:rsidRPr="0084663E" w:rsidRDefault="0017405A" w:rsidP="002E792B">
            <w:pPr>
              <w:pStyle w:val="Tabletext0"/>
              <w:keepNext/>
              <w:keepLines/>
              <w:jc w:val="center"/>
            </w:pPr>
            <w:r>
              <w:t>9.9 (8.6,11.5)</w:t>
            </w:r>
          </w:p>
        </w:tc>
        <w:tc>
          <w:tcPr>
            <w:tcW w:w="1559" w:type="dxa"/>
            <w:shd w:val="clear" w:color="auto" w:fill="auto"/>
            <w:vAlign w:val="center"/>
          </w:tcPr>
          <w:p w14:paraId="2D0D81AE" w14:textId="77777777" w:rsidR="0017405A" w:rsidRPr="00BC3CD3" w:rsidRDefault="0017405A" w:rsidP="002E792B">
            <w:pPr>
              <w:pStyle w:val="Tabletext0"/>
              <w:keepNext/>
              <w:keepLines/>
              <w:jc w:val="center"/>
              <w:rPr>
                <w:b/>
                <w:bCs/>
              </w:rPr>
            </w:pPr>
            <w:r w:rsidRPr="00BC3CD3">
              <w:rPr>
                <w:b/>
                <w:bCs/>
              </w:rPr>
              <w:t>0.71 (0.54, 0.94)</w:t>
            </w:r>
          </w:p>
        </w:tc>
        <w:tc>
          <w:tcPr>
            <w:tcW w:w="799" w:type="dxa"/>
            <w:shd w:val="clear" w:color="auto" w:fill="auto"/>
          </w:tcPr>
          <w:p w14:paraId="7A34B883" w14:textId="77777777" w:rsidR="0017405A" w:rsidRPr="00CD6C99" w:rsidRDefault="00012105" w:rsidP="00DD266B">
            <w:pPr>
              <w:pStyle w:val="Tabletext0"/>
              <w:keepNext/>
              <w:keepLines/>
              <w:jc w:val="center"/>
              <w:rPr>
                <w:b/>
                <w:bCs/>
              </w:rPr>
            </w:pPr>
            <w:r w:rsidRPr="00CD6C99">
              <w:rPr>
                <w:b/>
                <w:bCs/>
              </w:rPr>
              <w:t>0.017</w:t>
            </w:r>
          </w:p>
        </w:tc>
      </w:tr>
      <w:tr w:rsidR="0017405A" w:rsidRPr="0084663E" w14:paraId="190F5398" w14:textId="77777777" w:rsidTr="00CD6C99">
        <w:trPr>
          <w:trHeight w:val="20"/>
        </w:trPr>
        <w:tc>
          <w:tcPr>
            <w:tcW w:w="1271" w:type="dxa"/>
            <w:shd w:val="clear" w:color="auto" w:fill="auto"/>
            <w:vAlign w:val="center"/>
          </w:tcPr>
          <w:p w14:paraId="76C8FFAA" w14:textId="77777777" w:rsidR="0017405A" w:rsidRPr="0084663E" w:rsidRDefault="0017405A" w:rsidP="002E792B">
            <w:pPr>
              <w:pStyle w:val="Tabletext0"/>
              <w:keepNext/>
              <w:keepLines/>
            </w:pPr>
            <w:r>
              <w:t>CPS ≥20</w:t>
            </w:r>
          </w:p>
        </w:tc>
        <w:tc>
          <w:tcPr>
            <w:tcW w:w="1276" w:type="dxa"/>
            <w:shd w:val="clear" w:color="auto" w:fill="auto"/>
            <w:vAlign w:val="center"/>
          </w:tcPr>
          <w:p w14:paraId="18050669" w14:textId="77777777" w:rsidR="0017405A" w:rsidRPr="0084663E" w:rsidRDefault="0017405A" w:rsidP="002E792B">
            <w:pPr>
              <w:pStyle w:val="Tabletext0"/>
              <w:keepNext/>
              <w:keepLines/>
              <w:jc w:val="center"/>
            </w:pPr>
            <w:r>
              <w:t>84/126 (66.7)</w:t>
            </w:r>
          </w:p>
        </w:tc>
        <w:tc>
          <w:tcPr>
            <w:tcW w:w="1417" w:type="dxa"/>
            <w:shd w:val="clear" w:color="auto" w:fill="auto"/>
            <w:vAlign w:val="center"/>
          </w:tcPr>
          <w:p w14:paraId="13D3A21E" w14:textId="77777777" w:rsidR="0017405A" w:rsidRPr="0084663E" w:rsidRDefault="0017405A" w:rsidP="002E792B">
            <w:pPr>
              <w:pStyle w:val="Tabletext0"/>
              <w:keepNext/>
              <w:keepLines/>
              <w:jc w:val="center"/>
            </w:pPr>
            <w:r>
              <w:t>14.7 (10.3,19.3)</w:t>
            </w:r>
          </w:p>
        </w:tc>
        <w:tc>
          <w:tcPr>
            <w:tcW w:w="1276" w:type="dxa"/>
            <w:shd w:val="clear" w:color="auto" w:fill="auto"/>
            <w:vAlign w:val="center"/>
          </w:tcPr>
          <w:p w14:paraId="38FF26AD" w14:textId="77777777" w:rsidR="0017405A" w:rsidRPr="0084663E" w:rsidRDefault="0017405A" w:rsidP="002E792B">
            <w:pPr>
              <w:pStyle w:val="Tabletext0"/>
              <w:keepNext/>
              <w:keepLines/>
              <w:jc w:val="center"/>
            </w:pPr>
            <w:r>
              <w:t>98/110 (89.1)</w:t>
            </w:r>
          </w:p>
        </w:tc>
        <w:tc>
          <w:tcPr>
            <w:tcW w:w="1418" w:type="dxa"/>
            <w:shd w:val="clear" w:color="auto" w:fill="auto"/>
            <w:vAlign w:val="center"/>
          </w:tcPr>
          <w:p w14:paraId="2F7B8328" w14:textId="77777777" w:rsidR="0017405A" w:rsidRPr="0084663E" w:rsidRDefault="0017405A" w:rsidP="002E792B">
            <w:pPr>
              <w:pStyle w:val="Tabletext0"/>
              <w:keepNext/>
              <w:keepLines/>
              <w:jc w:val="center"/>
            </w:pPr>
            <w:r>
              <w:t>11.0 (9.2, 13.0)</w:t>
            </w:r>
          </w:p>
        </w:tc>
        <w:tc>
          <w:tcPr>
            <w:tcW w:w="1559" w:type="dxa"/>
            <w:shd w:val="clear" w:color="auto" w:fill="auto"/>
            <w:vAlign w:val="center"/>
          </w:tcPr>
          <w:p w14:paraId="306353DF" w14:textId="77777777" w:rsidR="0017405A" w:rsidRPr="00BC3CD3" w:rsidRDefault="0017405A" w:rsidP="002E792B">
            <w:pPr>
              <w:pStyle w:val="Tabletext0"/>
              <w:keepNext/>
              <w:keepLines/>
              <w:jc w:val="center"/>
              <w:rPr>
                <w:b/>
                <w:bCs/>
              </w:rPr>
            </w:pPr>
            <w:r w:rsidRPr="00BC3CD3">
              <w:rPr>
                <w:b/>
                <w:bCs/>
              </w:rPr>
              <w:t>0.60 (0.45, 0.82)</w:t>
            </w:r>
          </w:p>
        </w:tc>
        <w:tc>
          <w:tcPr>
            <w:tcW w:w="799" w:type="dxa"/>
            <w:shd w:val="clear" w:color="auto" w:fill="auto"/>
          </w:tcPr>
          <w:p w14:paraId="6D9570A5" w14:textId="77777777" w:rsidR="0017405A" w:rsidRPr="00CD6C99" w:rsidRDefault="00012105" w:rsidP="00CD6C99">
            <w:pPr>
              <w:pStyle w:val="Tabletext0"/>
              <w:keepNext/>
              <w:keepLines/>
              <w:jc w:val="center"/>
              <w:rPr>
                <w:b/>
                <w:bCs/>
              </w:rPr>
            </w:pPr>
            <w:r w:rsidRPr="00CD6C99">
              <w:rPr>
                <w:b/>
                <w:bCs/>
              </w:rPr>
              <w:t>&lt;0.001</w:t>
            </w:r>
          </w:p>
        </w:tc>
      </w:tr>
      <w:tr w:rsidR="0017405A" w:rsidRPr="0084663E" w14:paraId="26227394" w14:textId="77777777" w:rsidTr="00CD6C99">
        <w:trPr>
          <w:trHeight w:val="20"/>
        </w:trPr>
        <w:tc>
          <w:tcPr>
            <w:tcW w:w="9016" w:type="dxa"/>
            <w:gridSpan w:val="7"/>
            <w:shd w:val="clear" w:color="auto" w:fill="auto"/>
            <w:vAlign w:val="center"/>
          </w:tcPr>
          <w:p w14:paraId="7C06A630" w14:textId="77777777" w:rsidR="0017405A" w:rsidRPr="00643BA3" w:rsidRDefault="0017405A" w:rsidP="002E792B">
            <w:pPr>
              <w:pStyle w:val="Tabletext0"/>
              <w:keepNext/>
              <w:keepLines/>
              <w:rPr>
                <w:b/>
                <w:bCs/>
              </w:rPr>
            </w:pPr>
            <w:r w:rsidRPr="00643BA3">
              <w:rPr>
                <w:b/>
                <w:bCs/>
              </w:rPr>
              <w:t>Pembrolizumab monotherapy</w:t>
            </w:r>
          </w:p>
        </w:tc>
      </w:tr>
      <w:tr w:rsidR="0017405A" w:rsidRPr="0084663E" w14:paraId="052BFEB5" w14:textId="77777777" w:rsidTr="00CD6C99">
        <w:trPr>
          <w:trHeight w:val="20"/>
        </w:trPr>
        <w:tc>
          <w:tcPr>
            <w:tcW w:w="1271" w:type="dxa"/>
            <w:shd w:val="clear" w:color="auto" w:fill="auto"/>
          </w:tcPr>
          <w:p w14:paraId="12B8BD39" w14:textId="77777777" w:rsidR="0017405A" w:rsidRPr="004A4471" w:rsidRDefault="0017405A" w:rsidP="002E792B">
            <w:pPr>
              <w:pStyle w:val="Tabletext0"/>
              <w:keepNext/>
              <w:keepLines/>
              <w:rPr>
                <w:vertAlign w:val="superscript"/>
              </w:rPr>
            </w:pPr>
            <w:r>
              <w:t>ITT</w:t>
            </w:r>
            <w:r w:rsidR="00907857">
              <w:t xml:space="preserve"> (allcomers)</w:t>
            </w:r>
          </w:p>
        </w:tc>
        <w:tc>
          <w:tcPr>
            <w:tcW w:w="1276" w:type="dxa"/>
            <w:shd w:val="clear" w:color="auto" w:fill="auto"/>
            <w:vAlign w:val="center"/>
          </w:tcPr>
          <w:p w14:paraId="543FFFFC" w14:textId="77777777" w:rsidR="0017405A" w:rsidRPr="0084663E" w:rsidRDefault="0017405A" w:rsidP="002E792B">
            <w:pPr>
              <w:pStyle w:val="Tabletext0"/>
              <w:keepNext/>
              <w:keepLines/>
              <w:jc w:val="center"/>
            </w:pPr>
            <w:r>
              <w:t>237/301 (78.7)</w:t>
            </w:r>
          </w:p>
        </w:tc>
        <w:tc>
          <w:tcPr>
            <w:tcW w:w="1417" w:type="dxa"/>
            <w:shd w:val="clear" w:color="auto" w:fill="auto"/>
            <w:vAlign w:val="center"/>
          </w:tcPr>
          <w:p w14:paraId="364C3CF1" w14:textId="77777777" w:rsidR="0017405A" w:rsidRPr="0084663E" w:rsidRDefault="0017405A" w:rsidP="002E792B">
            <w:pPr>
              <w:pStyle w:val="Tabletext0"/>
              <w:keepNext/>
              <w:keepLines/>
              <w:jc w:val="center"/>
            </w:pPr>
            <w:r>
              <w:t>11.5</w:t>
            </w:r>
            <w:r w:rsidR="00012105">
              <w:t xml:space="preserve"> </w:t>
            </w:r>
            <w:r>
              <w:t>(10.3, 13.4)</w:t>
            </w:r>
          </w:p>
        </w:tc>
        <w:tc>
          <w:tcPr>
            <w:tcW w:w="1276" w:type="dxa"/>
            <w:shd w:val="clear" w:color="auto" w:fill="auto"/>
            <w:vAlign w:val="center"/>
          </w:tcPr>
          <w:p w14:paraId="25CAAD96" w14:textId="77777777" w:rsidR="0017405A" w:rsidRPr="0084663E" w:rsidRDefault="0017405A" w:rsidP="002E792B">
            <w:pPr>
              <w:pStyle w:val="Tabletext0"/>
              <w:keepNext/>
              <w:keepLines/>
              <w:jc w:val="center"/>
            </w:pPr>
            <w:r>
              <w:t>264/300 (88.0)</w:t>
            </w:r>
          </w:p>
        </w:tc>
        <w:tc>
          <w:tcPr>
            <w:tcW w:w="1418" w:type="dxa"/>
            <w:shd w:val="clear" w:color="auto" w:fill="auto"/>
            <w:vAlign w:val="center"/>
          </w:tcPr>
          <w:p w14:paraId="6B722AA2" w14:textId="77777777" w:rsidR="0017405A" w:rsidRPr="0084663E" w:rsidRDefault="0017405A" w:rsidP="002E792B">
            <w:pPr>
              <w:pStyle w:val="Tabletext0"/>
              <w:keepNext/>
              <w:keepLines/>
              <w:jc w:val="center"/>
            </w:pPr>
            <w:r>
              <w:t>10.7</w:t>
            </w:r>
            <w:r w:rsidR="00012105">
              <w:t xml:space="preserve"> </w:t>
            </w:r>
            <w:r>
              <w:t>(9.3,11.7)</w:t>
            </w:r>
          </w:p>
        </w:tc>
        <w:tc>
          <w:tcPr>
            <w:tcW w:w="1559" w:type="dxa"/>
            <w:shd w:val="clear" w:color="auto" w:fill="auto"/>
          </w:tcPr>
          <w:p w14:paraId="15DA6C36" w14:textId="77777777" w:rsidR="0017405A" w:rsidRPr="004A4471" w:rsidRDefault="0017405A" w:rsidP="002E792B">
            <w:pPr>
              <w:pStyle w:val="Tabletext0"/>
              <w:keepNext/>
              <w:keepLines/>
              <w:jc w:val="center"/>
              <w:rPr>
                <w:bCs/>
                <w:vertAlign w:val="superscript"/>
              </w:rPr>
            </w:pPr>
            <w:r w:rsidRPr="004A4471">
              <w:rPr>
                <w:bCs/>
              </w:rPr>
              <w:t>0.83 (0.70, 0.99)</w:t>
            </w:r>
            <w:r>
              <w:rPr>
                <w:bCs/>
              </w:rPr>
              <w:t xml:space="preserve"> </w:t>
            </w:r>
            <w:r w:rsidR="007F4CDC">
              <w:rPr>
                <w:bCs/>
                <w:vertAlign w:val="superscript"/>
              </w:rPr>
              <w:t>a</w:t>
            </w:r>
          </w:p>
        </w:tc>
        <w:tc>
          <w:tcPr>
            <w:tcW w:w="799" w:type="dxa"/>
            <w:shd w:val="clear" w:color="auto" w:fill="auto"/>
          </w:tcPr>
          <w:p w14:paraId="777601B2" w14:textId="77777777" w:rsidR="0017405A" w:rsidRPr="0084663E" w:rsidRDefault="00681CDB" w:rsidP="002E792B">
            <w:pPr>
              <w:pStyle w:val="Tabletext0"/>
              <w:keepNext/>
              <w:keepLines/>
              <w:jc w:val="center"/>
            </w:pPr>
            <w:r>
              <w:t>0.01985</w:t>
            </w:r>
          </w:p>
        </w:tc>
      </w:tr>
      <w:tr w:rsidR="0017405A" w:rsidRPr="0084663E" w14:paraId="15EF9A41" w14:textId="77777777" w:rsidTr="00CD6C99">
        <w:trPr>
          <w:trHeight w:val="20"/>
        </w:trPr>
        <w:tc>
          <w:tcPr>
            <w:tcW w:w="1271" w:type="dxa"/>
            <w:shd w:val="clear" w:color="auto" w:fill="auto"/>
          </w:tcPr>
          <w:p w14:paraId="03D70EBE" w14:textId="77777777" w:rsidR="0017405A" w:rsidRPr="0084663E" w:rsidRDefault="0017405A" w:rsidP="002E792B">
            <w:pPr>
              <w:pStyle w:val="Tabletext0"/>
              <w:keepNext/>
              <w:keepLines/>
            </w:pPr>
            <w:r w:rsidRPr="0084663E">
              <w:t>CPS &lt;1</w:t>
            </w:r>
          </w:p>
        </w:tc>
        <w:tc>
          <w:tcPr>
            <w:tcW w:w="1276" w:type="dxa"/>
            <w:shd w:val="clear" w:color="auto" w:fill="auto"/>
            <w:vAlign w:val="center"/>
          </w:tcPr>
          <w:p w14:paraId="6C5D5035" w14:textId="77777777" w:rsidR="0017405A" w:rsidRPr="0084663E" w:rsidRDefault="0017405A" w:rsidP="002E792B">
            <w:pPr>
              <w:pStyle w:val="Tabletext0"/>
              <w:keepNext/>
              <w:keepLines/>
              <w:jc w:val="center"/>
            </w:pPr>
            <w:r w:rsidRPr="0084663E">
              <w:t>40/44 (90.9)</w:t>
            </w:r>
          </w:p>
        </w:tc>
        <w:tc>
          <w:tcPr>
            <w:tcW w:w="1417" w:type="dxa"/>
            <w:shd w:val="clear" w:color="auto" w:fill="auto"/>
            <w:vAlign w:val="center"/>
          </w:tcPr>
          <w:p w14:paraId="52DB0281" w14:textId="77777777" w:rsidR="0017405A" w:rsidRPr="0084663E" w:rsidRDefault="0017405A" w:rsidP="002E792B">
            <w:pPr>
              <w:pStyle w:val="Tabletext0"/>
              <w:keepNext/>
              <w:keepLines/>
              <w:jc w:val="center"/>
            </w:pPr>
            <w:r w:rsidRPr="0084663E">
              <w:t>7.9 (4.7, 13.6)</w:t>
            </w:r>
          </w:p>
        </w:tc>
        <w:tc>
          <w:tcPr>
            <w:tcW w:w="1276" w:type="dxa"/>
            <w:shd w:val="clear" w:color="auto" w:fill="auto"/>
            <w:vAlign w:val="center"/>
          </w:tcPr>
          <w:p w14:paraId="36FBF571" w14:textId="77777777" w:rsidR="0017405A" w:rsidRPr="0084663E" w:rsidRDefault="0017405A" w:rsidP="002E792B">
            <w:pPr>
              <w:pStyle w:val="Tabletext0"/>
              <w:keepNext/>
              <w:keepLines/>
              <w:jc w:val="center"/>
            </w:pPr>
            <w:r w:rsidRPr="0084663E">
              <w:t>35/45 (77.8)</w:t>
            </w:r>
          </w:p>
        </w:tc>
        <w:tc>
          <w:tcPr>
            <w:tcW w:w="1418" w:type="dxa"/>
            <w:shd w:val="clear" w:color="auto" w:fill="auto"/>
            <w:vAlign w:val="center"/>
          </w:tcPr>
          <w:p w14:paraId="7B03BD13" w14:textId="77777777" w:rsidR="0017405A" w:rsidRPr="0084663E" w:rsidRDefault="0017405A" w:rsidP="002E792B">
            <w:pPr>
              <w:pStyle w:val="Tabletext0"/>
              <w:keepNext/>
              <w:keepLines/>
              <w:jc w:val="center"/>
            </w:pPr>
            <w:r w:rsidRPr="0084663E">
              <w:t>11.3 (9.1, 15.9)</w:t>
            </w:r>
          </w:p>
        </w:tc>
        <w:tc>
          <w:tcPr>
            <w:tcW w:w="1559" w:type="dxa"/>
            <w:shd w:val="clear" w:color="auto" w:fill="auto"/>
          </w:tcPr>
          <w:p w14:paraId="5979779D" w14:textId="77777777" w:rsidR="0017405A" w:rsidRPr="00BC3CD3" w:rsidRDefault="0017405A" w:rsidP="002E792B">
            <w:pPr>
              <w:pStyle w:val="Tabletext0"/>
              <w:keepNext/>
              <w:keepLines/>
              <w:jc w:val="center"/>
              <w:rPr>
                <w:b/>
                <w:bCs/>
              </w:rPr>
            </w:pPr>
            <w:r w:rsidRPr="00BC3CD3">
              <w:rPr>
                <w:b/>
                <w:bCs/>
              </w:rPr>
              <w:t>1.72 (1.06, 2.79)</w:t>
            </w:r>
          </w:p>
        </w:tc>
        <w:tc>
          <w:tcPr>
            <w:tcW w:w="799" w:type="dxa"/>
            <w:shd w:val="clear" w:color="auto" w:fill="auto"/>
          </w:tcPr>
          <w:p w14:paraId="23EEA9AA" w14:textId="77777777" w:rsidR="0017405A" w:rsidRPr="00DD266B" w:rsidRDefault="00012105" w:rsidP="002E792B">
            <w:pPr>
              <w:pStyle w:val="Tabletext0"/>
              <w:keepNext/>
              <w:keepLines/>
              <w:jc w:val="center"/>
            </w:pPr>
            <w:r w:rsidRPr="00DD266B">
              <w:t>0.029</w:t>
            </w:r>
          </w:p>
        </w:tc>
      </w:tr>
      <w:tr w:rsidR="0017405A" w:rsidRPr="0084663E" w14:paraId="26C86887" w14:textId="77777777" w:rsidTr="00CD6C99">
        <w:trPr>
          <w:trHeight w:val="20"/>
        </w:trPr>
        <w:tc>
          <w:tcPr>
            <w:tcW w:w="1271" w:type="dxa"/>
            <w:shd w:val="clear" w:color="auto" w:fill="auto"/>
          </w:tcPr>
          <w:p w14:paraId="23FD6BA2" w14:textId="77777777" w:rsidR="0017405A" w:rsidRPr="0084663E" w:rsidRDefault="0017405A" w:rsidP="002E792B">
            <w:pPr>
              <w:pStyle w:val="Tabletext0"/>
              <w:keepNext/>
              <w:keepLines/>
            </w:pPr>
            <w:r w:rsidRPr="0084663E">
              <w:t>CPS ≥1</w:t>
            </w:r>
          </w:p>
        </w:tc>
        <w:tc>
          <w:tcPr>
            <w:tcW w:w="1276" w:type="dxa"/>
            <w:shd w:val="clear" w:color="auto" w:fill="auto"/>
            <w:vAlign w:val="center"/>
          </w:tcPr>
          <w:p w14:paraId="4C16EC49" w14:textId="77777777" w:rsidR="0017405A" w:rsidRPr="0084663E" w:rsidRDefault="0017405A" w:rsidP="002E792B">
            <w:pPr>
              <w:pStyle w:val="Tabletext0"/>
              <w:keepNext/>
              <w:keepLines/>
              <w:jc w:val="center"/>
            </w:pPr>
            <w:r w:rsidRPr="0084663E">
              <w:t>197/257 (76.7)</w:t>
            </w:r>
          </w:p>
        </w:tc>
        <w:tc>
          <w:tcPr>
            <w:tcW w:w="1417" w:type="dxa"/>
            <w:shd w:val="clear" w:color="auto" w:fill="auto"/>
            <w:vAlign w:val="center"/>
          </w:tcPr>
          <w:p w14:paraId="26737C78" w14:textId="77777777" w:rsidR="0017405A" w:rsidRPr="0084663E" w:rsidRDefault="0017405A" w:rsidP="002E792B">
            <w:pPr>
              <w:pStyle w:val="Tabletext0"/>
              <w:keepNext/>
              <w:keepLines/>
              <w:jc w:val="center"/>
            </w:pPr>
            <w:r w:rsidRPr="0084663E">
              <w:t>12.3(10.8, 14.3)</w:t>
            </w:r>
          </w:p>
        </w:tc>
        <w:tc>
          <w:tcPr>
            <w:tcW w:w="1276" w:type="dxa"/>
            <w:shd w:val="clear" w:color="auto" w:fill="auto"/>
            <w:vAlign w:val="center"/>
          </w:tcPr>
          <w:p w14:paraId="377ADA2A" w14:textId="77777777" w:rsidR="0017405A" w:rsidRPr="0084663E" w:rsidRDefault="0017405A" w:rsidP="002E792B">
            <w:pPr>
              <w:pStyle w:val="Tabletext0"/>
              <w:keepNext/>
              <w:keepLines/>
              <w:jc w:val="center"/>
            </w:pPr>
            <w:r w:rsidRPr="0084663E">
              <w:t>229/255 (89.8)</w:t>
            </w:r>
          </w:p>
        </w:tc>
        <w:tc>
          <w:tcPr>
            <w:tcW w:w="1418" w:type="dxa"/>
            <w:shd w:val="clear" w:color="auto" w:fill="auto"/>
            <w:vAlign w:val="center"/>
          </w:tcPr>
          <w:p w14:paraId="7F105D8A" w14:textId="77777777" w:rsidR="0017405A" w:rsidRPr="0084663E" w:rsidRDefault="0017405A" w:rsidP="002E792B">
            <w:pPr>
              <w:pStyle w:val="Tabletext0"/>
              <w:keepNext/>
              <w:keepLines/>
              <w:jc w:val="center"/>
            </w:pPr>
            <w:r w:rsidRPr="0084663E">
              <w:t>10.3 (9.0, 11.5)</w:t>
            </w:r>
          </w:p>
        </w:tc>
        <w:tc>
          <w:tcPr>
            <w:tcW w:w="1559" w:type="dxa"/>
            <w:shd w:val="clear" w:color="auto" w:fill="auto"/>
          </w:tcPr>
          <w:p w14:paraId="31E160A2" w14:textId="77777777" w:rsidR="0017405A" w:rsidRPr="00BC3CD3" w:rsidRDefault="0017405A" w:rsidP="002E792B">
            <w:pPr>
              <w:pStyle w:val="Tabletext0"/>
              <w:keepNext/>
              <w:keepLines/>
              <w:jc w:val="center"/>
              <w:rPr>
                <w:b/>
                <w:bCs/>
              </w:rPr>
            </w:pPr>
            <w:r w:rsidRPr="00BC3CD3">
              <w:rPr>
                <w:b/>
                <w:bCs/>
              </w:rPr>
              <w:t>0.74 (0.61, 0.90)</w:t>
            </w:r>
          </w:p>
        </w:tc>
        <w:tc>
          <w:tcPr>
            <w:tcW w:w="799" w:type="dxa"/>
            <w:shd w:val="clear" w:color="auto" w:fill="auto"/>
          </w:tcPr>
          <w:p w14:paraId="2E44F71A" w14:textId="77777777" w:rsidR="0017405A" w:rsidRPr="00CD6C99" w:rsidRDefault="00012105" w:rsidP="002E792B">
            <w:pPr>
              <w:pStyle w:val="Tabletext0"/>
              <w:keepNext/>
              <w:keepLines/>
              <w:jc w:val="center"/>
              <w:rPr>
                <w:b/>
                <w:bCs/>
              </w:rPr>
            </w:pPr>
            <w:r w:rsidRPr="00CD6C99">
              <w:rPr>
                <w:b/>
                <w:bCs/>
              </w:rPr>
              <w:t>0.003</w:t>
            </w:r>
          </w:p>
        </w:tc>
      </w:tr>
      <w:tr w:rsidR="0017405A" w:rsidRPr="0084663E" w14:paraId="45AD8640" w14:textId="77777777" w:rsidTr="00CD6C99">
        <w:trPr>
          <w:trHeight w:val="20"/>
        </w:trPr>
        <w:tc>
          <w:tcPr>
            <w:tcW w:w="1271" w:type="dxa"/>
            <w:shd w:val="clear" w:color="auto" w:fill="auto"/>
            <w:vAlign w:val="center"/>
          </w:tcPr>
          <w:p w14:paraId="715ED2D7" w14:textId="77777777" w:rsidR="0017405A" w:rsidRPr="0084663E" w:rsidRDefault="0017405A" w:rsidP="002E792B">
            <w:pPr>
              <w:pStyle w:val="Tabletext0"/>
              <w:keepNext/>
              <w:keepLines/>
            </w:pPr>
            <w:r>
              <w:t>1≤ CPS &lt;20</w:t>
            </w:r>
          </w:p>
        </w:tc>
        <w:tc>
          <w:tcPr>
            <w:tcW w:w="1276" w:type="dxa"/>
            <w:shd w:val="clear" w:color="auto" w:fill="auto"/>
            <w:vAlign w:val="center"/>
          </w:tcPr>
          <w:p w14:paraId="5DCB6D1A" w14:textId="77777777" w:rsidR="0017405A" w:rsidRPr="0084663E" w:rsidRDefault="0017405A" w:rsidP="002E792B">
            <w:pPr>
              <w:pStyle w:val="Tabletext0"/>
              <w:keepNext/>
              <w:keepLines/>
              <w:jc w:val="center"/>
            </w:pPr>
            <w:r>
              <w:t>103/124 (83.1)</w:t>
            </w:r>
          </w:p>
        </w:tc>
        <w:tc>
          <w:tcPr>
            <w:tcW w:w="1417" w:type="dxa"/>
            <w:shd w:val="clear" w:color="auto" w:fill="auto"/>
            <w:vAlign w:val="center"/>
          </w:tcPr>
          <w:p w14:paraId="602566F8" w14:textId="77777777" w:rsidR="0017405A" w:rsidRPr="0084663E" w:rsidRDefault="0017405A" w:rsidP="002E792B">
            <w:pPr>
              <w:pStyle w:val="Tabletext0"/>
              <w:keepNext/>
              <w:keepLines/>
              <w:jc w:val="center"/>
            </w:pPr>
            <w:r>
              <w:t>10.8 (9.0,12.6)</w:t>
            </w:r>
          </w:p>
        </w:tc>
        <w:tc>
          <w:tcPr>
            <w:tcW w:w="1276" w:type="dxa"/>
            <w:shd w:val="clear" w:color="auto" w:fill="auto"/>
            <w:vAlign w:val="center"/>
          </w:tcPr>
          <w:p w14:paraId="15EC20D9" w14:textId="77777777" w:rsidR="0017405A" w:rsidRPr="0084663E" w:rsidRDefault="0017405A" w:rsidP="002E792B">
            <w:pPr>
              <w:pStyle w:val="Tabletext0"/>
              <w:keepNext/>
              <w:keepLines/>
              <w:jc w:val="center"/>
            </w:pPr>
            <w:r>
              <w:t>121/133 (91.0)</w:t>
            </w:r>
          </w:p>
        </w:tc>
        <w:tc>
          <w:tcPr>
            <w:tcW w:w="1418" w:type="dxa"/>
            <w:shd w:val="clear" w:color="auto" w:fill="auto"/>
            <w:vAlign w:val="center"/>
          </w:tcPr>
          <w:p w14:paraId="1EB4D5C3" w14:textId="77777777" w:rsidR="0017405A" w:rsidRPr="0084663E" w:rsidRDefault="0017405A" w:rsidP="002E792B">
            <w:pPr>
              <w:pStyle w:val="Tabletext0"/>
              <w:keepNext/>
              <w:keepLines/>
              <w:jc w:val="center"/>
            </w:pPr>
            <w:r>
              <w:t>10.1 (8.7,12.1)</w:t>
            </w:r>
          </w:p>
        </w:tc>
        <w:tc>
          <w:tcPr>
            <w:tcW w:w="1559" w:type="dxa"/>
            <w:shd w:val="clear" w:color="auto" w:fill="auto"/>
            <w:vAlign w:val="center"/>
          </w:tcPr>
          <w:p w14:paraId="1A7964C5" w14:textId="77777777" w:rsidR="0017405A" w:rsidRPr="0084663E" w:rsidRDefault="0017405A" w:rsidP="002E792B">
            <w:pPr>
              <w:pStyle w:val="Tabletext0"/>
              <w:keepNext/>
              <w:keepLines/>
              <w:jc w:val="center"/>
            </w:pPr>
            <w:r>
              <w:t>0.92 (0.70,1.20)</w:t>
            </w:r>
          </w:p>
        </w:tc>
        <w:tc>
          <w:tcPr>
            <w:tcW w:w="799" w:type="dxa"/>
            <w:shd w:val="clear" w:color="auto" w:fill="auto"/>
            <w:vAlign w:val="center"/>
          </w:tcPr>
          <w:p w14:paraId="3E1BA59E" w14:textId="77777777" w:rsidR="0017405A" w:rsidRPr="004A4471" w:rsidRDefault="00DD266B" w:rsidP="002E792B">
            <w:pPr>
              <w:pStyle w:val="Tabletext0"/>
              <w:keepNext/>
              <w:keepLines/>
              <w:jc w:val="center"/>
              <w:rPr>
                <w:bCs/>
              </w:rPr>
            </w:pPr>
            <w:r>
              <w:rPr>
                <w:bCs/>
              </w:rPr>
              <w:t>0.534</w:t>
            </w:r>
          </w:p>
        </w:tc>
      </w:tr>
      <w:tr w:rsidR="0017405A" w:rsidRPr="0084663E" w14:paraId="19A7B6FC" w14:textId="77777777" w:rsidTr="00CD6C99">
        <w:trPr>
          <w:trHeight w:val="20"/>
        </w:trPr>
        <w:tc>
          <w:tcPr>
            <w:tcW w:w="1271" w:type="dxa"/>
            <w:shd w:val="clear" w:color="auto" w:fill="auto"/>
            <w:vAlign w:val="center"/>
          </w:tcPr>
          <w:p w14:paraId="2D0415A6" w14:textId="77777777" w:rsidR="0017405A" w:rsidRPr="0084663E" w:rsidRDefault="0017405A" w:rsidP="002E792B">
            <w:pPr>
              <w:pStyle w:val="Tabletext0"/>
              <w:keepNext/>
              <w:keepLines/>
            </w:pPr>
            <w:r>
              <w:t>CPS ≥20</w:t>
            </w:r>
          </w:p>
        </w:tc>
        <w:tc>
          <w:tcPr>
            <w:tcW w:w="1276" w:type="dxa"/>
            <w:shd w:val="clear" w:color="auto" w:fill="auto"/>
            <w:vAlign w:val="center"/>
          </w:tcPr>
          <w:p w14:paraId="10BF5753" w14:textId="77777777" w:rsidR="0017405A" w:rsidRPr="0084663E" w:rsidRDefault="0017405A" w:rsidP="002E792B">
            <w:pPr>
              <w:pStyle w:val="Tabletext0"/>
              <w:keepNext/>
              <w:keepLines/>
              <w:jc w:val="center"/>
            </w:pPr>
            <w:r>
              <w:t>94/133 (70.7)</w:t>
            </w:r>
          </w:p>
        </w:tc>
        <w:tc>
          <w:tcPr>
            <w:tcW w:w="1417" w:type="dxa"/>
            <w:shd w:val="clear" w:color="auto" w:fill="auto"/>
            <w:vAlign w:val="center"/>
          </w:tcPr>
          <w:p w14:paraId="1785D2B6" w14:textId="77777777" w:rsidR="0017405A" w:rsidRPr="0084663E" w:rsidRDefault="0017405A" w:rsidP="002E792B">
            <w:pPr>
              <w:pStyle w:val="Tabletext0"/>
              <w:keepNext/>
              <w:keepLines/>
              <w:jc w:val="center"/>
            </w:pPr>
            <w:r>
              <w:t>14.8(11.5, 20.6)</w:t>
            </w:r>
          </w:p>
        </w:tc>
        <w:tc>
          <w:tcPr>
            <w:tcW w:w="1276" w:type="dxa"/>
            <w:shd w:val="clear" w:color="auto" w:fill="auto"/>
            <w:vAlign w:val="center"/>
          </w:tcPr>
          <w:p w14:paraId="03F15581" w14:textId="77777777" w:rsidR="0017405A" w:rsidRPr="0084663E" w:rsidRDefault="0017405A" w:rsidP="002E792B">
            <w:pPr>
              <w:pStyle w:val="Tabletext0"/>
              <w:keepNext/>
              <w:keepLines/>
              <w:jc w:val="center"/>
            </w:pPr>
            <w:r>
              <w:t>108/122 (88.5)</w:t>
            </w:r>
          </w:p>
        </w:tc>
        <w:tc>
          <w:tcPr>
            <w:tcW w:w="1418" w:type="dxa"/>
            <w:shd w:val="clear" w:color="auto" w:fill="auto"/>
            <w:vAlign w:val="center"/>
          </w:tcPr>
          <w:p w14:paraId="5C69F0FB" w14:textId="77777777" w:rsidR="0017405A" w:rsidRPr="0084663E" w:rsidRDefault="0017405A" w:rsidP="002E792B">
            <w:pPr>
              <w:pStyle w:val="Tabletext0"/>
              <w:keepNext/>
              <w:keepLines/>
              <w:jc w:val="center"/>
            </w:pPr>
            <w:r>
              <w:t>10.7 (8.8,12.8)</w:t>
            </w:r>
          </w:p>
        </w:tc>
        <w:tc>
          <w:tcPr>
            <w:tcW w:w="1559" w:type="dxa"/>
            <w:shd w:val="clear" w:color="auto" w:fill="auto"/>
            <w:vAlign w:val="center"/>
          </w:tcPr>
          <w:p w14:paraId="674EB316" w14:textId="77777777" w:rsidR="0017405A" w:rsidRPr="00BC3CD3" w:rsidRDefault="0017405A" w:rsidP="002E792B">
            <w:pPr>
              <w:pStyle w:val="Tabletext0"/>
              <w:keepNext/>
              <w:keepLines/>
              <w:jc w:val="center"/>
              <w:rPr>
                <w:b/>
                <w:bCs/>
              </w:rPr>
            </w:pPr>
            <w:r w:rsidRPr="00BC3CD3">
              <w:rPr>
                <w:b/>
                <w:bCs/>
              </w:rPr>
              <w:t>0.58 (0.44,0.78)</w:t>
            </w:r>
          </w:p>
        </w:tc>
        <w:tc>
          <w:tcPr>
            <w:tcW w:w="799" w:type="dxa"/>
            <w:shd w:val="clear" w:color="auto" w:fill="auto"/>
            <w:vAlign w:val="center"/>
          </w:tcPr>
          <w:p w14:paraId="51392E08" w14:textId="77777777" w:rsidR="0017405A" w:rsidRPr="00CD6C99" w:rsidRDefault="00DD266B" w:rsidP="00CD6C99">
            <w:pPr>
              <w:pStyle w:val="Tabletext0"/>
              <w:keepNext/>
              <w:keepLines/>
              <w:jc w:val="center"/>
              <w:rPr>
                <w:b/>
                <w:bCs/>
              </w:rPr>
            </w:pPr>
            <w:r w:rsidRPr="00CD6C99">
              <w:rPr>
                <w:b/>
                <w:bCs/>
              </w:rPr>
              <w:t>&lt;0.001</w:t>
            </w:r>
          </w:p>
        </w:tc>
      </w:tr>
    </w:tbl>
    <w:p w14:paraId="52239F5D" w14:textId="77777777" w:rsidR="006A6503" w:rsidRPr="004A4471" w:rsidRDefault="006A6503" w:rsidP="002E792B">
      <w:pPr>
        <w:pStyle w:val="TableFooter"/>
        <w:keepNext/>
        <w:keepLines/>
      </w:pPr>
      <w:r w:rsidRPr="0084663E">
        <w:t>Chemotherapy = cisplatin or carboplatin + 5FU</w:t>
      </w:r>
      <w:r>
        <w:t>;</w:t>
      </w:r>
      <w:r w:rsidRPr="001F23DC">
        <w:t xml:space="preserve"> </w:t>
      </w:r>
      <w:r>
        <w:t>CPS = combined positive score; NA = not applicable</w:t>
      </w:r>
    </w:p>
    <w:p w14:paraId="3BA58701" w14:textId="77777777" w:rsidR="00643BA3" w:rsidRPr="004A4471" w:rsidRDefault="007F4CDC" w:rsidP="002E792B">
      <w:pPr>
        <w:pStyle w:val="TableFooter"/>
        <w:keepNext/>
        <w:keepLines/>
      </w:pPr>
      <w:r>
        <w:rPr>
          <w:vertAlign w:val="superscript"/>
        </w:rPr>
        <w:t>a</w:t>
      </w:r>
      <w:r>
        <w:t xml:space="preserve"> </w:t>
      </w:r>
      <w:r w:rsidR="00643BA3">
        <w:t xml:space="preserve">Not statistically significant due to alpha spending requiring lower p-value than 0.05. </w:t>
      </w:r>
    </w:p>
    <w:p w14:paraId="5839117F" w14:textId="77777777" w:rsidR="00643BA3" w:rsidRPr="0084663E" w:rsidRDefault="00643BA3" w:rsidP="002E792B">
      <w:pPr>
        <w:pStyle w:val="TableFooter"/>
        <w:keepNext/>
        <w:keepLines/>
      </w:pPr>
      <w:r w:rsidRPr="0084663E">
        <w:t>Text in bold indicate statistically significant differences</w:t>
      </w:r>
    </w:p>
    <w:p w14:paraId="206110B4" w14:textId="77777777" w:rsidR="00643BA3" w:rsidRDefault="00643BA3" w:rsidP="00CD6C99">
      <w:pPr>
        <w:pStyle w:val="TableFooter"/>
      </w:pPr>
      <w:r w:rsidRPr="0084663E">
        <w:t xml:space="preserve">Source: </w:t>
      </w:r>
      <w:r>
        <w:t xml:space="preserve">Table 2.5-4, p75, Table 2.5-12, p89-90, </w:t>
      </w:r>
      <w:r w:rsidRPr="0084663E">
        <w:t xml:space="preserve">Table 2.6-1, </w:t>
      </w:r>
      <w:r>
        <w:t xml:space="preserve">p117 and Table 2.6-2, </w:t>
      </w:r>
      <w:r w:rsidRPr="0084663E">
        <w:t>p11</w:t>
      </w:r>
      <w:r>
        <w:t>8</w:t>
      </w:r>
      <w:r w:rsidRPr="0084663E">
        <w:t xml:space="preserve"> of the </w:t>
      </w:r>
      <w:r>
        <w:t>re</w:t>
      </w:r>
      <w:r w:rsidRPr="0084663E">
        <w:t>submission</w:t>
      </w:r>
    </w:p>
    <w:p w14:paraId="46CA7B84" w14:textId="77777777" w:rsidR="009E11A3" w:rsidRPr="0084663E" w:rsidRDefault="00BD789E" w:rsidP="00024DCD">
      <w:pPr>
        <w:pStyle w:val="Caption"/>
      </w:pPr>
      <w:bookmarkStart w:id="42" w:name="_Ref86677552"/>
      <w:r>
        <w:t xml:space="preserve">Table </w:t>
      </w:r>
      <w:r w:rsidR="008D43ED">
        <w:rPr>
          <w:noProof/>
        </w:rPr>
        <w:t>9</w:t>
      </w:r>
      <w:bookmarkEnd w:id="42"/>
      <w:r w:rsidR="00024DCD">
        <w:t xml:space="preserve">: </w:t>
      </w:r>
      <w:r w:rsidR="009E11A3" w:rsidRPr="0084663E">
        <w:t>Overall survival in KN048 by CPS status</w:t>
      </w:r>
      <w:r w:rsidR="009E11A3" w:rsidRPr="00643BA3">
        <w:t xml:space="preserve"> </w:t>
      </w:r>
      <w:r w:rsidR="009E11A3">
        <w:t>(four year follow up)</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Overall survival in KN048 by CPS status (four year follow up)"/>
      </w:tblPr>
      <w:tblGrid>
        <w:gridCol w:w="1271"/>
        <w:gridCol w:w="1276"/>
        <w:gridCol w:w="1417"/>
        <w:gridCol w:w="1276"/>
        <w:gridCol w:w="1418"/>
        <w:gridCol w:w="1559"/>
        <w:gridCol w:w="799"/>
      </w:tblGrid>
      <w:tr w:rsidR="009E11A3" w:rsidRPr="00C9746C" w14:paraId="3AEE229C"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60F164A5" w14:textId="77777777" w:rsidR="009E11A3" w:rsidRPr="00C9746C" w:rsidRDefault="009E11A3" w:rsidP="00B926EF">
            <w:pPr>
              <w:pStyle w:val="Tabletext0"/>
              <w:keepNext/>
              <w:keepLines/>
            </w:pPr>
          </w:p>
        </w:tc>
        <w:tc>
          <w:tcPr>
            <w:tcW w:w="2693" w:type="dxa"/>
            <w:gridSpan w:val="2"/>
            <w:shd w:val="clear" w:color="auto" w:fill="auto"/>
            <w:vAlign w:val="center"/>
          </w:tcPr>
          <w:p w14:paraId="27AF0B26" w14:textId="77777777" w:rsidR="009E11A3" w:rsidRPr="00C9746C" w:rsidRDefault="009E11A3" w:rsidP="00B926EF">
            <w:pPr>
              <w:pStyle w:val="Tabletext0"/>
              <w:keepNext/>
              <w:keepLines/>
              <w:jc w:val="center"/>
            </w:pPr>
            <w:r w:rsidRPr="00C9746C">
              <w:t>Pembrolizumab</w:t>
            </w:r>
          </w:p>
        </w:tc>
        <w:tc>
          <w:tcPr>
            <w:tcW w:w="2694" w:type="dxa"/>
            <w:gridSpan w:val="2"/>
            <w:shd w:val="clear" w:color="auto" w:fill="auto"/>
            <w:vAlign w:val="center"/>
          </w:tcPr>
          <w:p w14:paraId="014B784A" w14:textId="77777777" w:rsidR="009E11A3" w:rsidRPr="00C9746C" w:rsidRDefault="009E11A3" w:rsidP="00B926EF">
            <w:pPr>
              <w:pStyle w:val="Tabletext0"/>
              <w:keepNext/>
              <w:keepLines/>
              <w:jc w:val="center"/>
            </w:pPr>
            <w:r w:rsidRPr="00C9746C">
              <w:t>Cetuximab + chemotherapy</w:t>
            </w:r>
          </w:p>
        </w:tc>
        <w:tc>
          <w:tcPr>
            <w:tcW w:w="1559" w:type="dxa"/>
            <w:vMerge w:val="restart"/>
            <w:shd w:val="clear" w:color="auto" w:fill="auto"/>
            <w:vAlign w:val="center"/>
          </w:tcPr>
          <w:p w14:paraId="47526D4C" w14:textId="77777777" w:rsidR="009E11A3" w:rsidRPr="00C9746C" w:rsidRDefault="009E11A3" w:rsidP="00B926EF">
            <w:pPr>
              <w:pStyle w:val="Tabletext0"/>
              <w:keepNext/>
              <w:keepLines/>
              <w:jc w:val="center"/>
              <w:rPr>
                <w:bCs/>
              </w:rPr>
            </w:pPr>
            <w:r w:rsidRPr="00C9746C">
              <w:rPr>
                <w:bCs/>
              </w:rPr>
              <w:t>OS HR (95%CI)</w:t>
            </w:r>
          </w:p>
        </w:tc>
        <w:tc>
          <w:tcPr>
            <w:tcW w:w="799" w:type="dxa"/>
            <w:vMerge w:val="restart"/>
            <w:shd w:val="clear" w:color="auto" w:fill="auto"/>
            <w:vAlign w:val="center"/>
          </w:tcPr>
          <w:p w14:paraId="4037E237" w14:textId="77777777" w:rsidR="009E11A3" w:rsidRPr="00C9746C" w:rsidRDefault="009E11A3" w:rsidP="00B926EF">
            <w:pPr>
              <w:pStyle w:val="Tabletext0"/>
              <w:keepNext/>
              <w:keepLines/>
              <w:jc w:val="center"/>
              <w:rPr>
                <w:bCs/>
              </w:rPr>
            </w:pPr>
            <w:r w:rsidRPr="00C9746C">
              <w:rPr>
                <w:bCs/>
              </w:rPr>
              <w:t>p-value</w:t>
            </w:r>
          </w:p>
        </w:tc>
      </w:tr>
      <w:tr w:rsidR="009E11A3" w:rsidRPr="00C9746C" w14:paraId="66391089"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5CB29136" w14:textId="77777777" w:rsidR="009E11A3" w:rsidRPr="00C9746C" w:rsidRDefault="009E11A3" w:rsidP="00B926EF">
            <w:pPr>
              <w:pStyle w:val="Tabletext0"/>
              <w:keepNext/>
              <w:keepLines/>
              <w:jc w:val="center"/>
              <w:rPr>
                <w:b w:val="0"/>
              </w:rPr>
            </w:pPr>
          </w:p>
        </w:tc>
        <w:tc>
          <w:tcPr>
            <w:tcW w:w="1276" w:type="dxa"/>
            <w:shd w:val="clear" w:color="auto" w:fill="auto"/>
            <w:vAlign w:val="center"/>
          </w:tcPr>
          <w:p w14:paraId="4979BCF4" w14:textId="77777777" w:rsidR="009E11A3" w:rsidRPr="00C9746C" w:rsidRDefault="009E11A3" w:rsidP="00B926EF">
            <w:pPr>
              <w:pStyle w:val="Tabletext0"/>
              <w:keepNext/>
              <w:keepLines/>
              <w:jc w:val="center"/>
              <w:rPr>
                <w:b w:val="0"/>
              </w:rPr>
            </w:pPr>
            <w:r w:rsidRPr="00C9746C">
              <w:t>Deaths, n/N (%)</w:t>
            </w:r>
          </w:p>
        </w:tc>
        <w:tc>
          <w:tcPr>
            <w:tcW w:w="1417" w:type="dxa"/>
            <w:shd w:val="clear" w:color="auto" w:fill="auto"/>
            <w:vAlign w:val="center"/>
          </w:tcPr>
          <w:p w14:paraId="5E52AB8A" w14:textId="77777777" w:rsidR="009E11A3" w:rsidRPr="00C9746C" w:rsidRDefault="009E11A3" w:rsidP="00B926EF">
            <w:pPr>
              <w:pStyle w:val="Tabletext0"/>
              <w:keepNext/>
              <w:keepLines/>
              <w:jc w:val="center"/>
              <w:rPr>
                <w:b w:val="0"/>
              </w:rPr>
            </w:pPr>
            <w:r w:rsidRPr="00C9746C">
              <w:t>Median OS months (95%</w:t>
            </w:r>
            <w:proofErr w:type="gramStart"/>
            <w:r w:rsidRPr="00C9746C">
              <w:t>CI)</w:t>
            </w:r>
            <w:r w:rsidR="00E70329">
              <w:rPr>
                <w:vertAlign w:val="superscript"/>
              </w:rPr>
              <w:t>b</w:t>
            </w:r>
            <w:proofErr w:type="gramEnd"/>
          </w:p>
        </w:tc>
        <w:tc>
          <w:tcPr>
            <w:tcW w:w="1276" w:type="dxa"/>
            <w:shd w:val="clear" w:color="auto" w:fill="auto"/>
            <w:vAlign w:val="center"/>
          </w:tcPr>
          <w:p w14:paraId="248BB13D" w14:textId="77777777" w:rsidR="009E11A3" w:rsidRPr="00C9746C" w:rsidRDefault="009E11A3" w:rsidP="00B926EF">
            <w:pPr>
              <w:pStyle w:val="Tabletext0"/>
              <w:keepNext/>
              <w:keepLines/>
              <w:jc w:val="center"/>
              <w:rPr>
                <w:b w:val="0"/>
              </w:rPr>
            </w:pPr>
            <w:r w:rsidRPr="00C9746C">
              <w:t>Deaths, n/N (%)</w:t>
            </w:r>
          </w:p>
        </w:tc>
        <w:tc>
          <w:tcPr>
            <w:tcW w:w="1418" w:type="dxa"/>
            <w:shd w:val="clear" w:color="auto" w:fill="auto"/>
            <w:vAlign w:val="center"/>
          </w:tcPr>
          <w:p w14:paraId="1E1B3E6A" w14:textId="77777777" w:rsidR="009E11A3" w:rsidRPr="00C9746C" w:rsidRDefault="009E11A3" w:rsidP="00B926EF">
            <w:pPr>
              <w:pStyle w:val="Tabletext0"/>
              <w:keepNext/>
              <w:keepLines/>
              <w:jc w:val="center"/>
              <w:rPr>
                <w:b w:val="0"/>
              </w:rPr>
            </w:pPr>
            <w:r w:rsidRPr="00C9746C">
              <w:t>Median OS months (95%CI)</w:t>
            </w:r>
          </w:p>
        </w:tc>
        <w:tc>
          <w:tcPr>
            <w:tcW w:w="1559" w:type="dxa"/>
            <w:vMerge/>
            <w:shd w:val="clear" w:color="auto" w:fill="auto"/>
            <w:vAlign w:val="center"/>
          </w:tcPr>
          <w:p w14:paraId="16362667" w14:textId="77777777" w:rsidR="009E11A3" w:rsidRPr="00C9746C" w:rsidRDefault="009E11A3" w:rsidP="00B926EF">
            <w:pPr>
              <w:pStyle w:val="Tabletext0"/>
              <w:keepNext/>
              <w:keepLines/>
              <w:jc w:val="center"/>
              <w:rPr>
                <w:b w:val="0"/>
              </w:rPr>
            </w:pPr>
          </w:p>
        </w:tc>
        <w:tc>
          <w:tcPr>
            <w:tcW w:w="799" w:type="dxa"/>
            <w:vMerge/>
            <w:shd w:val="clear" w:color="auto" w:fill="auto"/>
            <w:vAlign w:val="center"/>
          </w:tcPr>
          <w:p w14:paraId="366BF23E" w14:textId="77777777" w:rsidR="009E11A3" w:rsidRPr="00C9746C" w:rsidRDefault="009E11A3" w:rsidP="00B926EF">
            <w:pPr>
              <w:pStyle w:val="Tabletext0"/>
              <w:keepNext/>
              <w:keepLines/>
              <w:jc w:val="center"/>
              <w:rPr>
                <w:b w:val="0"/>
              </w:rPr>
            </w:pPr>
          </w:p>
        </w:tc>
      </w:tr>
      <w:tr w:rsidR="009E11A3" w:rsidRPr="00C9746C" w14:paraId="3E987BB9" w14:textId="77777777" w:rsidTr="00A26EF0">
        <w:trPr>
          <w:trHeight w:val="20"/>
        </w:trPr>
        <w:tc>
          <w:tcPr>
            <w:tcW w:w="9016" w:type="dxa"/>
            <w:gridSpan w:val="7"/>
            <w:shd w:val="clear" w:color="auto" w:fill="auto"/>
            <w:vAlign w:val="center"/>
          </w:tcPr>
          <w:p w14:paraId="363C33B5" w14:textId="77777777" w:rsidR="009E11A3" w:rsidRPr="00C9746C" w:rsidRDefault="009E11A3" w:rsidP="00B926EF">
            <w:pPr>
              <w:pStyle w:val="Tabletext0"/>
              <w:keepNext/>
              <w:keepLines/>
              <w:rPr>
                <w:b/>
                <w:bCs/>
              </w:rPr>
            </w:pPr>
            <w:r w:rsidRPr="00C9746C">
              <w:rPr>
                <w:b/>
                <w:bCs/>
              </w:rPr>
              <w:t>Pembrolizumab + chemotherapy</w:t>
            </w:r>
          </w:p>
        </w:tc>
      </w:tr>
      <w:tr w:rsidR="00A26EF0" w:rsidRPr="00C9746C" w14:paraId="6FA87278" w14:textId="77777777" w:rsidTr="00CD6C99">
        <w:trPr>
          <w:trHeight w:val="20"/>
        </w:trPr>
        <w:tc>
          <w:tcPr>
            <w:tcW w:w="1271" w:type="dxa"/>
            <w:shd w:val="clear" w:color="auto" w:fill="auto"/>
          </w:tcPr>
          <w:p w14:paraId="7ACF414B" w14:textId="77777777" w:rsidR="00A26EF0" w:rsidRPr="00C9746C" w:rsidRDefault="00A26EF0" w:rsidP="00B926EF">
            <w:pPr>
              <w:pStyle w:val="Tabletext0"/>
              <w:keepNext/>
              <w:keepLines/>
              <w:rPr>
                <w:vertAlign w:val="superscript"/>
              </w:rPr>
            </w:pPr>
            <w:r w:rsidRPr="00C9746C">
              <w:t>ITT</w:t>
            </w:r>
            <w:r w:rsidR="00907857">
              <w:t xml:space="preserve"> (allcomers)</w:t>
            </w:r>
          </w:p>
        </w:tc>
        <w:tc>
          <w:tcPr>
            <w:tcW w:w="1276" w:type="dxa"/>
            <w:shd w:val="clear" w:color="auto" w:fill="auto"/>
            <w:vAlign w:val="center"/>
          </w:tcPr>
          <w:p w14:paraId="7C08D952" w14:textId="77777777" w:rsidR="00A26EF0" w:rsidRPr="00C9746C" w:rsidRDefault="00A26EF0" w:rsidP="00B926EF">
            <w:pPr>
              <w:pStyle w:val="Tabletext0"/>
              <w:keepNext/>
              <w:keepLines/>
              <w:jc w:val="center"/>
            </w:pPr>
            <w:r w:rsidRPr="00C9746C">
              <w:t>213/281(75.8)</w:t>
            </w:r>
          </w:p>
        </w:tc>
        <w:tc>
          <w:tcPr>
            <w:tcW w:w="1417" w:type="dxa"/>
            <w:shd w:val="clear" w:color="auto" w:fill="auto"/>
            <w:vAlign w:val="center"/>
          </w:tcPr>
          <w:p w14:paraId="7A862163" w14:textId="77777777" w:rsidR="00A26EF0" w:rsidRPr="00C9746C" w:rsidRDefault="00A26EF0" w:rsidP="00B926EF">
            <w:pPr>
              <w:pStyle w:val="Tabletext0"/>
              <w:keepNext/>
              <w:keepLines/>
              <w:jc w:val="center"/>
            </w:pPr>
            <w:r w:rsidRPr="00C9746C">
              <w:t>13.0 (10.9,14.7)</w:t>
            </w:r>
          </w:p>
        </w:tc>
        <w:tc>
          <w:tcPr>
            <w:tcW w:w="1276" w:type="dxa"/>
            <w:shd w:val="clear" w:color="auto" w:fill="auto"/>
            <w:vAlign w:val="center"/>
          </w:tcPr>
          <w:p w14:paraId="06BBC3E3" w14:textId="77777777" w:rsidR="00A26EF0" w:rsidRPr="00C9746C" w:rsidRDefault="00A26EF0" w:rsidP="00B926EF">
            <w:pPr>
              <w:pStyle w:val="Tabletext0"/>
              <w:keepNext/>
              <w:keepLines/>
              <w:jc w:val="center"/>
            </w:pPr>
            <w:r w:rsidRPr="00C9746C">
              <w:t>247/278(88.8)</w:t>
            </w:r>
          </w:p>
        </w:tc>
        <w:tc>
          <w:tcPr>
            <w:tcW w:w="1418" w:type="dxa"/>
            <w:shd w:val="clear" w:color="auto" w:fill="auto"/>
            <w:vAlign w:val="center"/>
          </w:tcPr>
          <w:p w14:paraId="6C5684BF" w14:textId="77777777" w:rsidR="00A26EF0" w:rsidRPr="00C9746C" w:rsidRDefault="00A26EF0" w:rsidP="00B926EF">
            <w:pPr>
              <w:pStyle w:val="Tabletext0"/>
              <w:keepNext/>
              <w:keepLines/>
              <w:jc w:val="center"/>
            </w:pPr>
            <w:r w:rsidRPr="00C9746C">
              <w:t>10.7 (9.3,11.7)</w:t>
            </w:r>
          </w:p>
        </w:tc>
        <w:tc>
          <w:tcPr>
            <w:tcW w:w="1559" w:type="dxa"/>
            <w:shd w:val="clear" w:color="auto" w:fill="auto"/>
          </w:tcPr>
          <w:p w14:paraId="4E2F96CF" w14:textId="77777777" w:rsidR="00A26EF0" w:rsidRPr="00C9746C" w:rsidRDefault="00A26EF0" w:rsidP="00B926EF">
            <w:pPr>
              <w:pStyle w:val="Tabletext0"/>
              <w:keepNext/>
              <w:keepLines/>
              <w:jc w:val="center"/>
              <w:rPr>
                <w:b/>
              </w:rPr>
            </w:pPr>
            <w:r w:rsidRPr="00C9746C">
              <w:rPr>
                <w:b/>
              </w:rPr>
              <w:t>0.7</w:t>
            </w:r>
            <w:r w:rsidR="00DD266B" w:rsidRPr="00C9746C">
              <w:rPr>
                <w:b/>
              </w:rPr>
              <w:t>1</w:t>
            </w:r>
            <w:r w:rsidRPr="00C9746C">
              <w:rPr>
                <w:b/>
              </w:rPr>
              <w:t xml:space="preserve"> (0.</w:t>
            </w:r>
            <w:r w:rsidR="00DD266B" w:rsidRPr="00C9746C">
              <w:rPr>
                <w:b/>
              </w:rPr>
              <w:t>59</w:t>
            </w:r>
            <w:r w:rsidRPr="00C9746C">
              <w:rPr>
                <w:b/>
              </w:rPr>
              <w:t>, 0.8</w:t>
            </w:r>
            <w:r w:rsidR="00DD266B" w:rsidRPr="00C9746C">
              <w:rPr>
                <w:b/>
              </w:rPr>
              <w:t>5</w:t>
            </w:r>
            <w:r w:rsidRPr="00C9746C">
              <w:rPr>
                <w:b/>
              </w:rPr>
              <w:t>)</w:t>
            </w:r>
          </w:p>
        </w:tc>
        <w:tc>
          <w:tcPr>
            <w:tcW w:w="799" w:type="dxa"/>
            <w:shd w:val="clear" w:color="auto" w:fill="auto"/>
          </w:tcPr>
          <w:p w14:paraId="12B9741F" w14:textId="77777777" w:rsidR="00A26EF0" w:rsidRPr="00C9746C" w:rsidRDefault="00DD266B" w:rsidP="00B926EF">
            <w:pPr>
              <w:pStyle w:val="Tabletext0"/>
              <w:keepNext/>
              <w:keepLines/>
              <w:jc w:val="center"/>
            </w:pPr>
            <w:r w:rsidRPr="00C9746C">
              <w:t>0.00</w:t>
            </w:r>
            <w:r w:rsidR="004206D4" w:rsidRPr="00C9746C">
              <w:t>008</w:t>
            </w:r>
          </w:p>
        </w:tc>
      </w:tr>
      <w:tr w:rsidR="00A26EF0" w:rsidRPr="00C9746C" w14:paraId="02538C23" w14:textId="77777777" w:rsidTr="00CD6C99">
        <w:trPr>
          <w:trHeight w:val="20"/>
        </w:trPr>
        <w:tc>
          <w:tcPr>
            <w:tcW w:w="1271" w:type="dxa"/>
            <w:shd w:val="clear" w:color="auto" w:fill="auto"/>
          </w:tcPr>
          <w:p w14:paraId="2C3C620D" w14:textId="77777777" w:rsidR="00A26EF0" w:rsidRPr="00C9746C" w:rsidRDefault="00A26EF0" w:rsidP="00A26EF0">
            <w:pPr>
              <w:pStyle w:val="Tabletext0"/>
              <w:keepNext/>
              <w:keepLines/>
            </w:pPr>
            <w:r w:rsidRPr="00C9746C">
              <w:t>CPS &lt;1</w:t>
            </w:r>
            <w:r w:rsidR="00E30B6C" w:rsidRPr="00E30B6C">
              <w:rPr>
                <w:vertAlign w:val="superscript"/>
              </w:rPr>
              <w:t>c</w:t>
            </w:r>
          </w:p>
        </w:tc>
        <w:tc>
          <w:tcPr>
            <w:tcW w:w="1276" w:type="dxa"/>
            <w:shd w:val="clear" w:color="auto" w:fill="auto"/>
            <w:vAlign w:val="center"/>
          </w:tcPr>
          <w:p w14:paraId="238A5B53" w14:textId="77777777" w:rsidR="00A26EF0" w:rsidRPr="00C9746C" w:rsidRDefault="00A26EF0" w:rsidP="00A26EF0">
            <w:pPr>
              <w:pStyle w:val="Tabletext0"/>
              <w:keepNext/>
              <w:keepLines/>
              <w:jc w:val="center"/>
            </w:pPr>
            <w:r w:rsidRPr="00C9746C">
              <w:t>37/39 (94.9)</w:t>
            </w:r>
          </w:p>
        </w:tc>
        <w:tc>
          <w:tcPr>
            <w:tcW w:w="1417" w:type="dxa"/>
            <w:shd w:val="clear" w:color="auto" w:fill="auto"/>
            <w:vAlign w:val="center"/>
          </w:tcPr>
          <w:p w14:paraId="0DDE4763" w14:textId="77777777" w:rsidR="00A26EF0" w:rsidRPr="00C9746C" w:rsidRDefault="00A26EF0" w:rsidP="00A26EF0">
            <w:pPr>
              <w:pStyle w:val="Tabletext0"/>
              <w:keepNext/>
              <w:keepLines/>
              <w:jc w:val="center"/>
            </w:pPr>
            <w:r w:rsidRPr="00C9746C">
              <w:t>11.3 (9.5, 14.0)</w:t>
            </w:r>
          </w:p>
        </w:tc>
        <w:tc>
          <w:tcPr>
            <w:tcW w:w="1276" w:type="dxa"/>
            <w:shd w:val="clear" w:color="auto" w:fill="auto"/>
            <w:vAlign w:val="center"/>
          </w:tcPr>
          <w:p w14:paraId="23655857" w14:textId="77777777" w:rsidR="00A26EF0" w:rsidRPr="00C9746C" w:rsidRDefault="00A26EF0" w:rsidP="00A26EF0">
            <w:pPr>
              <w:pStyle w:val="Tabletext0"/>
              <w:keepNext/>
              <w:keepLines/>
              <w:jc w:val="center"/>
            </w:pPr>
            <w:r w:rsidRPr="00C9746C">
              <w:t>38/43 (88.4)</w:t>
            </w:r>
          </w:p>
        </w:tc>
        <w:tc>
          <w:tcPr>
            <w:tcW w:w="1418" w:type="dxa"/>
            <w:shd w:val="clear" w:color="auto" w:fill="auto"/>
            <w:vAlign w:val="center"/>
          </w:tcPr>
          <w:p w14:paraId="01FABE00" w14:textId="77777777" w:rsidR="00A26EF0" w:rsidRPr="00C9746C" w:rsidRDefault="00A26EF0" w:rsidP="00A26EF0">
            <w:pPr>
              <w:pStyle w:val="Tabletext0"/>
              <w:keepNext/>
              <w:keepLines/>
              <w:jc w:val="center"/>
            </w:pPr>
            <w:r w:rsidRPr="00C9746C">
              <w:t>10.7 (8.5, 15.9)</w:t>
            </w:r>
          </w:p>
        </w:tc>
        <w:tc>
          <w:tcPr>
            <w:tcW w:w="1559" w:type="dxa"/>
            <w:shd w:val="clear" w:color="auto" w:fill="auto"/>
          </w:tcPr>
          <w:p w14:paraId="0B57C8EA" w14:textId="77777777" w:rsidR="00A26EF0" w:rsidRPr="00C9746C" w:rsidRDefault="00A26EF0" w:rsidP="00A26EF0">
            <w:pPr>
              <w:pStyle w:val="Tabletext0"/>
              <w:keepNext/>
              <w:keepLines/>
              <w:jc w:val="center"/>
            </w:pPr>
            <w:r w:rsidRPr="00C9746C">
              <w:t>1.</w:t>
            </w:r>
            <w:r w:rsidR="00681CDB" w:rsidRPr="00C9746C">
              <w:t>21</w:t>
            </w:r>
            <w:r w:rsidRPr="00C9746C">
              <w:t xml:space="preserve"> (0.7</w:t>
            </w:r>
            <w:r w:rsidR="00681CDB" w:rsidRPr="00C9746C">
              <w:t>6</w:t>
            </w:r>
            <w:r w:rsidRPr="00C9746C">
              <w:t>, 1.9</w:t>
            </w:r>
            <w:r w:rsidR="00681CDB" w:rsidRPr="00C9746C">
              <w:t>4</w:t>
            </w:r>
            <w:r w:rsidRPr="00C9746C">
              <w:t>)</w:t>
            </w:r>
          </w:p>
        </w:tc>
        <w:tc>
          <w:tcPr>
            <w:tcW w:w="799" w:type="dxa"/>
            <w:shd w:val="clear" w:color="auto" w:fill="auto"/>
          </w:tcPr>
          <w:p w14:paraId="41C3745B" w14:textId="77777777" w:rsidR="00A26EF0" w:rsidRPr="00C9746C" w:rsidRDefault="00681CDB" w:rsidP="00DD266B">
            <w:pPr>
              <w:pStyle w:val="Tabletext0"/>
              <w:keepNext/>
              <w:keepLines/>
              <w:jc w:val="center"/>
            </w:pPr>
            <w:r w:rsidRPr="00C9746C">
              <w:t>0.417</w:t>
            </w:r>
          </w:p>
        </w:tc>
      </w:tr>
      <w:tr w:rsidR="00A26EF0" w:rsidRPr="00C9746C" w14:paraId="25471DC8" w14:textId="77777777" w:rsidTr="00CD6C99">
        <w:trPr>
          <w:trHeight w:val="20"/>
        </w:trPr>
        <w:tc>
          <w:tcPr>
            <w:tcW w:w="1271" w:type="dxa"/>
            <w:shd w:val="clear" w:color="auto" w:fill="auto"/>
          </w:tcPr>
          <w:p w14:paraId="5A33D109" w14:textId="77777777" w:rsidR="00A26EF0" w:rsidRPr="00C9746C" w:rsidRDefault="00A26EF0" w:rsidP="00A26EF0">
            <w:pPr>
              <w:pStyle w:val="Tabletext0"/>
              <w:keepNext/>
              <w:keepLines/>
            </w:pPr>
            <w:r w:rsidRPr="00C9746C">
              <w:t>CPS ≥1</w:t>
            </w:r>
          </w:p>
        </w:tc>
        <w:tc>
          <w:tcPr>
            <w:tcW w:w="1276" w:type="dxa"/>
            <w:shd w:val="clear" w:color="auto" w:fill="auto"/>
            <w:vAlign w:val="center"/>
          </w:tcPr>
          <w:p w14:paraId="10E73A90" w14:textId="77777777" w:rsidR="00A26EF0" w:rsidRPr="00C9746C" w:rsidRDefault="00A26EF0" w:rsidP="00A26EF0">
            <w:pPr>
              <w:pStyle w:val="Tabletext0"/>
              <w:keepNext/>
              <w:keepLines/>
              <w:jc w:val="center"/>
            </w:pPr>
            <w:r w:rsidRPr="00C9746C">
              <w:t>189/242 (78.1)</w:t>
            </w:r>
          </w:p>
        </w:tc>
        <w:tc>
          <w:tcPr>
            <w:tcW w:w="1417" w:type="dxa"/>
            <w:shd w:val="clear" w:color="auto" w:fill="auto"/>
            <w:vAlign w:val="center"/>
          </w:tcPr>
          <w:p w14:paraId="11BE6D33" w14:textId="77777777" w:rsidR="00A26EF0" w:rsidRPr="00C9746C" w:rsidRDefault="00A26EF0" w:rsidP="00A26EF0">
            <w:pPr>
              <w:pStyle w:val="Tabletext0"/>
              <w:keepNext/>
              <w:keepLines/>
              <w:jc w:val="center"/>
            </w:pPr>
            <w:r w:rsidRPr="00C9746C">
              <w:t>13.6 (10.7,15.5)</w:t>
            </w:r>
          </w:p>
        </w:tc>
        <w:tc>
          <w:tcPr>
            <w:tcW w:w="1276" w:type="dxa"/>
            <w:shd w:val="clear" w:color="auto" w:fill="auto"/>
            <w:vAlign w:val="center"/>
          </w:tcPr>
          <w:p w14:paraId="516FEA8F" w14:textId="77777777" w:rsidR="00A26EF0" w:rsidRPr="00C9746C" w:rsidRDefault="00A26EF0" w:rsidP="00A26EF0">
            <w:pPr>
              <w:pStyle w:val="Tabletext0"/>
              <w:keepNext/>
              <w:keepLines/>
              <w:jc w:val="center"/>
            </w:pPr>
            <w:r w:rsidRPr="00C9746C">
              <w:t>221/235 (94.0)</w:t>
            </w:r>
          </w:p>
        </w:tc>
        <w:tc>
          <w:tcPr>
            <w:tcW w:w="1418" w:type="dxa"/>
            <w:shd w:val="clear" w:color="auto" w:fill="auto"/>
            <w:vAlign w:val="center"/>
          </w:tcPr>
          <w:p w14:paraId="4D865028" w14:textId="77777777" w:rsidR="00A26EF0" w:rsidRPr="00C9746C" w:rsidRDefault="00A26EF0" w:rsidP="00A26EF0">
            <w:pPr>
              <w:pStyle w:val="Tabletext0"/>
              <w:keepNext/>
              <w:keepLines/>
              <w:jc w:val="center"/>
            </w:pPr>
            <w:r w:rsidRPr="00C9746C">
              <w:t>10.6 (9.1, 11.7)</w:t>
            </w:r>
          </w:p>
        </w:tc>
        <w:tc>
          <w:tcPr>
            <w:tcW w:w="1559" w:type="dxa"/>
            <w:shd w:val="clear" w:color="auto" w:fill="auto"/>
          </w:tcPr>
          <w:p w14:paraId="34BDF110" w14:textId="77777777" w:rsidR="00A26EF0" w:rsidRPr="00C9746C" w:rsidRDefault="00A26EF0" w:rsidP="00A26EF0">
            <w:pPr>
              <w:pStyle w:val="Tabletext0"/>
              <w:keepNext/>
              <w:keepLines/>
              <w:jc w:val="center"/>
              <w:rPr>
                <w:b/>
                <w:bCs/>
              </w:rPr>
            </w:pPr>
            <w:r w:rsidRPr="00C9746C">
              <w:rPr>
                <w:b/>
                <w:bCs/>
              </w:rPr>
              <w:t>0.6</w:t>
            </w:r>
            <w:r w:rsidR="00681CDB" w:rsidRPr="00C9746C">
              <w:rPr>
                <w:b/>
                <w:bCs/>
              </w:rPr>
              <w:t>4</w:t>
            </w:r>
            <w:r w:rsidRPr="00C9746C">
              <w:rPr>
                <w:b/>
                <w:bCs/>
              </w:rPr>
              <w:t xml:space="preserve"> (0.53, 0.</w:t>
            </w:r>
            <w:r w:rsidR="00681CDB" w:rsidRPr="00C9746C">
              <w:rPr>
                <w:b/>
                <w:bCs/>
              </w:rPr>
              <w:t>78</w:t>
            </w:r>
            <w:r w:rsidRPr="00C9746C">
              <w:rPr>
                <w:b/>
                <w:bCs/>
              </w:rPr>
              <w:t>)</w:t>
            </w:r>
          </w:p>
        </w:tc>
        <w:tc>
          <w:tcPr>
            <w:tcW w:w="799" w:type="dxa"/>
            <w:shd w:val="clear" w:color="auto" w:fill="auto"/>
          </w:tcPr>
          <w:p w14:paraId="75D5C72E" w14:textId="77777777" w:rsidR="00A26EF0" w:rsidRPr="00C9746C" w:rsidRDefault="00681CDB" w:rsidP="00DD266B">
            <w:pPr>
              <w:pStyle w:val="Tabletext0"/>
              <w:keepNext/>
              <w:keepLines/>
              <w:jc w:val="center"/>
            </w:pPr>
            <w:r w:rsidRPr="00C9746C">
              <w:t>&lt;0.001</w:t>
            </w:r>
          </w:p>
        </w:tc>
      </w:tr>
      <w:tr w:rsidR="00A26EF0" w:rsidRPr="00C9746C" w14:paraId="386E68EB" w14:textId="77777777" w:rsidTr="00CD6C99">
        <w:trPr>
          <w:trHeight w:val="20"/>
        </w:trPr>
        <w:tc>
          <w:tcPr>
            <w:tcW w:w="1271" w:type="dxa"/>
            <w:shd w:val="clear" w:color="auto" w:fill="auto"/>
            <w:vAlign w:val="center"/>
          </w:tcPr>
          <w:p w14:paraId="344E550D" w14:textId="77777777" w:rsidR="00A26EF0" w:rsidRPr="00C9746C" w:rsidRDefault="00A26EF0" w:rsidP="00A26EF0">
            <w:pPr>
              <w:pStyle w:val="Tabletext0"/>
              <w:keepNext/>
              <w:keepLines/>
            </w:pPr>
            <w:r w:rsidRPr="00C9746C">
              <w:t>1≤ CPS &lt;20</w:t>
            </w:r>
          </w:p>
        </w:tc>
        <w:tc>
          <w:tcPr>
            <w:tcW w:w="1276" w:type="dxa"/>
            <w:shd w:val="clear" w:color="auto" w:fill="auto"/>
            <w:vAlign w:val="center"/>
          </w:tcPr>
          <w:p w14:paraId="3C21B3EE" w14:textId="77777777" w:rsidR="00A26EF0" w:rsidRPr="00C9746C" w:rsidRDefault="00A26EF0" w:rsidP="00A26EF0">
            <w:pPr>
              <w:pStyle w:val="Tabletext0"/>
              <w:keepNext/>
              <w:keepLines/>
              <w:jc w:val="center"/>
            </w:pPr>
            <w:r w:rsidRPr="00C9746C">
              <w:t>99/116 (85.3)</w:t>
            </w:r>
          </w:p>
        </w:tc>
        <w:tc>
          <w:tcPr>
            <w:tcW w:w="1417" w:type="dxa"/>
            <w:shd w:val="clear" w:color="auto" w:fill="auto"/>
            <w:vAlign w:val="center"/>
          </w:tcPr>
          <w:p w14:paraId="740093FD" w14:textId="77777777" w:rsidR="00A26EF0" w:rsidRPr="00C9746C" w:rsidRDefault="00A26EF0" w:rsidP="00A26EF0">
            <w:pPr>
              <w:pStyle w:val="Tabletext0"/>
              <w:keepNext/>
              <w:keepLines/>
              <w:jc w:val="center"/>
            </w:pPr>
            <w:r w:rsidRPr="00C9746C">
              <w:t>12.7 (9.4, 15.3)</w:t>
            </w:r>
          </w:p>
        </w:tc>
        <w:tc>
          <w:tcPr>
            <w:tcW w:w="1276" w:type="dxa"/>
            <w:shd w:val="clear" w:color="auto" w:fill="auto"/>
            <w:vAlign w:val="center"/>
          </w:tcPr>
          <w:p w14:paraId="553A4BA4" w14:textId="77777777" w:rsidR="00A26EF0" w:rsidRPr="00C9746C" w:rsidRDefault="00A26EF0" w:rsidP="00A26EF0">
            <w:pPr>
              <w:pStyle w:val="Tabletext0"/>
              <w:keepNext/>
              <w:keepLines/>
              <w:jc w:val="center"/>
            </w:pPr>
            <w:r w:rsidRPr="00C9746C">
              <w:t>120/125 (96.0)</w:t>
            </w:r>
          </w:p>
        </w:tc>
        <w:tc>
          <w:tcPr>
            <w:tcW w:w="1418" w:type="dxa"/>
            <w:shd w:val="clear" w:color="auto" w:fill="auto"/>
            <w:vAlign w:val="center"/>
          </w:tcPr>
          <w:p w14:paraId="3874C0CC" w14:textId="77777777" w:rsidR="00A26EF0" w:rsidRPr="00C9746C" w:rsidRDefault="00A26EF0" w:rsidP="00A26EF0">
            <w:pPr>
              <w:pStyle w:val="Tabletext0"/>
              <w:keepNext/>
              <w:keepLines/>
              <w:jc w:val="center"/>
            </w:pPr>
            <w:r w:rsidRPr="00C9746C">
              <w:t>9.9 (8.6,11.5)</w:t>
            </w:r>
          </w:p>
        </w:tc>
        <w:tc>
          <w:tcPr>
            <w:tcW w:w="1559" w:type="dxa"/>
            <w:shd w:val="clear" w:color="auto" w:fill="auto"/>
            <w:vAlign w:val="center"/>
          </w:tcPr>
          <w:p w14:paraId="7215335D" w14:textId="77777777" w:rsidR="00A26EF0" w:rsidRPr="00C9746C" w:rsidRDefault="00A26EF0" w:rsidP="00A26EF0">
            <w:pPr>
              <w:pStyle w:val="Tabletext0"/>
              <w:keepNext/>
              <w:keepLines/>
              <w:jc w:val="center"/>
              <w:rPr>
                <w:b/>
                <w:bCs/>
              </w:rPr>
            </w:pPr>
            <w:r w:rsidRPr="00C9746C">
              <w:rPr>
                <w:b/>
                <w:bCs/>
              </w:rPr>
              <w:t>0.</w:t>
            </w:r>
            <w:r w:rsidR="00681CDB" w:rsidRPr="00C9746C">
              <w:rPr>
                <w:b/>
                <w:bCs/>
              </w:rPr>
              <w:t>68</w:t>
            </w:r>
            <w:r w:rsidRPr="00C9746C">
              <w:rPr>
                <w:b/>
                <w:bCs/>
              </w:rPr>
              <w:t xml:space="preserve"> (0.5</w:t>
            </w:r>
            <w:r w:rsidR="00681CDB" w:rsidRPr="00C9746C">
              <w:rPr>
                <w:b/>
                <w:bCs/>
              </w:rPr>
              <w:t>2</w:t>
            </w:r>
            <w:r w:rsidRPr="00C9746C">
              <w:rPr>
                <w:b/>
                <w:bCs/>
              </w:rPr>
              <w:t>, 0.9</w:t>
            </w:r>
            <w:r w:rsidR="00681CDB" w:rsidRPr="00C9746C">
              <w:rPr>
                <w:b/>
                <w:bCs/>
              </w:rPr>
              <w:t>0</w:t>
            </w:r>
            <w:r w:rsidRPr="00C9746C">
              <w:rPr>
                <w:b/>
                <w:bCs/>
              </w:rPr>
              <w:t>)</w:t>
            </w:r>
          </w:p>
        </w:tc>
        <w:tc>
          <w:tcPr>
            <w:tcW w:w="799" w:type="dxa"/>
            <w:shd w:val="clear" w:color="auto" w:fill="auto"/>
          </w:tcPr>
          <w:p w14:paraId="32606E26" w14:textId="77777777" w:rsidR="00A26EF0" w:rsidRPr="00C9746C" w:rsidRDefault="00681CDB">
            <w:pPr>
              <w:pStyle w:val="Tabletext0"/>
              <w:keepNext/>
              <w:keepLines/>
              <w:jc w:val="center"/>
            </w:pPr>
            <w:r w:rsidRPr="00C9746C">
              <w:t>0.006</w:t>
            </w:r>
          </w:p>
        </w:tc>
      </w:tr>
      <w:tr w:rsidR="00A26EF0" w:rsidRPr="00C9746C" w14:paraId="16F08ED2" w14:textId="77777777" w:rsidTr="00CD6C99">
        <w:trPr>
          <w:trHeight w:val="20"/>
        </w:trPr>
        <w:tc>
          <w:tcPr>
            <w:tcW w:w="1271" w:type="dxa"/>
            <w:shd w:val="clear" w:color="auto" w:fill="auto"/>
            <w:vAlign w:val="center"/>
          </w:tcPr>
          <w:p w14:paraId="7EBBD34A" w14:textId="77777777" w:rsidR="00A26EF0" w:rsidRPr="00C9746C" w:rsidRDefault="00A26EF0" w:rsidP="00A26EF0">
            <w:pPr>
              <w:pStyle w:val="Tabletext0"/>
              <w:keepNext/>
              <w:keepLines/>
            </w:pPr>
            <w:r w:rsidRPr="00C9746C">
              <w:t>CPS ≥20</w:t>
            </w:r>
            <w:r w:rsidR="00E30B6C" w:rsidRPr="00E30B6C">
              <w:rPr>
                <w:vertAlign w:val="superscript"/>
              </w:rPr>
              <w:t xml:space="preserve"> c</w:t>
            </w:r>
          </w:p>
        </w:tc>
        <w:tc>
          <w:tcPr>
            <w:tcW w:w="1276" w:type="dxa"/>
            <w:shd w:val="clear" w:color="auto" w:fill="auto"/>
            <w:vAlign w:val="center"/>
          </w:tcPr>
          <w:p w14:paraId="06A5A882" w14:textId="77777777" w:rsidR="00A26EF0" w:rsidRPr="00C9746C" w:rsidRDefault="00A26EF0" w:rsidP="00A26EF0">
            <w:pPr>
              <w:pStyle w:val="Tabletext0"/>
              <w:keepNext/>
              <w:keepLines/>
              <w:jc w:val="center"/>
            </w:pPr>
            <w:r w:rsidRPr="00C9746C">
              <w:t>90/126 (71.4)</w:t>
            </w:r>
          </w:p>
        </w:tc>
        <w:tc>
          <w:tcPr>
            <w:tcW w:w="1417" w:type="dxa"/>
            <w:shd w:val="clear" w:color="auto" w:fill="auto"/>
            <w:vAlign w:val="center"/>
          </w:tcPr>
          <w:p w14:paraId="1C3E48FD" w14:textId="77777777" w:rsidR="00A26EF0" w:rsidRPr="00C9746C" w:rsidRDefault="00A26EF0" w:rsidP="00A26EF0">
            <w:pPr>
              <w:pStyle w:val="Tabletext0"/>
              <w:keepNext/>
              <w:keepLines/>
              <w:jc w:val="center"/>
            </w:pPr>
            <w:r w:rsidRPr="00C9746C">
              <w:t>14.7 (10.3,19.3)</w:t>
            </w:r>
          </w:p>
        </w:tc>
        <w:tc>
          <w:tcPr>
            <w:tcW w:w="1276" w:type="dxa"/>
            <w:shd w:val="clear" w:color="auto" w:fill="auto"/>
            <w:vAlign w:val="center"/>
          </w:tcPr>
          <w:p w14:paraId="1C82C982" w14:textId="77777777" w:rsidR="00A26EF0" w:rsidRPr="00C9746C" w:rsidRDefault="00A26EF0" w:rsidP="00A26EF0">
            <w:pPr>
              <w:pStyle w:val="Tabletext0"/>
              <w:keepNext/>
              <w:keepLines/>
              <w:jc w:val="center"/>
            </w:pPr>
            <w:r w:rsidRPr="00C9746C">
              <w:t>101/110 (91.8)</w:t>
            </w:r>
          </w:p>
        </w:tc>
        <w:tc>
          <w:tcPr>
            <w:tcW w:w="1418" w:type="dxa"/>
            <w:shd w:val="clear" w:color="auto" w:fill="auto"/>
            <w:vAlign w:val="center"/>
          </w:tcPr>
          <w:p w14:paraId="60795186" w14:textId="77777777" w:rsidR="00A26EF0" w:rsidRPr="00C9746C" w:rsidRDefault="00A26EF0" w:rsidP="00A26EF0">
            <w:pPr>
              <w:pStyle w:val="Tabletext0"/>
              <w:keepNext/>
              <w:keepLines/>
              <w:jc w:val="center"/>
            </w:pPr>
            <w:r w:rsidRPr="00C9746C">
              <w:t>11.1 (9.2, 13.0)</w:t>
            </w:r>
          </w:p>
        </w:tc>
        <w:tc>
          <w:tcPr>
            <w:tcW w:w="1559" w:type="dxa"/>
            <w:shd w:val="clear" w:color="auto" w:fill="auto"/>
            <w:vAlign w:val="center"/>
          </w:tcPr>
          <w:p w14:paraId="29395E98" w14:textId="77777777" w:rsidR="00A26EF0" w:rsidRPr="00C9746C" w:rsidRDefault="00A26EF0" w:rsidP="00A26EF0">
            <w:pPr>
              <w:pStyle w:val="Tabletext0"/>
              <w:keepNext/>
              <w:keepLines/>
              <w:jc w:val="center"/>
              <w:rPr>
                <w:b/>
                <w:bCs/>
              </w:rPr>
            </w:pPr>
            <w:r w:rsidRPr="00C9746C">
              <w:rPr>
                <w:b/>
                <w:bCs/>
              </w:rPr>
              <w:t>0.6</w:t>
            </w:r>
            <w:r w:rsidR="00681CDB" w:rsidRPr="00C9746C">
              <w:rPr>
                <w:b/>
                <w:bCs/>
              </w:rPr>
              <w:t>2</w:t>
            </w:r>
            <w:r w:rsidRPr="00C9746C">
              <w:rPr>
                <w:b/>
                <w:bCs/>
              </w:rPr>
              <w:t xml:space="preserve"> (0.4</w:t>
            </w:r>
            <w:r w:rsidR="00681CDB" w:rsidRPr="00C9746C">
              <w:rPr>
                <w:b/>
                <w:bCs/>
              </w:rPr>
              <w:t>6</w:t>
            </w:r>
            <w:r w:rsidRPr="00C9746C">
              <w:rPr>
                <w:b/>
                <w:bCs/>
              </w:rPr>
              <w:t>, 0.8</w:t>
            </w:r>
            <w:r w:rsidR="00681CDB" w:rsidRPr="00C9746C">
              <w:rPr>
                <w:b/>
                <w:bCs/>
              </w:rPr>
              <w:t>3</w:t>
            </w:r>
            <w:r w:rsidRPr="00C9746C">
              <w:rPr>
                <w:b/>
                <w:bCs/>
              </w:rPr>
              <w:t>)</w:t>
            </w:r>
          </w:p>
        </w:tc>
        <w:tc>
          <w:tcPr>
            <w:tcW w:w="799" w:type="dxa"/>
            <w:shd w:val="clear" w:color="auto" w:fill="auto"/>
          </w:tcPr>
          <w:p w14:paraId="18EEA9B0" w14:textId="77777777" w:rsidR="00A26EF0" w:rsidRPr="00C9746C" w:rsidRDefault="00681CDB" w:rsidP="00CD6C99">
            <w:pPr>
              <w:pStyle w:val="Tabletext0"/>
              <w:keepNext/>
              <w:keepLines/>
              <w:jc w:val="center"/>
            </w:pPr>
            <w:r w:rsidRPr="00C9746C">
              <w:t>0.001</w:t>
            </w:r>
          </w:p>
        </w:tc>
      </w:tr>
      <w:tr w:rsidR="009E11A3" w:rsidRPr="00C9746C" w14:paraId="16DD0769" w14:textId="77777777" w:rsidTr="00A26EF0">
        <w:trPr>
          <w:trHeight w:val="20"/>
        </w:trPr>
        <w:tc>
          <w:tcPr>
            <w:tcW w:w="9016" w:type="dxa"/>
            <w:gridSpan w:val="7"/>
            <w:shd w:val="clear" w:color="auto" w:fill="auto"/>
            <w:vAlign w:val="center"/>
          </w:tcPr>
          <w:p w14:paraId="25A3C583" w14:textId="77777777" w:rsidR="009E11A3" w:rsidRPr="00C9746C" w:rsidRDefault="009E11A3" w:rsidP="00B926EF">
            <w:pPr>
              <w:pStyle w:val="Tabletext0"/>
              <w:keepNext/>
              <w:keepLines/>
              <w:rPr>
                <w:b/>
                <w:bCs/>
              </w:rPr>
            </w:pPr>
            <w:r w:rsidRPr="00C9746C">
              <w:rPr>
                <w:b/>
                <w:bCs/>
              </w:rPr>
              <w:t>Pembrolizumab monotherapy</w:t>
            </w:r>
          </w:p>
        </w:tc>
      </w:tr>
      <w:tr w:rsidR="00A26EF0" w:rsidRPr="00C9746C" w14:paraId="157A4127" w14:textId="77777777" w:rsidTr="00CD6C99">
        <w:trPr>
          <w:trHeight w:val="20"/>
        </w:trPr>
        <w:tc>
          <w:tcPr>
            <w:tcW w:w="1271" w:type="dxa"/>
            <w:shd w:val="clear" w:color="auto" w:fill="auto"/>
          </w:tcPr>
          <w:p w14:paraId="3872124C" w14:textId="77777777" w:rsidR="00A26EF0" w:rsidRPr="00C9746C" w:rsidRDefault="00A26EF0" w:rsidP="00B926EF">
            <w:pPr>
              <w:pStyle w:val="Tabletext0"/>
              <w:keepNext/>
              <w:keepLines/>
              <w:rPr>
                <w:vertAlign w:val="superscript"/>
              </w:rPr>
            </w:pPr>
            <w:r w:rsidRPr="00C9746C">
              <w:t>ITT</w:t>
            </w:r>
            <w:r w:rsidR="00907857">
              <w:t xml:space="preserve"> (allcomers)</w:t>
            </w:r>
          </w:p>
        </w:tc>
        <w:tc>
          <w:tcPr>
            <w:tcW w:w="1276" w:type="dxa"/>
            <w:shd w:val="clear" w:color="auto" w:fill="auto"/>
            <w:vAlign w:val="center"/>
          </w:tcPr>
          <w:p w14:paraId="0B34CE92" w14:textId="77777777" w:rsidR="00A26EF0" w:rsidRPr="00C9746C" w:rsidRDefault="00A26EF0" w:rsidP="00B926EF">
            <w:pPr>
              <w:pStyle w:val="Tabletext0"/>
              <w:keepNext/>
              <w:keepLines/>
              <w:jc w:val="center"/>
            </w:pPr>
            <w:r w:rsidRPr="00C9746C">
              <w:t>237/301 (78.7)</w:t>
            </w:r>
          </w:p>
        </w:tc>
        <w:tc>
          <w:tcPr>
            <w:tcW w:w="1417" w:type="dxa"/>
            <w:shd w:val="clear" w:color="auto" w:fill="auto"/>
            <w:vAlign w:val="center"/>
          </w:tcPr>
          <w:p w14:paraId="03E56C2B" w14:textId="77777777" w:rsidR="00A26EF0" w:rsidRPr="00C9746C" w:rsidRDefault="00A26EF0" w:rsidP="00B926EF">
            <w:pPr>
              <w:pStyle w:val="Tabletext0"/>
              <w:keepNext/>
              <w:keepLines/>
              <w:jc w:val="center"/>
            </w:pPr>
            <w:r w:rsidRPr="00C9746C">
              <w:t>11.5</w:t>
            </w:r>
            <w:r w:rsidR="00E70329">
              <w:t xml:space="preserve"> </w:t>
            </w:r>
            <w:r w:rsidRPr="00C9746C">
              <w:t>(10.3, 13.4)</w:t>
            </w:r>
          </w:p>
        </w:tc>
        <w:tc>
          <w:tcPr>
            <w:tcW w:w="1276" w:type="dxa"/>
            <w:shd w:val="clear" w:color="auto" w:fill="auto"/>
            <w:vAlign w:val="center"/>
          </w:tcPr>
          <w:p w14:paraId="137358C8" w14:textId="77777777" w:rsidR="00A26EF0" w:rsidRPr="00C9746C" w:rsidRDefault="00A26EF0" w:rsidP="00B926EF">
            <w:pPr>
              <w:pStyle w:val="Tabletext0"/>
              <w:keepNext/>
              <w:keepLines/>
              <w:jc w:val="center"/>
            </w:pPr>
            <w:r w:rsidRPr="00C9746C">
              <w:t>264/300 (88.0)</w:t>
            </w:r>
          </w:p>
        </w:tc>
        <w:tc>
          <w:tcPr>
            <w:tcW w:w="1418" w:type="dxa"/>
            <w:shd w:val="clear" w:color="auto" w:fill="auto"/>
            <w:vAlign w:val="center"/>
          </w:tcPr>
          <w:p w14:paraId="4B21BC1C" w14:textId="77777777" w:rsidR="00A26EF0" w:rsidRPr="00C9746C" w:rsidRDefault="00A26EF0" w:rsidP="00B926EF">
            <w:pPr>
              <w:pStyle w:val="Tabletext0"/>
              <w:keepNext/>
              <w:keepLines/>
              <w:jc w:val="center"/>
            </w:pPr>
            <w:r w:rsidRPr="00C9746C">
              <w:t>10.7(9.3,11.7)</w:t>
            </w:r>
          </w:p>
        </w:tc>
        <w:tc>
          <w:tcPr>
            <w:tcW w:w="1559" w:type="dxa"/>
            <w:shd w:val="clear" w:color="auto" w:fill="auto"/>
          </w:tcPr>
          <w:p w14:paraId="683A54A3" w14:textId="77777777" w:rsidR="00A26EF0" w:rsidRPr="00C9746C" w:rsidRDefault="00A26EF0" w:rsidP="00B926EF">
            <w:pPr>
              <w:pStyle w:val="Tabletext0"/>
              <w:keepNext/>
              <w:keepLines/>
              <w:jc w:val="center"/>
              <w:rPr>
                <w:bCs/>
                <w:vertAlign w:val="superscript"/>
              </w:rPr>
            </w:pPr>
            <w:r w:rsidRPr="00C9746C">
              <w:rPr>
                <w:bCs/>
              </w:rPr>
              <w:t>0.8</w:t>
            </w:r>
            <w:r w:rsidR="00DD266B" w:rsidRPr="00C9746C">
              <w:rPr>
                <w:bCs/>
              </w:rPr>
              <w:t>1</w:t>
            </w:r>
            <w:r w:rsidRPr="00C9746C">
              <w:rPr>
                <w:bCs/>
              </w:rPr>
              <w:t xml:space="preserve"> (0.</w:t>
            </w:r>
            <w:r w:rsidR="00DD266B" w:rsidRPr="00C9746C">
              <w:rPr>
                <w:bCs/>
              </w:rPr>
              <w:t>68</w:t>
            </w:r>
            <w:r w:rsidRPr="00C9746C">
              <w:rPr>
                <w:bCs/>
              </w:rPr>
              <w:t xml:space="preserve">, </w:t>
            </w:r>
            <w:proofErr w:type="gramStart"/>
            <w:r w:rsidRPr="00C9746C">
              <w:rPr>
                <w:bCs/>
              </w:rPr>
              <w:t>0.9</w:t>
            </w:r>
            <w:r w:rsidR="00DD266B" w:rsidRPr="00C9746C">
              <w:rPr>
                <w:bCs/>
              </w:rPr>
              <w:t>7</w:t>
            </w:r>
            <w:r w:rsidRPr="00C9746C">
              <w:rPr>
                <w:bCs/>
              </w:rPr>
              <w:t>)</w:t>
            </w:r>
            <w:r w:rsidR="00E70329">
              <w:rPr>
                <w:bCs/>
                <w:vertAlign w:val="superscript"/>
              </w:rPr>
              <w:t>a</w:t>
            </w:r>
            <w:proofErr w:type="gramEnd"/>
          </w:p>
        </w:tc>
        <w:tc>
          <w:tcPr>
            <w:tcW w:w="799" w:type="dxa"/>
            <w:shd w:val="clear" w:color="auto" w:fill="auto"/>
          </w:tcPr>
          <w:p w14:paraId="20CDE295" w14:textId="77777777" w:rsidR="00A26EF0" w:rsidRPr="00C9746C" w:rsidRDefault="004206D4">
            <w:pPr>
              <w:pStyle w:val="Tabletext0"/>
              <w:keepNext/>
              <w:keepLines/>
              <w:jc w:val="center"/>
            </w:pPr>
            <w:r w:rsidRPr="00C9746C">
              <w:t>0.00994</w:t>
            </w:r>
          </w:p>
        </w:tc>
      </w:tr>
      <w:tr w:rsidR="00681CDB" w:rsidRPr="00C9746C" w14:paraId="00DD97CB" w14:textId="77777777" w:rsidTr="00CD6C99">
        <w:trPr>
          <w:trHeight w:val="20"/>
        </w:trPr>
        <w:tc>
          <w:tcPr>
            <w:tcW w:w="1271" w:type="dxa"/>
            <w:shd w:val="clear" w:color="auto" w:fill="auto"/>
          </w:tcPr>
          <w:p w14:paraId="0E22328A" w14:textId="77777777" w:rsidR="00681CDB" w:rsidRPr="00C9746C" w:rsidRDefault="00681CDB" w:rsidP="00681CDB">
            <w:pPr>
              <w:pStyle w:val="Tabletext0"/>
              <w:keepNext/>
              <w:keepLines/>
            </w:pPr>
            <w:r w:rsidRPr="00C9746C">
              <w:t>CPS &lt;1</w:t>
            </w:r>
            <w:r w:rsidR="00E30B6C" w:rsidRPr="00E30B6C">
              <w:rPr>
                <w:vertAlign w:val="superscript"/>
              </w:rPr>
              <w:t>c</w:t>
            </w:r>
          </w:p>
        </w:tc>
        <w:tc>
          <w:tcPr>
            <w:tcW w:w="1276" w:type="dxa"/>
            <w:shd w:val="clear" w:color="auto" w:fill="auto"/>
            <w:vAlign w:val="center"/>
          </w:tcPr>
          <w:p w14:paraId="50F9828B" w14:textId="77777777" w:rsidR="00681CDB" w:rsidRPr="00C9746C" w:rsidRDefault="00681CDB" w:rsidP="00681CDB">
            <w:pPr>
              <w:pStyle w:val="Tabletext0"/>
              <w:keepNext/>
              <w:keepLines/>
              <w:jc w:val="center"/>
            </w:pPr>
            <w:r w:rsidRPr="00C9746C">
              <w:t>40/44 (90.9)</w:t>
            </w:r>
          </w:p>
        </w:tc>
        <w:tc>
          <w:tcPr>
            <w:tcW w:w="1417" w:type="dxa"/>
            <w:shd w:val="clear" w:color="auto" w:fill="auto"/>
            <w:vAlign w:val="center"/>
          </w:tcPr>
          <w:p w14:paraId="0F11E0FF" w14:textId="77777777" w:rsidR="00681CDB" w:rsidRPr="00C9746C" w:rsidRDefault="00681CDB" w:rsidP="00681CDB">
            <w:pPr>
              <w:pStyle w:val="Tabletext0"/>
              <w:keepNext/>
              <w:keepLines/>
              <w:jc w:val="center"/>
            </w:pPr>
            <w:r w:rsidRPr="00C9746C">
              <w:t>7.9 (4.7, 13.6)</w:t>
            </w:r>
          </w:p>
        </w:tc>
        <w:tc>
          <w:tcPr>
            <w:tcW w:w="1276" w:type="dxa"/>
            <w:shd w:val="clear" w:color="auto" w:fill="auto"/>
            <w:vAlign w:val="center"/>
          </w:tcPr>
          <w:p w14:paraId="3BF14997" w14:textId="77777777" w:rsidR="00681CDB" w:rsidRPr="00C9746C" w:rsidRDefault="00681CDB" w:rsidP="00681CDB">
            <w:pPr>
              <w:pStyle w:val="Tabletext0"/>
              <w:keepNext/>
              <w:keepLines/>
              <w:jc w:val="center"/>
            </w:pPr>
            <w:r w:rsidRPr="00C9746C">
              <w:t>35/45 (77.8)</w:t>
            </w:r>
          </w:p>
        </w:tc>
        <w:tc>
          <w:tcPr>
            <w:tcW w:w="1418" w:type="dxa"/>
            <w:shd w:val="clear" w:color="auto" w:fill="auto"/>
            <w:vAlign w:val="center"/>
          </w:tcPr>
          <w:p w14:paraId="32A0ED1D" w14:textId="77777777" w:rsidR="00681CDB" w:rsidRPr="00C9746C" w:rsidRDefault="00681CDB" w:rsidP="00681CDB">
            <w:pPr>
              <w:pStyle w:val="Tabletext0"/>
              <w:keepNext/>
              <w:keepLines/>
              <w:jc w:val="center"/>
            </w:pPr>
            <w:r w:rsidRPr="00C9746C">
              <w:t>11.3 (9.1, 15.9)</w:t>
            </w:r>
          </w:p>
        </w:tc>
        <w:tc>
          <w:tcPr>
            <w:tcW w:w="1559" w:type="dxa"/>
            <w:shd w:val="clear" w:color="auto" w:fill="auto"/>
          </w:tcPr>
          <w:p w14:paraId="62B54168" w14:textId="77777777" w:rsidR="00681CDB" w:rsidRPr="00C9746C" w:rsidRDefault="00681CDB" w:rsidP="00681CDB">
            <w:pPr>
              <w:pStyle w:val="Tabletext0"/>
              <w:keepNext/>
              <w:keepLines/>
              <w:jc w:val="center"/>
              <w:rPr>
                <w:b/>
                <w:bCs/>
              </w:rPr>
            </w:pPr>
            <w:r w:rsidRPr="00C9746C">
              <w:rPr>
                <w:b/>
                <w:bCs/>
              </w:rPr>
              <w:t>1.</w:t>
            </w:r>
            <w:r w:rsidR="00527898" w:rsidRPr="00C9746C">
              <w:rPr>
                <w:b/>
                <w:bCs/>
              </w:rPr>
              <w:t>53</w:t>
            </w:r>
            <w:r w:rsidRPr="00C9746C">
              <w:rPr>
                <w:b/>
                <w:bCs/>
              </w:rPr>
              <w:t xml:space="preserve"> (</w:t>
            </w:r>
            <w:r w:rsidR="00527898" w:rsidRPr="00C9746C">
              <w:rPr>
                <w:b/>
                <w:bCs/>
              </w:rPr>
              <w:t>0.95</w:t>
            </w:r>
            <w:r w:rsidRPr="00C9746C">
              <w:rPr>
                <w:b/>
                <w:bCs/>
              </w:rPr>
              <w:t>, 2.</w:t>
            </w:r>
            <w:r w:rsidR="00527898" w:rsidRPr="00C9746C">
              <w:rPr>
                <w:b/>
                <w:bCs/>
              </w:rPr>
              <w:t>48</w:t>
            </w:r>
            <w:r w:rsidRPr="00C9746C">
              <w:rPr>
                <w:b/>
                <w:bCs/>
              </w:rPr>
              <w:t>)</w:t>
            </w:r>
          </w:p>
        </w:tc>
        <w:tc>
          <w:tcPr>
            <w:tcW w:w="799" w:type="dxa"/>
            <w:shd w:val="clear" w:color="auto" w:fill="auto"/>
          </w:tcPr>
          <w:p w14:paraId="5E9B24BF" w14:textId="77777777" w:rsidR="00681CDB" w:rsidRPr="00C9746C" w:rsidRDefault="00681CDB">
            <w:pPr>
              <w:pStyle w:val="Tabletext0"/>
              <w:keepNext/>
              <w:keepLines/>
              <w:jc w:val="center"/>
            </w:pPr>
            <w:r w:rsidRPr="00C9746C">
              <w:t>0.083</w:t>
            </w:r>
          </w:p>
        </w:tc>
      </w:tr>
      <w:tr w:rsidR="00681CDB" w:rsidRPr="00C9746C" w14:paraId="37FC1415" w14:textId="77777777" w:rsidTr="00CD6C99">
        <w:trPr>
          <w:trHeight w:val="20"/>
        </w:trPr>
        <w:tc>
          <w:tcPr>
            <w:tcW w:w="1271" w:type="dxa"/>
            <w:shd w:val="clear" w:color="auto" w:fill="auto"/>
          </w:tcPr>
          <w:p w14:paraId="50150982" w14:textId="77777777" w:rsidR="00681CDB" w:rsidRPr="00C9746C" w:rsidRDefault="00681CDB" w:rsidP="00681CDB">
            <w:pPr>
              <w:pStyle w:val="Tabletext0"/>
              <w:keepNext/>
              <w:keepLines/>
            </w:pPr>
            <w:r w:rsidRPr="00C9746C">
              <w:t>CPS ≥1</w:t>
            </w:r>
          </w:p>
        </w:tc>
        <w:tc>
          <w:tcPr>
            <w:tcW w:w="1276" w:type="dxa"/>
            <w:shd w:val="clear" w:color="auto" w:fill="auto"/>
            <w:vAlign w:val="center"/>
          </w:tcPr>
          <w:p w14:paraId="521A93FF" w14:textId="77777777" w:rsidR="00681CDB" w:rsidRPr="00C9746C" w:rsidRDefault="00681CDB" w:rsidP="00681CDB">
            <w:pPr>
              <w:pStyle w:val="Tabletext0"/>
              <w:keepNext/>
              <w:keepLines/>
              <w:jc w:val="center"/>
            </w:pPr>
            <w:r w:rsidRPr="00C9746C">
              <w:t>197/257 (76.7)</w:t>
            </w:r>
          </w:p>
        </w:tc>
        <w:tc>
          <w:tcPr>
            <w:tcW w:w="1417" w:type="dxa"/>
            <w:shd w:val="clear" w:color="auto" w:fill="auto"/>
            <w:vAlign w:val="center"/>
          </w:tcPr>
          <w:p w14:paraId="60AC85C9" w14:textId="77777777" w:rsidR="00681CDB" w:rsidRPr="00C9746C" w:rsidRDefault="00681CDB" w:rsidP="00681CDB">
            <w:pPr>
              <w:pStyle w:val="Tabletext0"/>
              <w:keepNext/>
              <w:keepLines/>
              <w:jc w:val="center"/>
            </w:pPr>
            <w:r w:rsidRPr="00C9746C">
              <w:t>12.3</w:t>
            </w:r>
            <w:r w:rsidR="00527898" w:rsidRPr="00C9746C">
              <w:t xml:space="preserve"> </w:t>
            </w:r>
            <w:r w:rsidRPr="00C9746C">
              <w:t>(10.8, 14.3)</w:t>
            </w:r>
          </w:p>
        </w:tc>
        <w:tc>
          <w:tcPr>
            <w:tcW w:w="1276" w:type="dxa"/>
            <w:shd w:val="clear" w:color="auto" w:fill="auto"/>
            <w:vAlign w:val="center"/>
          </w:tcPr>
          <w:p w14:paraId="55955C4A" w14:textId="77777777" w:rsidR="00681CDB" w:rsidRPr="00C9746C" w:rsidRDefault="00681CDB" w:rsidP="00681CDB">
            <w:pPr>
              <w:pStyle w:val="Tabletext0"/>
              <w:keepNext/>
              <w:keepLines/>
              <w:jc w:val="center"/>
            </w:pPr>
            <w:r w:rsidRPr="00C9746C">
              <w:t>229/255 (89.8)</w:t>
            </w:r>
          </w:p>
        </w:tc>
        <w:tc>
          <w:tcPr>
            <w:tcW w:w="1418" w:type="dxa"/>
            <w:shd w:val="clear" w:color="auto" w:fill="auto"/>
            <w:vAlign w:val="center"/>
          </w:tcPr>
          <w:p w14:paraId="5E026EC7" w14:textId="77777777" w:rsidR="00681CDB" w:rsidRPr="00C9746C" w:rsidRDefault="00681CDB" w:rsidP="00681CDB">
            <w:pPr>
              <w:pStyle w:val="Tabletext0"/>
              <w:keepNext/>
              <w:keepLines/>
              <w:jc w:val="center"/>
            </w:pPr>
            <w:r w:rsidRPr="00C9746C">
              <w:t>10.3 (9.0, 11.5)</w:t>
            </w:r>
          </w:p>
        </w:tc>
        <w:tc>
          <w:tcPr>
            <w:tcW w:w="1559" w:type="dxa"/>
            <w:shd w:val="clear" w:color="auto" w:fill="auto"/>
          </w:tcPr>
          <w:p w14:paraId="1E60B7B7" w14:textId="77777777" w:rsidR="00681CDB" w:rsidRPr="00C9746C" w:rsidRDefault="00681CDB" w:rsidP="00681CDB">
            <w:pPr>
              <w:pStyle w:val="Tabletext0"/>
              <w:keepNext/>
              <w:keepLines/>
              <w:jc w:val="center"/>
              <w:rPr>
                <w:b/>
                <w:bCs/>
              </w:rPr>
            </w:pPr>
            <w:r w:rsidRPr="00C9746C">
              <w:rPr>
                <w:b/>
                <w:bCs/>
              </w:rPr>
              <w:t>0.74 (0.61, 0.</w:t>
            </w:r>
            <w:r w:rsidR="00527898" w:rsidRPr="00C9746C">
              <w:rPr>
                <w:b/>
                <w:bCs/>
              </w:rPr>
              <w:t>89</w:t>
            </w:r>
            <w:r w:rsidRPr="00C9746C">
              <w:rPr>
                <w:b/>
                <w:bCs/>
              </w:rPr>
              <w:t>)</w:t>
            </w:r>
          </w:p>
        </w:tc>
        <w:tc>
          <w:tcPr>
            <w:tcW w:w="799" w:type="dxa"/>
            <w:shd w:val="clear" w:color="auto" w:fill="auto"/>
          </w:tcPr>
          <w:p w14:paraId="7F749EC6" w14:textId="77777777" w:rsidR="00681CDB" w:rsidRPr="00C9746C" w:rsidRDefault="00681CDB">
            <w:pPr>
              <w:pStyle w:val="Tabletext0"/>
              <w:keepNext/>
              <w:keepLines/>
              <w:jc w:val="center"/>
            </w:pPr>
            <w:r w:rsidRPr="00C9746C">
              <w:t>0.002</w:t>
            </w:r>
          </w:p>
        </w:tc>
      </w:tr>
      <w:tr w:rsidR="00681CDB" w:rsidRPr="00C9746C" w14:paraId="7176495D" w14:textId="77777777" w:rsidTr="00CD6C99">
        <w:trPr>
          <w:trHeight w:val="20"/>
        </w:trPr>
        <w:tc>
          <w:tcPr>
            <w:tcW w:w="1271" w:type="dxa"/>
            <w:shd w:val="clear" w:color="auto" w:fill="auto"/>
            <w:vAlign w:val="center"/>
          </w:tcPr>
          <w:p w14:paraId="5C9B30BC" w14:textId="77777777" w:rsidR="00681CDB" w:rsidRPr="00C9746C" w:rsidRDefault="00681CDB" w:rsidP="00681CDB">
            <w:pPr>
              <w:pStyle w:val="Tabletext0"/>
              <w:keepNext/>
              <w:keepLines/>
            </w:pPr>
            <w:r w:rsidRPr="00C9746C">
              <w:t>1≤ CPS &lt;20</w:t>
            </w:r>
          </w:p>
        </w:tc>
        <w:tc>
          <w:tcPr>
            <w:tcW w:w="1276" w:type="dxa"/>
            <w:shd w:val="clear" w:color="auto" w:fill="auto"/>
            <w:vAlign w:val="center"/>
          </w:tcPr>
          <w:p w14:paraId="48A98499" w14:textId="77777777" w:rsidR="00681CDB" w:rsidRPr="00C9746C" w:rsidRDefault="00681CDB" w:rsidP="00681CDB">
            <w:pPr>
              <w:pStyle w:val="Tabletext0"/>
              <w:keepNext/>
              <w:keepLines/>
              <w:jc w:val="center"/>
            </w:pPr>
            <w:r w:rsidRPr="00C9746C">
              <w:t>103/124 (83.1)</w:t>
            </w:r>
          </w:p>
        </w:tc>
        <w:tc>
          <w:tcPr>
            <w:tcW w:w="1417" w:type="dxa"/>
            <w:shd w:val="clear" w:color="auto" w:fill="auto"/>
            <w:vAlign w:val="center"/>
          </w:tcPr>
          <w:p w14:paraId="2A50B56E" w14:textId="77777777" w:rsidR="00681CDB" w:rsidRPr="00C9746C" w:rsidRDefault="00681CDB" w:rsidP="00681CDB">
            <w:pPr>
              <w:pStyle w:val="Tabletext0"/>
              <w:keepNext/>
              <w:keepLines/>
              <w:jc w:val="center"/>
            </w:pPr>
            <w:r w:rsidRPr="00C9746C">
              <w:t>10.8 (9.0,12.6)</w:t>
            </w:r>
          </w:p>
        </w:tc>
        <w:tc>
          <w:tcPr>
            <w:tcW w:w="1276" w:type="dxa"/>
            <w:shd w:val="clear" w:color="auto" w:fill="auto"/>
            <w:vAlign w:val="center"/>
          </w:tcPr>
          <w:p w14:paraId="754CFA40" w14:textId="77777777" w:rsidR="00681CDB" w:rsidRPr="00C9746C" w:rsidRDefault="00681CDB" w:rsidP="00681CDB">
            <w:pPr>
              <w:pStyle w:val="Tabletext0"/>
              <w:keepNext/>
              <w:keepLines/>
              <w:jc w:val="center"/>
            </w:pPr>
            <w:r w:rsidRPr="00C9746C">
              <w:t>121/133 (91.0)</w:t>
            </w:r>
          </w:p>
        </w:tc>
        <w:tc>
          <w:tcPr>
            <w:tcW w:w="1418" w:type="dxa"/>
            <w:shd w:val="clear" w:color="auto" w:fill="auto"/>
            <w:vAlign w:val="center"/>
          </w:tcPr>
          <w:p w14:paraId="2529596B" w14:textId="77777777" w:rsidR="00681CDB" w:rsidRPr="00C9746C" w:rsidRDefault="00681CDB" w:rsidP="00681CDB">
            <w:pPr>
              <w:pStyle w:val="Tabletext0"/>
              <w:keepNext/>
              <w:keepLines/>
              <w:jc w:val="center"/>
            </w:pPr>
            <w:r w:rsidRPr="00C9746C">
              <w:t>10.1 (8.7,12.1)</w:t>
            </w:r>
          </w:p>
        </w:tc>
        <w:tc>
          <w:tcPr>
            <w:tcW w:w="1559" w:type="dxa"/>
            <w:shd w:val="clear" w:color="auto" w:fill="auto"/>
            <w:vAlign w:val="center"/>
          </w:tcPr>
          <w:p w14:paraId="3E583490" w14:textId="77777777" w:rsidR="00681CDB" w:rsidRPr="00C9746C" w:rsidRDefault="00681CDB" w:rsidP="00681CDB">
            <w:pPr>
              <w:pStyle w:val="Tabletext0"/>
              <w:keepNext/>
              <w:keepLines/>
              <w:jc w:val="center"/>
            </w:pPr>
            <w:r w:rsidRPr="00C9746C">
              <w:t>0.</w:t>
            </w:r>
            <w:r w:rsidR="00B02A90">
              <w:t>91</w:t>
            </w:r>
            <w:r w:rsidRPr="00C9746C">
              <w:t xml:space="preserve"> (0.70,1.</w:t>
            </w:r>
            <w:r w:rsidR="00B02A90">
              <w:t>19</w:t>
            </w:r>
            <w:r w:rsidRPr="00C9746C">
              <w:t>)</w:t>
            </w:r>
          </w:p>
        </w:tc>
        <w:tc>
          <w:tcPr>
            <w:tcW w:w="799" w:type="dxa"/>
            <w:shd w:val="clear" w:color="auto" w:fill="auto"/>
            <w:vAlign w:val="center"/>
          </w:tcPr>
          <w:p w14:paraId="58E55838" w14:textId="77777777" w:rsidR="00681CDB" w:rsidRPr="00C9746C" w:rsidRDefault="00681CDB">
            <w:pPr>
              <w:pStyle w:val="Tabletext0"/>
              <w:keepNext/>
              <w:keepLines/>
              <w:jc w:val="center"/>
              <w:rPr>
                <w:bCs/>
              </w:rPr>
            </w:pPr>
            <w:r w:rsidRPr="00C9746C">
              <w:rPr>
                <w:bCs/>
              </w:rPr>
              <w:t>0.493</w:t>
            </w:r>
          </w:p>
        </w:tc>
      </w:tr>
      <w:tr w:rsidR="00681CDB" w:rsidRPr="00C9746C" w14:paraId="6180CC89" w14:textId="77777777" w:rsidTr="00CD6C99">
        <w:trPr>
          <w:trHeight w:val="20"/>
        </w:trPr>
        <w:tc>
          <w:tcPr>
            <w:tcW w:w="1271" w:type="dxa"/>
            <w:shd w:val="clear" w:color="auto" w:fill="auto"/>
            <w:vAlign w:val="center"/>
          </w:tcPr>
          <w:p w14:paraId="61E959A3" w14:textId="77777777" w:rsidR="00681CDB" w:rsidRPr="00C9746C" w:rsidRDefault="00681CDB" w:rsidP="00681CDB">
            <w:pPr>
              <w:pStyle w:val="Tabletext0"/>
              <w:keepNext/>
              <w:keepLines/>
            </w:pPr>
            <w:r w:rsidRPr="00C9746C">
              <w:t>CPS ≥20</w:t>
            </w:r>
            <w:r w:rsidR="00E30B6C" w:rsidRPr="00E30B6C">
              <w:rPr>
                <w:vertAlign w:val="superscript"/>
              </w:rPr>
              <w:t xml:space="preserve"> c</w:t>
            </w:r>
          </w:p>
        </w:tc>
        <w:tc>
          <w:tcPr>
            <w:tcW w:w="1276" w:type="dxa"/>
            <w:shd w:val="clear" w:color="auto" w:fill="auto"/>
            <w:vAlign w:val="center"/>
          </w:tcPr>
          <w:p w14:paraId="5020AEEF" w14:textId="77777777" w:rsidR="00681CDB" w:rsidRPr="00C9746C" w:rsidRDefault="00681CDB" w:rsidP="00681CDB">
            <w:pPr>
              <w:pStyle w:val="Tabletext0"/>
              <w:keepNext/>
              <w:keepLines/>
              <w:jc w:val="center"/>
            </w:pPr>
            <w:r w:rsidRPr="00C9746C">
              <w:t>94/133 (70.7)</w:t>
            </w:r>
          </w:p>
        </w:tc>
        <w:tc>
          <w:tcPr>
            <w:tcW w:w="1417" w:type="dxa"/>
            <w:shd w:val="clear" w:color="auto" w:fill="auto"/>
            <w:vAlign w:val="center"/>
          </w:tcPr>
          <w:p w14:paraId="10E3F62C" w14:textId="77777777" w:rsidR="00681CDB" w:rsidRPr="00C9746C" w:rsidRDefault="00681CDB" w:rsidP="00681CDB">
            <w:pPr>
              <w:pStyle w:val="Tabletext0"/>
              <w:keepNext/>
              <w:keepLines/>
              <w:jc w:val="center"/>
            </w:pPr>
            <w:r w:rsidRPr="00C9746C">
              <w:t>14.8</w:t>
            </w:r>
            <w:r w:rsidR="00E70329">
              <w:t xml:space="preserve"> </w:t>
            </w:r>
            <w:r w:rsidRPr="00C9746C">
              <w:t>(11.5, 20.6)</w:t>
            </w:r>
          </w:p>
        </w:tc>
        <w:tc>
          <w:tcPr>
            <w:tcW w:w="1276" w:type="dxa"/>
            <w:shd w:val="clear" w:color="auto" w:fill="auto"/>
            <w:vAlign w:val="center"/>
          </w:tcPr>
          <w:p w14:paraId="1467A651" w14:textId="77777777" w:rsidR="00681CDB" w:rsidRPr="00C9746C" w:rsidRDefault="00681CDB" w:rsidP="00681CDB">
            <w:pPr>
              <w:pStyle w:val="Tabletext0"/>
              <w:keepNext/>
              <w:keepLines/>
              <w:jc w:val="center"/>
            </w:pPr>
            <w:r w:rsidRPr="00C9746C">
              <w:t>108/122 (88.5)</w:t>
            </w:r>
          </w:p>
        </w:tc>
        <w:tc>
          <w:tcPr>
            <w:tcW w:w="1418" w:type="dxa"/>
            <w:shd w:val="clear" w:color="auto" w:fill="auto"/>
            <w:vAlign w:val="center"/>
          </w:tcPr>
          <w:p w14:paraId="67642AF8" w14:textId="77777777" w:rsidR="00681CDB" w:rsidRPr="00C9746C" w:rsidRDefault="00681CDB" w:rsidP="00681CDB">
            <w:pPr>
              <w:pStyle w:val="Tabletext0"/>
              <w:keepNext/>
              <w:keepLines/>
              <w:jc w:val="center"/>
            </w:pPr>
            <w:r w:rsidRPr="00C9746C">
              <w:t>10.7 (8.8,12.8)</w:t>
            </w:r>
          </w:p>
        </w:tc>
        <w:tc>
          <w:tcPr>
            <w:tcW w:w="1559" w:type="dxa"/>
            <w:shd w:val="clear" w:color="auto" w:fill="auto"/>
            <w:vAlign w:val="center"/>
          </w:tcPr>
          <w:p w14:paraId="08D1591E" w14:textId="77777777" w:rsidR="00681CDB" w:rsidRPr="00C9746C" w:rsidRDefault="00681CDB" w:rsidP="00681CDB">
            <w:pPr>
              <w:pStyle w:val="Tabletext0"/>
              <w:keepNext/>
              <w:keepLines/>
              <w:jc w:val="center"/>
              <w:rPr>
                <w:b/>
                <w:bCs/>
              </w:rPr>
            </w:pPr>
            <w:r w:rsidRPr="00C9746C">
              <w:rPr>
                <w:b/>
                <w:bCs/>
              </w:rPr>
              <w:t>0.</w:t>
            </w:r>
            <w:r w:rsidR="00B02A90">
              <w:rPr>
                <w:b/>
                <w:bCs/>
              </w:rPr>
              <w:t>60</w:t>
            </w:r>
            <w:r w:rsidRPr="00C9746C">
              <w:rPr>
                <w:b/>
                <w:bCs/>
              </w:rPr>
              <w:t xml:space="preserve"> (0.4</w:t>
            </w:r>
            <w:r w:rsidR="00B02A90">
              <w:rPr>
                <w:b/>
                <w:bCs/>
              </w:rPr>
              <w:t>6</w:t>
            </w:r>
            <w:r w:rsidRPr="00C9746C">
              <w:rPr>
                <w:b/>
                <w:bCs/>
              </w:rPr>
              <w:t>,0.</w:t>
            </w:r>
            <w:r w:rsidR="00B02A90">
              <w:rPr>
                <w:b/>
                <w:bCs/>
              </w:rPr>
              <w:t>80</w:t>
            </w:r>
            <w:r w:rsidRPr="00C9746C">
              <w:rPr>
                <w:b/>
                <w:bCs/>
              </w:rPr>
              <w:t>)</w:t>
            </w:r>
          </w:p>
        </w:tc>
        <w:tc>
          <w:tcPr>
            <w:tcW w:w="799" w:type="dxa"/>
            <w:shd w:val="clear" w:color="auto" w:fill="auto"/>
            <w:vAlign w:val="center"/>
          </w:tcPr>
          <w:p w14:paraId="62549263" w14:textId="77777777" w:rsidR="00681CDB" w:rsidRPr="00C9746C" w:rsidRDefault="00681CDB" w:rsidP="00CD6C99">
            <w:pPr>
              <w:pStyle w:val="Tabletext0"/>
              <w:keepNext/>
              <w:keepLines/>
              <w:jc w:val="center"/>
            </w:pPr>
            <w:r w:rsidRPr="00C9746C">
              <w:t>&lt;0.001</w:t>
            </w:r>
          </w:p>
        </w:tc>
      </w:tr>
    </w:tbl>
    <w:p w14:paraId="2533852E" w14:textId="77777777" w:rsidR="009E11A3" w:rsidRPr="004A4471" w:rsidRDefault="009E11A3" w:rsidP="009E11A3">
      <w:pPr>
        <w:pStyle w:val="TableFooter"/>
        <w:keepNext/>
        <w:keepLines/>
      </w:pPr>
      <w:r w:rsidRPr="0084663E">
        <w:t>Chemotherapy = cisplatin or carboplatin + 5FU</w:t>
      </w:r>
      <w:r>
        <w:t>;</w:t>
      </w:r>
      <w:r w:rsidRPr="001F23DC">
        <w:t xml:space="preserve"> </w:t>
      </w:r>
      <w:r>
        <w:t>CPS = combined positive score; NA = not applicable</w:t>
      </w:r>
    </w:p>
    <w:p w14:paraId="4488EE48" w14:textId="77777777" w:rsidR="009E11A3" w:rsidRPr="004A4471" w:rsidRDefault="00E70329" w:rsidP="009E11A3">
      <w:pPr>
        <w:pStyle w:val="TableFooter"/>
        <w:keepNext/>
        <w:keepLines/>
      </w:pPr>
      <w:r>
        <w:rPr>
          <w:vertAlign w:val="superscript"/>
        </w:rPr>
        <w:t>a</w:t>
      </w:r>
      <w:r>
        <w:t xml:space="preserve"> </w:t>
      </w:r>
      <w:r w:rsidR="009E11A3">
        <w:t xml:space="preserve">Not statistically significant due to alpha spending requiring lower p-value than 0.05. </w:t>
      </w:r>
    </w:p>
    <w:p w14:paraId="542A1F50" w14:textId="77777777" w:rsidR="00A26EF0" w:rsidRDefault="00E70329" w:rsidP="00A26EF0">
      <w:pPr>
        <w:pStyle w:val="TableFooter"/>
        <w:keepNext/>
        <w:keepLines/>
      </w:pPr>
      <w:r>
        <w:rPr>
          <w:vertAlign w:val="superscript"/>
        </w:rPr>
        <w:t>b</w:t>
      </w:r>
      <w:r>
        <w:t xml:space="preserve"> </w:t>
      </w:r>
      <w:r w:rsidR="00A26EF0">
        <w:t>Median OS was unchanged from the final data cut</w:t>
      </w:r>
    </w:p>
    <w:p w14:paraId="6F003420" w14:textId="77777777" w:rsidR="00E30B6C" w:rsidRPr="0084663E" w:rsidRDefault="00E30B6C" w:rsidP="00A26EF0">
      <w:pPr>
        <w:pStyle w:val="TableFooter"/>
        <w:keepNext/>
        <w:keepLines/>
      </w:pPr>
      <w:r w:rsidRPr="00E30B6C">
        <w:rPr>
          <w:vertAlign w:val="superscript"/>
        </w:rPr>
        <w:t>c</w:t>
      </w:r>
      <w:r>
        <w:t xml:space="preserve"> Provided in the PSCR</w:t>
      </w:r>
    </w:p>
    <w:p w14:paraId="75DC9753" w14:textId="77777777" w:rsidR="009E11A3" w:rsidRDefault="009E11A3" w:rsidP="009E11A3">
      <w:pPr>
        <w:pStyle w:val="TableFooter"/>
        <w:keepNext/>
        <w:keepLines/>
      </w:pPr>
      <w:r w:rsidRPr="0084663E">
        <w:t>Text in bold indicate statistically significant differences</w:t>
      </w:r>
    </w:p>
    <w:p w14:paraId="2AA633FB" w14:textId="77777777" w:rsidR="009E11A3" w:rsidRDefault="009E11A3" w:rsidP="00CD6C99">
      <w:pPr>
        <w:pStyle w:val="TableFooter"/>
        <w:spacing w:after="0"/>
      </w:pPr>
      <w:r w:rsidRPr="0084663E">
        <w:t xml:space="preserve">Source: </w:t>
      </w:r>
      <w:r>
        <w:t xml:space="preserve">Table 2.5-4, p75, Table 2.5-12, p89-90, </w:t>
      </w:r>
      <w:r w:rsidRPr="0084663E">
        <w:t xml:space="preserve">Table 2.6-1, </w:t>
      </w:r>
      <w:r>
        <w:t xml:space="preserve">p117 and Table 2.6-2, </w:t>
      </w:r>
      <w:r w:rsidRPr="0084663E">
        <w:t>p11</w:t>
      </w:r>
      <w:r>
        <w:t>8</w:t>
      </w:r>
      <w:r w:rsidRPr="0084663E">
        <w:t xml:space="preserve"> of the </w:t>
      </w:r>
      <w:r>
        <w:t>re</w:t>
      </w:r>
      <w:r w:rsidRPr="0084663E">
        <w:t>submission</w:t>
      </w:r>
      <w:r w:rsidR="00C7496F">
        <w:t xml:space="preserve">; </w:t>
      </w:r>
      <w:r w:rsidR="00C7496F" w:rsidRPr="001E56C5">
        <w:rPr>
          <w:i/>
          <w:iCs/>
        </w:rPr>
        <w:t>Table 5 and 6 PSCR</w:t>
      </w:r>
    </w:p>
    <w:bookmarkEnd w:id="41"/>
    <w:p w14:paraId="4524DC28" w14:textId="77777777" w:rsidR="00535B73" w:rsidRPr="00A24A89" w:rsidRDefault="00535B73" w:rsidP="00535B73">
      <w:pPr>
        <w:pStyle w:val="InstructionalText"/>
        <w:spacing w:before="0" w:after="0"/>
        <w:rPr>
          <w:rFonts w:ascii="Arial Narrow" w:hAnsi="Arial Narrow"/>
          <w:color w:val="auto"/>
          <w:sz w:val="18"/>
          <w:szCs w:val="18"/>
        </w:rPr>
      </w:pPr>
    </w:p>
    <w:p w14:paraId="321EB84F" w14:textId="77777777" w:rsidR="00D7609F" w:rsidRPr="00A24A89" w:rsidRDefault="00BD789E" w:rsidP="00024DCD">
      <w:pPr>
        <w:pStyle w:val="Caption"/>
      </w:pPr>
      <w:bookmarkStart w:id="43" w:name="_Ref80064565"/>
      <w:bookmarkStart w:id="44" w:name="_Ref81939776"/>
      <w:r>
        <w:lastRenderedPageBreak/>
        <w:t xml:space="preserve">Figure </w:t>
      </w:r>
      <w:r w:rsidR="008D43ED">
        <w:rPr>
          <w:noProof/>
        </w:rPr>
        <w:t>1</w:t>
      </w:r>
      <w:bookmarkEnd w:id="43"/>
      <w:r w:rsidR="00024DCD">
        <w:t xml:space="preserve">: </w:t>
      </w:r>
      <w:r w:rsidR="00D7609F" w:rsidRPr="00A24A89">
        <w:t xml:space="preserve">Kaplan Meier estimates of OS for </w:t>
      </w:r>
      <w:r w:rsidR="00A15BE8" w:rsidRPr="00535B73">
        <w:t>pembrolizumab plus</w:t>
      </w:r>
      <w:r w:rsidR="00D7609F" w:rsidRPr="00A24A89">
        <w:t xml:space="preserve"> chemotherapy in KN048 </w:t>
      </w:r>
      <w:r w:rsidR="002B1C15" w:rsidRPr="00535B73">
        <w:t>CPS ≥1</w:t>
      </w:r>
      <w:r w:rsidR="00D7609F" w:rsidRPr="00A24A89">
        <w:t xml:space="preserve"> (updated with 12 months additional follow up)</w:t>
      </w:r>
      <w:bookmarkEnd w:id="44"/>
    </w:p>
    <w:p w14:paraId="5F917701" w14:textId="77777777" w:rsidR="00D7609F" w:rsidRPr="00A24A89" w:rsidRDefault="00D7609F" w:rsidP="00535B73">
      <w:pPr>
        <w:keepNext/>
        <w:keepLines/>
        <w:jc w:val="left"/>
      </w:pPr>
      <w:r w:rsidRPr="00A24A89">
        <w:rPr>
          <w:noProof/>
          <w:lang w:eastAsia="en-AU"/>
        </w:rPr>
        <w:drawing>
          <wp:inline distT="0" distB="0" distL="0" distR="0" wp14:anchorId="2AC1872E" wp14:editId="36DF1CE7">
            <wp:extent cx="5143500" cy="3570966"/>
            <wp:effectExtent l="0" t="0" r="0" b="0"/>
            <wp:docPr id="14" name="Picture 14" descr="Figure 1: Kaplan Meier estimates of OS for pembrolizumab plus chemotherapy in KN048 CPS ≥1 (updated with 12 months additional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1: Kaplan Meier estimates of OS for pembrolizumab plus chemotherapy in KN048 CPS ≥1 (updated with 12 months additional follow up)"/>
                    <pic:cNvPicPr/>
                  </pic:nvPicPr>
                  <pic:blipFill>
                    <a:blip r:embed="rId11">
                      <a:extLst>
                        <a:ext uri="{28A0092B-C50C-407E-A947-70E740481C1C}">
                          <a14:useLocalDpi xmlns:a14="http://schemas.microsoft.com/office/drawing/2010/main" val="0"/>
                        </a:ext>
                      </a:extLst>
                    </a:blip>
                    <a:stretch>
                      <a:fillRect/>
                    </a:stretch>
                  </pic:blipFill>
                  <pic:spPr>
                    <a:xfrm>
                      <a:off x="0" y="0"/>
                      <a:ext cx="5181375" cy="3597262"/>
                    </a:xfrm>
                    <a:prstGeom prst="rect">
                      <a:avLst/>
                    </a:prstGeom>
                    <a:ln>
                      <a:noFill/>
                    </a:ln>
                    <a:effectLst/>
                  </pic:spPr>
                </pic:pic>
              </a:graphicData>
            </a:graphic>
          </wp:inline>
        </w:drawing>
      </w:r>
    </w:p>
    <w:p w14:paraId="6A8F4611" w14:textId="77777777" w:rsidR="00D7609F" w:rsidRPr="00A24A89" w:rsidRDefault="00D7609F" w:rsidP="00CD6C99">
      <w:pPr>
        <w:pStyle w:val="TableFooter"/>
      </w:pPr>
      <w:r w:rsidRPr="00A24A89">
        <w:t>Source: Figure 2.5-2, p71 of the resubmission</w:t>
      </w:r>
    </w:p>
    <w:p w14:paraId="157FD8D0" w14:textId="77777777" w:rsidR="00D7609F" w:rsidRPr="00A24A89" w:rsidRDefault="00093440" w:rsidP="00024DCD">
      <w:pPr>
        <w:pStyle w:val="Caption"/>
      </w:pPr>
      <w:bookmarkStart w:id="45" w:name="_Ref80064568"/>
      <w:r>
        <w:lastRenderedPageBreak/>
        <w:t xml:space="preserve">Figure </w:t>
      </w:r>
      <w:r w:rsidR="008D43ED">
        <w:rPr>
          <w:noProof/>
        </w:rPr>
        <w:t>2</w:t>
      </w:r>
      <w:bookmarkEnd w:id="45"/>
      <w:r w:rsidR="00024DCD">
        <w:rPr>
          <w:noProof/>
        </w:rPr>
        <w:t>:</w:t>
      </w:r>
      <w:r w:rsidR="00BD789E">
        <w:tab/>
      </w:r>
      <w:r w:rsidR="00D7609F" w:rsidRPr="00A24A89">
        <w:t xml:space="preserve">Kaplan Meier estimates of OS for pembrolizumab monotherapy in KN048 </w:t>
      </w:r>
      <w:r w:rsidR="002B1C15" w:rsidRPr="00535B73">
        <w:t>CPS ≥1</w:t>
      </w:r>
      <w:r w:rsidR="00D7609F" w:rsidRPr="00A24A89">
        <w:t xml:space="preserve"> (updated with 12 months additional follow up)</w:t>
      </w:r>
    </w:p>
    <w:p w14:paraId="64AD66D9" w14:textId="77777777" w:rsidR="00D7609F" w:rsidRPr="00A24A89" w:rsidRDefault="00D7609F" w:rsidP="00535B73">
      <w:pPr>
        <w:keepNext/>
        <w:keepLines/>
        <w:jc w:val="left"/>
      </w:pPr>
      <w:r w:rsidRPr="00A24A89">
        <w:rPr>
          <w:noProof/>
          <w:lang w:eastAsia="en-AU"/>
        </w:rPr>
        <w:drawing>
          <wp:inline distT="0" distB="0" distL="0" distR="0" wp14:anchorId="09768B0A" wp14:editId="5F21E86F">
            <wp:extent cx="6045549" cy="3419475"/>
            <wp:effectExtent l="0" t="0" r="0" b="0"/>
            <wp:docPr id="21" name="Picture 21" descr="Figure 2: Kaplan Meier estimates of OS for pembrolizumab monotherapy in KN048 CPS ≥1 (updated with 12 months additional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2: Kaplan Meier estimates of OS for pembrolizumab monotherapy in KN048 CPS ≥1 (updated with 12 months additional follow u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43" t="1749"/>
                    <a:stretch/>
                  </pic:blipFill>
                  <pic:spPr bwMode="auto">
                    <a:xfrm>
                      <a:off x="0" y="0"/>
                      <a:ext cx="6056426" cy="3425627"/>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B4F7104" w14:textId="77777777" w:rsidR="00D7609F" w:rsidRPr="00A24A89" w:rsidRDefault="00D7609F" w:rsidP="00CD6C99">
      <w:pPr>
        <w:pStyle w:val="TableFooter"/>
      </w:pPr>
      <w:r w:rsidRPr="00A24A89">
        <w:t>Source: Figure 2.5-1, p70 of the resubmission</w:t>
      </w:r>
    </w:p>
    <w:p w14:paraId="61AF8CA7" w14:textId="77777777" w:rsidR="00272A42" w:rsidRDefault="00D7609F" w:rsidP="00D7609F">
      <w:pPr>
        <w:pStyle w:val="ListParagraph"/>
        <w:numPr>
          <w:ilvl w:val="4"/>
          <w:numId w:val="1"/>
        </w:numPr>
        <w:rPr>
          <w:color w:val="auto"/>
        </w:rPr>
      </w:pPr>
      <w:r w:rsidRPr="00A24A89">
        <w:rPr>
          <w:color w:val="auto"/>
        </w:rPr>
        <w:t>The OS HR</w:t>
      </w:r>
      <w:r w:rsidR="0074442A">
        <w:rPr>
          <w:color w:val="auto"/>
        </w:rPr>
        <w:t>s</w:t>
      </w:r>
      <w:r w:rsidRPr="00A24A89">
        <w:rPr>
          <w:color w:val="auto"/>
        </w:rPr>
        <w:t xml:space="preserve"> reported in the resubmission for the ITT population for </w:t>
      </w:r>
      <w:r w:rsidR="00A15BE8">
        <w:rPr>
          <w:color w:val="auto"/>
        </w:rPr>
        <w:t xml:space="preserve">pembrolizumab </w:t>
      </w:r>
      <w:r w:rsidR="0074442A">
        <w:rPr>
          <w:rFonts w:cstheme="minorHAnsi"/>
          <w:color w:val="auto"/>
        </w:rPr>
        <w:t>±</w:t>
      </w:r>
      <w:r w:rsidR="0074442A">
        <w:rPr>
          <w:color w:val="auto"/>
        </w:rPr>
        <w:t xml:space="preserve"> </w:t>
      </w:r>
      <w:r w:rsidRPr="00A24A89">
        <w:rPr>
          <w:color w:val="auto"/>
        </w:rPr>
        <w:t>chemotherapy in KN048 at four years were similar in magnitude to the OS HR</w:t>
      </w:r>
      <w:r w:rsidR="00C7496F">
        <w:rPr>
          <w:color w:val="auto"/>
        </w:rPr>
        <w:t>s</w:t>
      </w:r>
      <w:r w:rsidRPr="00A24A89">
        <w:rPr>
          <w:color w:val="auto"/>
        </w:rPr>
        <w:t xml:space="preserve"> reported at three years</w:t>
      </w:r>
      <w:r w:rsidR="00FB22D0">
        <w:rPr>
          <w:color w:val="auto"/>
        </w:rPr>
        <w:t xml:space="preserve"> (final analysis)</w:t>
      </w:r>
      <w:r w:rsidRPr="00A24A89">
        <w:rPr>
          <w:color w:val="auto"/>
        </w:rPr>
        <w:t xml:space="preserve"> in the previous submission. </w:t>
      </w:r>
    </w:p>
    <w:p w14:paraId="26B3D995" w14:textId="77777777" w:rsidR="00272A42" w:rsidRDefault="00FB22D0" w:rsidP="00D7609F">
      <w:pPr>
        <w:pStyle w:val="ListParagraph"/>
        <w:numPr>
          <w:ilvl w:val="4"/>
          <w:numId w:val="1"/>
        </w:numPr>
        <w:rPr>
          <w:color w:val="auto"/>
        </w:rPr>
      </w:pPr>
      <w:r>
        <w:rPr>
          <w:color w:val="auto"/>
        </w:rPr>
        <w:t>I</w:t>
      </w:r>
      <w:r w:rsidRPr="00A24A89">
        <w:rPr>
          <w:color w:val="auto"/>
        </w:rPr>
        <w:t>n patients treated with pembrolizumab plus chemotherapy</w:t>
      </w:r>
      <w:r>
        <w:rPr>
          <w:color w:val="auto"/>
        </w:rPr>
        <w:t xml:space="preserve"> </w:t>
      </w:r>
      <w:r w:rsidR="00D7609F" w:rsidRPr="00A24A89">
        <w:rPr>
          <w:color w:val="auto"/>
        </w:rPr>
        <w:t>the risk of death was statistically significantly lower in both the ITT population</w:t>
      </w:r>
      <w:r w:rsidR="00961B5F">
        <w:rPr>
          <w:color w:val="auto"/>
        </w:rPr>
        <w:t xml:space="preserve"> </w:t>
      </w:r>
      <w:r w:rsidR="00D7609F" w:rsidRPr="00A24A89">
        <w:rPr>
          <w:color w:val="auto"/>
        </w:rPr>
        <w:t>and CPS ≥1 population but not in the CPS &lt;1 population</w:t>
      </w:r>
      <w:r w:rsidR="007568B2">
        <w:rPr>
          <w:color w:val="auto"/>
        </w:rPr>
        <w:t>, c</w:t>
      </w:r>
      <w:r w:rsidR="007568B2" w:rsidRPr="00A24A89">
        <w:rPr>
          <w:color w:val="auto"/>
        </w:rPr>
        <w:t>ompared to patients treated with cetuximab plus chemotherapy</w:t>
      </w:r>
      <w:r w:rsidR="00D3602E">
        <w:rPr>
          <w:color w:val="auto"/>
        </w:rPr>
        <w:t xml:space="preserve">. </w:t>
      </w:r>
      <w:r w:rsidR="00E35308" w:rsidRPr="00E35308">
        <w:rPr>
          <w:iCs/>
        </w:rPr>
        <w:t xml:space="preserve">A statistically significant survival benefit was observed in the allcomers </w:t>
      </w:r>
      <w:r w:rsidR="003C0EC8">
        <w:rPr>
          <w:iCs/>
        </w:rPr>
        <w:t xml:space="preserve">(ITT) </w:t>
      </w:r>
      <w:r w:rsidR="00E35308" w:rsidRPr="00E35308">
        <w:rPr>
          <w:iCs/>
        </w:rPr>
        <w:t xml:space="preserve">population treated with pembrolizumab plus chemotherapy at the four year follow up (OS HR = 0.71, 95%CI 0.59, 0.85). In the CPS ≥1 subgroup, a statistically significant difference in OS favouring pembrolizumab plus chemotherapy was reported at the four year follow up (OS HR = 0.64, 95% CI 0.53, 0.78). </w:t>
      </w:r>
      <w:r w:rsidR="00272A42" w:rsidRPr="00A24A89">
        <w:rPr>
          <w:color w:val="auto"/>
        </w:rPr>
        <w:t xml:space="preserve">Previously the PBAC accepted the claim of superior efficacy for </w:t>
      </w:r>
      <w:r w:rsidR="00272A42">
        <w:rPr>
          <w:color w:val="auto"/>
        </w:rPr>
        <w:t>pembrolizumab plus</w:t>
      </w:r>
      <w:r w:rsidR="00272A42" w:rsidRPr="00A24A89">
        <w:rPr>
          <w:color w:val="auto"/>
        </w:rPr>
        <w:t xml:space="preserve"> chemotherapy compared to chemotherapy alone in terms of OS in patients with CPS</w:t>
      </w:r>
      <w:r w:rsidR="00272A42">
        <w:rPr>
          <w:color w:val="auto"/>
        </w:rPr>
        <w:t> </w:t>
      </w:r>
      <w:r w:rsidR="00272A42" w:rsidRPr="00A24A89">
        <w:rPr>
          <w:color w:val="auto"/>
        </w:rPr>
        <w:t>≥1</w:t>
      </w:r>
      <w:r>
        <w:rPr>
          <w:color w:val="auto"/>
        </w:rPr>
        <w:t xml:space="preserve">. The PBAC also previously noted that the </w:t>
      </w:r>
      <w:r>
        <w:t>CPS &lt;1 subgroup in KN048 was too small to conclude that pembrolizumab plus chemotherapy had no effect in this subgroup (paragraph 7.9, pembrolizumab PSD, November 2020 PBAC Meeting). This was unchanged in the resubmission.</w:t>
      </w:r>
    </w:p>
    <w:p w14:paraId="5CAEE6B8" w14:textId="77777777" w:rsidR="00D7609F" w:rsidRPr="00272A42" w:rsidRDefault="00C7496F" w:rsidP="00272A42">
      <w:pPr>
        <w:pStyle w:val="ListParagraph"/>
        <w:numPr>
          <w:ilvl w:val="4"/>
          <w:numId w:val="1"/>
        </w:numPr>
        <w:rPr>
          <w:color w:val="auto"/>
        </w:rPr>
      </w:pPr>
      <w:r>
        <w:rPr>
          <w:color w:val="auto"/>
        </w:rPr>
        <w:t>I</w:t>
      </w:r>
      <w:r w:rsidR="00D7609F" w:rsidRPr="00A24A89">
        <w:rPr>
          <w:color w:val="auto"/>
        </w:rPr>
        <w:t>n patients treated with pembrolizumab monotherapy</w:t>
      </w:r>
      <w:r w:rsidR="00CD6C99">
        <w:rPr>
          <w:color w:val="auto"/>
        </w:rPr>
        <w:t>,</w:t>
      </w:r>
      <w:r w:rsidR="00D7609F" w:rsidRPr="00A24A89">
        <w:rPr>
          <w:color w:val="auto"/>
        </w:rPr>
        <w:t xml:space="preserve"> </w:t>
      </w:r>
      <w:r>
        <w:rPr>
          <w:color w:val="auto"/>
        </w:rPr>
        <w:t xml:space="preserve">OS </w:t>
      </w:r>
      <w:r w:rsidR="00D7609F" w:rsidRPr="00A24A89">
        <w:rPr>
          <w:color w:val="auto"/>
        </w:rPr>
        <w:t>was not statistically different to patients treated with cetuximab plus chemotherapy in the ITT population</w:t>
      </w:r>
      <w:r>
        <w:rPr>
          <w:color w:val="auto"/>
        </w:rPr>
        <w:t xml:space="preserve"> </w:t>
      </w:r>
      <w:r w:rsidRPr="00093440">
        <w:t>(p-value for significance</w:t>
      </w:r>
      <w:r w:rsidR="00B46BA2">
        <w:t>:</w:t>
      </w:r>
      <w:r w:rsidRPr="00093440">
        <w:t xml:space="preserve"> 0.0059, observed p-value at four</w:t>
      </w:r>
      <w:r w:rsidR="00961B5F">
        <w:t>-</w:t>
      </w:r>
      <w:r w:rsidRPr="00093440">
        <w:t>year follow-up</w:t>
      </w:r>
      <w:r w:rsidR="00B46BA2">
        <w:t>:</w:t>
      </w:r>
      <w:r w:rsidRPr="00093440">
        <w:t xml:space="preserve"> 0.00994)</w:t>
      </w:r>
      <w:r w:rsidR="00D7609F" w:rsidRPr="00093440">
        <w:rPr>
          <w:color w:val="auto"/>
        </w:rPr>
        <w:t>.</w:t>
      </w:r>
      <w:r w:rsidR="00D7609F" w:rsidRPr="00A24A89">
        <w:rPr>
          <w:color w:val="auto"/>
        </w:rPr>
        <w:t xml:space="preserve"> </w:t>
      </w:r>
      <w:r w:rsidR="00E35308" w:rsidRPr="00E35308">
        <w:rPr>
          <w:iCs/>
        </w:rPr>
        <w:t xml:space="preserve">In </w:t>
      </w:r>
      <w:r w:rsidR="00E35308" w:rsidRPr="00E35308">
        <w:rPr>
          <w:iCs/>
        </w:rPr>
        <w:lastRenderedPageBreak/>
        <w:t xml:space="preserve">the CPS ≥1 subgroup, a statistically significant difference in OS favouring pembrolizumab monotherapy was reported at the four year follow up (OS HR = 0.74, 95% CI 0.61, 0.89, p=0.00080). In the CPS ≥20 subgroup, a statistically significant difference in OS favouring pembrolizumab monotherapy was reported at the four year follow up (OS HR = 0.60, 95% CI 0.46, 0.80), p&lt;0.001). </w:t>
      </w:r>
      <w:r w:rsidR="00FB22D0">
        <w:rPr>
          <w:color w:val="auto"/>
        </w:rPr>
        <w:t xml:space="preserve">The PBAC recalled that </w:t>
      </w:r>
      <w:proofErr w:type="gramStart"/>
      <w:r w:rsidR="00FB22D0">
        <w:rPr>
          <w:color w:val="auto"/>
        </w:rPr>
        <w:t>o</w:t>
      </w:r>
      <w:r w:rsidR="00272A42" w:rsidRPr="00093440">
        <w:rPr>
          <w:color w:val="auto"/>
        </w:rPr>
        <w:t>n the basis of</w:t>
      </w:r>
      <w:proofErr w:type="gramEnd"/>
      <w:r w:rsidR="00272A42" w:rsidRPr="00093440">
        <w:rPr>
          <w:color w:val="auto"/>
        </w:rPr>
        <w:t xml:space="preserve"> the indirect comparison of KN048 with EXTREME,</w:t>
      </w:r>
      <w:r w:rsidR="00272A42" w:rsidRPr="00A24A89">
        <w:rPr>
          <w:color w:val="auto"/>
        </w:rPr>
        <w:t xml:space="preserve"> </w:t>
      </w:r>
      <w:r w:rsidR="00FB22D0">
        <w:rPr>
          <w:color w:val="auto"/>
        </w:rPr>
        <w:t>it</w:t>
      </w:r>
      <w:r w:rsidR="00272A42" w:rsidRPr="001E56C5">
        <w:rPr>
          <w:color w:val="auto"/>
        </w:rPr>
        <w:t xml:space="preserve"> did not accept the clinical</w:t>
      </w:r>
      <w:r w:rsidR="00272A42" w:rsidRPr="007F5602">
        <w:rPr>
          <w:color w:val="auto"/>
        </w:rPr>
        <w:t xml:space="preserve"> claim for pembrolizumab monotherapy compared to chemotherapy alone in patients with C</w:t>
      </w:r>
      <w:r w:rsidR="00272A42" w:rsidRPr="00A24A89">
        <w:rPr>
          <w:color w:val="auto"/>
        </w:rPr>
        <w:t>PS</w:t>
      </w:r>
      <w:r w:rsidR="007568B2">
        <w:rPr>
          <w:color w:val="auto"/>
        </w:rPr>
        <w:t> </w:t>
      </w:r>
      <w:r w:rsidR="00272A42" w:rsidRPr="00A24A89">
        <w:rPr>
          <w:color w:val="auto"/>
        </w:rPr>
        <w:t>≥1 (</w:t>
      </w:r>
      <w:r w:rsidR="00272A42">
        <w:rPr>
          <w:color w:val="auto"/>
        </w:rPr>
        <w:t>p</w:t>
      </w:r>
      <w:r w:rsidR="00272A42" w:rsidRPr="00A24A89">
        <w:rPr>
          <w:color w:val="auto"/>
        </w:rPr>
        <w:t>aragraphs 7.5 and 7.6, pembrolizumab PSD, November 2020</w:t>
      </w:r>
      <w:r w:rsidR="00272A42" w:rsidRPr="007000C5">
        <w:rPr>
          <w:color w:val="auto"/>
        </w:rPr>
        <w:t xml:space="preserve"> </w:t>
      </w:r>
      <w:r w:rsidR="00272A42" w:rsidRPr="00A24A89">
        <w:rPr>
          <w:color w:val="auto"/>
        </w:rPr>
        <w:t>PBAC</w:t>
      </w:r>
      <w:r w:rsidR="00272A42">
        <w:rPr>
          <w:color w:val="auto"/>
        </w:rPr>
        <w:t xml:space="preserve"> Meeting</w:t>
      </w:r>
      <w:r w:rsidR="00272A42" w:rsidRPr="00093440">
        <w:rPr>
          <w:color w:val="auto"/>
        </w:rPr>
        <w:t xml:space="preserve">). </w:t>
      </w:r>
      <w:r w:rsidR="00A131FB">
        <w:rPr>
          <w:color w:val="auto"/>
        </w:rPr>
        <w:t xml:space="preserve">The PBAC noted that the resubmission provided additional information regarding the statistical analysis plan and its revisions </w:t>
      </w:r>
      <w:r w:rsidR="00B6659F">
        <w:rPr>
          <w:color w:val="auto"/>
        </w:rPr>
        <w:t>to support</w:t>
      </w:r>
      <w:r w:rsidR="00A131FB">
        <w:rPr>
          <w:color w:val="auto"/>
        </w:rPr>
        <w:t xml:space="preserve"> the claim that </w:t>
      </w:r>
      <w:r w:rsidR="007568B2">
        <w:rPr>
          <w:color w:val="auto"/>
        </w:rPr>
        <w:t xml:space="preserve">there was a statistically significant OS benefit for patients with </w:t>
      </w:r>
      <w:r w:rsidR="00A131FB" w:rsidRPr="007F5602">
        <w:rPr>
          <w:color w:val="auto"/>
        </w:rPr>
        <w:t>C</w:t>
      </w:r>
      <w:r w:rsidR="00A131FB" w:rsidRPr="00A24A89">
        <w:rPr>
          <w:color w:val="auto"/>
        </w:rPr>
        <w:t xml:space="preserve">PS ≥1 </w:t>
      </w:r>
      <w:r w:rsidR="007568B2">
        <w:rPr>
          <w:color w:val="auto"/>
        </w:rPr>
        <w:t xml:space="preserve">treated with </w:t>
      </w:r>
      <w:r w:rsidR="00A131FB">
        <w:rPr>
          <w:color w:val="auto"/>
        </w:rPr>
        <w:t>pembrolizumab monotherapy</w:t>
      </w:r>
      <w:r w:rsidR="00B6659F">
        <w:rPr>
          <w:color w:val="auto"/>
        </w:rPr>
        <w:t xml:space="preserve"> compared </w:t>
      </w:r>
      <w:r w:rsidR="007568B2">
        <w:rPr>
          <w:color w:val="auto"/>
        </w:rPr>
        <w:t xml:space="preserve">with </w:t>
      </w:r>
      <w:r w:rsidR="007568B2" w:rsidRPr="00A24A89">
        <w:rPr>
          <w:color w:val="auto"/>
        </w:rPr>
        <w:t>cetuximab plus chemotherapy</w:t>
      </w:r>
      <w:r w:rsidR="00B6659F">
        <w:rPr>
          <w:color w:val="auto"/>
        </w:rPr>
        <w:t xml:space="preserve"> in KN048.</w:t>
      </w:r>
    </w:p>
    <w:p w14:paraId="3CD60686" w14:textId="77777777" w:rsidR="00D7609F" w:rsidRPr="00093440" w:rsidRDefault="00D7609F" w:rsidP="00D7609F">
      <w:pPr>
        <w:pStyle w:val="ListParagraph"/>
        <w:numPr>
          <w:ilvl w:val="4"/>
          <w:numId w:val="1"/>
        </w:numPr>
        <w:rPr>
          <w:iCs/>
          <w:color w:val="auto"/>
        </w:rPr>
      </w:pPr>
      <w:r w:rsidRPr="00A131FB">
        <w:rPr>
          <w:color w:val="auto"/>
        </w:rPr>
        <w:t>The PBAC previously noted that the benefit of pembrolizumab monotherapy was likely driven by the CPS</w:t>
      </w:r>
      <w:r w:rsidR="00BF0AD0" w:rsidRPr="00A131FB">
        <w:rPr>
          <w:color w:val="auto"/>
        </w:rPr>
        <w:t xml:space="preserve"> </w:t>
      </w:r>
      <w:r w:rsidRPr="00A131FB">
        <w:rPr>
          <w:color w:val="auto"/>
        </w:rPr>
        <w:t>≥20 population (paragraph 7.5, pembrolizumab PSD, November 2020</w:t>
      </w:r>
      <w:r w:rsidR="007000C5" w:rsidRPr="00A131FB">
        <w:rPr>
          <w:color w:val="auto"/>
        </w:rPr>
        <w:t xml:space="preserve"> PBAC Meeting</w:t>
      </w:r>
      <w:r w:rsidRPr="00A131FB">
        <w:rPr>
          <w:color w:val="auto"/>
        </w:rPr>
        <w:t>)</w:t>
      </w:r>
      <w:r w:rsidR="00D825E0" w:rsidRPr="00A131FB">
        <w:rPr>
          <w:color w:val="auto"/>
        </w:rPr>
        <w:t xml:space="preserve">. </w:t>
      </w:r>
      <w:r w:rsidR="00A131FB">
        <w:rPr>
          <w:iCs/>
          <w:color w:val="auto"/>
        </w:rPr>
        <w:t>F</w:t>
      </w:r>
      <w:r w:rsidR="00527898" w:rsidRPr="00093440">
        <w:rPr>
          <w:iCs/>
          <w:color w:val="auto"/>
        </w:rPr>
        <w:t xml:space="preserve">ollowing changes to the proposed population for </w:t>
      </w:r>
      <w:r w:rsidR="00123A31" w:rsidRPr="00093440">
        <w:rPr>
          <w:iCs/>
          <w:color w:val="auto"/>
        </w:rPr>
        <w:t xml:space="preserve">pembrolizumab </w:t>
      </w:r>
      <w:r w:rsidR="00527898" w:rsidRPr="00093440">
        <w:rPr>
          <w:iCs/>
          <w:color w:val="auto"/>
        </w:rPr>
        <w:t>monotherapy in the PSCR, the relevant comparison for pembrolizumab monotherapy is in the CPS</w:t>
      </w:r>
      <w:r w:rsidR="00AA6520" w:rsidRPr="00093440">
        <w:rPr>
          <w:iCs/>
          <w:color w:val="auto"/>
        </w:rPr>
        <w:t xml:space="preserve"> </w:t>
      </w:r>
      <w:r w:rsidR="00527898" w:rsidRPr="00093440">
        <w:rPr>
          <w:rFonts w:cstheme="minorHAnsi"/>
          <w:iCs/>
          <w:color w:val="auto"/>
        </w:rPr>
        <w:t>≥</w:t>
      </w:r>
      <w:r w:rsidR="00527898" w:rsidRPr="00093440">
        <w:rPr>
          <w:iCs/>
          <w:color w:val="auto"/>
        </w:rPr>
        <w:t xml:space="preserve">20 subgroup (OS HR = 0.60, 95%CI 0.46, 0.80 </w:t>
      </w:r>
      <w:r w:rsidR="00123A31" w:rsidRPr="00093440">
        <w:rPr>
          <w:iCs/>
          <w:color w:val="auto"/>
        </w:rPr>
        <w:t xml:space="preserve">vs cetuximab + chemotherapy, </w:t>
      </w:r>
      <w:r w:rsidR="00527898" w:rsidRPr="00093440">
        <w:rPr>
          <w:iCs/>
          <w:color w:val="auto"/>
        </w:rPr>
        <w:t>at the four year follow up).</w:t>
      </w:r>
    </w:p>
    <w:p w14:paraId="79C508CF" w14:textId="77777777" w:rsidR="00D825E0" w:rsidRPr="007C6E2F" w:rsidRDefault="007568B2" w:rsidP="00D7609F">
      <w:pPr>
        <w:pStyle w:val="ListParagraph"/>
        <w:numPr>
          <w:ilvl w:val="4"/>
          <w:numId w:val="1"/>
        </w:numPr>
        <w:rPr>
          <w:color w:val="auto"/>
        </w:rPr>
      </w:pPr>
      <w:r>
        <w:rPr>
          <w:color w:val="auto"/>
        </w:rPr>
        <w:t>T</w:t>
      </w:r>
      <w:r w:rsidR="00D7609F" w:rsidRPr="00A24A89">
        <w:rPr>
          <w:color w:val="auto"/>
        </w:rPr>
        <w:t>he resubmission</w:t>
      </w:r>
      <w:r>
        <w:rPr>
          <w:color w:val="auto"/>
        </w:rPr>
        <w:t xml:space="preserve"> </w:t>
      </w:r>
      <w:r w:rsidR="00D7609F" w:rsidRPr="00A24A89">
        <w:rPr>
          <w:color w:val="auto"/>
        </w:rPr>
        <w:t xml:space="preserve">stated that in the absence of </w:t>
      </w:r>
      <w:proofErr w:type="gramStart"/>
      <w:r w:rsidR="00D7609F" w:rsidRPr="00A24A89">
        <w:rPr>
          <w:color w:val="auto"/>
        </w:rPr>
        <w:t>head to head</w:t>
      </w:r>
      <w:proofErr w:type="gramEnd"/>
      <w:r w:rsidR="00D7609F" w:rsidRPr="00A24A89">
        <w:rPr>
          <w:color w:val="auto"/>
        </w:rPr>
        <w:t xml:space="preserve"> data comparing pembrolizumab ± chemotherapy to chemotherapy followed by 2L nivolumab, the impact of 2L nivolumab has been accounted for by using a </w:t>
      </w:r>
      <w:r w:rsidR="00D825E0" w:rsidRPr="00D825E0">
        <w:rPr>
          <w:color w:val="auto"/>
        </w:rPr>
        <w:t>simplified two stage model with no re-censoring based on Latimer 2013</w:t>
      </w:r>
      <w:r w:rsidR="00D825E0" w:rsidRPr="00A24A89">
        <w:rPr>
          <w:rStyle w:val="FootnoteReference"/>
        </w:rPr>
        <w:footnoteReference w:id="3"/>
      </w:r>
      <w:r w:rsidR="00D825E0" w:rsidRPr="00D825E0">
        <w:rPr>
          <w:color w:val="auto"/>
        </w:rPr>
        <w:t xml:space="preserve"> was conducted on the cetuximab plus chemotherapy arm in KN048, with a separate model for </w:t>
      </w:r>
      <w:r w:rsidR="00465525" w:rsidRPr="00D825E0">
        <w:rPr>
          <w:color w:val="auto"/>
        </w:rPr>
        <w:t>pembrolizumab</w:t>
      </w:r>
      <w:r w:rsidR="00D825E0" w:rsidRPr="00D825E0">
        <w:rPr>
          <w:color w:val="auto"/>
        </w:rPr>
        <w:t xml:space="preserve"> monotherapy vs cetuximab plus chemotherapy and pembrolizumab plus chemotherapy vs cetuximab plus chemotherapy.</w:t>
      </w:r>
    </w:p>
    <w:p w14:paraId="16EFEE01" w14:textId="77777777" w:rsidR="00D825E0" w:rsidRPr="00D7253B" w:rsidRDefault="00D825E0" w:rsidP="00D7609F">
      <w:pPr>
        <w:pStyle w:val="ListParagraph"/>
        <w:numPr>
          <w:ilvl w:val="4"/>
          <w:numId w:val="1"/>
        </w:numPr>
        <w:rPr>
          <w:i/>
          <w:iCs/>
          <w:color w:val="auto"/>
        </w:rPr>
      </w:pPr>
      <w:r w:rsidRPr="00D825E0">
        <w:rPr>
          <w:color w:val="auto"/>
        </w:rPr>
        <w:t>The resubmission use</w:t>
      </w:r>
      <w:r>
        <w:rPr>
          <w:color w:val="auto"/>
        </w:rPr>
        <w:t>d</w:t>
      </w:r>
      <w:r w:rsidRPr="00D825E0">
        <w:rPr>
          <w:color w:val="auto"/>
        </w:rPr>
        <w:t xml:space="preserve"> a combination of the observed OS HR from KN048, which reported between 25.18% to 26.67% (depending on comparison and CPS status) of 2L </w:t>
      </w:r>
      <w:r>
        <w:rPr>
          <w:color w:val="auto"/>
        </w:rPr>
        <w:t>ICI use, which was assumed to be nivolumab,</w:t>
      </w:r>
      <w:r w:rsidRPr="00D825E0">
        <w:rPr>
          <w:color w:val="auto"/>
        </w:rPr>
        <w:t xml:space="preserve"> and the adjusted OS HR that represented 0% 2L ICI use to further estimate an upscaled OS HR that includes 50% 2L ICI</w:t>
      </w:r>
      <w:r>
        <w:rPr>
          <w:color w:val="auto"/>
        </w:rPr>
        <w:t>.</w:t>
      </w:r>
      <w:r w:rsidRPr="00D825E0">
        <w:t xml:space="preserve"> </w:t>
      </w:r>
      <w:r w:rsidRPr="00D825E0">
        <w:rPr>
          <w:color w:val="auto"/>
        </w:rPr>
        <w:t xml:space="preserve">The results of the two-stage adjustment and the subsequent upscaling to 50% are summarised in </w:t>
      </w:r>
      <w:r w:rsidR="008D43ED" w:rsidRPr="008D43ED">
        <w:rPr>
          <w:color w:val="auto"/>
        </w:rPr>
        <w:t>Table 10</w:t>
      </w:r>
      <w:r>
        <w:rPr>
          <w:color w:val="auto"/>
        </w:rPr>
        <w:t xml:space="preserve">. The </w:t>
      </w:r>
      <w:r w:rsidR="006A6503">
        <w:rPr>
          <w:color w:val="auto"/>
        </w:rPr>
        <w:t xml:space="preserve">Kaplan-Meier curves with and without adjustment for 2L nivolumab use are presented in </w:t>
      </w:r>
      <w:r w:rsidR="008D43ED">
        <w:t xml:space="preserve">Figure </w:t>
      </w:r>
      <w:r w:rsidR="008D43ED">
        <w:rPr>
          <w:noProof/>
        </w:rPr>
        <w:t>3</w:t>
      </w:r>
      <w:r w:rsidR="006A6503">
        <w:rPr>
          <w:color w:val="auto"/>
        </w:rPr>
        <w:t xml:space="preserve"> and </w:t>
      </w:r>
      <w:r w:rsidR="008D43ED">
        <w:t xml:space="preserve">Figure </w:t>
      </w:r>
      <w:r w:rsidR="008D43ED">
        <w:rPr>
          <w:noProof/>
        </w:rPr>
        <w:t>4</w:t>
      </w:r>
      <w:r w:rsidR="006A6503">
        <w:rPr>
          <w:color w:val="auto"/>
        </w:rPr>
        <w:t>.</w:t>
      </w:r>
      <w:r w:rsidR="00D7253B">
        <w:rPr>
          <w:color w:val="auto"/>
        </w:rPr>
        <w:t xml:space="preserve"> </w:t>
      </w:r>
      <w:r w:rsidR="00D7253B" w:rsidRPr="00093440">
        <w:rPr>
          <w:color w:val="auto"/>
        </w:rPr>
        <w:t>The ESC</w:t>
      </w:r>
      <w:r w:rsidR="00B926EF" w:rsidRPr="00093440">
        <w:rPr>
          <w:color w:val="auto"/>
        </w:rPr>
        <w:t>s</w:t>
      </w:r>
      <w:r w:rsidR="00D7253B" w:rsidRPr="00093440">
        <w:rPr>
          <w:color w:val="auto"/>
        </w:rPr>
        <w:t xml:space="preserve"> </w:t>
      </w:r>
      <w:r w:rsidR="007C6E2F" w:rsidRPr="00093440">
        <w:rPr>
          <w:color w:val="auto"/>
        </w:rPr>
        <w:t xml:space="preserve">considered </w:t>
      </w:r>
      <w:r w:rsidR="00D7253B" w:rsidRPr="00093440">
        <w:rPr>
          <w:color w:val="auto"/>
        </w:rPr>
        <w:t>that using a simplified two stage model with no re-censoring in this way was unconventional but may be a reasonable attempt at adjusting for 2L nivolumab in the absence of other options</w:t>
      </w:r>
      <w:r w:rsidR="004D072D" w:rsidRPr="00093440">
        <w:rPr>
          <w:color w:val="auto"/>
        </w:rPr>
        <w:t>.</w:t>
      </w:r>
      <w:r w:rsidR="00D7253B" w:rsidRPr="00093440">
        <w:rPr>
          <w:color w:val="auto"/>
        </w:rPr>
        <w:t xml:space="preserve"> </w:t>
      </w:r>
      <w:r w:rsidR="004D072D" w:rsidRPr="00093440">
        <w:rPr>
          <w:color w:val="auto"/>
        </w:rPr>
        <w:t xml:space="preserve">The ESCs noted </w:t>
      </w:r>
      <w:r w:rsidR="00D7253B" w:rsidRPr="00093440">
        <w:rPr>
          <w:color w:val="auto"/>
        </w:rPr>
        <w:t xml:space="preserve">that the inclusion of the adjustment for 2L nivolumab </w:t>
      </w:r>
      <w:r w:rsidR="007C6E2F" w:rsidRPr="00093440">
        <w:rPr>
          <w:color w:val="auto"/>
        </w:rPr>
        <w:lastRenderedPageBreak/>
        <w:t>appeared to make</w:t>
      </w:r>
      <w:r w:rsidR="00D7253B" w:rsidRPr="00093440">
        <w:rPr>
          <w:color w:val="auto"/>
        </w:rPr>
        <w:t xml:space="preserve"> very little difference to the HR for pembrolizumab </w:t>
      </w:r>
      <w:r w:rsidR="00D7253B" w:rsidRPr="00093440">
        <w:rPr>
          <w:rFonts w:cstheme="minorHAnsi"/>
          <w:color w:val="auto"/>
        </w:rPr>
        <w:t>±</w:t>
      </w:r>
      <w:r w:rsidR="00D7253B" w:rsidRPr="00093440">
        <w:rPr>
          <w:color w:val="auto"/>
        </w:rPr>
        <w:t xml:space="preserve"> chemotherapy, as demonstrated in </w:t>
      </w:r>
      <w:r w:rsidR="008D43ED">
        <w:t>Figure 3</w:t>
      </w:r>
      <w:r w:rsidR="00D7253B" w:rsidRPr="00093440">
        <w:rPr>
          <w:color w:val="auto"/>
        </w:rPr>
        <w:t xml:space="preserve"> and </w:t>
      </w:r>
      <w:r w:rsidR="008D43ED">
        <w:t>Figure 4</w:t>
      </w:r>
      <w:r w:rsidR="004D072D" w:rsidRPr="00093440">
        <w:rPr>
          <w:color w:val="auto"/>
        </w:rPr>
        <w:t xml:space="preserve"> and may have underestimated the benefit from 2L nivolumab</w:t>
      </w:r>
      <w:r w:rsidR="002B225E" w:rsidRPr="00093440">
        <w:rPr>
          <w:color w:val="auto"/>
        </w:rPr>
        <w:t xml:space="preserve"> (see also Paragraph </w:t>
      </w:r>
      <w:r w:rsidR="008D43ED">
        <w:rPr>
          <w:color w:val="auto"/>
        </w:rPr>
        <w:t>6.23</w:t>
      </w:r>
      <w:r w:rsidR="002B225E" w:rsidRPr="00093440">
        <w:rPr>
          <w:color w:val="auto"/>
        </w:rPr>
        <w:t>)</w:t>
      </w:r>
      <w:r w:rsidR="00D7253B" w:rsidRPr="00093440">
        <w:rPr>
          <w:color w:val="auto"/>
        </w:rPr>
        <w:t>.</w:t>
      </w:r>
      <w:r w:rsidR="004D072D" w:rsidRPr="00093440">
        <w:rPr>
          <w:color w:val="auto"/>
        </w:rPr>
        <w:t xml:space="preserve"> </w:t>
      </w:r>
      <w:r w:rsidR="007568B2">
        <w:rPr>
          <w:color w:val="auto"/>
        </w:rPr>
        <w:t xml:space="preserve">The PBAC considered that the estimate of 50% 2L nivolumab appears to be an underestimate and therefore the clinical benefit from 2L treatment may have been underestimated (see also paragraph </w:t>
      </w:r>
      <w:r w:rsidR="008D43ED">
        <w:rPr>
          <w:color w:val="auto"/>
        </w:rPr>
        <w:t>5.6</w:t>
      </w:r>
      <w:r w:rsidR="007568B2">
        <w:rPr>
          <w:color w:val="auto"/>
        </w:rPr>
        <w:t>).</w:t>
      </w:r>
    </w:p>
    <w:p w14:paraId="0D8A5922" w14:textId="77777777" w:rsidR="00D825E0" w:rsidRPr="00D825E0" w:rsidRDefault="00093440" w:rsidP="00024DCD">
      <w:pPr>
        <w:pStyle w:val="Caption"/>
      </w:pPr>
      <w:bookmarkStart w:id="46" w:name="_Ref80065244"/>
      <w:r>
        <w:t xml:space="preserve">Table </w:t>
      </w:r>
      <w:r w:rsidR="008D43ED">
        <w:rPr>
          <w:noProof/>
        </w:rPr>
        <w:t>10</w:t>
      </w:r>
      <w:bookmarkEnd w:id="46"/>
      <w:r w:rsidR="00024DCD">
        <w:t xml:space="preserve">: </w:t>
      </w:r>
      <w:r w:rsidR="00D825E0" w:rsidRPr="00D825E0">
        <w:t>Results of two-stage model adjusting for 2L immune checkpoint inhibitor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wo-stage model adjusting for 2L immune checkpoint inhibitor"/>
      </w:tblPr>
      <w:tblGrid>
        <w:gridCol w:w="1779"/>
        <w:gridCol w:w="1511"/>
        <w:gridCol w:w="1653"/>
        <w:gridCol w:w="1499"/>
        <w:gridCol w:w="848"/>
        <w:gridCol w:w="1726"/>
      </w:tblGrid>
      <w:tr w:rsidR="00D825E0" w:rsidRPr="00A24A89" w14:paraId="5B03D582"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779" w:type="dxa"/>
            <w:shd w:val="clear" w:color="auto" w:fill="auto"/>
          </w:tcPr>
          <w:p w14:paraId="0F8A2CBF" w14:textId="77777777" w:rsidR="00D825E0" w:rsidRPr="00A24A89" w:rsidRDefault="00D825E0" w:rsidP="00D825E0">
            <w:pPr>
              <w:keepNext/>
              <w:keepLines/>
              <w:spacing w:before="0"/>
              <w:rPr>
                <w:rFonts w:ascii="Arial Narrow" w:hAnsi="Arial Narrow"/>
                <w:sz w:val="20"/>
                <w:szCs w:val="20"/>
                <w:lang w:val="en-AU"/>
              </w:rPr>
            </w:pPr>
          </w:p>
        </w:tc>
        <w:tc>
          <w:tcPr>
            <w:tcW w:w="1511" w:type="dxa"/>
            <w:shd w:val="clear" w:color="auto" w:fill="auto"/>
            <w:vAlign w:val="center"/>
          </w:tcPr>
          <w:p w14:paraId="42E3422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Median OS (95%CI)</w:t>
            </w:r>
          </w:p>
        </w:tc>
        <w:tc>
          <w:tcPr>
            <w:tcW w:w="1653" w:type="dxa"/>
            <w:shd w:val="clear" w:color="auto" w:fill="auto"/>
            <w:vAlign w:val="center"/>
          </w:tcPr>
          <w:p w14:paraId="236C9BF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Survival at 12 months %(95%CI)</w:t>
            </w:r>
          </w:p>
        </w:tc>
        <w:tc>
          <w:tcPr>
            <w:tcW w:w="1499" w:type="dxa"/>
            <w:shd w:val="clear" w:color="auto" w:fill="auto"/>
            <w:vAlign w:val="center"/>
          </w:tcPr>
          <w:p w14:paraId="18A74FF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HR (95% CI)</w:t>
            </w:r>
          </w:p>
        </w:tc>
        <w:tc>
          <w:tcPr>
            <w:tcW w:w="848" w:type="dxa"/>
            <w:shd w:val="clear" w:color="auto" w:fill="auto"/>
            <w:vAlign w:val="center"/>
          </w:tcPr>
          <w:p w14:paraId="65B42B7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P-value</w:t>
            </w:r>
          </w:p>
        </w:tc>
        <w:tc>
          <w:tcPr>
            <w:tcW w:w="1726" w:type="dxa"/>
            <w:shd w:val="clear" w:color="auto" w:fill="auto"/>
            <w:vAlign w:val="center"/>
          </w:tcPr>
          <w:p w14:paraId="4BF39765" w14:textId="77777777" w:rsidR="00D825E0" w:rsidRPr="00A24A89" w:rsidRDefault="00D825E0" w:rsidP="00D825E0">
            <w:pPr>
              <w:keepNext/>
              <w:keepLines/>
              <w:spacing w:before="0"/>
              <w:jc w:val="center"/>
              <w:rPr>
                <w:rFonts w:ascii="Arial Narrow" w:hAnsi="Arial Narrow"/>
                <w:sz w:val="20"/>
                <w:szCs w:val="20"/>
                <w:vertAlign w:val="superscript"/>
                <w:lang w:val="en-AU"/>
              </w:rPr>
            </w:pPr>
            <w:r w:rsidRPr="00A24A89">
              <w:rPr>
                <w:rFonts w:ascii="Arial Narrow" w:hAnsi="Arial Narrow"/>
                <w:sz w:val="20"/>
                <w:szCs w:val="20"/>
                <w:lang w:val="en-AU"/>
              </w:rPr>
              <w:t xml:space="preserve">Acceleration Factor (95%CI) </w:t>
            </w:r>
            <w:r w:rsidRPr="00A24A89">
              <w:rPr>
                <w:rFonts w:ascii="Arial Narrow" w:hAnsi="Arial Narrow"/>
                <w:b w:val="0"/>
                <w:bCs/>
                <w:sz w:val="20"/>
                <w:szCs w:val="20"/>
                <w:vertAlign w:val="superscript"/>
                <w:lang w:val="en-AU"/>
              </w:rPr>
              <w:t>a</w:t>
            </w:r>
          </w:p>
        </w:tc>
      </w:tr>
      <w:tr w:rsidR="00D825E0" w:rsidRPr="00A24A89" w14:paraId="7703039B" w14:textId="77777777" w:rsidTr="006419CD">
        <w:tc>
          <w:tcPr>
            <w:tcW w:w="9016" w:type="dxa"/>
            <w:gridSpan w:val="6"/>
            <w:shd w:val="clear" w:color="auto" w:fill="auto"/>
          </w:tcPr>
          <w:p w14:paraId="3D22B192"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 chemotherapy (ITT)</w:t>
            </w:r>
          </w:p>
        </w:tc>
      </w:tr>
      <w:tr w:rsidR="00D825E0" w:rsidRPr="00A24A89" w14:paraId="180CC3E6" w14:textId="77777777" w:rsidTr="006419CD">
        <w:tc>
          <w:tcPr>
            <w:tcW w:w="1779" w:type="dxa"/>
            <w:shd w:val="clear" w:color="auto" w:fill="auto"/>
          </w:tcPr>
          <w:p w14:paraId="49AE3BC8"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Pembrolizumab +chemotherapy </w:t>
            </w:r>
          </w:p>
        </w:tc>
        <w:tc>
          <w:tcPr>
            <w:tcW w:w="1511" w:type="dxa"/>
            <w:shd w:val="clear" w:color="auto" w:fill="auto"/>
            <w:vAlign w:val="center"/>
          </w:tcPr>
          <w:p w14:paraId="3C3845D7"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13.0 (10.9, 14.7)</w:t>
            </w:r>
          </w:p>
        </w:tc>
        <w:tc>
          <w:tcPr>
            <w:tcW w:w="1653" w:type="dxa"/>
            <w:shd w:val="clear" w:color="auto" w:fill="auto"/>
            <w:vAlign w:val="center"/>
          </w:tcPr>
          <w:p w14:paraId="55DC2F4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53.0 (47.0, 58.7)</w:t>
            </w:r>
          </w:p>
        </w:tc>
        <w:tc>
          <w:tcPr>
            <w:tcW w:w="1499" w:type="dxa"/>
            <w:shd w:val="clear" w:color="auto" w:fill="auto"/>
            <w:vAlign w:val="center"/>
          </w:tcPr>
          <w:p w14:paraId="7B0FBA3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2568E6D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446CABE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1D0DFF35" w14:textId="77777777" w:rsidTr="006419CD">
        <w:tc>
          <w:tcPr>
            <w:tcW w:w="1779" w:type="dxa"/>
            <w:shd w:val="clear" w:color="auto" w:fill="auto"/>
          </w:tcPr>
          <w:p w14:paraId="3CC3FA63"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45698BC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10.7 (9.3, 11.7)</w:t>
            </w:r>
          </w:p>
        </w:tc>
        <w:tc>
          <w:tcPr>
            <w:tcW w:w="1653" w:type="dxa"/>
            <w:shd w:val="clear" w:color="auto" w:fill="auto"/>
            <w:vAlign w:val="center"/>
          </w:tcPr>
          <w:p w14:paraId="7D23DC4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44.0 (38.1, 49.8)</w:t>
            </w:r>
          </w:p>
        </w:tc>
        <w:tc>
          <w:tcPr>
            <w:tcW w:w="1499" w:type="dxa"/>
            <w:shd w:val="clear" w:color="auto" w:fill="auto"/>
            <w:vAlign w:val="center"/>
          </w:tcPr>
          <w:p w14:paraId="63C7911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0.71 (0.59, 0.85)</w:t>
            </w:r>
          </w:p>
        </w:tc>
        <w:tc>
          <w:tcPr>
            <w:tcW w:w="848" w:type="dxa"/>
            <w:shd w:val="clear" w:color="auto" w:fill="auto"/>
            <w:vAlign w:val="center"/>
          </w:tcPr>
          <w:p w14:paraId="7A155FB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0.0002</w:t>
            </w:r>
          </w:p>
        </w:tc>
        <w:tc>
          <w:tcPr>
            <w:tcW w:w="1726" w:type="dxa"/>
            <w:shd w:val="clear" w:color="auto" w:fill="auto"/>
            <w:vAlign w:val="center"/>
          </w:tcPr>
          <w:p w14:paraId="2106CDB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3976A830" w14:textId="77777777" w:rsidTr="006419CD">
        <w:tc>
          <w:tcPr>
            <w:tcW w:w="1779" w:type="dxa"/>
            <w:shd w:val="clear" w:color="auto" w:fill="auto"/>
          </w:tcPr>
          <w:p w14:paraId="3D044A0E" w14:textId="77777777" w:rsidR="00D825E0" w:rsidRPr="00A24A89" w:rsidRDefault="00D825E0" w:rsidP="00D825E0">
            <w:pPr>
              <w:keepNext/>
              <w:keepLines/>
              <w:spacing w:before="0"/>
              <w:rPr>
                <w:rFonts w:ascii="Arial Narrow" w:hAnsi="Arial Narrow"/>
                <w:sz w:val="20"/>
                <w:szCs w:val="20"/>
                <w:vertAlign w:val="superscript"/>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6899BE9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(9.2, 11.5)</w:t>
            </w:r>
          </w:p>
        </w:tc>
        <w:tc>
          <w:tcPr>
            <w:tcW w:w="1653" w:type="dxa"/>
            <w:shd w:val="clear" w:color="auto" w:fill="auto"/>
            <w:vAlign w:val="center"/>
          </w:tcPr>
          <w:p w14:paraId="6D31C04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43.3 (37.4, 49.1)</w:t>
            </w:r>
          </w:p>
        </w:tc>
        <w:tc>
          <w:tcPr>
            <w:tcW w:w="1499" w:type="dxa"/>
            <w:shd w:val="clear" w:color="auto" w:fill="auto"/>
            <w:vAlign w:val="center"/>
          </w:tcPr>
          <w:p w14:paraId="28AB708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0.68 (0.55, 0.83)</w:t>
            </w:r>
          </w:p>
        </w:tc>
        <w:tc>
          <w:tcPr>
            <w:tcW w:w="848" w:type="dxa"/>
            <w:shd w:val="clear" w:color="auto" w:fill="auto"/>
            <w:vAlign w:val="center"/>
          </w:tcPr>
          <w:p w14:paraId="54092FE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0.0002</w:t>
            </w:r>
          </w:p>
        </w:tc>
        <w:tc>
          <w:tcPr>
            <w:tcW w:w="1726" w:type="dxa"/>
            <w:shd w:val="clear" w:color="auto" w:fill="auto"/>
            <w:vAlign w:val="center"/>
          </w:tcPr>
          <w:p w14:paraId="7F7EAB1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1.595 (1.178, 2.159)</w:t>
            </w:r>
          </w:p>
        </w:tc>
      </w:tr>
      <w:tr w:rsidR="00D825E0" w:rsidRPr="00A24A89" w14:paraId="60FA0E03" w14:textId="77777777" w:rsidTr="006419CD">
        <w:tc>
          <w:tcPr>
            <w:tcW w:w="1779" w:type="dxa"/>
            <w:shd w:val="clear" w:color="auto" w:fill="auto"/>
          </w:tcPr>
          <w:p w14:paraId="181F05A4" w14:textId="77777777" w:rsidR="00D825E0" w:rsidRPr="00A24A89" w:rsidRDefault="00D825E0" w:rsidP="00D825E0">
            <w:pPr>
              <w:keepNext/>
              <w:keepLines/>
              <w:spacing w:before="0"/>
              <w:rPr>
                <w:rFonts w:ascii="Arial Narrow" w:hAnsi="Arial Narrow"/>
                <w:sz w:val="20"/>
                <w:szCs w:val="20"/>
                <w:vertAlign w:val="superscript"/>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7928340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165FD28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751C0F2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w:t>
            </w:r>
            <w:r w:rsidR="00B70CA5">
              <w:rPr>
                <w:rFonts w:ascii="Arial Narrow" w:hAnsi="Arial Narrow"/>
                <w:sz w:val="20"/>
                <w:szCs w:val="20"/>
                <w:lang w:val="en-AU"/>
              </w:rPr>
              <w:t>41</w:t>
            </w:r>
            <w:r w:rsidRPr="00A24A89">
              <w:rPr>
                <w:rFonts w:ascii="Arial Narrow" w:hAnsi="Arial Narrow"/>
                <w:sz w:val="20"/>
                <w:szCs w:val="20"/>
                <w:lang w:val="en-AU"/>
              </w:rPr>
              <w:t xml:space="preserve"> (NR)</w:t>
            </w:r>
          </w:p>
        </w:tc>
        <w:tc>
          <w:tcPr>
            <w:tcW w:w="848" w:type="dxa"/>
            <w:shd w:val="clear" w:color="auto" w:fill="auto"/>
            <w:vAlign w:val="center"/>
          </w:tcPr>
          <w:p w14:paraId="507E5F6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1B1DCAC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1B7C5030" w14:textId="77777777" w:rsidTr="006419CD">
        <w:tc>
          <w:tcPr>
            <w:tcW w:w="9016" w:type="dxa"/>
            <w:gridSpan w:val="6"/>
            <w:shd w:val="clear" w:color="auto" w:fill="auto"/>
          </w:tcPr>
          <w:p w14:paraId="73F8665F"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 chemotherapy (CPS ≥1)</w:t>
            </w:r>
          </w:p>
        </w:tc>
      </w:tr>
      <w:tr w:rsidR="00D825E0" w:rsidRPr="00A24A89" w14:paraId="0B756716" w14:textId="77777777" w:rsidTr="006419CD">
        <w:tc>
          <w:tcPr>
            <w:tcW w:w="1779" w:type="dxa"/>
            <w:shd w:val="clear" w:color="auto" w:fill="auto"/>
          </w:tcPr>
          <w:p w14:paraId="0B1CF6B7"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Pembrolizumab +chemotherapy </w:t>
            </w:r>
          </w:p>
        </w:tc>
        <w:tc>
          <w:tcPr>
            <w:tcW w:w="1511" w:type="dxa"/>
            <w:shd w:val="clear" w:color="auto" w:fill="auto"/>
            <w:vAlign w:val="center"/>
          </w:tcPr>
          <w:p w14:paraId="7131839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13.6 (10.7, 15.5)</w:t>
            </w:r>
          </w:p>
        </w:tc>
        <w:tc>
          <w:tcPr>
            <w:tcW w:w="1653" w:type="dxa"/>
            <w:shd w:val="clear" w:color="auto" w:fill="auto"/>
            <w:vAlign w:val="center"/>
          </w:tcPr>
          <w:p w14:paraId="139187F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55.0 (48.5, 61.0)</w:t>
            </w:r>
          </w:p>
        </w:tc>
        <w:tc>
          <w:tcPr>
            <w:tcW w:w="1499" w:type="dxa"/>
            <w:shd w:val="clear" w:color="auto" w:fill="auto"/>
            <w:vAlign w:val="center"/>
          </w:tcPr>
          <w:p w14:paraId="511A591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7AD9787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03EF3949"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655092C2" w14:textId="77777777" w:rsidTr="006419CD">
        <w:tc>
          <w:tcPr>
            <w:tcW w:w="1779" w:type="dxa"/>
            <w:shd w:val="clear" w:color="auto" w:fill="auto"/>
          </w:tcPr>
          <w:p w14:paraId="320067FF"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54A2738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10.6 (9.1, 11.7)</w:t>
            </w:r>
          </w:p>
        </w:tc>
        <w:tc>
          <w:tcPr>
            <w:tcW w:w="1653" w:type="dxa"/>
            <w:shd w:val="clear" w:color="auto" w:fill="auto"/>
            <w:vAlign w:val="center"/>
          </w:tcPr>
          <w:p w14:paraId="773716B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43.6 (37.2, 49.8)</w:t>
            </w:r>
          </w:p>
        </w:tc>
        <w:tc>
          <w:tcPr>
            <w:tcW w:w="1499" w:type="dxa"/>
            <w:shd w:val="clear" w:color="auto" w:fill="auto"/>
            <w:vAlign w:val="center"/>
          </w:tcPr>
          <w:p w14:paraId="176EB94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0.64 (0.53, 0.78)</w:t>
            </w:r>
          </w:p>
        </w:tc>
        <w:tc>
          <w:tcPr>
            <w:tcW w:w="848" w:type="dxa"/>
            <w:shd w:val="clear" w:color="auto" w:fill="auto"/>
            <w:vAlign w:val="center"/>
          </w:tcPr>
          <w:p w14:paraId="0DC5BF9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&lt;0.0001</w:t>
            </w:r>
          </w:p>
        </w:tc>
        <w:tc>
          <w:tcPr>
            <w:tcW w:w="1726" w:type="dxa"/>
            <w:shd w:val="clear" w:color="auto" w:fill="auto"/>
            <w:vAlign w:val="center"/>
          </w:tcPr>
          <w:p w14:paraId="7652E60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307B67B4" w14:textId="77777777" w:rsidTr="006419CD">
        <w:tc>
          <w:tcPr>
            <w:tcW w:w="1779" w:type="dxa"/>
            <w:shd w:val="clear" w:color="auto" w:fill="auto"/>
          </w:tcPr>
          <w:p w14:paraId="5F1AF710"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288511C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(9.0, 11.5)</w:t>
            </w:r>
          </w:p>
        </w:tc>
        <w:tc>
          <w:tcPr>
            <w:tcW w:w="1653" w:type="dxa"/>
            <w:shd w:val="clear" w:color="auto" w:fill="auto"/>
            <w:vAlign w:val="center"/>
          </w:tcPr>
          <w:p w14:paraId="1408E26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43.2 (36.8, 49.4)</w:t>
            </w:r>
          </w:p>
        </w:tc>
        <w:tc>
          <w:tcPr>
            <w:tcW w:w="1499" w:type="dxa"/>
            <w:shd w:val="clear" w:color="auto" w:fill="auto"/>
            <w:vAlign w:val="center"/>
          </w:tcPr>
          <w:p w14:paraId="33E1753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0.62 (0.50, 0.77)</w:t>
            </w:r>
          </w:p>
        </w:tc>
        <w:tc>
          <w:tcPr>
            <w:tcW w:w="848" w:type="dxa"/>
            <w:shd w:val="clear" w:color="auto" w:fill="auto"/>
            <w:vAlign w:val="center"/>
          </w:tcPr>
          <w:p w14:paraId="6B5A6784"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&lt;0.0001</w:t>
            </w:r>
          </w:p>
        </w:tc>
        <w:tc>
          <w:tcPr>
            <w:tcW w:w="1726" w:type="dxa"/>
            <w:shd w:val="clear" w:color="auto" w:fill="auto"/>
            <w:vAlign w:val="center"/>
          </w:tcPr>
          <w:p w14:paraId="0642171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1.502 (1.11, 2.033)</w:t>
            </w:r>
          </w:p>
        </w:tc>
      </w:tr>
      <w:tr w:rsidR="00D825E0" w:rsidRPr="00A24A89" w14:paraId="29AA1265" w14:textId="77777777" w:rsidTr="006419CD">
        <w:tc>
          <w:tcPr>
            <w:tcW w:w="1779" w:type="dxa"/>
            <w:shd w:val="clear" w:color="auto" w:fill="auto"/>
          </w:tcPr>
          <w:p w14:paraId="09462249"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629DFF5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6259AEF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259AAF1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0.658 (NR)</w:t>
            </w:r>
          </w:p>
        </w:tc>
        <w:tc>
          <w:tcPr>
            <w:tcW w:w="848" w:type="dxa"/>
            <w:shd w:val="clear" w:color="auto" w:fill="auto"/>
            <w:vAlign w:val="center"/>
          </w:tcPr>
          <w:p w14:paraId="3A3D0D3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5331698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4FE1DCF0" w14:textId="77777777" w:rsidTr="006419CD">
        <w:tc>
          <w:tcPr>
            <w:tcW w:w="9016" w:type="dxa"/>
            <w:gridSpan w:val="6"/>
            <w:shd w:val="clear" w:color="auto" w:fill="auto"/>
          </w:tcPr>
          <w:p w14:paraId="7C9088ED"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monotherapy (ITT)</w:t>
            </w:r>
          </w:p>
        </w:tc>
      </w:tr>
      <w:tr w:rsidR="00D825E0" w:rsidRPr="00A24A89" w14:paraId="758059F1" w14:textId="77777777" w:rsidTr="006419CD">
        <w:tc>
          <w:tcPr>
            <w:tcW w:w="1779" w:type="dxa"/>
            <w:shd w:val="clear" w:color="auto" w:fill="auto"/>
          </w:tcPr>
          <w:p w14:paraId="26E5D24F"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Pembrolizumab monotherapy</w:t>
            </w:r>
          </w:p>
        </w:tc>
        <w:tc>
          <w:tcPr>
            <w:tcW w:w="1511" w:type="dxa"/>
            <w:shd w:val="clear" w:color="auto" w:fill="auto"/>
            <w:vAlign w:val="center"/>
          </w:tcPr>
          <w:p w14:paraId="59C1E27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11.5 (10.3, 13.5)</w:t>
            </w:r>
          </w:p>
        </w:tc>
        <w:tc>
          <w:tcPr>
            <w:tcW w:w="1653" w:type="dxa"/>
            <w:shd w:val="clear" w:color="auto" w:fill="auto"/>
            <w:vAlign w:val="center"/>
          </w:tcPr>
          <w:p w14:paraId="7E1A9B5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48.7 (42.9, 54.2)</w:t>
            </w:r>
          </w:p>
        </w:tc>
        <w:tc>
          <w:tcPr>
            <w:tcW w:w="1499" w:type="dxa"/>
            <w:shd w:val="clear" w:color="auto" w:fill="auto"/>
            <w:vAlign w:val="center"/>
          </w:tcPr>
          <w:p w14:paraId="5DC55E5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77C05F34"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2A1151E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0C96C8DF" w14:textId="77777777" w:rsidTr="006419CD">
        <w:tc>
          <w:tcPr>
            <w:tcW w:w="1779" w:type="dxa"/>
            <w:shd w:val="clear" w:color="auto" w:fill="auto"/>
          </w:tcPr>
          <w:p w14:paraId="58076DE2"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300F505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10.7 (9.3, 12.1)</w:t>
            </w:r>
          </w:p>
        </w:tc>
        <w:tc>
          <w:tcPr>
            <w:tcW w:w="1653" w:type="dxa"/>
            <w:shd w:val="clear" w:color="auto" w:fill="auto"/>
            <w:vAlign w:val="center"/>
          </w:tcPr>
          <w:p w14:paraId="568A004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44.5 (38.8, 50.0)</w:t>
            </w:r>
          </w:p>
        </w:tc>
        <w:tc>
          <w:tcPr>
            <w:tcW w:w="1499" w:type="dxa"/>
            <w:shd w:val="clear" w:color="auto" w:fill="auto"/>
            <w:vAlign w:val="center"/>
          </w:tcPr>
          <w:p w14:paraId="0738B7F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0.81 (0.68, 0.97)</w:t>
            </w:r>
          </w:p>
        </w:tc>
        <w:tc>
          <w:tcPr>
            <w:tcW w:w="848" w:type="dxa"/>
            <w:shd w:val="clear" w:color="auto" w:fill="auto"/>
            <w:vAlign w:val="center"/>
          </w:tcPr>
          <w:p w14:paraId="25F696B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0.0199</w:t>
            </w:r>
          </w:p>
        </w:tc>
        <w:tc>
          <w:tcPr>
            <w:tcW w:w="1726" w:type="dxa"/>
            <w:shd w:val="clear" w:color="auto" w:fill="auto"/>
            <w:vAlign w:val="center"/>
          </w:tcPr>
          <w:p w14:paraId="7FFF9F7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50DDB16E" w14:textId="77777777" w:rsidTr="006419CD">
        <w:tc>
          <w:tcPr>
            <w:tcW w:w="1779" w:type="dxa"/>
            <w:shd w:val="clear" w:color="auto" w:fill="auto"/>
          </w:tcPr>
          <w:p w14:paraId="0FA4BEB3"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3E34888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(9.2, 11.7)</w:t>
            </w:r>
          </w:p>
        </w:tc>
        <w:tc>
          <w:tcPr>
            <w:tcW w:w="1653" w:type="dxa"/>
            <w:shd w:val="clear" w:color="auto" w:fill="auto"/>
            <w:vAlign w:val="center"/>
          </w:tcPr>
          <w:p w14:paraId="0066A96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43.8 (38.1, 49.3)</w:t>
            </w:r>
          </w:p>
        </w:tc>
        <w:tc>
          <w:tcPr>
            <w:tcW w:w="1499" w:type="dxa"/>
            <w:shd w:val="clear" w:color="auto" w:fill="auto"/>
            <w:vAlign w:val="center"/>
          </w:tcPr>
          <w:p w14:paraId="7D7D2EF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0.78 (0.63, 0.96)</w:t>
            </w:r>
          </w:p>
        </w:tc>
        <w:tc>
          <w:tcPr>
            <w:tcW w:w="848" w:type="dxa"/>
            <w:shd w:val="clear" w:color="auto" w:fill="auto"/>
            <w:vAlign w:val="center"/>
          </w:tcPr>
          <w:p w14:paraId="467F276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0.0199</w:t>
            </w:r>
          </w:p>
        </w:tc>
        <w:tc>
          <w:tcPr>
            <w:tcW w:w="1726" w:type="dxa"/>
            <w:shd w:val="clear" w:color="auto" w:fill="auto"/>
            <w:vAlign w:val="center"/>
          </w:tcPr>
          <w:p w14:paraId="171662E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1.631 (1.218, 2.185)</w:t>
            </w:r>
          </w:p>
        </w:tc>
      </w:tr>
      <w:tr w:rsidR="00D825E0" w:rsidRPr="00A24A89" w14:paraId="7B09F373" w14:textId="77777777" w:rsidTr="006419CD">
        <w:tc>
          <w:tcPr>
            <w:tcW w:w="1779" w:type="dxa"/>
            <w:shd w:val="clear" w:color="auto" w:fill="auto"/>
          </w:tcPr>
          <w:p w14:paraId="63EC9D8E"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07652D3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4F83C47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0D15A36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0.840 (NR)</w:t>
            </w:r>
          </w:p>
        </w:tc>
        <w:tc>
          <w:tcPr>
            <w:tcW w:w="848" w:type="dxa"/>
            <w:shd w:val="clear" w:color="auto" w:fill="auto"/>
            <w:vAlign w:val="center"/>
          </w:tcPr>
          <w:p w14:paraId="122ACF3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0F5CED5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321849A7" w14:textId="77777777" w:rsidTr="006419CD">
        <w:tc>
          <w:tcPr>
            <w:tcW w:w="9016" w:type="dxa"/>
            <w:gridSpan w:val="6"/>
            <w:shd w:val="clear" w:color="auto" w:fill="auto"/>
          </w:tcPr>
          <w:p w14:paraId="47CD829B"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monotherapy (CPS ≥1)</w:t>
            </w:r>
          </w:p>
        </w:tc>
      </w:tr>
      <w:tr w:rsidR="00D825E0" w:rsidRPr="00A24A89" w14:paraId="075FC924" w14:textId="77777777" w:rsidTr="006419CD">
        <w:tc>
          <w:tcPr>
            <w:tcW w:w="1779" w:type="dxa"/>
            <w:shd w:val="clear" w:color="auto" w:fill="auto"/>
          </w:tcPr>
          <w:p w14:paraId="68CE613C"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Pembrolizumab monotherapy</w:t>
            </w:r>
          </w:p>
        </w:tc>
        <w:tc>
          <w:tcPr>
            <w:tcW w:w="1511" w:type="dxa"/>
            <w:shd w:val="clear" w:color="auto" w:fill="auto"/>
            <w:vAlign w:val="center"/>
          </w:tcPr>
          <w:p w14:paraId="5075254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12.3 (10.8, 14.8)</w:t>
            </w:r>
          </w:p>
        </w:tc>
        <w:tc>
          <w:tcPr>
            <w:tcW w:w="1653" w:type="dxa"/>
            <w:shd w:val="clear" w:color="auto" w:fill="auto"/>
            <w:vAlign w:val="center"/>
          </w:tcPr>
          <w:p w14:paraId="3923A62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50.4 (44.1, 56.4)</w:t>
            </w:r>
          </w:p>
        </w:tc>
        <w:tc>
          <w:tcPr>
            <w:tcW w:w="1499" w:type="dxa"/>
            <w:shd w:val="clear" w:color="auto" w:fill="auto"/>
            <w:vAlign w:val="center"/>
          </w:tcPr>
          <w:p w14:paraId="27AAEB9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631C87C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589280B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604B2F25" w14:textId="77777777" w:rsidTr="006419CD">
        <w:tc>
          <w:tcPr>
            <w:tcW w:w="1779" w:type="dxa"/>
            <w:shd w:val="clear" w:color="auto" w:fill="auto"/>
          </w:tcPr>
          <w:p w14:paraId="00B41E75"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190120B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(9.0, 11.7)</w:t>
            </w:r>
          </w:p>
        </w:tc>
        <w:tc>
          <w:tcPr>
            <w:tcW w:w="1653" w:type="dxa"/>
            <w:shd w:val="clear" w:color="auto" w:fill="auto"/>
            <w:vAlign w:val="center"/>
          </w:tcPr>
          <w:p w14:paraId="5B508E0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43.7 (37.5, 49.7)</w:t>
            </w:r>
          </w:p>
        </w:tc>
        <w:tc>
          <w:tcPr>
            <w:tcW w:w="1499" w:type="dxa"/>
            <w:shd w:val="clear" w:color="auto" w:fill="auto"/>
            <w:vAlign w:val="center"/>
          </w:tcPr>
          <w:p w14:paraId="3C668D4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0.74 (0.61, 0.89)</w:t>
            </w:r>
          </w:p>
        </w:tc>
        <w:tc>
          <w:tcPr>
            <w:tcW w:w="848" w:type="dxa"/>
            <w:shd w:val="clear" w:color="auto" w:fill="auto"/>
            <w:vAlign w:val="center"/>
          </w:tcPr>
          <w:p w14:paraId="4547E62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0.0016</w:t>
            </w:r>
          </w:p>
        </w:tc>
        <w:tc>
          <w:tcPr>
            <w:tcW w:w="1726" w:type="dxa"/>
            <w:shd w:val="clear" w:color="auto" w:fill="auto"/>
            <w:vAlign w:val="center"/>
          </w:tcPr>
          <w:p w14:paraId="7255CA9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51B05BAA" w14:textId="77777777" w:rsidTr="006419CD">
        <w:tc>
          <w:tcPr>
            <w:tcW w:w="1779" w:type="dxa"/>
            <w:shd w:val="clear" w:color="auto" w:fill="auto"/>
          </w:tcPr>
          <w:p w14:paraId="3F5C822C"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5AFAA2C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10.2 (9.0, 11.5)</w:t>
            </w:r>
          </w:p>
        </w:tc>
        <w:tc>
          <w:tcPr>
            <w:tcW w:w="1653" w:type="dxa"/>
            <w:shd w:val="clear" w:color="auto" w:fill="auto"/>
            <w:vAlign w:val="center"/>
          </w:tcPr>
          <w:p w14:paraId="5C42BEF9"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43.3 (37.2, 49.3)</w:t>
            </w:r>
          </w:p>
        </w:tc>
        <w:tc>
          <w:tcPr>
            <w:tcW w:w="1499" w:type="dxa"/>
            <w:shd w:val="clear" w:color="auto" w:fill="auto"/>
            <w:vAlign w:val="center"/>
          </w:tcPr>
          <w:p w14:paraId="07A52FC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0.71 (0.57, 0.88)</w:t>
            </w:r>
          </w:p>
        </w:tc>
        <w:tc>
          <w:tcPr>
            <w:tcW w:w="848" w:type="dxa"/>
            <w:shd w:val="clear" w:color="auto" w:fill="auto"/>
            <w:vAlign w:val="center"/>
          </w:tcPr>
          <w:p w14:paraId="6726862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0.0017</w:t>
            </w:r>
          </w:p>
        </w:tc>
        <w:tc>
          <w:tcPr>
            <w:tcW w:w="1726" w:type="dxa"/>
            <w:shd w:val="clear" w:color="auto" w:fill="auto"/>
            <w:vAlign w:val="center"/>
          </w:tcPr>
          <w:p w14:paraId="4BF6AF5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1.541 (1.15, 2.066)</w:t>
            </w:r>
          </w:p>
        </w:tc>
      </w:tr>
      <w:tr w:rsidR="00D825E0" w:rsidRPr="00A24A89" w14:paraId="1E227A1E" w14:textId="77777777" w:rsidTr="006419CD">
        <w:tc>
          <w:tcPr>
            <w:tcW w:w="1779" w:type="dxa"/>
            <w:shd w:val="clear" w:color="auto" w:fill="auto"/>
          </w:tcPr>
          <w:p w14:paraId="75B96D29"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659DA704"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6C1D3EA9"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38F9BD0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w:t>
            </w:r>
            <w:r w:rsidR="00B70CA5">
              <w:rPr>
                <w:rFonts w:ascii="Arial Narrow" w:hAnsi="Arial Narrow"/>
                <w:sz w:val="20"/>
                <w:szCs w:val="20"/>
                <w:lang w:val="en-AU"/>
              </w:rPr>
              <w:t>67</w:t>
            </w:r>
            <w:r w:rsidRPr="00A24A89">
              <w:rPr>
                <w:rFonts w:ascii="Arial Narrow" w:hAnsi="Arial Narrow"/>
                <w:sz w:val="20"/>
                <w:szCs w:val="20"/>
                <w:lang w:val="en-AU"/>
              </w:rPr>
              <w:t xml:space="preserve"> (NR)</w:t>
            </w:r>
          </w:p>
        </w:tc>
        <w:tc>
          <w:tcPr>
            <w:tcW w:w="848" w:type="dxa"/>
            <w:shd w:val="clear" w:color="auto" w:fill="auto"/>
            <w:vAlign w:val="center"/>
          </w:tcPr>
          <w:p w14:paraId="5FD665A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3F078267"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bl>
    <w:p w14:paraId="2BB39C6D"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vertAlign w:val="superscript"/>
        </w:rPr>
        <w:t>a</w:t>
      </w:r>
      <w:r w:rsidRPr="00D825E0">
        <w:rPr>
          <w:rFonts w:ascii="Arial Narrow" w:hAnsi="Arial Narrow"/>
          <w:sz w:val="20"/>
          <w:szCs w:val="20"/>
          <w:vertAlign w:val="superscript"/>
        </w:rPr>
        <w:noBreakHyphen/>
      </w:r>
      <w:r w:rsidRPr="00D825E0">
        <w:rPr>
          <w:rFonts w:ascii="Arial Narrow" w:hAnsi="Arial Narrow"/>
          <w:sz w:val="20"/>
          <w:szCs w:val="20"/>
        </w:rPr>
        <w:t xml:space="preserve">Acceleration factor measures the effect of second line immune checkpoint inhibitor. A higher acceleration factor indicates more effective second line treatment </w:t>
      </w:r>
    </w:p>
    <w:p w14:paraId="2484DF09"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vertAlign w:val="superscript"/>
        </w:rPr>
        <w:t xml:space="preserve">b </w:t>
      </w:r>
      <w:r w:rsidRPr="00D825E0">
        <w:rPr>
          <w:rFonts w:ascii="Arial Narrow" w:hAnsi="Arial Narrow"/>
          <w:sz w:val="20"/>
          <w:szCs w:val="20"/>
        </w:rPr>
        <w:t>Adjusted SoC refers to the estimated survival in patients assuming 0% second line immune checkpoint inhibitor use</w:t>
      </w:r>
    </w:p>
    <w:p w14:paraId="186D2328"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vertAlign w:val="superscript"/>
        </w:rPr>
        <w:t>c</w:t>
      </w:r>
      <w:r w:rsidRPr="00D825E0">
        <w:rPr>
          <w:rFonts w:ascii="Arial Narrow" w:hAnsi="Arial Narrow"/>
          <w:sz w:val="20"/>
          <w:szCs w:val="20"/>
        </w:rPr>
        <w:t xml:space="preserve"> Upscaled from around 26% second line immune checkpoint inhibitor in observed SoC from KN048 to 50% assumed by resubmission </w:t>
      </w:r>
    </w:p>
    <w:p w14:paraId="2DEA6291"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rPr>
        <w:t>CPS = combined positive score, NA = not applicable, NR = not reported</w:t>
      </w:r>
    </w:p>
    <w:p w14:paraId="13D40E86" w14:textId="77777777" w:rsidR="00D825E0" w:rsidRPr="00D825E0" w:rsidRDefault="00D825E0" w:rsidP="007C6E2F">
      <w:pPr>
        <w:spacing w:before="0" w:after="0"/>
        <w:rPr>
          <w:rFonts w:ascii="Arial Narrow" w:hAnsi="Arial Narrow"/>
          <w:sz w:val="20"/>
          <w:szCs w:val="20"/>
        </w:rPr>
      </w:pPr>
      <w:r w:rsidRPr="00D825E0">
        <w:rPr>
          <w:rFonts w:ascii="Arial Narrow" w:hAnsi="Arial Narrow"/>
          <w:sz w:val="20"/>
          <w:szCs w:val="20"/>
        </w:rPr>
        <w:t>Source: Table 3, p17, table 6, p21, table 7, p23, table 10, p27, table 11, p29, table 14, p33, table 15, p35 and table 18, p39, Attachment 20 to the resubmission and Table 2.6-13, p127 of resubmission</w:t>
      </w:r>
    </w:p>
    <w:p w14:paraId="493DE6D9" w14:textId="77777777" w:rsidR="00D825E0" w:rsidRPr="00A24A89" w:rsidRDefault="00093440" w:rsidP="00024DCD">
      <w:pPr>
        <w:pStyle w:val="Caption"/>
      </w:pPr>
      <w:bookmarkStart w:id="47" w:name="_Ref80065369"/>
      <w:r>
        <w:lastRenderedPageBreak/>
        <w:t xml:space="preserve">Figure </w:t>
      </w:r>
      <w:r w:rsidR="008D43ED">
        <w:rPr>
          <w:noProof/>
        </w:rPr>
        <w:t>3</w:t>
      </w:r>
      <w:bookmarkEnd w:id="47"/>
      <w:r w:rsidR="00024DCD">
        <w:t xml:space="preserve">: </w:t>
      </w:r>
      <w:r w:rsidR="00D825E0" w:rsidRPr="00A24A89">
        <w:t>Cetuximab + chemotherapy with and without adjustment for 2L nivolumab use (pembrolizumab monotherapy comparator arm)</w:t>
      </w:r>
    </w:p>
    <w:p w14:paraId="66CDE733" w14:textId="77777777" w:rsidR="00D825E0" w:rsidRPr="00A24A89" w:rsidRDefault="00D825E0" w:rsidP="006A6503">
      <w:pPr>
        <w:pStyle w:val="TableFooter"/>
        <w:keepNext/>
        <w:keepLines/>
        <w:widowControl/>
      </w:pPr>
      <w:r w:rsidRPr="00A24A89">
        <w:rPr>
          <w:i/>
          <w:noProof/>
          <w:color w:val="0070C0"/>
          <w:lang w:eastAsia="en-AU"/>
        </w:rPr>
        <w:drawing>
          <wp:inline distT="0" distB="0" distL="0" distR="0" wp14:anchorId="31D6F559" wp14:editId="2F87B0E8">
            <wp:extent cx="5200650" cy="3506352"/>
            <wp:effectExtent l="0" t="0" r="0" b="0"/>
            <wp:docPr id="5" name="Picture 5" descr="Figure 3: Cetuximab + chemotherapy with and without adjustment for 2L nivolumab use (pembrolizumab monotherapy comparator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Cetuximab + chemotherapy with and without adjustment for 2L nivolumab use (pembrolizumab monotherapy comparator arm)"/>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33557" cy="3528538"/>
                    </a:xfrm>
                    <a:prstGeom prst="rect">
                      <a:avLst/>
                    </a:prstGeom>
                    <a:noFill/>
                  </pic:spPr>
                </pic:pic>
              </a:graphicData>
            </a:graphic>
          </wp:inline>
        </w:drawing>
      </w:r>
    </w:p>
    <w:p w14:paraId="042B7D9A" w14:textId="77777777" w:rsidR="00D825E0" w:rsidRPr="00A24A89" w:rsidRDefault="00D825E0" w:rsidP="007C6E2F">
      <w:pPr>
        <w:pStyle w:val="TableFooter"/>
        <w:widowControl/>
      </w:pPr>
      <w:r w:rsidRPr="00A24A89">
        <w:t>Source: Figure 2.6-1, p128</w:t>
      </w:r>
    </w:p>
    <w:p w14:paraId="137E29E8" w14:textId="77777777" w:rsidR="00D825E0" w:rsidRPr="00A24A89" w:rsidRDefault="00093440" w:rsidP="00024DCD">
      <w:pPr>
        <w:pStyle w:val="Caption"/>
      </w:pPr>
      <w:bookmarkStart w:id="48" w:name="_Ref80065370"/>
      <w:r>
        <w:lastRenderedPageBreak/>
        <w:t xml:space="preserve">Figure </w:t>
      </w:r>
      <w:r w:rsidR="008D43ED">
        <w:rPr>
          <w:noProof/>
        </w:rPr>
        <w:t>4</w:t>
      </w:r>
      <w:bookmarkEnd w:id="48"/>
      <w:r w:rsidR="00024DCD">
        <w:rPr>
          <w:noProof/>
        </w:rPr>
        <w:t>:</w:t>
      </w:r>
      <w:r w:rsidR="00D825E0" w:rsidRPr="00A24A89">
        <w:tab/>
        <w:t>Cetuximab + chemotherapy with and without adjustment for 2L nivolumab (</w:t>
      </w:r>
      <w:r w:rsidR="00D825E0">
        <w:t>pembrolizumab plus</w:t>
      </w:r>
      <w:r w:rsidR="00D825E0" w:rsidRPr="00A24A89">
        <w:t xml:space="preserve"> chemotherapy comparator arm)</w:t>
      </w:r>
    </w:p>
    <w:p w14:paraId="6A1A5C28" w14:textId="77777777" w:rsidR="00D825E0" w:rsidRPr="00A24A89" w:rsidRDefault="00D825E0" w:rsidP="006A6503">
      <w:pPr>
        <w:pStyle w:val="TableFooter"/>
        <w:keepNext/>
        <w:keepLines/>
        <w:widowControl/>
      </w:pPr>
      <w:r w:rsidRPr="00A24A89">
        <w:rPr>
          <w:noProof/>
          <w:color w:val="0070C0"/>
          <w:lang w:eastAsia="en-AU"/>
        </w:rPr>
        <w:drawing>
          <wp:inline distT="0" distB="0" distL="0" distR="0" wp14:anchorId="71E06A62" wp14:editId="621CEA62">
            <wp:extent cx="5457825" cy="3617957"/>
            <wp:effectExtent l="0" t="0" r="0" b="1905"/>
            <wp:docPr id="25" name="Picture 25" descr="Figure 4: Cetuximab + chemotherapy with and without adjustment for 2L nivolumab (pembrolizumab plus chemotherapy comparator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4: Cetuximab + chemotherapy with and without adjustment for 2L nivolumab (pembrolizumab plus chemotherapy comparator arm)"/>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503739" cy="3648393"/>
                    </a:xfrm>
                    <a:prstGeom prst="rect">
                      <a:avLst/>
                    </a:prstGeom>
                    <a:noFill/>
                  </pic:spPr>
                </pic:pic>
              </a:graphicData>
            </a:graphic>
          </wp:inline>
        </w:drawing>
      </w:r>
    </w:p>
    <w:p w14:paraId="104E5130" w14:textId="77777777" w:rsidR="00D825E0" w:rsidRPr="00A24A89" w:rsidRDefault="00D825E0" w:rsidP="006A6503">
      <w:pPr>
        <w:pStyle w:val="TableFooter"/>
        <w:keepNext/>
        <w:keepLines/>
        <w:widowControl/>
      </w:pPr>
      <w:r w:rsidRPr="00A24A89">
        <w:t>Source: Figure 2.6-2, p128</w:t>
      </w:r>
    </w:p>
    <w:p w14:paraId="278D4C12" w14:textId="77777777" w:rsidR="00D7609F" w:rsidRPr="0017405A" w:rsidRDefault="006A6503" w:rsidP="00D7609F">
      <w:pPr>
        <w:pStyle w:val="ListParagraph"/>
        <w:numPr>
          <w:ilvl w:val="4"/>
          <w:numId w:val="1"/>
        </w:numPr>
        <w:rPr>
          <w:iCs/>
          <w:color w:val="auto"/>
        </w:rPr>
      </w:pPr>
      <w:bookmarkStart w:id="49" w:name="_Ref80070748"/>
      <w:r>
        <w:rPr>
          <w:color w:val="auto"/>
        </w:rPr>
        <w:t>The</w:t>
      </w:r>
      <w:r w:rsidR="00D825E0" w:rsidRPr="00D825E0">
        <w:rPr>
          <w:color w:val="auto"/>
        </w:rPr>
        <w:t xml:space="preserve"> </w:t>
      </w:r>
      <w:r w:rsidR="00D7609F" w:rsidRPr="00A24A89">
        <w:rPr>
          <w:color w:val="auto"/>
        </w:rPr>
        <w:t>two</w:t>
      </w:r>
      <w:r w:rsidR="006110C9">
        <w:rPr>
          <w:color w:val="auto"/>
        </w:rPr>
        <w:t>-</w:t>
      </w:r>
      <w:r w:rsidR="00D7609F" w:rsidRPr="00A24A89">
        <w:rPr>
          <w:color w:val="auto"/>
        </w:rPr>
        <w:t xml:space="preserve">stage model to upscale the proportion of patients with 2L nivolumab use in the comparator arm of the KN048 trial (around 26%) to 50% as assumed by the resubmission resulted in </w:t>
      </w:r>
      <w:r w:rsidR="006110C9">
        <w:rPr>
          <w:color w:val="auto"/>
        </w:rPr>
        <w:t xml:space="preserve">only </w:t>
      </w:r>
      <w:r w:rsidR="00D7609F" w:rsidRPr="00A24A89">
        <w:rPr>
          <w:color w:val="auto"/>
        </w:rPr>
        <w:t>minor adjustments to the hazard ratios (pembrolizumab monotherapy OS HR</w:t>
      </w:r>
      <w:r w:rsidR="00E86B71">
        <w:rPr>
          <w:color w:val="auto"/>
        </w:rPr>
        <w:t>=</w:t>
      </w:r>
      <w:r w:rsidR="00D7609F" w:rsidRPr="00A24A89">
        <w:rPr>
          <w:color w:val="auto"/>
        </w:rPr>
        <w:t>0.74, adjusted OS HR=0.77; pembrolizumab plus chemotherapy OS HR</w:t>
      </w:r>
      <w:r w:rsidR="00E86B71">
        <w:rPr>
          <w:color w:val="auto"/>
        </w:rPr>
        <w:t>=</w:t>
      </w:r>
      <w:r w:rsidR="00D7609F" w:rsidRPr="00A24A89">
        <w:rPr>
          <w:color w:val="auto"/>
        </w:rPr>
        <w:t>0.65, adjusted OS HR</w:t>
      </w:r>
      <w:r w:rsidR="00E86B71">
        <w:rPr>
          <w:color w:val="auto"/>
        </w:rPr>
        <w:t>=</w:t>
      </w:r>
      <w:r w:rsidR="00D7609F" w:rsidRPr="00A24A89">
        <w:rPr>
          <w:color w:val="auto"/>
        </w:rPr>
        <w:t>0.66</w:t>
      </w:r>
      <w:r w:rsidR="00FD32AA">
        <w:rPr>
          <w:color w:val="auto"/>
        </w:rPr>
        <w:t>)</w:t>
      </w:r>
      <w:r w:rsidR="0025249E">
        <w:rPr>
          <w:color w:val="auto"/>
        </w:rPr>
        <w:t>. T</w:t>
      </w:r>
      <w:r w:rsidR="00D7609F" w:rsidRPr="0017405A">
        <w:rPr>
          <w:iCs/>
        </w:rPr>
        <w:t xml:space="preserve">hese adjusted HR were not directly applied in the economic model. Instead, an additional HR modifier between the HR of patients who were not treated with 2L nivolumab calculated by the resubmission and the HR reported in KN048 patients was calculated and then applied to the observed KM of the </w:t>
      </w:r>
      <w:r w:rsidR="00C077D0" w:rsidRPr="0017405A">
        <w:rPr>
          <w:iCs/>
        </w:rPr>
        <w:t>cetuximab plus</w:t>
      </w:r>
      <w:r w:rsidR="00D7609F" w:rsidRPr="0017405A">
        <w:rPr>
          <w:iCs/>
        </w:rPr>
        <w:t xml:space="preserve"> chemotherapy arm of KN048. For example, in the base case assuming 50% 2L nivolumab use, a HR of 0.972 was applied to the observed KM for 1L </w:t>
      </w:r>
      <w:r w:rsidR="00C077D0" w:rsidRPr="0017405A">
        <w:rPr>
          <w:iCs/>
        </w:rPr>
        <w:t>cetuximab plus</w:t>
      </w:r>
      <w:r w:rsidR="00D7609F" w:rsidRPr="0017405A">
        <w:rPr>
          <w:iCs/>
        </w:rPr>
        <w:t xml:space="preserve"> chemotherapy to account for 2L nivolumab use.</w:t>
      </w:r>
      <w:bookmarkEnd w:id="49"/>
    </w:p>
    <w:p w14:paraId="72AC19C4" w14:textId="77777777" w:rsidR="006A6503" w:rsidRPr="0017405A" w:rsidRDefault="006A6503" w:rsidP="00D7609F">
      <w:pPr>
        <w:pStyle w:val="ListParagraph"/>
        <w:numPr>
          <w:ilvl w:val="4"/>
          <w:numId w:val="1"/>
        </w:numPr>
        <w:rPr>
          <w:iCs/>
          <w:color w:val="auto"/>
        </w:rPr>
      </w:pPr>
      <w:bookmarkStart w:id="50" w:name="_Ref85193806"/>
      <w:r w:rsidRPr="0017405A">
        <w:rPr>
          <w:iCs/>
          <w:color w:val="auto"/>
        </w:rPr>
        <w:t xml:space="preserve">Using the </w:t>
      </w:r>
      <w:r w:rsidR="006110C9" w:rsidRPr="0017405A">
        <w:rPr>
          <w:iCs/>
          <w:color w:val="auto"/>
        </w:rPr>
        <w:t xml:space="preserve">economic model, </w:t>
      </w:r>
      <w:r w:rsidRPr="0017405A">
        <w:rPr>
          <w:iCs/>
          <w:color w:val="auto"/>
        </w:rPr>
        <w:t>which allowed manipulation of the proportion of patients using 2L nivolumab, upscaling to 100% 2L nivolumab use resulted in a median OS of 49.5 weeks compared to 43.5 weeks when assuming 0% 2L nivolumab use, inferring an overall OS benefit (across both 1L and 2L treatment) with 2L nivolumab of 6 weeks, or around 1.38 months. Comparatively, Checkmate 141</w:t>
      </w:r>
      <w:r w:rsidRPr="0017405A">
        <w:rPr>
          <w:rStyle w:val="FootnoteReference"/>
          <w:iCs/>
        </w:rPr>
        <w:footnoteReference w:id="4"/>
      </w:r>
      <w:r w:rsidRPr="0017405A">
        <w:rPr>
          <w:iCs/>
          <w:color w:val="auto"/>
        </w:rPr>
        <w:t xml:space="preserve">, which compared 2L </w:t>
      </w:r>
      <w:r w:rsidRPr="0017405A">
        <w:rPr>
          <w:iCs/>
          <w:color w:val="auto"/>
        </w:rPr>
        <w:lastRenderedPageBreak/>
        <w:t>nivolumab to chemotherapy in R/M HNSCC, reported a difference in median OS of 2.4 months (7.5 months in 2L nivolum</w:t>
      </w:r>
      <w:r w:rsidRPr="00D724F0">
        <w:rPr>
          <w:iCs/>
          <w:color w:val="auto"/>
        </w:rPr>
        <w:t>ab vs 5.1 months in 2L chemotherapy)</w:t>
      </w:r>
      <w:r w:rsidR="006110C9" w:rsidRPr="00D724F0">
        <w:rPr>
          <w:iCs/>
          <w:color w:val="auto"/>
        </w:rPr>
        <w:t xml:space="preserve">. </w:t>
      </w:r>
      <w:r w:rsidR="006110C9" w:rsidRPr="00093440">
        <w:rPr>
          <w:iCs/>
          <w:color w:val="auto"/>
        </w:rPr>
        <w:t>Th</w:t>
      </w:r>
      <w:r w:rsidR="000744C2" w:rsidRPr="00093440">
        <w:rPr>
          <w:iCs/>
          <w:color w:val="auto"/>
        </w:rPr>
        <w:t>e</w:t>
      </w:r>
      <w:r w:rsidR="006110C9" w:rsidRPr="00093440">
        <w:rPr>
          <w:iCs/>
          <w:color w:val="auto"/>
        </w:rPr>
        <w:t xml:space="preserve"> </w:t>
      </w:r>
      <w:r w:rsidR="000744C2" w:rsidRPr="00093440">
        <w:rPr>
          <w:iCs/>
          <w:color w:val="auto"/>
        </w:rPr>
        <w:t>ESC</w:t>
      </w:r>
      <w:r w:rsidR="00B926EF" w:rsidRPr="00093440">
        <w:rPr>
          <w:iCs/>
          <w:color w:val="auto"/>
        </w:rPr>
        <w:t>s</w:t>
      </w:r>
      <w:r w:rsidR="000744C2" w:rsidRPr="00093440">
        <w:rPr>
          <w:iCs/>
          <w:color w:val="auto"/>
        </w:rPr>
        <w:t xml:space="preserve"> </w:t>
      </w:r>
      <w:r w:rsidR="00D724F0" w:rsidRPr="00093440">
        <w:rPr>
          <w:iCs/>
          <w:color w:val="auto"/>
        </w:rPr>
        <w:t>considered this</w:t>
      </w:r>
      <w:r w:rsidR="00D724F0" w:rsidRPr="00EB1C04">
        <w:rPr>
          <w:iCs/>
          <w:color w:val="auto"/>
        </w:rPr>
        <w:t xml:space="preserve"> </w:t>
      </w:r>
      <w:r w:rsidRPr="00D724F0">
        <w:rPr>
          <w:iCs/>
          <w:color w:val="auto"/>
        </w:rPr>
        <w:t>suggest</w:t>
      </w:r>
      <w:r w:rsidR="006110C9" w:rsidRPr="00D724F0">
        <w:rPr>
          <w:iCs/>
          <w:color w:val="auto"/>
        </w:rPr>
        <w:t>ed</w:t>
      </w:r>
      <w:r w:rsidRPr="00D724F0">
        <w:rPr>
          <w:iCs/>
          <w:color w:val="auto"/>
        </w:rPr>
        <w:t xml:space="preserve"> that the resubmission’s approach may have underestimated the efficacy of 2L nivolumab.</w:t>
      </w:r>
      <w:bookmarkEnd w:id="50"/>
    </w:p>
    <w:p w14:paraId="4F655C21" w14:textId="770722DE" w:rsidR="000744C2" w:rsidRPr="00093440" w:rsidRDefault="006A6503" w:rsidP="00EB1C04">
      <w:pPr>
        <w:pStyle w:val="ListParagraph"/>
        <w:numPr>
          <w:ilvl w:val="4"/>
          <w:numId w:val="1"/>
        </w:numPr>
        <w:rPr>
          <w:iCs/>
          <w:color w:val="auto"/>
        </w:rPr>
      </w:pPr>
      <w:r w:rsidRPr="00093440">
        <w:rPr>
          <w:iCs/>
          <w:color w:val="auto"/>
        </w:rPr>
        <w:t xml:space="preserve">However, </w:t>
      </w:r>
      <w:r w:rsidR="000744C2" w:rsidRPr="00093440">
        <w:rPr>
          <w:iCs/>
          <w:color w:val="auto"/>
        </w:rPr>
        <w:t>the</w:t>
      </w:r>
      <w:r w:rsidR="00E02CE9" w:rsidRPr="00093440">
        <w:rPr>
          <w:iCs/>
          <w:color w:val="auto"/>
        </w:rPr>
        <w:t xml:space="preserve"> ESC</w:t>
      </w:r>
      <w:r w:rsidR="00693A1B" w:rsidRPr="00093440">
        <w:rPr>
          <w:iCs/>
          <w:color w:val="auto"/>
        </w:rPr>
        <w:t>s</w:t>
      </w:r>
      <w:r w:rsidR="00E02CE9" w:rsidRPr="00093440">
        <w:rPr>
          <w:iCs/>
          <w:color w:val="auto"/>
        </w:rPr>
        <w:t xml:space="preserve"> considered that the</w:t>
      </w:r>
      <w:r w:rsidR="000744C2" w:rsidRPr="00093440">
        <w:rPr>
          <w:iCs/>
          <w:color w:val="auto"/>
        </w:rPr>
        <w:t xml:space="preserve"> use of 1L cetuximab plus chemotherapy as proxy for 1L chemotherapy overestimated the efficacy of 1L chemotherapy alone</w:t>
      </w:r>
      <w:r w:rsidR="00D724F0" w:rsidRPr="00093440">
        <w:rPr>
          <w:iCs/>
          <w:color w:val="auto"/>
        </w:rPr>
        <w:t>.</w:t>
      </w:r>
      <w:r w:rsidR="00AE5E44" w:rsidRPr="00093440">
        <w:rPr>
          <w:iCs/>
          <w:color w:val="auto"/>
        </w:rPr>
        <w:t xml:space="preserve"> The PSCR argued that this approach overestimated the efficacy of 1L chemotherapy alone for all patients, which offsets the underestimate of the 2L nivolumab treatment effect in the proportion of patients treated with 2L nivolumab (&lt;50%). </w:t>
      </w:r>
      <w:r w:rsidR="00D724F0" w:rsidRPr="00093440">
        <w:rPr>
          <w:iCs/>
          <w:color w:val="auto"/>
        </w:rPr>
        <w:t>The ESC</w:t>
      </w:r>
      <w:r w:rsidR="00B926EF" w:rsidRPr="00093440">
        <w:rPr>
          <w:iCs/>
          <w:color w:val="auto"/>
        </w:rPr>
        <w:t>s</w:t>
      </w:r>
      <w:r w:rsidR="00D724F0" w:rsidRPr="00093440">
        <w:rPr>
          <w:iCs/>
          <w:color w:val="auto"/>
        </w:rPr>
        <w:t xml:space="preserve"> also noted that </w:t>
      </w:r>
      <w:r w:rsidR="000744C2" w:rsidRPr="00093440">
        <w:rPr>
          <w:iCs/>
          <w:color w:val="auto"/>
        </w:rPr>
        <w:t xml:space="preserve">EGFR inhibitors were used as 2L treatment in 18-24% of patients in the pembrolizumab groups, favouring the estimation of </w:t>
      </w:r>
      <w:r w:rsidR="00EB1C04" w:rsidRPr="00093440">
        <w:rPr>
          <w:iCs/>
          <w:color w:val="auto"/>
        </w:rPr>
        <w:t xml:space="preserve">the effectiveness of </w:t>
      </w:r>
      <w:r w:rsidR="000744C2" w:rsidRPr="00093440">
        <w:rPr>
          <w:iCs/>
          <w:color w:val="auto"/>
        </w:rPr>
        <w:t>pembrolizumab.</w:t>
      </w:r>
    </w:p>
    <w:p w14:paraId="7E8C356D" w14:textId="77777777" w:rsidR="006A6503" w:rsidRPr="00093440" w:rsidRDefault="008E7B94" w:rsidP="00D7609F">
      <w:pPr>
        <w:pStyle w:val="ListParagraph"/>
        <w:numPr>
          <w:ilvl w:val="4"/>
          <w:numId w:val="1"/>
        </w:numPr>
        <w:rPr>
          <w:iCs/>
          <w:color w:val="auto"/>
        </w:rPr>
      </w:pPr>
      <w:r>
        <w:rPr>
          <w:iCs/>
          <w:color w:val="auto"/>
        </w:rPr>
        <w:t xml:space="preserve">The PBAC noted that the results of 2-stage adjustment model to account for 2L nivolumab was not provided for the CPS </w:t>
      </w:r>
      <w:r>
        <w:rPr>
          <w:rFonts w:cstheme="minorHAnsi"/>
          <w:iCs/>
          <w:color w:val="auto"/>
        </w:rPr>
        <w:t>≥</w:t>
      </w:r>
      <w:r>
        <w:rPr>
          <w:iCs/>
          <w:color w:val="auto"/>
        </w:rPr>
        <w:t xml:space="preserve">20 population (for monotherapy) but the PSCR model assumed that the adjustment factor for the CPS </w:t>
      </w:r>
      <w:r>
        <w:rPr>
          <w:rFonts w:cstheme="minorHAnsi"/>
          <w:iCs/>
          <w:color w:val="auto"/>
        </w:rPr>
        <w:t>≥</w:t>
      </w:r>
      <w:r>
        <w:rPr>
          <w:iCs/>
          <w:color w:val="auto"/>
        </w:rPr>
        <w:t xml:space="preserve">1 would be applicable to the CPS </w:t>
      </w:r>
      <w:r>
        <w:rPr>
          <w:rFonts w:cstheme="minorHAnsi"/>
          <w:iCs/>
          <w:color w:val="auto"/>
        </w:rPr>
        <w:t>≥</w:t>
      </w:r>
      <w:r>
        <w:rPr>
          <w:iCs/>
          <w:color w:val="auto"/>
        </w:rPr>
        <w:t xml:space="preserve">2 population. </w:t>
      </w:r>
      <w:r w:rsidR="00D724F0" w:rsidRPr="00093440">
        <w:rPr>
          <w:iCs/>
          <w:color w:val="auto"/>
        </w:rPr>
        <w:t xml:space="preserve">Overall, the </w:t>
      </w:r>
      <w:r w:rsidR="008944F7">
        <w:rPr>
          <w:iCs/>
          <w:color w:val="auto"/>
        </w:rPr>
        <w:t xml:space="preserve">PBAC agreed with the </w:t>
      </w:r>
      <w:r w:rsidR="00D724F0" w:rsidRPr="00093440">
        <w:rPr>
          <w:iCs/>
          <w:color w:val="auto"/>
        </w:rPr>
        <w:t>ESC</w:t>
      </w:r>
      <w:r w:rsidR="00B926EF" w:rsidRPr="00093440">
        <w:rPr>
          <w:iCs/>
          <w:color w:val="auto"/>
        </w:rPr>
        <w:t>s</w:t>
      </w:r>
      <w:r w:rsidR="00D724F0" w:rsidRPr="00093440">
        <w:rPr>
          <w:iCs/>
          <w:color w:val="auto"/>
        </w:rPr>
        <w:t xml:space="preserve"> that the magnitude of benefit for pembrolizumab </w:t>
      </w:r>
      <w:r w:rsidR="00D724F0" w:rsidRPr="00093440">
        <w:rPr>
          <w:rFonts w:cstheme="minorHAnsi"/>
          <w:iCs/>
          <w:color w:val="auto"/>
        </w:rPr>
        <w:t>±</w:t>
      </w:r>
      <w:r w:rsidR="00D724F0" w:rsidRPr="00093440">
        <w:rPr>
          <w:iCs/>
          <w:color w:val="auto"/>
        </w:rPr>
        <w:t xml:space="preserve"> chemotherapy, including adjustment for 2L nivolumab, remained uncertain.</w:t>
      </w:r>
    </w:p>
    <w:p w14:paraId="63EA95D3" w14:textId="77777777" w:rsidR="00D7609F" w:rsidRPr="00A24A89" w:rsidRDefault="00D7609F" w:rsidP="00D7609F">
      <w:pPr>
        <w:pStyle w:val="PBACESHeading2"/>
        <w:numPr>
          <w:ilvl w:val="2"/>
          <w:numId w:val="1"/>
        </w:numPr>
      </w:pPr>
      <w:bookmarkStart w:id="51" w:name="_Toc81727553"/>
      <w:bookmarkStart w:id="52" w:name="_Toc82600102"/>
      <w:r w:rsidRPr="00A24A89">
        <w:t>Comparative harms</w:t>
      </w:r>
      <w:bookmarkEnd w:id="51"/>
      <w:bookmarkEnd w:id="52"/>
    </w:p>
    <w:p w14:paraId="3982A9FA" w14:textId="77777777" w:rsidR="00D7609F" w:rsidRPr="0017405A" w:rsidRDefault="002F1917" w:rsidP="00D7609F">
      <w:pPr>
        <w:pStyle w:val="ListParagraph"/>
        <w:numPr>
          <w:ilvl w:val="4"/>
          <w:numId w:val="1"/>
        </w:numPr>
        <w:rPr>
          <w:iCs/>
          <w:color w:val="auto"/>
        </w:rPr>
      </w:pPr>
      <w:r>
        <w:rPr>
          <w:iCs/>
          <w:color w:val="auto"/>
        </w:rPr>
        <w:t>T</w:t>
      </w:r>
      <w:r w:rsidR="00D7609F" w:rsidRPr="0017405A">
        <w:rPr>
          <w:iCs/>
          <w:color w:val="auto"/>
        </w:rPr>
        <w:t xml:space="preserve">he resubmission </w:t>
      </w:r>
      <w:r>
        <w:rPr>
          <w:iCs/>
          <w:color w:val="auto"/>
        </w:rPr>
        <w:t>made a</w:t>
      </w:r>
      <w:r w:rsidR="00D7609F" w:rsidRPr="0017405A">
        <w:rPr>
          <w:iCs/>
          <w:color w:val="auto"/>
        </w:rPr>
        <w:t xml:space="preserve"> claim </w:t>
      </w:r>
      <w:r>
        <w:rPr>
          <w:iCs/>
          <w:color w:val="auto"/>
        </w:rPr>
        <w:t xml:space="preserve">of inferior safety </w:t>
      </w:r>
      <w:r w:rsidR="00D7609F" w:rsidRPr="0017405A">
        <w:rPr>
          <w:iCs/>
          <w:color w:val="auto"/>
        </w:rPr>
        <w:t>for pembrolizumab plus chemotherapy compared to SoC</w:t>
      </w:r>
      <w:r>
        <w:rPr>
          <w:iCs/>
          <w:color w:val="auto"/>
        </w:rPr>
        <w:t xml:space="preserve">, consistent with the PBAC’s previous </w:t>
      </w:r>
      <w:r w:rsidR="00DC4C10">
        <w:rPr>
          <w:iCs/>
          <w:color w:val="auto"/>
        </w:rPr>
        <w:t>advice (paragraph 7.8, pembrolizumab PSD, November 2020)</w:t>
      </w:r>
      <w:r w:rsidR="00D7609F" w:rsidRPr="0017405A">
        <w:rPr>
          <w:iCs/>
          <w:color w:val="auto"/>
        </w:rPr>
        <w:t>.</w:t>
      </w:r>
    </w:p>
    <w:p w14:paraId="64BFABFE" w14:textId="77777777" w:rsidR="00D7609F" w:rsidRPr="0017405A" w:rsidRDefault="00D7609F" w:rsidP="00D7609F">
      <w:pPr>
        <w:pStyle w:val="ListParagraph"/>
        <w:numPr>
          <w:ilvl w:val="4"/>
          <w:numId w:val="1"/>
        </w:numPr>
        <w:rPr>
          <w:iCs/>
          <w:color w:val="auto"/>
        </w:rPr>
      </w:pPr>
      <w:r w:rsidRPr="00A24A89">
        <w:rPr>
          <w:color w:val="auto"/>
        </w:rPr>
        <w:t xml:space="preserve">The PBAC previously noted that the safety profile of pembrolizumab monotherapy (mainly immune related) was different to the profile of chemotherapy </w:t>
      </w:r>
      <w:proofErr w:type="gramStart"/>
      <w:r w:rsidRPr="00A24A89">
        <w:rPr>
          <w:color w:val="auto"/>
        </w:rPr>
        <w:t>alone, but</w:t>
      </w:r>
      <w:proofErr w:type="gramEnd"/>
      <w:r w:rsidRPr="00A24A89">
        <w:rPr>
          <w:color w:val="auto"/>
        </w:rPr>
        <w:t xml:space="preserve"> considered that the claim of superior safety was reasonable given the known safety profile and mechanism of action of pembrolizumab (paragraph 7.7, pembrolizumab PSD, November 2020</w:t>
      </w:r>
      <w:r w:rsidR="007000C5" w:rsidRPr="007000C5">
        <w:rPr>
          <w:color w:val="auto"/>
        </w:rPr>
        <w:t xml:space="preserve"> </w:t>
      </w:r>
      <w:r w:rsidR="007000C5" w:rsidRPr="00A24A89">
        <w:rPr>
          <w:color w:val="auto"/>
        </w:rPr>
        <w:t>PBAC</w:t>
      </w:r>
      <w:r w:rsidR="007000C5">
        <w:rPr>
          <w:color w:val="auto"/>
        </w:rPr>
        <w:t xml:space="preserve"> Meeting</w:t>
      </w:r>
      <w:r w:rsidRPr="00A24A89">
        <w:rPr>
          <w:color w:val="auto"/>
        </w:rPr>
        <w:t xml:space="preserve">). </w:t>
      </w:r>
      <w:r w:rsidRPr="0017405A">
        <w:rPr>
          <w:iCs/>
          <w:color w:val="auto"/>
        </w:rPr>
        <w:t>Accordingly, a claim of superior safety for pembrolizumab monotherapy compared to SoC was presented in the resubmission.</w:t>
      </w:r>
    </w:p>
    <w:p w14:paraId="283616C0" w14:textId="77777777" w:rsidR="00D7609F" w:rsidRPr="00A24A89" w:rsidRDefault="00D7609F" w:rsidP="00D7609F">
      <w:pPr>
        <w:pStyle w:val="ListParagraph"/>
        <w:numPr>
          <w:ilvl w:val="4"/>
          <w:numId w:val="1"/>
        </w:numPr>
        <w:rPr>
          <w:color w:val="auto"/>
        </w:rPr>
      </w:pPr>
      <w:r w:rsidRPr="00A24A89">
        <w:rPr>
          <w:color w:val="auto"/>
        </w:rPr>
        <w:t xml:space="preserve">The resubmission stated that as there </w:t>
      </w:r>
      <w:r w:rsidR="006110C9">
        <w:rPr>
          <w:color w:val="auto"/>
        </w:rPr>
        <w:t>we</w:t>
      </w:r>
      <w:r w:rsidRPr="00A24A89">
        <w:rPr>
          <w:color w:val="auto"/>
        </w:rPr>
        <w:t xml:space="preserve">re no published available data for drug-related adverse events from the EXTREME trial, a formal indirect comparison of pembrolizumab ± chemotherapy versus chemotherapy was not conducted, however, a naïve </w:t>
      </w:r>
      <w:r w:rsidR="006110C9">
        <w:rPr>
          <w:color w:val="auto"/>
        </w:rPr>
        <w:t xml:space="preserve">side by side </w:t>
      </w:r>
      <w:r w:rsidRPr="00A24A89">
        <w:rPr>
          <w:color w:val="auto"/>
        </w:rPr>
        <w:t xml:space="preserve">comparison </w:t>
      </w:r>
      <w:r w:rsidR="006110C9">
        <w:rPr>
          <w:color w:val="auto"/>
        </w:rPr>
        <w:t xml:space="preserve">using the separate arms of KN048 and EXTREME </w:t>
      </w:r>
      <w:r w:rsidRPr="00A24A89">
        <w:rPr>
          <w:color w:val="auto"/>
        </w:rPr>
        <w:t>was presented (</w:t>
      </w:r>
      <w:r w:rsidR="008D43ED">
        <w:t xml:space="preserve">Table </w:t>
      </w:r>
      <w:r w:rsidR="008D43ED">
        <w:rPr>
          <w:noProof/>
        </w:rPr>
        <w:t>11</w:t>
      </w:r>
      <w:r w:rsidRPr="00A24A89">
        <w:rPr>
          <w:color w:val="auto"/>
        </w:rPr>
        <w:t>).</w:t>
      </w:r>
    </w:p>
    <w:p w14:paraId="3E1397AC" w14:textId="77777777" w:rsidR="00D7609F" w:rsidRPr="00A24A89" w:rsidRDefault="00093440" w:rsidP="00024DCD">
      <w:pPr>
        <w:pStyle w:val="Caption"/>
      </w:pPr>
      <w:bookmarkStart w:id="53" w:name="_Ref80066810"/>
      <w:r>
        <w:lastRenderedPageBreak/>
        <w:t xml:space="preserve">Table </w:t>
      </w:r>
      <w:r w:rsidR="008D43ED">
        <w:rPr>
          <w:noProof/>
        </w:rPr>
        <w:t>11</w:t>
      </w:r>
      <w:bookmarkEnd w:id="53"/>
      <w:r w:rsidR="00024DCD">
        <w:rPr>
          <w:noProof/>
        </w:rPr>
        <w:t>:</w:t>
      </w:r>
      <w:r w:rsidR="00D7609F" w:rsidRPr="00A24A89">
        <w:rPr>
          <w:noProof/>
        </w:rPr>
        <w:tab/>
      </w:r>
      <w:r w:rsidR="00D7609F" w:rsidRPr="00A24A89">
        <w:t xml:space="preserve">Naïve indirect comparison of all cause grade 3-5 adverse events pembrolizumab monotherapy and </w:t>
      </w:r>
      <w:r w:rsidR="00A15BE8">
        <w:t>pembrolizumab plus</w:t>
      </w:r>
      <w:r w:rsidR="00D7609F" w:rsidRPr="00A24A89">
        <w:t xml:space="preserve"> chemotherapy with chemotherapy alone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Naïve indirect comparison of all cause grade 3-5 adverse events pembrolizumab monotherapy and pembrolizumab plus chemotherapy with chemotherapy alone"/>
      </w:tblPr>
      <w:tblGrid>
        <w:gridCol w:w="1270"/>
        <w:gridCol w:w="851"/>
        <w:gridCol w:w="991"/>
        <w:gridCol w:w="1009"/>
        <w:gridCol w:w="1119"/>
        <w:gridCol w:w="1276"/>
        <w:gridCol w:w="1134"/>
        <w:gridCol w:w="1366"/>
      </w:tblGrid>
      <w:tr w:rsidR="00D7609F" w:rsidRPr="00A24A89" w14:paraId="63D3CFCA"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270" w:type="dxa"/>
            <w:vMerge w:val="restart"/>
            <w:shd w:val="clear" w:color="auto" w:fill="auto"/>
          </w:tcPr>
          <w:p w14:paraId="10AE65BF" w14:textId="77777777" w:rsidR="00D7609F" w:rsidRPr="00A24A89" w:rsidRDefault="00D7609F">
            <w:pPr>
              <w:pStyle w:val="TableRowHeader"/>
              <w:keepNext/>
              <w:keepLines/>
              <w:rPr>
                <w:lang w:val="en-AU"/>
              </w:rPr>
            </w:pPr>
          </w:p>
        </w:tc>
        <w:tc>
          <w:tcPr>
            <w:tcW w:w="1842" w:type="dxa"/>
            <w:gridSpan w:val="2"/>
            <w:shd w:val="clear" w:color="auto" w:fill="auto"/>
            <w:vAlign w:val="center"/>
          </w:tcPr>
          <w:p w14:paraId="0D821613" w14:textId="77777777" w:rsidR="00D7609F" w:rsidRPr="00A24A89" w:rsidRDefault="00D7609F">
            <w:pPr>
              <w:pStyle w:val="TableRowHeader"/>
              <w:keepNext/>
              <w:keepLines/>
              <w:rPr>
                <w:b/>
                <w:bCs/>
                <w:lang w:val="en-AU"/>
              </w:rPr>
            </w:pPr>
            <w:r w:rsidRPr="00A24A89">
              <w:rPr>
                <w:b/>
                <w:bCs/>
                <w:lang w:val="en-AU"/>
              </w:rPr>
              <w:t>KN048</w:t>
            </w:r>
          </w:p>
        </w:tc>
        <w:tc>
          <w:tcPr>
            <w:tcW w:w="1009" w:type="dxa"/>
            <w:shd w:val="clear" w:color="auto" w:fill="auto"/>
            <w:vAlign w:val="center"/>
          </w:tcPr>
          <w:p w14:paraId="52958788" w14:textId="77777777" w:rsidR="00D7609F" w:rsidRPr="00A24A89" w:rsidRDefault="00D7609F">
            <w:pPr>
              <w:pStyle w:val="TableRowHeader"/>
              <w:keepNext/>
              <w:keepLines/>
              <w:rPr>
                <w:b/>
                <w:bCs/>
                <w:lang w:val="en-AU"/>
              </w:rPr>
            </w:pPr>
            <w:r w:rsidRPr="00A24A89">
              <w:rPr>
                <w:b/>
                <w:bCs/>
                <w:lang w:val="en-AU"/>
              </w:rPr>
              <w:t>EXTREME</w:t>
            </w:r>
          </w:p>
        </w:tc>
        <w:tc>
          <w:tcPr>
            <w:tcW w:w="2395" w:type="dxa"/>
            <w:gridSpan w:val="2"/>
            <w:vMerge w:val="restart"/>
            <w:shd w:val="clear" w:color="auto" w:fill="auto"/>
            <w:vAlign w:val="center"/>
          </w:tcPr>
          <w:p w14:paraId="4D7D41D3" w14:textId="77777777" w:rsidR="00D7609F" w:rsidRPr="00A24A89" w:rsidRDefault="00D7609F">
            <w:pPr>
              <w:pStyle w:val="TableRowHeader"/>
              <w:keepNext/>
              <w:keepLines/>
              <w:rPr>
                <w:lang w:val="en-AU"/>
              </w:rPr>
            </w:pPr>
            <w:proofErr w:type="spellStart"/>
            <w:r w:rsidRPr="00A24A89">
              <w:rPr>
                <w:b/>
                <w:lang w:val="en-AU"/>
              </w:rPr>
              <w:t>Pembro</w:t>
            </w:r>
            <w:proofErr w:type="spellEnd"/>
            <w:r w:rsidRPr="00A24A89">
              <w:rPr>
                <w:lang w:val="en-AU"/>
              </w:rPr>
              <w:t xml:space="preserve"> </w:t>
            </w:r>
            <w:r w:rsidRPr="00A24A89">
              <w:rPr>
                <w:b/>
                <w:lang w:val="en-AU"/>
              </w:rPr>
              <w:t>mono vs chemo alone</w:t>
            </w:r>
          </w:p>
        </w:tc>
        <w:tc>
          <w:tcPr>
            <w:tcW w:w="2500" w:type="dxa"/>
            <w:gridSpan w:val="2"/>
            <w:vMerge w:val="restart"/>
            <w:shd w:val="clear" w:color="auto" w:fill="auto"/>
            <w:vAlign w:val="center"/>
          </w:tcPr>
          <w:p w14:paraId="59531830" w14:textId="77777777" w:rsidR="00D7609F" w:rsidRPr="00A24A89" w:rsidRDefault="00D7609F">
            <w:pPr>
              <w:pStyle w:val="TableRowHeader"/>
              <w:keepNext/>
              <w:keepLines/>
              <w:rPr>
                <w:lang w:val="en-AU"/>
              </w:rPr>
            </w:pPr>
            <w:proofErr w:type="spellStart"/>
            <w:r w:rsidRPr="00A24A89">
              <w:rPr>
                <w:b/>
                <w:lang w:val="en-AU"/>
              </w:rPr>
              <w:t>Pembro</w:t>
            </w:r>
            <w:proofErr w:type="spellEnd"/>
            <w:r w:rsidRPr="00A24A89">
              <w:rPr>
                <w:lang w:val="en-AU"/>
              </w:rPr>
              <w:t xml:space="preserve"> </w:t>
            </w:r>
            <w:r w:rsidRPr="00A24A89">
              <w:rPr>
                <w:b/>
                <w:lang w:val="en-AU"/>
              </w:rPr>
              <w:t>+ chemo vs chemo</w:t>
            </w:r>
            <w:r w:rsidRPr="00A24A89">
              <w:rPr>
                <w:lang w:val="en-AU"/>
              </w:rPr>
              <w:t xml:space="preserve"> </w:t>
            </w:r>
            <w:r w:rsidRPr="00A24A89">
              <w:rPr>
                <w:b/>
                <w:lang w:val="en-AU"/>
              </w:rPr>
              <w:t>alone</w:t>
            </w:r>
          </w:p>
        </w:tc>
      </w:tr>
      <w:tr w:rsidR="00D7609F" w:rsidRPr="00A24A89" w14:paraId="5D4BE963" w14:textId="77777777" w:rsidTr="0056423A">
        <w:trPr>
          <w:cnfStyle w:val="100000000000" w:firstRow="1" w:lastRow="0" w:firstColumn="0" w:lastColumn="0" w:oddVBand="0" w:evenVBand="0" w:oddHBand="0" w:evenHBand="0" w:firstRowFirstColumn="0" w:firstRowLastColumn="0" w:lastRowFirstColumn="0" w:lastRowLastColumn="0"/>
          <w:trHeight w:val="325"/>
          <w:tblHeader/>
        </w:trPr>
        <w:tc>
          <w:tcPr>
            <w:tcW w:w="1270" w:type="dxa"/>
            <w:vMerge/>
            <w:shd w:val="clear" w:color="auto" w:fill="auto"/>
          </w:tcPr>
          <w:p w14:paraId="4FD756DE" w14:textId="77777777" w:rsidR="00D7609F" w:rsidRPr="00A24A89" w:rsidRDefault="00D7609F" w:rsidP="006419CD">
            <w:pPr>
              <w:pStyle w:val="TableRowHeader"/>
              <w:keepNext/>
              <w:keepLines/>
              <w:rPr>
                <w:lang w:val="en-AU"/>
              </w:rPr>
            </w:pPr>
          </w:p>
        </w:tc>
        <w:tc>
          <w:tcPr>
            <w:tcW w:w="851" w:type="dxa"/>
            <w:vMerge w:val="restart"/>
            <w:shd w:val="clear" w:color="auto" w:fill="auto"/>
            <w:vAlign w:val="center"/>
          </w:tcPr>
          <w:p w14:paraId="132C5E5D" w14:textId="77777777" w:rsidR="00D7609F" w:rsidRPr="00A24A89" w:rsidRDefault="00D7609F" w:rsidP="006419CD">
            <w:pPr>
              <w:pStyle w:val="TableRowHeader"/>
              <w:keepNext/>
              <w:keepLines/>
              <w:rPr>
                <w:lang w:val="en-AU"/>
              </w:rPr>
            </w:pPr>
            <w:proofErr w:type="spellStart"/>
            <w:r w:rsidRPr="00A24A89">
              <w:rPr>
                <w:lang w:val="en-AU"/>
              </w:rPr>
              <w:t>Pembro</w:t>
            </w:r>
            <w:proofErr w:type="spellEnd"/>
            <w:r w:rsidRPr="00A24A89">
              <w:rPr>
                <w:lang w:val="en-AU"/>
              </w:rPr>
              <w:t xml:space="preserve"> mono</w:t>
            </w:r>
          </w:p>
        </w:tc>
        <w:tc>
          <w:tcPr>
            <w:tcW w:w="991" w:type="dxa"/>
            <w:vMerge w:val="restart"/>
            <w:shd w:val="clear" w:color="auto" w:fill="auto"/>
            <w:vAlign w:val="center"/>
          </w:tcPr>
          <w:p w14:paraId="282CD5DA" w14:textId="77777777" w:rsidR="00D7609F" w:rsidRPr="00A24A89" w:rsidRDefault="00D7609F" w:rsidP="006419CD">
            <w:pPr>
              <w:pStyle w:val="TableRowHeader"/>
              <w:keepNext/>
              <w:keepLines/>
              <w:rPr>
                <w:lang w:val="en-AU"/>
              </w:rPr>
            </w:pPr>
            <w:proofErr w:type="spellStart"/>
            <w:r w:rsidRPr="00A24A89">
              <w:rPr>
                <w:lang w:val="en-AU"/>
              </w:rPr>
              <w:t>Pembro</w:t>
            </w:r>
            <w:proofErr w:type="spellEnd"/>
            <w:r w:rsidRPr="00A24A89">
              <w:rPr>
                <w:lang w:val="en-AU"/>
              </w:rPr>
              <w:t xml:space="preserve"> + chemo</w:t>
            </w:r>
          </w:p>
        </w:tc>
        <w:tc>
          <w:tcPr>
            <w:tcW w:w="1009" w:type="dxa"/>
            <w:vMerge w:val="restart"/>
            <w:shd w:val="clear" w:color="auto" w:fill="auto"/>
            <w:vAlign w:val="center"/>
          </w:tcPr>
          <w:p w14:paraId="5B14CB49" w14:textId="77777777" w:rsidR="00D7609F" w:rsidRPr="00A24A89" w:rsidRDefault="00D7609F" w:rsidP="006419CD">
            <w:pPr>
              <w:pStyle w:val="TableRowHeader"/>
              <w:keepNext/>
              <w:keepLines/>
              <w:rPr>
                <w:lang w:val="en-AU"/>
              </w:rPr>
            </w:pPr>
            <w:r w:rsidRPr="00A24A89">
              <w:rPr>
                <w:lang w:val="en-AU"/>
              </w:rPr>
              <w:t>Chemo alone</w:t>
            </w:r>
          </w:p>
        </w:tc>
        <w:tc>
          <w:tcPr>
            <w:tcW w:w="2395" w:type="dxa"/>
            <w:gridSpan w:val="2"/>
            <w:vMerge/>
            <w:shd w:val="clear" w:color="auto" w:fill="auto"/>
            <w:vAlign w:val="center"/>
          </w:tcPr>
          <w:p w14:paraId="47C7871C" w14:textId="77777777" w:rsidR="00D7609F" w:rsidRPr="00A24A89" w:rsidRDefault="00D7609F" w:rsidP="006419CD">
            <w:pPr>
              <w:pStyle w:val="TableRowHeader"/>
              <w:keepNext/>
              <w:keepLines/>
              <w:rPr>
                <w:lang w:val="en-AU"/>
              </w:rPr>
            </w:pPr>
          </w:p>
        </w:tc>
        <w:tc>
          <w:tcPr>
            <w:tcW w:w="2500" w:type="dxa"/>
            <w:gridSpan w:val="2"/>
            <w:vMerge/>
            <w:shd w:val="clear" w:color="auto" w:fill="auto"/>
            <w:vAlign w:val="center"/>
          </w:tcPr>
          <w:p w14:paraId="4C9723F9" w14:textId="77777777" w:rsidR="00D7609F" w:rsidRPr="00A24A89" w:rsidRDefault="00D7609F" w:rsidP="006419CD">
            <w:pPr>
              <w:pStyle w:val="TableRowHeader"/>
              <w:keepNext/>
              <w:keepLines/>
              <w:rPr>
                <w:lang w:val="en-AU"/>
              </w:rPr>
            </w:pPr>
          </w:p>
        </w:tc>
      </w:tr>
      <w:tr w:rsidR="00D7609F" w:rsidRPr="00A24A89" w14:paraId="6C3803E3" w14:textId="77777777" w:rsidTr="0056423A">
        <w:trPr>
          <w:cnfStyle w:val="100000000000" w:firstRow="1" w:lastRow="0" w:firstColumn="0" w:lastColumn="0" w:oddVBand="0" w:evenVBand="0" w:oddHBand="0" w:evenHBand="0" w:firstRowFirstColumn="0" w:firstRowLastColumn="0" w:lastRowFirstColumn="0" w:lastRowLastColumn="0"/>
          <w:trHeight w:val="60"/>
          <w:tblHeader/>
        </w:trPr>
        <w:tc>
          <w:tcPr>
            <w:tcW w:w="1270" w:type="dxa"/>
            <w:vMerge/>
            <w:shd w:val="clear" w:color="auto" w:fill="auto"/>
          </w:tcPr>
          <w:p w14:paraId="44456450" w14:textId="77777777" w:rsidR="00D7609F" w:rsidRPr="00A24A89" w:rsidRDefault="00D7609F" w:rsidP="006419CD">
            <w:pPr>
              <w:pStyle w:val="TableRowHeader"/>
              <w:keepNext/>
              <w:keepLines/>
              <w:rPr>
                <w:lang w:val="en-AU"/>
              </w:rPr>
            </w:pPr>
          </w:p>
        </w:tc>
        <w:tc>
          <w:tcPr>
            <w:tcW w:w="851" w:type="dxa"/>
            <w:vMerge/>
            <w:shd w:val="clear" w:color="auto" w:fill="auto"/>
            <w:vAlign w:val="center"/>
          </w:tcPr>
          <w:p w14:paraId="352639BD" w14:textId="77777777" w:rsidR="00D7609F" w:rsidRPr="00A24A89" w:rsidRDefault="00D7609F" w:rsidP="006419CD">
            <w:pPr>
              <w:pStyle w:val="TableRowHeader"/>
              <w:keepNext/>
              <w:keepLines/>
              <w:rPr>
                <w:lang w:val="en-AU"/>
              </w:rPr>
            </w:pPr>
          </w:p>
        </w:tc>
        <w:tc>
          <w:tcPr>
            <w:tcW w:w="991" w:type="dxa"/>
            <w:vMerge/>
            <w:shd w:val="clear" w:color="auto" w:fill="auto"/>
            <w:vAlign w:val="center"/>
          </w:tcPr>
          <w:p w14:paraId="1681D7FC" w14:textId="77777777" w:rsidR="00D7609F" w:rsidRPr="00A24A89" w:rsidRDefault="00D7609F" w:rsidP="006419CD">
            <w:pPr>
              <w:pStyle w:val="TableRowHeader"/>
              <w:keepNext/>
              <w:keepLines/>
              <w:rPr>
                <w:lang w:val="en-AU"/>
              </w:rPr>
            </w:pPr>
          </w:p>
        </w:tc>
        <w:tc>
          <w:tcPr>
            <w:tcW w:w="1009" w:type="dxa"/>
            <w:vMerge/>
            <w:shd w:val="clear" w:color="auto" w:fill="auto"/>
            <w:vAlign w:val="center"/>
          </w:tcPr>
          <w:p w14:paraId="0E47AD99" w14:textId="77777777" w:rsidR="00D7609F" w:rsidRPr="00A24A89" w:rsidRDefault="00D7609F" w:rsidP="006419CD">
            <w:pPr>
              <w:pStyle w:val="TableRowHeader"/>
              <w:keepNext/>
              <w:keepLines/>
              <w:rPr>
                <w:lang w:val="en-AU"/>
              </w:rPr>
            </w:pPr>
          </w:p>
        </w:tc>
        <w:tc>
          <w:tcPr>
            <w:tcW w:w="1119" w:type="dxa"/>
            <w:shd w:val="clear" w:color="auto" w:fill="auto"/>
            <w:vAlign w:val="center"/>
          </w:tcPr>
          <w:p w14:paraId="6EDB9242" w14:textId="77777777" w:rsidR="00D7609F" w:rsidRPr="00A24A89" w:rsidRDefault="00D7609F" w:rsidP="006419CD">
            <w:pPr>
              <w:pStyle w:val="TableRowHeader"/>
              <w:keepNext/>
              <w:keepLines/>
              <w:rPr>
                <w:lang w:val="en-AU"/>
              </w:rPr>
            </w:pPr>
            <w:r w:rsidRPr="00A24A89">
              <w:rPr>
                <w:lang w:val="en-AU"/>
              </w:rPr>
              <w:t>RR (95%CI)</w:t>
            </w:r>
          </w:p>
        </w:tc>
        <w:tc>
          <w:tcPr>
            <w:tcW w:w="1276" w:type="dxa"/>
            <w:vAlign w:val="center"/>
          </w:tcPr>
          <w:p w14:paraId="7886D958" w14:textId="77777777" w:rsidR="00D7609F" w:rsidRPr="00A24A89" w:rsidRDefault="00D7609F" w:rsidP="006419CD">
            <w:pPr>
              <w:pStyle w:val="TableRowHeader"/>
              <w:keepNext/>
              <w:keepLines/>
              <w:rPr>
                <w:lang w:val="en-AU"/>
              </w:rPr>
            </w:pPr>
            <w:r w:rsidRPr="00A24A89">
              <w:rPr>
                <w:lang w:val="en-AU"/>
              </w:rPr>
              <w:t>RD% (95%CI)</w:t>
            </w:r>
          </w:p>
        </w:tc>
        <w:tc>
          <w:tcPr>
            <w:tcW w:w="1134" w:type="dxa"/>
            <w:shd w:val="clear" w:color="auto" w:fill="auto"/>
            <w:vAlign w:val="center"/>
          </w:tcPr>
          <w:p w14:paraId="684D1068" w14:textId="77777777" w:rsidR="00D7609F" w:rsidRPr="00A24A89" w:rsidRDefault="00D7609F" w:rsidP="006419CD">
            <w:pPr>
              <w:pStyle w:val="TableRowHeader"/>
              <w:keepNext/>
              <w:keepLines/>
              <w:rPr>
                <w:lang w:val="en-AU"/>
              </w:rPr>
            </w:pPr>
            <w:r w:rsidRPr="00A24A89">
              <w:rPr>
                <w:lang w:val="en-AU"/>
              </w:rPr>
              <w:t>RR (95%CI)</w:t>
            </w:r>
          </w:p>
        </w:tc>
        <w:tc>
          <w:tcPr>
            <w:tcW w:w="1366" w:type="dxa"/>
            <w:vAlign w:val="center"/>
          </w:tcPr>
          <w:p w14:paraId="6F7B6754" w14:textId="77777777" w:rsidR="00D7609F" w:rsidRPr="00A24A89" w:rsidRDefault="00D7609F" w:rsidP="006419CD">
            <w:pPr>
              <w:pStyle w:val="TableRowHeader"/>
              <w:keepNext/>
              <w:keepLines/>
              <w:rPr>
                <w:lang w:val="en-AU"/>
              </w:rPr>
            </w:pPr>
            <w:r w:rsidRPr="00A24A89">
              <w:rPr>
                <w:lang w:val="en-AU"/>
              </w:rPr>
              <w:t>RD% (95%CI)</w:t>
            </w:r>
          </w:p>
        </w:tc>
      </w:tr>
      <w:tr w:rsidR="00D7609F" w:rsidRPr="00A24A89" w14:paraId="478BF579" w14:textId="77777777" w:rsidTr="006419CD">
        <w:tc>
          <w:tcPr>
            <w:tcW w:w="1270" w:type="dxa"/>
            <w:shd w:val="clear" w:color="auto" w:fill="auto"/>
          </w:tcPr>
          <w:p w14:paraId="3BFA1DC4" w14:textId="77777777" w:rsidR="00D7609F" w:rsidRPr="00A24A89" w:rsidRDefault="00D7609F" w:rsidP="006419CD">
            <w:pPr>
              <w:pStyle w:val="Tabletext0"/>
              <w:keepNext/>
              <w:keepLines/>
              <w:widowControl w:val="0"/>
              <w:rPr>
                <w:lang w:val="en-AU"/>
              </w:rPr>
            </w:pPr>
            <w:r w:rsidRPr="00A24A89">
              <w:rPr>
                <w:lang w:val="en-AU"/>
              </w:rPr>
              <w:t>All grade 3-5 AE</w:t>
            </w:r>
          </w:p>
        </w:tc>
        <w:tc>
          <w:tcPr>
            <w:tcW w:w="851" w:type="dxa"/>
            <w:shd w:val="clear" w:color="auto" w:fill="auto"/>
            <w:vAlign w:val="center"/>
          </w:tcPr>
          <w:p w14:paraId="0554BD40" w14:textId="77777777" w:rsidR="00D7609F" w:rsidRPr="00A24A89" w:rsidRDefault="00D7609F" w:rsidP="006419CD">
            <w:pPr>
              <w:pStyle w:val="Tabletext0"/>
              <w:keepNext/>
              <w:keepLines/>
              <w:widowControl w:val="0"/>
              <w:jc w:val="center"/>
              <w:rPr>
                <w:lang w:val="en-AU"/>
              </w:rPr>
            </w:pPr>
            <w:r w:rsidRPr="00A24A89">
              <w:rPr>
                <w:lang w:val="en-AU"/>
              </w:rPr>
              <w:t>164/300 (54.7)</w:t>
            </w:r>
          </w:p>
        </w:tc>
        <w:tc>
          <w:tcPr>
            <w:tcW w:w="991" w:type="dxa"/>
            <w:shd w:val="clear" w:color="auto" w:fill="auto"/>
            <w:vAlign w:val="center"/>
          </w:tcPr>
          <w:p w14:paraId="1EECF9F2" w14:textId="77777777" w:rsidR="00D7609F" w:rsidRPr="00A24A89" w:rsidRDefault="00D7609F" w:rsidP="006419CD">
            <w:pPr>
              <w:pStyle w:val="Tabletext0"/>
              <w:keepNext/>
              <w:keepLines/>
              <w:widowControl w:val="0"/>
              <w:jc w:val="center"/>
              <w:rPr>
                <w:lang w:val="en-AU"/>
              </w:rPr>
            </w:pPr>
            <w:r w:rsidRPr="00A24A89">
              <w:rPr>
                <w:lang w:val="en-AU"/>
              </w:rPr>
              <w:t>235/276 (85.1)</w:t>
            </w:r>
          </w:p>
        </w:tc>
        <w:tc>
          <w:tcPr>
            <w:tcW w:w="1009" w:type="dxa"/>
            <w:shd w:val="clear" w:color="auto" w:fill="auto"/>
            <w:vAlign w:val="center"/>
          </w:tcPr>
          <w:p w14:paraId="043D8D83" w14:textId="77777777" w:rsidR="00D7609F" w:rsidRPr="00A24A89" w:rsidRDefault="00D7609F" w:rsidP="006419CD">
            <w:pPr>
              <w:pStyle w:val="Tabletext0"/>
              <w:keepNext/>
              <w:keepLines/>
              <w:widowControl w:val="0"/>
              <w:jc w:val="center"/>
              <w:rPr>
                <w:lang w:val="en-AU"/>
              </w:rPr>
            </w:pPr>
            <w:r w:rsidRPr="00A24A89">
              <w:rPr>
                <w:lang w:val="en-AU"/>
              </w:rPr>
              <w:t>171/215 (79.5)</w:t>
            </w:r>
          </w:p>
        </w:tc>
        <w:tc>
          <w:tcPr>
            <w:tcW w:w="1119" w:type="dxa"/>
            <w:shd w:val="clear" w:color="auto" w:fill="auto"/>
            <w:vAlign w:val="center"/>
          </w:tcPr>
          <w:p w14:paraId="486A90D6" w14:textId="77777777" w:rsidR="00D7609F" w:rsidRPr="00A24A89" w:rsidRDefault="00D7609F" w:rsidP="006419CD">
            <w:pPr>
              <w:pStyle w:val="Tabletext0"/>
              <w:keepNext/>
              <w:keepLines/>
              <w:widowControl w:val="0"/>
              <w:jc w:val="center"/>
              <w:rPr>
                <w:lang w:val="en-AU"/>
              </w:rPr>
            </w:pPr>
            <w:r w:rsidRPr="00A24A89">
              <w:rPr>
                <w:lang w:val="en-AU"/>
              </w:rPr>
              <w:t>0.69</w:t>
            </w:r>
          </w:p>
          <w:p w14:paraId="3B434F10" w14:textId="77777777" w:rsidR="00D7609F" w:rsidRPr="00A24A89" w:rsidRDefault="00D7609F" w:rsidP="006419CD">
            <w:pPr>
              <w:pStyle w:val="Tabletext0"/>
              <w:keepNext/>
              <w:keepLines/>
              <w:widowControl w:val="0"/>
              <w:jc w:val="center"/>
              <w:rPr>
                <w:lang w:val="en-AU"/>
              </w:rPr>
            </w:pPr>
            <w:r w:rsidRPr="00A24A89">
              <w:rPr>
                <w:lang w:val="en-AU"/>
              </w:rPr>
              <w:t>(0.61,0.78)</w:t>
            </w:r>
          </w:p>
        </w:tc>
        <w:tc>
          <w:tcPr>
            <w:tcW w:w="1276" w:type="dxa"/>
            <w:vAlign w:val="center"/>
          </w:tcPr>
          <w:p w14:paraId="203CF32E" w14:textId="77777777" w:rsidR="00D7609F" w:rsidRPr="00A24A89" w:rsidRDefault="00D7609F" w:rsidP="006419CD">
            <w:pPr>
              <w:pStyle w:val="Tabletext0"/>
              <w:keepNext/>
              <w:keepLines/>
              <w:widowControl w:val="0"/>
              <w:jc w:val="center"/>
              <w:rPr>
                <w:lang w:val="en-AU"/>
              </w:rPr>
            </w:pPr>
            <w:r w:rsidRPr="00A24A89">
              <w:rPr>
                <w:lang w:val="en-AU"/>
              </w:rPr>
              <w:t>-25</w:t>
            </w:r>
          </w:p>
          <w:p w14:paraId="5D49E16F" w14:textId="77777777" w:rsidR="00D7609F" w:rsidRPr="00A24A89" w:rsidRDefault="00D7609F" w:rsidP="006419CD">
            <w:pPr>
              <w:pStyle w:val="Tabletext0"/>
              <w:keepNext/>
              <w:keepLines/>
              <w:widowControl w:val="0"/>
              <w:jc w:val="center"/>
              <w:rPr>
                <w:lang w:val="en-AU"/>
              </w:rPr>
            </w:pPr>
            <w:r w:rsidRPr="00A24A89">
              <w:rPr>
                <w:lang w:val="en-AU"/>
              </w:rPr>
              <w:t>(-32, -17)</w:t>
            </w:r>
          </w:p>
        </w:tc>
        <w:tc>
          <w:tcPr>
            <w:tcW w:w="1134" w:type="dxa"/>
            <w:shd w:val="clear" w:color="auto" w:fill="auto"/>
            <w:vAlign w:val="center"/>
          </w:tcPr>
          <w:p w14:paraId="765A423A" w14:textId="77777777" w:rsidR="00D7609F" w:rsidRPr="00A24A89" w:rsidRDefault="00D7609F" w:rsidP="006419CD">
            <w:pPr>
              <w:pStyle w:val="Tabletext0"/>
              <w:keepNext/>
              <w:keepLines/>
              <w:widowControl w:val="0"/>
              <w:jc w:val="center"/>
              <w:rPr>
                <w:lang w:val="en-AU"/>
              </w:rPr>
            </w:pPr>
            <w:r w:rsidRPr="00A24A89">
              <w:rPr>
                <w:lang w:val="en-AU"/>
              </w:rPr>
              <w:t>1.07</w:t>
            </w:r>
          </w:p>
          <w:p w14:paraId="7FABA247" w14:textId="77777777" w:rsidR="00D7609F" w:rsidRPr="00A24A89" w:rsidRDefault="00D7609F" w:rsidP="006419CD">
            <w:pPr>
              <w:pStyle w:val="Tabletext0"/>
              <w:keepNext/>
              <w:keepLines/>
              <w:widowControl w:val="0"/>
              <w:jc w:val="center"/>
              <w:rPr>
                <w:lang w:val="en-AU"/>
              </w:rPr>
            </w:pPr>
            <w:r w:rsidRPr="00A24A89">
              <w:rPr>
                <w:lang w:val="en-AU"/>
              </w:rPr>
              <w:t>(0.98, 1.16)</w:t>
            </w:r>
          </w:p>
        </w:tc>
        <w:tc>
          <w:tcPr>
            <w:tcW w:w="1366" w:type="dxa"/>
            <w:vAlign w:val="center"/>
          </w:tcPr>
          <w:p w14:paraId="767D7DB1" w14:textId="77777777" w:rsidR="00D7609F" w:rsidRPr="00A24A89" w:rsidRDefault="00D7609F" w:rsidP="006419CD">
            <w:pPr>
              <w:pStyle w:val="Tabletext0"/>
              <w:keepNext/>
              <w:keepLines/>
              <w:widowControl w:val="0"/>
              <w:jc w:val="center"/>
              <w:rPr>
                <w:lang w:val="en-AU"/>
              </w:rPr>
            </w:pPr>
            <w:r w:rsidRPr="00A24A89">
              <w:rPr>
                <w:lang w:val="en-AU"/>
              </w:rPr>
              <w:t xml:space="preserve">5.6 </w:t>
            </w:r>
          </w:p>
          <w:p w14:paraId="474BF1E7" w14:textId="77777777" w:rsidR="00D7609F" w:rsidRPr="00A24A89" w:rsidRDefault="00D7609F" w:rsidP="006419CD">
            <w:pPr>
              <w:pStyle w:val="Tabletext0"/>
              <w:keepNext/>
              <w:keepLines/>
              <w:widowControl w:val="0"/>
              <w:jc w:val="center"/>
              <w:rPr>
                <w:lang w:val="en-AU"/>
              </w:rPr>
            </w:pPr>
            <w:r w:rsidRPr="00A24A89">
              <w:rPr>
                <w:lang w:val="en-AU"/>
              </w:rPr>
              <w:t>(-1, 13)</w:t>
            </w:r>
          </w:p>
        </w:tc>
      </w:tr>
      <w:tr w:rsidR="00D7609F" w:rsidRPr="00A24A89" w14:paraId="198314AC" w14:textId="77777777" w:rsidTr="006419CD">
        <w:tc>
          <w:tcPr>
            <w:tcW w:w="1270" w:type="dxa"/>
            <w:shd w:val="clear" w:color="auto" w:fill="auto"/>
          </w:tcPr>
          <w:p w14:paraId="5F54F287" w14:textId="77777777" w:rsidR="00D7609F" w:rsidRPr="00A24A89" w:rsidRDefault="00D7609F" w:rsidP="006419CD">
            <w:pPr>
              <w:pStyle w:val="Tabletext0"/>
              <w:keepNext/>
              <w:keepLines/>
              <w:widowControl w:val="0"/>
              <w:rPr>
                <w:lang w:val="en-AU"/>
              </w:rPr>
            </w:pPr>
            <w:r w:rsidRPr="00A24A89">
              <w:rPr>
                <w:lang w:val="en-AU"/>
              </w:rPr>
              <w:t>Drug related grade 3-5 AE</w:t>
            </w:r>
          </w:p>
        </w:tc>
        <w:tc>
          <w:tcPr>
            <w:tcW w:w="851" w:type="dxa"/>
            <w:shd w:val="clear" w:color="auto" w:fill="auto"/>
            <w:vAlign w:val="center"/>
          </w:tcPr>
          <w:p w14:paraId="58E9217F" w14:textId="77777777" w:rsidR="00D7609F" w:rsidRPr="00A24A89" w:rsidRDefault="00D7609F" w:rsidP="006419CD">
            <w:pPr>
              <w:pStyle w:val="Tabletext0"/>
              <w:keepNext/>
              <w:keepLines/>
              <w:widowControl w:val="0"/>
              <w:jc w:val="center"/>
              <w:rPr>
                <w:lang w:val="en-AU"/>
              </w:rPr>
            </w:pPr>
            <w:r w:rsidRPr="00A24A89">
              <w:rPr>
                <w:lang w:val="en-AU"/>
              </w:rPr>
              <w:t>52/300 (17.0)</w:t>
            </w:r>
          </w:p>
        </w:tc>
        <w:tc>
          <w:tcPr>
            <w:tcW w:w="991" w:type="dxa"/>
            <w:shd w:val="clear" w:color="auto" w:fill="auto"/>
            <w:vAlign w:val="center"/>
          </w:tcPr>
          <w:p w14:paraId="02B6FA07" w14:textId="77777777" w:rsidR="00D7609F" w:rsidRPr="00A24A89" w:rsidRDefault="00D7609F" w:rsidP="006419CD">
            <w:pPr>
              <w:pStyle w:val="Tabletext0"/>
              <w:keepNext/>
              <w:keepLines/>
              <w:widowControl w:val="0"/>
              <w:jc w:val="center"/>
              <w:rPr>
                <w:lang w:val="en-AU"/>
              </w:rPr>
            </w:pPr>
            <w:r w:rsidRPr="00A24A89">
              <w:rPr>
                <w:lang w:val="en-AU"/>
              </w:rPr>
              <w:t>198/276 (71.7)</w:t>
            </w:r>
          </w:p>
        </w:tc>
        <w:tc>
          <w:tcPr>
            <w:tcW w:w="1009" w:type="dxa"/>
            <w:shd w:val="clear" w:color="auto" w:fill="auto"/>
            <w:vAlign w:val="center"/>
          </w:tcPr>
          <w:p w14:paraId="40A29FCE" w14:textId="77777777" w:rsidR="00D7609F" w:rsidRPr="00A24A89" w:rsidRDefault="00D7609F" w:rsidP="006419CD">
            <w:pPr>
              <w:pStyle w:val="Tabletext0"/>
              <w:keepNext/>
              <w:keepLines/>
              <w:widowControl w:val="0"/>
              <w:jc w:val="center"/>
              <w:rPr>
                <w:lang w:val="en-AU"/>
              </w:rPr>
            </w:pPr>
            <w:r w:rsidRPr="00A24A89">
              <w:rPr>
                <w:lang w:val="en-AU"/>
              </w:rPr>
              <w:t>NR</w:t>
            </w:r>
          </w:p>
        </w:tc>
        <w:tc>
          <w:tcPr>
            <w:tcW w:w="1119" w:type="dxa"/>
            <w:shd w:val="clear" w:color="auto" w:fill="auto"/>
            <w:vAlign w:val="center"/>
          </w:tcPr>
          <w:p w14:paraId="39D983B2" w14:textId="77777777" w:rsidR="00D7609F" w:rsidRPr="00A24A89" w:rsidRDefault="00D7609F" w:rsidP="006419CD">
            <w:pPr>
              <w:pStyle w:val="Tabletext0"/>
              <w:keepNext/>
              <w:keepLines/>
              <w:widowControl w:val="0"/>
              <w:jc w:val="center"/>
              <w:rPr>
                <w:lang w:val="en-AU"/>
              </w:rPr>
            </w:pPr>
            <w:r w:rsidRPr="00A24A89">
              <w:rPr>
                <w:lang w:val="en-AU"/>
              </w:rPr>
              <w:t>NC</w:t>
            </w:r>
          </w:p>
        </w:tc>
        <w:tc>
          <w:tcPr>
            <w:tcW w:w="1276" w:type="dxa"/>
            <w:vAlign w:val="center"/>
          </w:tcPr>
          <w:p w14:paraId="689E16AF" w14:textId="77777777" w:rsidR="00D7609F" w:rsidRPr="00A24A89" w:rsidRDefault="00D7609F" w:rsidP="006419CD">
            <w:pPr>
              <w:pStyle w:val="Tabletext0"/>
              <w:keepNext/>
              <w:keepLines/>
              <w:widowControl w:val="0"/>
              <w:jc w:val="center"/>
              <w:rPr>
                <w:lang w:val="en-AU"/>
              </w:rPr>
            </w:pPr>
            <w:r w:rsidRPr="00A24A89">
              <w:rPr>
                <w:lang w:val="en-AU"/>
              </w:rPr>
              <w:t>NC</w:t>
            </w:r>
          </w:p>
        </w:tc>
        <w:tc>
          <w:tcPr>
            <w:tcW w:w="1134" w:type="dxa"/>
            <w:shd w:val="clear" w:color="auto" w:fill="auto"/>
            <w:vAlign w:val="center"/>
          </w:tcPr>
          <w:p w14:paraId="13D91B4F" w14:textId="77777777" w:rsidR="00D7609F" w:rsidRPr="00A24A89" w:rsidRDefault="00D7609F" w:rsidP="006419CD">
            <w:pPr>
              <w:pStyle w:val="Tabletext0"/>
              <w:keepNext/>
              <w:keepLines/>
              <w:widowControl w:val="0"/>
              <w:jc w:val="center"/>
              <w:rPr>
                <w:lang w:val="en-AU"/>
              </w:rPr>
            </w:pPr>
            <w:r w:rsidRPr="00A24A89">
              <w:rPr>
                <w:lang w:val="en-AU"/>
              </w:rPr>
              <w:t>NC</w:t>
            </w:r>
          </w:p>
        </w:tc>
        <w:tc>
          <w:tcPr>
            <w:tcW w:w="1366" w:type="dxa"/>
            <w:vAlign w:val="center"/>
          </w:tcPr>
          <w:p w14:paraId="0AF9501D" w14:textId="77777777" w:rsidR="00D7609F" w:rsidRPr="00A24A89" w:rsidRDefault="00D7609F" w:rsidP="006419CD">
            <w:pPr>
              <w:pStyle w:val="Tabletext0"/>
              <w:keepNext/>
              <w:keepLines/>
              <w:widowControl w:val="0"/>
              <w:jc w:val="center"/>
              <w:rPr>
                <w:lang w:val="en-AU"/>
              </w:rPr>
            </w:pPr>
            <w:r w:rsidRPr="00A24A89">
              <w:rPr>
                <w:lang w:val="en-AU"/>
              </w:rPr>
              <w:t>NC</w:t>
            </w:r>
          </w:p>
        </w:tc>
      </w:tr>
    </w:tbl>
    <w:p w14:paraId="54BCBD6F" w14:textId="77777777" w:rsidR="00D7609F" w:rsidRPr="00A24A89" w:rsidRDefault="00D7609F" w:rsidP="00D7609F">
      <w:pPr>
        <w:pStyle w:val="TableFooter"/>
      </w:pPr>
      <w:r w:rsidRPr="00A24A89">
        <w:t xml:space="preserve">AE = adverse events; chemo = chemotherapy; NR = not reported; NC = not calculable; </w:t>
      </w:r>
      <w:proofErr w:type="spellStart"/>
      <w:r w:rsidRPr="00A24A89">
        <w:t>pembro</w:t>
      </w:r>
      <w:proofErr w:type="spellEnd"/>
      <w:r w:rsidRPr="00A24A89">
        <w:t xml:space="preserve"> = pembrolizumab; RR = relative risk; RD = risk difference</w:t>
      </w:r>
    </w:p>
    <w:p w14:paraId="67BC38F1" w14:textId="77777777" w:rsidR="00D7609F" w:rsidRPr="00A24A89" w:rsidRDefault="00D7609F" w:rsidP="00D7609F">
      <w:pPr>
        <w:pStyle w:val="TableFooter"/>
      </w:pPr>
      <w:r w:rsidRPr="00A24A89">
        <w:t>Source: Table 2.6-12, p126 of the resubmission</w:t>
      </w:r>
    </w:p>
    <w:p w14:paraId="3AE16BCA" w14:textId="77777777" w:rsidR="00D7609F" w:rsidRPr="00A24A89" w:rsidRDefault="00D7609F" w:rsidP="00D7609F">
      <w:pPr>
        <w:pStyle w:val="ListParagraph"/>
        <w:numPr>
          <w:ilvl w:val="4"/>
          <w:numId w:val="1"/>
        </w:numPr>
        <w:rPr>
          <w:color w:val="auto"/>
        </w:rPr>
      </w:pPr>
      <w:r w:rsidRPr="00A24A89">
        <w:rPr>
          <w:color w:val="auto"/>
        </w:rPr>
        <w:t xml:space="preserve">The resubmission acknowledged the Committee’s </w:t>
      </w:r>
      <w:r w:rsidR="00DC4C10">
        <w:rPr>
          <w:color w:val="auto"/>
        </w:rPr>
        <w:t xml:space="preserve">previous </w:t>
      </w:r>
      <w:r w:rsidRPr="00A24A89">
        <w:rPr>
          <w:color w:val="auto"/>
        </w:rPr>
        <w:t>comments that analysis of relative risk and risk difference has demonstrated that pembrolizumab plus chemotherapy has a slightly higher incidence of grade 3-5 adverse events than chemotherapy (85.1% vs 79.5%), relative risk (RR) 1.07 (95% CI 0.98, 1.16) (paragraph 6.35,</w:t>
      </w:r>
      <w:r w:rsidR="007000C5">
        <w:rPr>
          <w:color w:val="auto"/>
        </w:rPr>
        <w:t xml:space="preserve"> </w:t>
      </w:r>
      <w:r w:rsidRPr="00A24A89">
        <w:rPr>
          <w:color w:val="auto"/>
        </w:rPr>
        <w:t>Table 14, pembrolizumab PSD, November 2020</w:t>
      </w:r>
      <w:r w:rsidR="007000C5" w:rsidRPr="007000C5">
        <w:rPr>
          <w:color w:val="auto"/>
        </w:rPr>
        <w:t xml:space="preserve"> </w:t>
      </w:r>
      <w:r w:rsidR="007000C5" w:rsidRPr="00A24A89">
        <w:rPr>
          <w:color w:val="auto"/>
        </w:rPr>
        <w:t>PBAC</w:t>
      </w:r>
      <w:r w:rsidR="007000C5">
        <w:rPr>
          <w:color w:val="auto"/>
        </w:rPr>
        <w:t xml:space="preserve"> Meeting</w:t>
      </w:r>
      <w:r w:rsidRPr="00A24A89">
        <w:rPr>
          <w:color w:val="auto"/>
        </w:rPr>
        <w:t xml:space="preserve">). </w:t>
      </w:r>
      <w:r w:rsidR="00DC4C10">
        <w:rPr>
          <w:color w:val="auto"/>
        </w:rPr>
        <w:t>P</w:t>
      </w:r>
      <w:r w:rsidRPr="00A24A89">
        <w:rPr>
          <w:color w:val="auto"/>
        </w:rPr>
        <w:t xml:space="preserve">embrolizumab combination therapy had slightly more anaemia, mucosal inflammation, stomatitis, hyponatraemia, </w:t>
      </w:r>
      <w:proofErr w:type="gramStart"/>
      <w:r w:rsidRPr="00A24A89">
        <w:rPr>
          <w:color w:val="auto"/>
        </w:rPr>
        <w:t>fatigue</w:t>
      </w:r>
      <w:proofErr w:type="gramEnd"/>
      <w:r w:rsidRPr="00A24A89">
        <w:rPr>
          <w:color w:val="auto"/>
        </w:rPr>
        <w:t xml:space="preserve"> and febrile neutropenia; but a lower incidence of neutropenia, decreased neutrophil count, rash and lower white blood cell count.</w:t>
      </w:r>
    </w:p>
    <w:p w14:paraId="74F0EFFC" w14:textId="77777777" w:rsidR="00D7609F" w:rsidRPr="00A24A89" w:rsidRDefault="00D7609F" w:rsidP="00D7609F">
      <w:pPr>
        <w:pStyle w:val="ListParagraph"/>
        <w:numPr>
          <w:ilvl w:val="4"/>
          <w:numId w:val="1"/>
        </w:numPr>
        <w:rPr>
          <w:color w:val="auto"/>
        </w:rPr>
      </w:pPr>
      <w:r w:rsidRPr="00A24A89">
        <w:rPr>
          <w:color w:val="auto"/>
        </w:rPr>
        <w:t xml:space="preserve">The safety of 2L nivolumab was not considered, therefore this was not factored into the comparative safety of pembrolizumab ± chemotherapy with </w:t>
      </w:r>
      <w:proofErr w:type="spellStart"/>
      <w:r w:rsidRPr="00A24A89">
        <w:rPr>
          <w:color w:val="auto"/>
        </w:rPr>
        <w:t>SoC.</w:t>
      </w:r>
      <w:proofErr w:type="spellEnd"/>
    </w:p>
    <w:p w14:paraId="5A337AF3" w14:textId="77777777" w:rsidR="00D7609F" w:rsidRPr="00A24A89" w:rsidRDefault="00D7609F" w:rsidP="00D7609F">
      <w:pPr>
        <w:pStyle w:val="PBACESHeading2"/>
        <w:ind w:left="720" w:hanging="720"/>
      </w:pPr>
      <w:bookmarkStart w:id="54" w:name="_Toc81727554"/>
      <w:bookmarkStart w:id="55" w:name="_Toc82600103"/>
      <w:r w:rsidRPr="00A24A89">
        <w:t>Benefits and harms</w:t>
      </w:r>
      <w:bookmarkEnd w:id="54"/>
      <w:bookmarkEnd w:id="55"/>
    </w:p>
    <w:p w14:paraId="0400A568" w14:textId="77777777" w:rsidR="00D7609F" w:rsidRPr="00A24A89" w:rsidRDefault="00D7609F" w:rsidP="00D7609F">
      <w:pPr>
        <w:pStyle w:val="ListParagraph"/>
        <w:numPr>
          <w:ilvl w:val="4"/>
          <w:numId w:val="1"/>
        </w:numPr>
        <w:rPr>
          <w:color w:val="auto"/>
        </w:rPr>
      </w:pPr>
      <w:r w:rsidRPr="00A24A89">
        <w:rPr>
          <w:iCs/>
          <w:color w:val="auto"/>
        </w:rPr>
        <w:t>A summary of the comparative benefits and harms for pembrolizumab versus chemotherapy is presented in</w:t>
      </w:r>
      <w:r w:rsidR="006110C9">
        <w:rPr>
          <w:iCs/>
          <w:color w:val="auto"/>
        </w:rPr>
        <w:t xml:space="preserve"> </w:t>
      </w:r>
      <w:r w:rsidR="008D43ED">
        <w:t xml:space="preserve">Table </w:t>
      </w:r>
      <w:r w:rsidR="008D43ED">
        <w:rPr>
          <w:noProof/>
        </w:rPr>
        <w:t>12</w:t>
      </w:r>
      <w:r w:rsidRPr="00A24A89">
        <w:rPr>
          <w:iCs/>
          <w:color w:val="auto"/>
        </w:rPr>
        <w:t>.</w:t>
      </w:r>
    </w:p>
    <w:p w14:paraId="27D63431" w14:textId="77777777" w:rsidR="00D7609F" w:rsidRPr="00A24A89" w:rsidRDefault="00093440" w:rsidP="00024DCD">
      <w:pPr>
        <w:pStyle w:val="Caption"/>
      </w:pPr>
      <w:bookmarkStart w:id="56" w:name="_Ref80066860"/>
      <w:r>
        <w:lastRenderedPageBreak/>
        <w:t xml:space="preserve">Table </w:t>
      </w:r>
      <w:r w:rsidR="008D43ED">
        <w:rPr>
          <w:noProof/>
        </w:rPr>
        <w:t>12</w:t>
      </w:r>
      <w:bookmarkEnd w:id="56"/>
      <w:r w:rsidR="00024DCD">
        <w:rPr>
          <w:noProof/>
        </w:rPr>
        <w:t xml:space="preserve">: </w:t>
      </w:r>
      <w:r w:rsidR="00D7609F" w:rsidRPr="00A24A89">
        <w:t>Summary of comparative benefits and harms for pembrolizumab ± chemotherapy and chemotherapy</w:t>
      </w:r>
    </w:p>
    <w:tbl>
      <w:tblPr>
        <w:tblStyle w:val="TableGrid"/>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Summary of comparative benefits and harms for pembrolizumab ± chemotherapy and chemotherapy"/>
      </w:tblPr>
      <w:tblGrid>
        <w:gridCol w:w="2121"/>
        <w:gridCol w:w="1703"/>
        <w:gridCol w:w="1416"/>
        <w:gridCol w:w="1418"/>
        <w:gridCol w:w="1275"/>
        <w:gridCol w:w="1133"/>
      </w:tblGrid>
      <w:tr w:rsidR="00D7609F" w:rsidRPr="00A24A89" w14:paraId="2301838D" w14:textId="77777777" w:rsidTr="0056423A">
        <w:trPr>
          <w:cnfStyle w:val="100000000000" w:firstRow="1" w:lastRow="0" w:firstColumn="0" w:lastColumn="0" w:oddVBand="0" w:evenVBand="0" w:oddHBand="0" w:evenHBand="0" w:firstRowFirstColumn="0" w:firstRowLastColumn="0" w:lastRowFirstColumn="0" w:lastRowLastColumn="0"/>
          <w:trHeight w:val="90"/>
          <w:tblHeader/>
        </w:trPr>
        <w:tc>
          <w:tcPr>
            <w:tcW w:w="5000" w:type="pct"/>
            <w:gridSpan w:val="6"/>
            <w:shd w:val="clear" w:color="auto" w:fill="auto"/>
          </w:tcPr>
          <w:p w14:paraId="5F9CF21F" w14:textId="77777777" w:rsidR="00D7609F" w:rsidRPr="006110C9" w:rsidRDefault="00D7609F" w:rsidP="006110C9">
            <w:pPr>
              <w:pStyle w:val="TableText"/>
              <w:keepNext/>
              <w:keepLines/>
              <w:widowControl/>
              <w:spacing w:before="0" w:after="0" w:line="240" w:lineRule="auto"/>
              <w:rPr>
                <w:vertAlign w:val="superscript"/>
                <w:lang w:val="en-AU"/>
              </w:rPr>
            </w:pPr>
            <w:r w:rsidRPr="00A24A89">
              <w:rPr>
                <w:lang w:val="en-AU"/>
              </w:rPr>
              <w:t>Benefits</w:t>
            </w:r>
            <w:r w:rsidR="006110C9">
              <w:rPr>
                <w:lang w:val="en-AU"/>
              </w:rPr>
              <w:t xml:space="preserve"> </w:t>
            </w:r>
            <w:r w:rsidR="006110C9">
              <w:rPr>
                <w:vertAlign w:val="superscript"/>
                <w:lang w:val="en-AU"/>
              </w:rPr>
              <w:t>a</w:t>
            </w:r>
          </w:p>
        </w:tc>
      </w:tr>
      <w:tr w:rsidR="00D7609F" w:rsidRPr="00A24A89" w14:paraId="580647B1" w14:textId="77777777" w:rsidTr="006419CD">
        <w:tc>
          <w:tcPr>
            <w:tcW w:w="5000" w:type="pct"/>
            <w:gridSpan w:val="6"/>
          </w:tcPr>
          <w:p w14:paraId="0C208E78" w14:textId="77777777" w:rsidR="00D7609F" w:rsidRPr="00A24A89" w:rsidRDefault="00D7609F" w:rsidP="006110C9">
            <w:pPr>
              <w:pStyle w:val="TableText"/>
              <w:keepNext/>
              <w:keepLines/>
              <w:widowControl/>
              <w:spacing w:before="0" w:after="0" w:line="240" w:lineRule="auto"/>
              <w:rPr>
                <w:b/>
                <w:lang w:val="en-AU"/>
              </w:rPr>
            </w:pPr>
            <w:r w:rsidRPr="00A24A89">
              <w:rPr>
                <w:b/>
                <w:lang w:val="en-AU"/>
              </w:rPr>
              <w:t xml:space="preserve">Time-to-event outcome: OS </w:t>
            </w:r>
            <w:r w:rsidR="00D30F19">
              <w:rPr>
                <w:b/>
                <w:lang w:val="en-AU"/>
              </w:rPr>
              <w:t>(Upscaled 2L nivolumab to 50%)</w:t>
            </w:r>
          </w:p>
        </w:tc>
      </w:tr>
      <w:tr w:rsidR="00D7609F" w:rsidRPr="00A24A89" w14:paraId="3000E30F" w14:textId="77777777" w:rsidTr="00EB1C04">
        <w:tc>
          <w:tcPr>
            <w:tcW w:w="1170" w:type="pct"/>
          </w:tcPr>
          <w:p w14:paraId="03F930B0" w14:textId="77777777" w:rsidR="00D7609F" w:rsidRPr="00A24A89" w:rsidRDefault="00D7609F" w:rsidP="006110C9">
            <w:pPr>
              <w:pStyle w:val="TableText"/>
              <w:keepNext/>
              <w:keepLines/>
              <w:widowControl/>
              <w:spacing w:before="0" w:after="0" w:line="240" w:lineRule="auto"/>
              <w:rPr>
                <w:b/>
                <w:lang w:val="en-AU"/>
              </w:rPr>
            </w:pPr>
            <w:r w:rsidRPr="00A24A89">
              <w:rPr>
                <w:b/>
                <w:lang w:val="en-AU"/>
              </w:rPr>
              <w:t>Trial</w:t>
            </w:r>
          </w:p>
        </w:tc>
        <w:tc>
          <w:tcPr>
            <w:tcW w:w="939" w:type="pct"/>
          </w:tcPr>
          <w:p w14:paraId="09CD8C2F"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Median duration of follow up</w:t>
            </w:r>
            <w:r w:rsidRPr="00A24A89">
              <w:rPr>
                <w:szCs w:val="20"/>
                <w:vertAlign w:val="superscript"/>
                <w:lang w:val="en-AU"/>
              </w:rPr>
              <w:t xml:space="preserve"> </w:t>
            </w:r>
            <w:r w:rsidR="006110C9">
              <w:rPr>
                <w:szCs w:val="20"/>
                <w:vertAlign w:val="superscript"/>
                <w:lang w:val="en-AU"/>
              </w:rPr>
              <w:t>b</w:t>
            </w:r>
          </w:p>
        </w:tc>
        <w:tc>
          <w:tcPr>
            <w:tcW w:w="781" w:type="pct"/>
            <w:shd w:val="clear" w:color="auto" w:fill="auto"/>
          </w:tcPr>
          <w:p w14:paraId="2D879C0D"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Pembrolizumab</w:t>
            </w:r>
          </w:p>
          <w:p w14:paraId="467A624F" w14:textId="77777777" w:rsidR="00D7609F" w:rsidRDefault="00D30F19" w:rsidP="006110C9">
            <w:pPr>
              <w:pStyle w:val="TableText"/>
              <w:keepNext/>
              <w:keepLines/>
              <w:widowControl/>
              <w:spacing w:before="0" w:after="0" w:line="240" w:lineRule="auto"/>
              <w:jc w:val="center"/>
              <w:rPr>
                <w:b/>
                <w:lang w:val="en-AU"/>
              </w:rPr>
            </w:pPr>
            <w:r>
              <w:rPr>
                <w:b/>
                <w:lang w:val="en-AU"/>
              </w:rPr>
              <w:t>Median OS</w:t>
            </w:r>
          </w:p>
          <w:p w14:paraId="601A4464" w14:textId="77777777" w:rsidR="00D30F19" w:rsidRPr="00A24A89" w:rsidRDefault="00D30F19" w:rsidP="006110C9">
            <w:pPr>
              <w:pStyle w:val="TableText"/>
              <w:keepNext/>
              <w:keepLines/>
              <w:widowControl/>
              <w:spacing w:before="0" w:after="0" w:line="240" w:lineRule="auto"/>
              <w:jc w:val="center"/>
              <w:rPr>
                <w:b/>
                <w:lang w:val="en-AU"/>
              </w:rPr>
            </w:pPr>
            <w:r>
              <w:rPr>
                <w:b/>
                <w:lang w:val="en-AU"/>
              </w:rPr>
              <w:t>Months (95%CI)</w:t>
            </w:r>
          </w:p>
        </w:tc>
        <w:tc>
          <w:tcPr>
            <w:tcW w:w="782" w:type="pct"/>
            <w:shd w:val="clear" w:color="auto" w:fill="auto"/>
          </w:tcPr>
          <w:p w14:paraId="6ABEAC68"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SoC</w:t>
            </w:r>
          </w:p>
          <w:p w14:paraId="2FE90A31" w14:textId="77777777" w:rsidR="00D30F19" w:rsidRDefault="00D30F19" w:rsidP="006110C9">
            <w:pPr>
              <w:pStyle w:val="TableText"/>
              <w:keepNext/>
              <w:keepLines/>
              <w:widowControl/>
              <w:spacing w:before="0" w:after="0" w:line="240" w:lineRule="auto"/>
              <w:jc w:val="center"/>
              <w:rPr>
                <w:b/>
                <w:lang w:val="en-AU"/>
              </w:rPr>
            </w:pPr>
            <w:r>
              <w:rPr>
                <w:b/>
                <w:lang w:val="en-AU"/>
              </w:rPr>
              <w:t xml:space="preserve">Median OS </w:t>
            </w:r>
          </w:p>
          <w:p w14:paraId="1A38CFAC" w14:textId="77777777" w:rsidR="00D7609F" w:rsidRPr="00A24A89" w:rsidRDefault="00D30F19" w:rsidP="006110C9">
            <w:pPr>
              <w:pStyle w:val="TableText"/>
              <w:keepNext/>
              <w:keepLines/>
              <w:widowControl/>
              <w:spacing w:before="0" w:after="0" w:line="240" w:lineRule="auto"/>
              <w:jc w:val="center"/>
              <w:rPr>
                <w:b/>
                <w:lang w:val="en-AU"/>
              </w:rPr>
            </w:pPr>
            <w:r>
              <w:rPr>
                <w:b/>
                <w:lang w:val="en-AU"/>
              </w:rPr>
              <w:t>Months (95%CI)</w:t>
            </w:r>
          </w:p>
        </w:tc>
        <w:tc>
          <w:tcPr>
            <w:tcW w:w="703" w:type="pct"/>
            <w:shd w:val="clear" w:color="auto" w:fill="auto"/>
          </w:tcPr>
          <w:p w14:paraId="1083B31C" w14:textId="77777777" w:rsidR="00D7609F" w:rsidRPr="00A24A89" w:rsidRDefault="00D7609F" w:rsidP="006110C9">
            <w:pPr>
              <w:pStyle w:val="TableText"/>
              <w:keepNext/>
              <w:keepLines/>
              <w:widowControl/>
              <w:spacing w:before="0" w:after="0" w:line="240" w:lineRule="auto"/>
              <w:jc w:val="center"/>
              <w:rPr>
                <w:rFonts w:asciiTheme="minorHAnsi" w:hAnsiTheme="minorHAnsi"/>
                <w:b/>
                <w:lang w:val="en-AU"/>
              </w:rPr>
            </w:pPr>
            <w:r w:rsidRPr="00A24A89">
              <w:rPr>
                <w:b/>
                <w:lang w:val="en-AU"/>
              </w:rPr>
              <w:t>Absolute difference (%)</w:t>
            </w:r>
          </w:p>
        </w:tc>
        <w:tc>
          <w:tcPr>
            <w:tcW w:w="625" w:type="pct"/>
            <w:shd w:val="clear" w:color="auto" w:fill="auto"/>
          </w:tcPr>
          <w:p w14:paraId="277AE070"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HR (95% CI)</w:t>
            </w:r>
          </w:p>
        </w:tc>
      </w:tr>
      <w:tr w:rsidR="00B70CA5" w:rsidRPr="00A24A89" w14:paraId="3A55403D" w14:textId="77777777" w:rsidTr="00EB1C04">
        <w:tc>
          <w:tcPr>
            <w:tcW w:w="1170" w:type="pct"/>
            <w:vAlign w:val="center"/>
          </w:tcPr>
          <w:p w14:paraId="2D137D08" w14:textId="77777777" w:rsidR="00B70CA5" w:rsidRPr="00A24A89" w:rsidRDefault="00B70CA5" w:rsidP="00B70CA5">
            <w:pPr>
              <w:pStyle w:val="TableText"/>
              <w:keepNext/>
              <w:keepLines/>
              <w:widowControl/>
              <w:spacing w:before="0" w:after="0" w:line="240" w:lineRule="auto"/>
              <w:rPr>
                <w:szCs w:val="20"/>
              </w:rPr>
            </w:pPr>
            <w:r w:rsidRPr="00A24A89">
              <w:rPr>
                <w:szCs w:val="20"/>
                <w:lang w:val="en-AU"/>
              </w:rPr>
              <w:t>KN048 (</w:t>
            </w:r>
            <w:r>
              <w:rPr>
                <w:szCs w:val="20"/>
                <w:lang w:val="en-AU"/>
              </w:rPr>
              <w:t>pembrolizumab plus</w:t>
            </w:r>
            <w:r w:rsidRPr="00A24A89">
              <w:rPr>
                <w:szCs w:val="20"/>
                <w:lang w:val="en-AU"/>
              </w:rPr>
              <w:t xml:space="preserve"> chemotherapy)</w:t>
            </w:r>
            <w:r>
              <w:rPr>
                <w:szCs w:val="20"/>
                <w:lang w:val="en-AU"/>
              </w:rPr>
              <w:t xml:space="preserve"> </w:t>
            </w:r>
            <w:r w:rsidR="00EB1C04">
              <w:rPr>
                <w:szCs w:val="20"/>
                <w:lang w:val="en-AU"/>
              </w:rPr>
              <w:t>–</w:t>
            </w:r>
            <w:r>
              <w:rPr>
                <w:szCs w:val="20"/>
                <w:lang w:val="en-AU"/>
              </w:rPr>
              <w:t xml:space="preserve"> ITT</w:t>
            </w:r>
          </w:p>
        </w:tc>
        <w:tc>
          <w:tcPr>
            <w:tcW w:w="939" w:type="pct"/>
            <w:vAlign w:val="center"/>
          </w:tcPr>
          <w:p w14:paraId="5FB079CA" w14:textId="77777777" w:rsidR="00B70CA5" w:rsidRPr="00A24A89" w:rsidRDefault="00B70CA5" w:rsidP="00B70CA5">
            <w:pPr>
              <w:pStyle w:val="TableText"/>
              <w:keepNext/>
              <w:keepLines/>
              <w:widowControl/>
              <w:spacing w:before="0" w:after="0" w:line="240" w:lineRule="auto"/>
              <w:jc w:val="center"/>
              <w:rPr>
                <w:szCs w:val="20"/>
                <w:lang w:val="en-AU"/>
              </w:rPr>
            </w:pPr>
            <w:r w:rsidRPr="00A24A89">
              <w:rPr>
                <w:szCs w:val="20"/>
                <w:lang w:val="en-AU"/>
              </w:rPr>
              <w:t xml:space="preserve">45.6 months </w:t>
            </w:r>
            <w:proofErr w:type="spellStart"/>
            <w:r w:rsidRPr="00A24A89">
              <w:rPr>
                <w:szCs w:val="20"/>
                <w:lang w:val="en-AU"/>
              </w:rPr>
              <w:t>pembro</w:t>
            </w:r>
            <w:proofErr w:type="spellEnd"/>
            <w:r w:rsidRPr="00A24A89">
              <w:rPr>
                <w:szCs w:val="20"/>
                <w:lang w:val="en-AU"/>
              </w:rPr>
              <w:t xml:space="preserve"> + chemo</w:t>
            </w:r>
          </w:p>
          <w:p w14:paraId="103D2B14" w14:textId="77777777" w:rsidR="00B70CA5" w:rsidRPr="00A24A89" w:rsidRDefault="00B70CA5" w:rsidP="00B70CA5">
            <w:pPr>
              <w:pStyle w:val="TableText"/>
              <w:keepNext/>
              <w:keepLines/>
              <w:widowControl/>
              <w:spacing w:before="0" w:after="0" w:line="240" w:lineRule="auto"/>
              <w:jc w:val="center"/>
              <w:rPr>
                <w:szCs w:val="20"/>
              </w:rPr>
            </w:pPr>
            <w:r w:rsidRPr="00A24A89">
              <w:rPr>
                <w:szCs w:val="20"/>
                <w:lang w:val="en-AU"/>
              </w:rPr>
              <w:t>45.7 months SoC</w:t>
            </w:r>
          </w:p>
        </w:tc>
        <w:tc>
          <w:tcPr>
            <w:tcW w:w="781" w:type="pct"/>
            <w:shd w:val="clear" w:color="auto" w:fill="auto"/>
            <w:vAlign w:val="center"/>
          </w:tcPr>
          <w:p w14:paraId="15AA58F0" w14:textId="77777777" w:rsidR="00B70CA5" w:rsidRDefault="00B70CA5" w:rsidP="00B70CA5">
            <w:pPr>
              <w:pStyle w:val="TableText"/>
              <w:keepNext/>
              <w:keepLines/>
              <w:widowControl/>
              <w:spacing w:before="0" w:after="0" w:line="240" w:lineRule="auto"/>
              <w:jc w:val="center"/>
            </w:pPr>
            <w:r>
              <w:rPr>
                <w:lang w:val="en-AU"/>
              </w:rPr>
              <w:t>13.0 (10.9, 14.7)</w:t>
            </w:r>
          </w:p>
        </w:tc>
        <w:tc>
          <w:tcPr>
            <w:tcW w:w="782" w:type="pct"/>
            <w:shd w:val="clear" w:color="auto" w:fill="auto"/>
            <w:vAlign w:val="center"/>
          </w:tcPr>
          <w:p w14:paraId="4322AB48" w14:textId="77777777" w:rsidR="00B70CA5" w:rsidRDefault="00B70CA5" w:rsidP="00B70CA5">
            <w:pPr>
              <w:pStyle w:val="TableText"/>
              <w:keepNext/>
              <w:keepLines/>
              <w:widowControl/>
              <w:spacing w:before="0" w:after="0" w:line="240" w:lineRule="auto"/>
              <w:jc w:val="center"/>
            </w:pPr>
            <w:r>
              <w:rPr>
                <w:lang w:val="en-AU"/>
              </w:rPr>
              <w:t>NR</w:t>
            </w:r>
          </w:p>
        </w:tc>
        <w:tc>
          <w:tcPr>
            <w:tcW w:w="703" w:type="pct"/>
            <w:shd w:val="clear" w:color="auto" w:fill="auto"/>
            <w:vAlign w:val="center"/>
          </w:tcPr>
          <w:p w14:paraId="2411B68F" w14:textId="77777777" w:rsidR="00B70CA5" w:rsidRDefault="00B70CA5" w:rsidP="00B70CA5">
            <w:pPr>
              <w:pStyle w:val="TableText"/>
              <w:keepNext/>
              <w:keepLines/>
              <w:widowControl/>
              <w:spacing w:before="0" w:after="0" w:line="240" w:lineRule="auto"/>
              <w:jc w:val="center"/>
              <w:rPr>
                <w:szCs w:val="20"/>
              </w:rPr>
            </w:pPr>
            <w:r>
              <w:rPr>
                <w:szCs w:val="20"/>
                <w:lang w:val="en-AU"/>
              </w:rPr>
              <w:t>NR</w:t>
            </w:r>
          </w:p>
        </w:tc>
        <w:tc>
          <w:tcPr>
            <w:tcW w:w="625" w:type="pct"/>
            <w:shd w:val="clear" w:color="auto" w:fill="auto"/>
            <w:vAlign w:val="center"/>
          </w:tcPr>
          <w:p w14:paraId="569557C7" w14:textId="77777777" w:rsidR="00B70CA5" w:rsidRDefault="00B70CA5" w:rsidP="00B70CA5">
            <w:pPr>
              <w:pStyle w:val="TableText"/>
              <w:keepNext/>
              <w:keepLines/>
              <w:widowControl/>
              <w:spacing w:before="0" w:after="0" w:line="240" w:lineRule="auto"/>
              <w:jc w:val="center"/>
              <w:rPr>
                <w:b/>
                <w:bCs/>
                <w:szCs w:val="20"/>
              </w:rPr>
            </w:pPr>
            <w:r>
              <w:rPr>
                <w:b/>
                <w:bCs/>
                <w:szCs w:val="20"/>
                <w:lang w:val="en-AU"/>
              </w:rPr>
              <w:t>0.741 (NR)</w:t>
            </w:r>
          </w:p>
        </w:tc>
      </w:tr>
      <w:tr w:rsidR="00B70CA5" w:rsidRPr="00A24A89" w14:paraId="7186DE63" w14:textId="77777777" w:rsidTr="00EB1C04">
        <w:tc>
          <w:tcPr>
            <w:tcW w:w="1170" w:type="pct"/>
            <w:vAlign w:val="center"/>
          </w:tcPr>
          <w:p w14:paraId="738E40EB"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KN048 (</w:t>
            </w:r>
            <w:r>
              <w:rPr>
                <w:szCs w:val="20"/>
                <w:lang w:val="en-AU"/>
              </w:rPr>
              <w:t>pembrolizumab plus</w:t>
            </w:r>
            <w:r w:rsidRPr="00A24A89">
              <w:rPr>
                <w:szCs w:val="20"/>
                <w:lang w:val="en-AU"/>
              </w:rPr>
              <w:t xml:space="preserve"> chemotherapy)</w:t>
            </w:r>
            <w:r>
              <w:rPr>
                <w:szCs w:val="20"/>
                <w:lang w:val="en-AU"/>
              </w:rPr>
              <w:t xml:space="preserve"> – CPS</w:t>
            </w:r>
            <w:r w:rsidR="00EB1C04">
              <w:rPr>
                <w:szCs w:val="20"/>
                <w:lang w:val="en-AU"/>
              </w:rPr>
              <w:t> </w:t>
            </w:r>
            <w:r>
              <w:rPr>
                <w:szCs w:val="20"/>
                <w:lang w:val="en-AU"/>
              </w:rPr>
              <w:t>≥1</w:t>
            </w:r>
          </w:p>
        </w:tc>
        <w:tc>
          <w:tcPr>
            <w:tcW w:w="939" w:type="pct"/>
            <w:vAlign w:val="center"/>
          </w:tcPr>
          <w:p w14:paraId="335D72A1" w14:textId="77777777" w:rsidR="00B70CA5" w:rsidRPr="00A24A89" w:rsidRDefault="00B70CA5" w:rsidP="00B70CA5">
            <w:pPr>
              <w:pStyle w:val="TableText"/>
              <w:keepNext/>
              <w:keepLines/>
              <w:widowControl/>
              <w:spacing w:before="0" w:after="0" w:line="240" w:lineRule="auto"/>
              <w:jc w:val="center"/>
              <w:rPr>
                <w:szCs w:val="20"/>
                <w:lang w:val="en-AU"/>
              </w:rPr>
            </w:pPr>
            <w:r w:rsidRPr="00A24A89">
              <w:rPr>
                <w:szCs w:val="20"/>
                <w:lang w:val="en-AU"/>
              </w:rPr>
              <w:t xml:space="preserve">45.6 months </w:t>
            </w:r>
            <w:proofErr w:type="spellStart"/>
            <w:r w:rsidRPr="00A24A89">
              <w:rPr>
                <w:szCs w:val="20"/>
                <w:lang w:val="en-AU"/>
              </w:rPr>
              <w:t>pembro</w:t>
            </w:r>
            <w:proofErr w:type="spellEnd"/>
            <w:r w:rsidRPr="00A24A89">
              <w:rPr>
                <w:szCs w:val="20"/>
                <w:lang w:val="en-AU"/>
              </w:rPr>
              <w:t xml:space="preserve"> + chemo</w:t>
            </w:r>
          </w:p>
          <w:p w14:paraId="23035CB0"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45.7 months SoC</w:t>
            </w:r>
          </w:p>
        </w:tc>
        <w:tc>
          <w:tcPr>
            <w:tcW w:w="781" w:type="pct"/>
            <w:shd w:val="clear" w:color="auto" w:fill="auto"/>
            <w:vAlign w:val="center"/>
          </w:tcPr>
          <w:p w14:paraId="53078961" w14:textId="77777777" w:rsidR="00B70CA5" w:rsidRPr="00A24A89" w:rsidRDefault="00B70CA5" w:rsidP="00B70CA5">
            <w:pPr>
              <w:pStyle w:val="TableText"/>
              <w:keepNext/>
              <w:keepLines/>
              <w:widowControl/>
              <w:spacing w:before="0" w:after="0" w:line="240" w:lineRule="auto"/>
              <w:jc w:val="center"/>
              <w:rPr>
                <w:lang w:val="en-AU"/>
              </w:rPr>
            </w:pPr>
            <w:r>
              <w:rPr>
                <w:lang w:val="en-AU"/>
              </w:rPr>
              <w:t>13.6 (10.7, 15.5)</w:t>
            </w:r>
          </w:p>
        </w:tc>
        <w:tc>
          <w:tcPr>
            <w:tcW w:w="782" w:type="pct"/>
            <w:shd w:val="clear" w:color="auto" w:fill="auto"/>
            <w:vAlign w:val="center"/>
          </w:tcPr>
          <w:p w14:paraId="632E25FA" w14:textId="77777777" w:rsidR="00B70CA5" w:rsidRPr="00A24A89" w:rsidRDefault="00B70CA5" w:rsidP="00B70CA5">
            <w:pPr>
              <w:pStyle w:val="TableText"/>
              <w:keepNext/>
              <w:keepLines/>
              <w:widowControl/>
              <w:spacing w:before="0" w:after="0" w:line="240" w:lineRule="auto"/>
              <w:jc w:val="center"/>
              <w:rPr>
                <w:lang w:val="en-AU"/>
              </w:rPr>
            </w:pPr>
            <w:r>
              <w:rPr>
                <w:lang w:val="en-AU"/>
              </w:rPr>
              <w:t>NR</w:t>
            </w:r>
          </w:p>
        </w:tc>
        <w:tc>
          <w:tcPr>
            <w:tcW w:w="703" w:type="pct"/>
            <w:shd w:val="clear" w:color="auto" w:fill="auto"/>
            <w:vAlign w:val="center"/>
          </w:tcPr>
          <w:p w14:paraId="7C73DC8E" w14:textId="77777777" w:rsidR="00B70CA5" w:rsidRPr="00A24A89" w:rsidRDefault="00B70CA5" w:rsidP="00B70CA5">
            <w:pPr>
              <w:pStyle w:val="TableText"/>
              <w:keepNext/>
              <w:keepLines/>
              <w:widowControl/>
              <w:spacing w:before="0" w:after="0" w:line="240" w:lineRule="auto"/>
              <w:jc w:val="center"/>
              <w:rPr>
                <w:lang w:val="en-AU"/>
              </w:rPr>
            </w:pPr>
            <w:r>
              <w:rPr>
                <w:szCs w:val="20"/>
                <w:lang w:val="en-AU"/>
              </w:rPr>
              <w:t>NR</w:t>
            </w:r>
          </w:p>
        </w:tc>
        <w:tc>
          <w:tcPr>
            <w:tcW w:w="625" w:type="pct"/>
            <w:shd w:val="clear" w:color="auto" w:fill="auto"/>
            <w:vAlign w:val="center"/>
          </w:tcPr>
          <w:p w14:paraId="03E133A4" w14:textId="77777777" w:rsidR="00B70CA5" w:rsidRPr="006110C9" w:rsidRDefault="00B70CA5" w:rsidP="00B70CA5">
            <w:pPr>
              <w:pStyle w:val="TableText"/>
              <w:keepNext/>
              <w:keepLines/>
              <w:widowControl/>
              <w:spacing w:before="0" w:after="0" w:line="240" w:lineRule="auto"/>
              <w:jc w:val="center"/>
              <w:rPr>
                <w:b/>
                <w:bCs/>
                <w:lang w:val="en-AU"/>
              </w:rPr>
            </w:pPr>
            <w:r>
              <w:rPr>
                <w:b/>
                <w:bCs/>
                <w:szCs w:val="20"/>
                <w:lang w:val="en-AU"/>
              </w:rPr>
              <w:t>0.658 (NR)</w:t>
            </w:r>
          </w:p>
        </w:tc>
      </w:tr>
      <w:tr w:rsidR="00B70CA5" w:rsidRPr="00A24A89" w14:paraId="25A7DB28" w14:textId="77777777" w:rsidTr="00EB1C04">
        <w:tc>
          <w:tcPr>
            <w:tcW w:w="1170" w:type="pct"/>
            <w:vAlign w:val="center"/>
          </w:tcPr>
          <w:p w14:paraId="5E0E6490"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KN048 (pembrolizumab monotherapy)</w:t>
            </w:r>
            <w:r>
              <w:rPr>
                <w:szCs w:val="20"/>
                <w:lang w:val="en-AU"/>
              </w:rPr>
              <w:t xml:space="preserve"> – CPS ≥1</w:t>
            </w:r>
          </w:p>
        </w:tc>
        <w:tc>
          <w:tcPr>
            <w:tcW w:w="939" w:type="pct"/>
            <w:vAlign w:val="center"/>
          </w:tcPr>
          <w:p w14:paraId="6934D807" w14:textId="77777777" w:rsidR="00B70CA5" w:rsidRPr="00A24A89" w:rsidRDefault="00B70CA5" w:rsidP="00B70CA5">
            <w:pPr>
              <w:pStyle w:val="TableText"/>
              <w:keepNext/>
              <w:keepLines/>
              <w:widowControl/>
              <w:spacing w:before="0" w:after="0" w:line="240" w:lineRule="auto"/>
              <w:jc w:val="center"/>
              <w:rPr>
                <w:szCs w:val="20"/>
                <w:lang w:val="en-AU"/>
              </w:rPr>
            </w:pPr>
            <w:r w:rsidRPr="00A24A89">
              <w:rPr>
                <w:szCs w:val="20"/>
                <w:lang w:val="en-AU"/>
              </w:rPr>
              <w:t xml:space="preserve">46.3 months </w:t>
            </w:r>
            <w:proofErr w:type="spellStart"/>
            <w:r w:rsidRPr="00A24A89">
              <w:rPr>
                <w:szCs w:val="20"/>
                <w:lang w:val="en-AU"/>
              </w:rPr>
              <w:t>pembro</w:t>
            </w:r>
            <w:proofErr w:type="spellEnd"/>
          </w:p>
          <w:p w14:paraId="2B507E14"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46.2 months SoC</w:t>
            </w:r>
          </w:p>
        </w:tc>
        <w:tc>
          <w:tcPr>
            <w:tcW w:w="781" w:type="pct"/>
            <w:shd w:val="clear" w:color="auto" w:fill="auto"/>
            <w:vAlign w:val="center"/>
          </w:tcPr>
          <w:p w14:paraId="4A019091" w14:textId="77777777" w:rsidR="00B70CA5" w:rsidRPr="00A24A89" w:rsidRDefault="00B70CA5" w:rsidP="00B70CA5">
            <w:pPr>
              <w:pStyle w:val="TableText"/>
              <w:keepNext/>
              <w:keepLines/>
              <w:widowControl/>
              <w:spacing w:before="0" w:after="0" w:line="240" w:lineRule="auto"/>
              <w:jc w:val="center"/>
              <w:rPr>
                <w:lang w:val="en-AU"/>
              </w:rPr>
            </w:pPr>
            <w:r>
              <w:rPr>
                <w:lang w:val="en-AU"/>
              </w:rPr>
              <w:t>12.3 (10.8, 14.8)</w:t>
            </w:r>
          </w:p>
        </w:tc>
        <w:tc>
          <w:tcPr>
            <w:tcW w:w="782" w:type="pct"/>
            <w:shd w:val="clear" w:color="auto" w:fill="auto"/>
            <w:vAlign w:val="center"/>
          </w:tcPr>
          <w:p w14:paraId="3913F992" w14:textId="77777777" w:rsidR="00B70CA5" w:rsidRPr="00A24A89" w:rsidRDefault="00B70CA5" w:rsidP="00B70CA5">
            <w:pPr>
              <w:pStyle w:val="TableText"/>
              <w:keepNext/>
              <w:keepLines/>
              <w:widowControl/>
              <w:spacing w:before="0" w:after="0" w:line="240" w:lineRule="auto"/>
              <w:jc w:val="center"/>
              <w:rPr>
                <w:lang w:val="en-AU"/>
              </w:rPr>
            </w:pPr>
            <w:r>
              <w:rPr>
                <w:lang w:val="en-AU"/>
              </w:rPr>
              <w:t>NR</w:t>
            </w:r>
          </w:p>
        </w:tc>
        <w:tc>
          <w:tcPr>
            <w:tcW w:w="703" w:type="pct"/>
            <w:shd w:val="clear" w:color="auto" w:fill="auto"/>
            <w:vAlign w:val="center"/>
          </w:tcPr>
          <w:p w14:paraId="4E5A2949" w14:textId="77777777" w:rsidR="00B70CA5" w:rsidRPr="00A24A89" w:rsidRDefault="00B70CA5" w:rsidP="00B70CA5">
            <w:pPr>
              <w:pStyle w:val="TableText"/>
              <w:keepNext/>
              <w:keepLines/>
              <w:widowControl/>
              <w:spacing w:before="0" w:after="0" w:line="240" w:lineRule="auto"/>
              <w:jc w:val="center"/>
              <w:rPr>
                <w:rFonts w:asciiTheme="minorHAnsi" w:hAnsiTheme="minorHAnsi"/>
                <w:lang w:val="en-AU"/>
              </w:rPr>
            </w:pPr>
            <w:r>
              <w:rPr>
                <w:szCs w:val="20"/>
                <w:lang w:val="en-AU"/>
              </w:rPr>
              <w:t>NR</w:t>
            </w:r>
          </w:p>
        </w:tc>
        <w:tc>
          <w:tcPr>
            <w:tcW w:w="625" w:type="pct"/>
            <w:shd w:val="clear" w:color="auto" w:fill="auto"/>
            <w:vAlign w:val="center"/>
          </w:tcPr>
          <w:p w14:paraId="73EEA7CA" w14:textId="77777777" w:rsidR="00B70CA5" w:rsidRPr="006110C9" w:rsidRDefault="00B70CA5" w:rsidP="00B70CA5">
            <w:pPr>
              <w:pStyle w:val="TableText"/>
              <w:keepNext/>
              <w:keepLines/>
              <w:widowControl/>
              <w:spacing w:before="0" w:after="0" w:line="240" w:lineRule="auto"/>
              <w:jc w:val="center"/>
              <w:rPr>
                <w:b/>
                <w:bCs/>
                <w:lang w:val="en-AU"/>
              </w:rPr>
            </w:pPr>
            <w:r w:rsidRPr="006110C9">
              <w:rPr>
                <w:b/>
                <w:bCs/>
                <w:szCs w:val="20"/>
                <w:lang w:val="en-AU"/>
              </w:rPr>
              <w:t>0.7</w:t>
            </w:r>
            <w:r>
              <w:rPr>
                <w:b/>
                <w:bCs/>
                <w:szCs w:val="20"/>
                <w:lang w:val="en-AU"/>
              </w:rPr>
              <w:t>67 (NR</w:t>
            </w:r>
            <w:r w:rsidRPr="006110C9">
              <w:rPr>
                <w:b/>
                <w:bCs/>
                <w:szCs w:val="20"/>
                <w:lang w:val="en-AU"/>
              </w:rPr>
              <w:t>)</w:t>
            </w:r>
          </w:p>
        </w:tc>
      </w:tr>
      <w:tr w:rsidR="00D724F0" w:rsidRPr="00B926EF" w14:paraId="1F5AFF66" w14:textId="77777777" w:rsidTr="00EB1C04">
        <w:tc>
          <w:tcPr>
            <w:tcW w:w="1170" w:type="pct"/>
            <w:vAlign w:val="center"/>
          </w:tcPr>
          <w:p w14:paraId="338F613A" w14:textId="77777777" w:rsidR="00D724F0" w:rsidRPr="00093440" w:rsidRDefault="00D724F0" w:rsidP="00B70CA5">
            <w:pPr>
              <w:pStyle w:val="TableText"/>
              <w:keepNext/>
              <w:keepLines/>
              <w:widowControl/>
              <w:spacing w:before="0" w:after="0" w:line="240" w:lineRule="auto"/>
              <w:rPr>
                <w:szCs w:val="20"/>
              </w:rPr>
            </w:pPr>
            <w:r w:rsidRPr="00093440">
              <w:rPr>
                <w:szCs w:val="20"/>
              </w:rPr>
              <w:t>KN048 (pembrolizumab monotherapy) – CPS ≥20</w:t>
            </w:r>
          </w:p>
        </w:tc>
        <w:tc>
          <w:tcPr>
            <w:tcW w:w="939" w:type="pct"/>
            <w:vAlign w:val="center"/>
          </w:tcPr>
          <w:p w14:paraId="1E91C3CA" w14:textId="77777777" w:rsidR="00D724F0" w:rsidRPr="00093440" w:rsidRDefault="00D724F0" w:rsidP="00D724F0">
            <w:pPr>
              <w:pStyle w:val="TableText"/>
              <w:keepNext/>
              <w:keepLines/>
              <w:widowControl/>
              <w:spacing w:before="0" w:after="0" w:line="240" w:lineRule="auto"/>
              <w:jc w:val="center"/>
              <w:rPr>
                <w:szCs w:val="20"/>
                <w:lang w:val="en-AU"/>
              </w:rPr>
            </w:pPr>
            <w:r w:rsidRPr="00093440">
              <w:rPr>
                <w:szCs w:val="20"/>
              </w:rPr>
              <w:t xml:space="preserve">46.3 months </w:t>
            </w:r>
            <w:proofErr w:type="spellStart"/>
            <w:r w:rsidRPr="00093440">
              <w:rPr>
                <w:szCs w:val="20"/>
              </w:rPr>
              <w:t>pembro</w:t>
            </w:r>
            <w:proofErr w:type="spellEnd"/>
          </w:p>
          <w:p w14:paraId="5910EE6E" w14:textId="77777777" w:rsidR="00D724F0" w:rsidRPr="00093440" w:rsidRDefault="00D724F0" w:rsidP="00D724F0">
            <w:pPr>
              <w:pStyle w:val="TableText"/>
              <w:keepNext/>
              <w:keepLines/>
              <w:widowControl/>
              <w:spacing w:before="0" w:after="0" w:line="240" w:lineRule="auto"/>
              <w:jc w:val="center"/>
              <w:rPr>
                <w:b/>
                <w:bCs/>
                <w:szCs w:val="20"/>
              </w:rPr>
            </w:pPr>
            <w:r w:rsidRPr="00093440">
              <w:rPr>
                <w:szCs w:val="20"/>
              </w:rPr>
              <w:t>46.2 months SoC</w:t>
            </w:r>
          </w:p>
        </w:tc>
        <w:tc>
          <w:tcPr>
            <w:tcW w:w="781" w:type="pct"/>
            <w:shd w:val="clear" w:color="auto" w:fill="auto"/>
            <w:vAlign w:val="center"/>
          </w:tcPr>
          <w:p w14:paraId="7997C7D3" w14:textId="77777777" w:rsidR="00D724F0" w:rsidRPr="00093440" w:rsidRDefault="00D724F0" w:rsidP="00B70CA5">
            <w:pPr>
              <w:pStyle w:val="TableText"/>
              <w:keepNext/>
              <w:keepLines/>
              <w:widowControl/>
              <w:spacing w:before="0" w:after="0" w:line="240" w:lineRule="auto"/>
              <w:jc w:val="center"/>
            </w:pPr>
            <w:r w:rsidRPr="00093440">
              <w:t>14.9 (11.5, 20.6</w:t>
            </w:r>
            <w:r w:rsidR="00B926EF" w:rsidRPr="00093440">
              <w:t>)</w:t>
            </w:r>
          </w:p>
        </w:tc>
        <w:tc>
          <w:tcPr>
            <w:tcW w:w="782" w:type="pct"/>
            <w:shd w:val="clear" w:color="auto" w:fill="auto"/>
            <w:vAlign w:val="center"/>
          </w:tcPr>
          <w:p w14:paraId="4ED9F000" w14:textId="77777777" w:rsidR="00D724F0" w:rsidRPr="00093440" w:rsidRDefault="00B926EF" w:rsidP="00B70CA5">
            <w:pPr>
              <w:pStyle w:val="TableText"/>
              <w:keepNext/>
              <w:keepLines/>
              <w:widowControl/>
              <w:spacing w:before="0" w:after="0" w:line="240" w:lineRule="auto"/>
              <w:jc w:val="center"/>
            </w:pPr>
            <w:r w:rsidRPr="00093440">
              <w:t>11.1 (9.2, 13.0)</w:t>
            </w:r>
          </w:p>
        </w:tc>
        <w:tc>
          <w:tcPr>
            <w:tcW w:w="703" w:type="pct"/>
            <w:shd w:val="clear" w:color="auto" w:fill="auto"/>
            <w:vAlign w:val="center"/>
          </w:tcPr>
          <w:p w14:paraId="19D8FDB4" w14:textId="77777777" w:rsidR="00D724F0" w:rsidRPr="00093440" w:rsidRDefault="00B926EF" w:rsidP="00B70CA5">
            <w:pPr>
              <w:pStyle w:val="TableText"/>
              <w:keepNext/>
              <w:keepLines/>
              <w:widowControl/>
              <w:spacing w:before="0" w:after="0" w:line="240" w:lineRule="auto"/>
              <w:jc w:val="center"/>
              <w:rPr>
                <w:szCs w:val="20"/>
              </w:rPr>
            </w:pPr>
            <w:r w:rsidRPr="00093440">
              <w:rPr>
                <w:szCs w:val="20"/>
              </w:rPr>
              <w:t>NR</w:t>
            </w:r>
          </w:p>
        </w:tc>
        <w:tc>
          <w:tcPr>
            <w:tcW w:w="625" w:type="pct"/>
            <w:shd w:val="clear" w:color="auto" w:fill="auto"/>
            <w:vAlign w:val="center"/>
          </w:tcPr>
          <w:p w14:paraId="3489A3BB" w14:textId="77777777" w:rsidR="00D724F0" w:rsidRPr="00093440" w:rsidRDefault="00B926EF" w:rsidP="00B70CA5">
            <w:pPr>
              <w:pStyle w:val="TableText"/>
              <w:keepNext/>
              <w:keepLines/>
              <w:widowControl/>
              <w:spacing w:before="0" w:after="0" w:line="240" w:lineRule="auto"/>
              <w:jc w:val="center"/>
              <w:rPr>
                <w:b/>
                <w:bCs/>
                <w:szCs w:val="20"/>
              </w:rPr>
            </w:pPr>
            <w:r w:rsidRPr="00093440">
              <w:rPr>
                <w:b/>
                <w:bCs/>
                <w:szCs w:val="20"/>
              </w:rPr>
              <w:t>0.</w:t>
            </w:r>
            <w:r w:rsidRPr="00093440">
              <w:rPr>
                <w:b/>
                <w:bCs/>
                <w:szCs w:val="20"/>
                <w:lang w:val="en-AU"/>
              </w:rPr>
              <w:t xml:space="preserve">62 </w:t>
            </w:r>
            <w:r w:rsidRPr="00093440">
              <w:rPr>
                <w:b/>
                <w:bCs/>
                <w:szCs w:val="20"/>
              </w:rPr>
              <w:t>(</w:t>
            </w:r>
            <w:r w:rsidRPr="00093440">
              <w:rPr>
                <w:b/>
                <w:bCs/>
                <w:szCs w:val="20"/>
                <w:lang w:val="en-AU"/>
              </w:rPr>
              <w:t xml:space="preserve">0.46, </w:t>
            </w:r>
            <w:proofErr w:type="gramStart"/>
            <w:r w:rsidRPr="00093440">
              <w:rPr>
                <w:b/>
                <w:bCs/>
                <w:szCs w:val="20"/>
                <w:lang w:val="en-AU"/>
              </w:rPr>
              <w:t>0.83</w:t>
            </w:r>
            <w:r w:rsidRPr="00093440">
              <w:rPr>
                <w:b/>
                <w:bCs/>
                <w:szCs w:val="20"/>
              </w:rPr>
              <w:t>)</w:t>
            </w:r>
            <w:r w:rsidRPr="00093440">
              <w:rPr>
                <w:b/>
                <w:bCs/>
                <w:szCs w:val="20"/>
                <w:vertAlign w:val="superscript"/>
              </w:rPr>
              <w:t>e</w:t>
            </w:r>
            <w:proofErr w:type="gramEnd"/>
          </w:p>
        </w:tc>
      </w:tr>
      <w:tr w:rsidR="00B70CA5" w:rsidRPr="00A24A89" w14:paraId="2A128E73" w14:textId="77777777" w:rsidTr="006419CD">
        <w:trPr>
          <w:trHeight w:val="185"/>
        </w:trPr>
        <w:tc>
          <w:tcPr>
            <w:tcW w:w="5000" w:type="pct"/>
            <w:gridSpan w:val="6"/>
          </w:tcPr>
          <w:p w14:paraId="0104A3F5" w14:textId="77777777" w:rsidR="00B70CA5" w:rsidRPr="00A24A89" w:rsidRDefault="00B70CA5" w:rsidP="00B70CA5">
            <w:pPr>
              <w:pStyle w:val="TableText"/>
              <w:keepNext/>
              <w:keepLines/>
              <w:widowControl/>
              <w:spacing w:before="0" w:after="0" w:line="240" w:lineRule="auto"/>
              <w:rPr>
                <w:b/>
                <w:lang w:val="en-AU"/>
              </w:rPr>
            </w:pPr>
            <w:r w:rsidRPr="00A24A89">
              <w:rPr>
                <w:b/>
                <w:lang w:val="en-AU"/>
              </w:rPr>
              <w:t>Harms: Based on naïve indirect comparison using KN048 and EXTREME data</w:t>
            </w:r>
          </w:p>
        </w:tc>
      </w:tr>
      <w:tr w:rsidR="00B70CA5" w:rsidRPr="00A24A89" w14:paraId="6F95E798" w14:textId="77777777" w:rsidTr="00EB1C04">
        <w:trPr>
          <w:trHeight w:val="285"/>
        </w:trPr>
        <w:tc>
          <w:tcPr>
            <w:tcW w:w="1170" w:type="pct"/>
            <w:vMerge w:val="restart"/>
            <w:shd w:val="clear" w:color="auto" w:fill="auto"/>
          </w:tcPr>
          <w:p w14:paraId="24EF9E35"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Trial</w:t>
            </w:r>
          </w:p>
        </w:tc>
        <w:tc>
          <w:tcPr>
            <w:tcW w:w="939" w:type="pct"/>
            <w:vMerge w:val="restart"/>
            <w:shd w:val="clear" w:color="auto" w:fill="auto"/>
          </w:tcPr>
          <w:p w14:paraId="179520B9"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Median duration of follow up (</w:t>
            </w:r>
            <w:proofErr w:type="spellStart"/>
            <w:r w:rsidRPr="00A24A89">
              <w:rPr>
                <w:b/>
                <w:lang w:val="en-AU"/>
              </w:rPr>
              <w:t>pembro</w:t>
            </w:r>
            <w:proofErr w:type="spellEnd"/>
            <w:r w:rsidRPr="00A24A89">
              <w:rPr>
                <w:b/>
                <w:lang w:val="en-AU"/>
              </w:rPr>
              <w:t xml:space="preserve">/chemo) </w:t>
            </w:r>
          </w:p>
        </w:tc>
        <w:tc>
          <w:tcPr>
            <w:tcW w:w="781" w:type="pct"/>
            <w:vMerge w:val="restart"/>
            <w:shd w:val="clear" w:color="auto" w:fill="auto"/>
          </w:tcPr>
          <w:p w14:paraId="4F1523A6"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Pembrolizumab</w:t>
            </w:r>
          </w:p>
          <w:p w14:paraId="79056F9B"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n/N (</w:t>
            </w:r>
            <w:proofErr w:type="gramStart"/>
            <w:r w:rsidRPr="00A24A89">
              <w:rPr>
                <w:b/>
                <w:lang w:val="en-AU"/>
              </w:rPr>
              <w:t>%)</w:t>
            </w:r>
            <w:r w:rsidR="00B948D9" w:rsidRPr="00A24A89">
              <w:rPr>
                <w:szCs w:val="20"/>
                <w:vertAlign w:val="superscript"/>
                <w:lang w:val="en-AU"/>
              </w:rPr>
              <w:t>a</w:t>
            </w:r>
            <w:proofErr w:type="gramEnd"/>
          </w:p>
        </w:tc>
        <w:tc>
          <w:tcPr>
            <w:tcW w:w="782" w:type="pct"/>
            <w:vMerge w:val="restart"/>
            <w:shd w:val="clear" w:color="auto" w:fill="auto"/>
          </w:tcPr>
          <w:p w14:paraId="60977CCD"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SoC</w:t>
            </w:r>
          </w:p>
          <w:p w14:paraId="2E9BA91A"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n/N (%)</w:t>
            </w:r>
          </w:p>
        </w:tc>
        <w:tc>
          <w:tcPr>
            <w:tcW w:w="703" w:type="pct"/>
            <w:vMerge w:val="restart"/>
            <w:shd w:val="clear" w:color="auto" w:fill="auto"/>
          </w:tcPr>
          <w:p w14:paraId="24B3221D"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RR</w:t>
            </w:r>
          </w:p>
          <w:p w14:paraId="073079F2"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(95% CI)</w:t>
            </w:r>
          </w:p>
        </w:tc>
        <w:tc>
          <w:tcPr>
            <w:tcW w:w="625" w:type="pct"/>
            <w:vMerge w:val="restart"/>
            <w:shd w:val="clear" w:color="auto" w:fill="auto"/>
          </w:tcPr>
          <w:p w14:paraId="69C2F05C"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RD %</w:t>
            </w:r>
          </w:p>
          <w:p w14:paraId="768BE325"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(95% CI)</w:t>
            </w:r>
          </w:p>
        </w:tc>
      </w:tr>
      <w:tr w:rsidR="00B70CA5" w:rsidRPr="00A24A89" w14:paraId="710439FD" w14:textId="77777777" w:rsidTr="00EB1C04">
        <w:trPr>
          <w:trHeight w:val="325"/>
        </w:trPr>
        <w:tc>
          <w:tcPr>
            <w:tcW w:w="1170" w:type="pct"/>
            <w:vMerge/>
            <w:shd w:val="clear" w:color="auto" w:fill="auto"/>
            <w:vAlign w:val="center"/>
          </w:tcPr>
          <w:p w14:paraId="64E29473" w14:textId="77777777" w:rsidR="00B70CA5" w:rsidRPr="00A24A89" w:rsidRDefault="00B70CA5" w:rsidP="00B70CA5">
            <w:pPr>
              <w:pStyle w:val="TableText"/>
              <w:keepNext/>
              <w:keepLines/>
              <w:widowControl/>
              <w:spacing w:before="0" w:after="0" w:line="240" w:lineRule="auto"/>
              <w:rPr>
                <w:lang w:val="en-AU"/>
              </w:rPr>
            </w:pPr>
          </w:p>
        </w:tc>
        <w:tc>
          <w:tcPr>
            <w:tcW w:w="939" w:type="pct"/>
            <w:vMerge/>
            <w:shd w:val="clear" w:color="auto" w:fill="auto"/>
            <w:vAlign w:val="center"/>
          </w:tcPr>
          <w:p w14:paraId="6365DEB6" w14:textId="77777777" w:rsidR="00B70CA5" w:rsidRPr="00A24A89" w:rsidRDefault="00B70CA5" w:rsidP="00B70CA5">
            <w:pPr>
              <w:pStyle w:val="TableText"/>
              <w:keepNext/>
              <w:keepLines/>
              <w:widowControl/>
              <w:spacing w:before="0" w:after="0" w:line="240" w:lineRule="auto"/>
              <w:rPr>
                <w:lang w:val="en-AU"/>
              </w:rPr>
            </w:pPr>
          </w:p>
        </w:tc>
        <w:tc>
          <w:tcPr>
            <w:tcW w:w="781" w:type="pct"/>
            <w:vMerge/>
            <w:shd w:val="clear" w:color="auto" w:fill="auto"/>
            <w:vAlign w:val="center"/>
          </w:tcPr>
          <w:p w14:paraId="561DCB46" w14:textId="77777777" w:rsidR="00B70CA5" w:rsidRPr="00A24A89" w:rsidRDefault="00B70CA5" w:rsidP="00B70CA5">
            <w:pPr>
              <w:pStyle w:val="TableText"/>
              <w:keepNext/>
              <w:keepLines/>
              <w:widowControl/>
              <w:spacing w:before="0" w:after="0" w:line="240" w:lineRule="auto"/>
              <w:rPr>
                <w:lang w:val="en-AU"/>
              </w:rPr>
            </w:pPr>
          </w:p>
        </w:tc>
        <w:tc>
          <w:tcPr>
            <w:tcW w:w="782" w:type="pct"/>
            <w:vMerge/>
            <w:shd w:val="clear" w:color="auto" w:fill="auto"/>
            <w:vAlign w:val="center"/>
          </w:tcPr>
          <w:p w14:paraId="500C307E" w14:textId="77777777" w:rsidR="00B70CA5" w:rsidRPr="00A24A89" w:rsidRDefault="00B70CA5" w:rsidP="00B70CA5">
            <w:pPr>
              <w:pStyle w:val="TableText"/>
              <w:keepNext/>
              <w:keepLines/>
              <w:widowControl/>
              <w:spacing w:before="0" w:after="0" w:line="240" w:lineRule="auto"/>
              <w:rPr>
                <w:lang w:val="en-AU"/>
              </w:rPr>
            </w:pPr>
          </w:p>
        </w:tc>
        <w:tc>
          <w:tcPr>
            <w:tcW w:w="703" w:type="pct"/>
            <w:vMerge/>
            <w:shd w:val="clear" w:color="auto" w:fill="auto"/>
            <w:vAlign w:val="center"/>
          </w:tcPr>
          <w:p w14:paraId="7EAD3978" w14:textId="77777777" w:rsidR="00B70CA5" w:rsidRPr="00A24A89" w:rsidRDefault="00B70CA5" w:rsidP="00B70CA5">
            <w:pPr>
              <w:pStyle w:val="TableText"/>
              <w:keepNext/>
              <w:keepLines/>
              <w:widowControl/>
              <w:spacing w:before="0" w:after="0" w:line="240" w:lineRule="auto"/>
              <w:rPr>
                <w:lang w:val="en-AU"/>
              </w:rPr>
            </w:pPr>
          </w:p>
        </w:tc>
        <w:tc>
          <w:tcPr>
            <w:tcW w:w="625" w:type="pct"/>
            <w:vMerge/>
            <w:shd w:val="clear" w:color="auto" w:fill="auto"/>
            <w:vAlign w:val="center"/>
          </w:tcPr>
          <w:p w14:paraId="5682BFC8" w14:textId="77777777" w:rsidR="00B70CA5" w:rsidRPr="00A24A89" w:rsidRDefault="00B70CA5" w:rsidP="00B70CA5">
            <w:pPr>
              <w:pStyle w:val="TableText"/>
              <w:keepNext/>
              <w:keepLines/>
              <w:widowControl/>
              <w:spacing w:before="0" w:after="0" w:line="240" w:lineRule="auto"/>
              <w:rPr>
                <w:lang w:val="en-AU"/>
              </w:rPr>
            </w:pPr>
          </w:p>
        </w:tc>
      </w:tr>
      <w:tr w:rsidR="00B70CA5" w:rsidRPr="00A24A89" w14:paraId="6AE3222D" w14:textId="77777777" w:rsidTr="006419CD">
        <w:tc>
          <w:tcPr>
            <w:tcW w:w="5000" w:type="pct"/>
            <w:gridSpan w:val="6"/>
            <w:shd w:val="clear" w:color="auto" w:fill="auto"/>
            <w:vAlign w:val="center"/>
          </w:tcPr>
          <w:p w14:paraId="4A31930C" w14:textId="77777777" w:rsidR="00B70CA5" w:rsidRPr="00A24A89" w:rsidRDefault="00B70CA5" w:rsidP="00B70CA5">
            <w:pPr>
              <w:pStyle w:val="TableText"/>
              <w:keepNext/>
              <w:keepLines/>
              <w:widowControl/>
              <w:spacing w:before="0" w:after="0" w:line="240" w:lineRule="auto"/>
              <w:rPr>
                <w:szCs w:val="20"/>
                <w:lang w:val="en-AU"/>
              </w:rPr>
            </w:pPr>
            <w:r w:rsidRPr="00A24A89">
              <w:rPr>
                <w:szCs w:val="20"/>
                <w:lang w:val="en-AU"/>
              </w:rPr>
              <w:t>Pembrolizumab plus chemotherapy (ITT) versus chemotherapy (ITT)</w:t>
            </w:r>
          </w:p>
        </w:tc>
      </w:tr>
      <w:tr w:rsidR="00B70CA5" w:rsidRPr="00A24A89" w14:paraId="1E14A7E0" w14:textId="77777777" w:rsidTr="00EB1C04">
        <w:tc>
          <w:tcPr>
            <w:tcW w:w="1170" w:type="pct"/>
            <w:shd w:val="clear" w:color="auto" w:fill="auto"/>
            <w:vAlign w:val="center"/>
          </w:tcPr>
          <w:p w14:paraId="26A30AFD"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All cause grade 3+ adverse event</w:t>
            </w:r>
          </w:p>
        </w:tc>
        <w:tc>
          <w:tcPr>
            <w:tcW w:w="939" w:type="pct"/>
            <w:shd w:val="clear" w:color="auto" w:fill="auto"/>
            <w:vAlign w:val="center"/>
          </w:tcPr>
          <w:p w14:paraId="57E96274"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11.5/18.2 months</w:t>
            </w:r>
          </w:p>
        </w:tc>
        <w:tc>
          <w:tcPr>
            <w:tcW w:w="781" w:type="pct"/>
            <w:shd w:val="clear" w:color="auto" w:fill="auto"/>
            <w:vAlign w:val="center"/>
          </w:tcPr>
          <w:p w14:paraId="2F72CE1D"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235/276 (85.1)</w:t>
            </w:r>
          </w:p>
        </w:tc>
        <w:tc>
          <w:tcPr>
            <w:tcW w:w="782" w:type="pct"/>
            <w:shd w:val="clear" w:color="auto" w:fill="auto"/>
            <w:vAlign w:val="center"/>
          </w:tcPr>
          <w:p w14:paraId="6259FD6F"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171/215 (79.5)</w:t>
            </w:r>
          </w:p>
        </w:tc>
        <w:tc>
          <w:tcPr>
            <w:tcW w:w="703" w:type="pct"/>
            <w:shd w:val="clear" w:color="auto" w:fill="auto"/>
            <w:vAlign w:val="center"/>
          </w:tcPr>
          <w:p w14:paraId="315C6F6E"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1.07 (0.98, 1.16)</w:t>
            </w:r>
          </w:p>
        </w:tc>
        <w:tc>
          <w:tcPr>
            <w:tcW w:w="625" w:type="pct"/>
            <w:shd w:val="clear" w:color="auto" w:fill="auto"/>
            <w:vAlign w:val="center"/>
          </w:tcPr>
          <w:p w14:paraId="422B9C36"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6 (-1, 13)</w:t>
            </w:r>
          </w:p>
        </w:tc>
      </w:tr>
      <w:tr w:rsidR="00B70CA5" w:rsidRPr="00A24A89" w14:paraId="4FCA0D8A" w14:textId="77777777" w:rsidTr="006419CD">
        <w:tc>
          <w:tcPr>
            <w:tcW w:w="5000" w:type="pct"/>
            <w:gridSpan w:val="6"/>
            <w:shd w:val="clear" w:color="auto" w:fill="auto"/>
            <w:vAlign w:val="center"/>
          </w:tcPr>
          <w:p w14:paraId="1978F134"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Pembrolizumab monotherapy (ITT) versus chemotherapy (ITT)</w:t>
            </w:r>
          </w:p>
        </w:tc>
      </w:tr>
      <w:tr w:rsidR="00B70CA5" w:rsidRPr="00A24A89" w14:paraId="00180518" w14:textId="77777777" w:rsidTr="00EB1C04">
        <w:trPr>
          <w:trHeight w:val="445"/>
        </w:trPr>
        <w:tc>
          <w:tcPr>
            <w:tcW w:w="1170" w:type="pct"/>
            <w:shd w:val="clear" w:color="auto" w:fill="auto"/>
            <w:vAlign w:val="center"/>
          </w:tcPr>
          <w:p w14:paraId="15764313"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All cause grade 3+ adverse event</w:t>
            </w:r>
          </w:p>
        </w:tc>
        <w:tc>
          <w:tcPr>
            <w:tcW w:w="939" w:type="pct"/>
            <w:shd w:val="clear" w:color="auto" w:fill="auto"/>
            <w:vAlign w:val="center"/>
          </w:tcPr>
          <w:p w14:paraId="74F7DE81"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13.0/18.2 months</w:t>
            </w:r>
          </w:p>
        </w:tc>
        <w:tc>
          <w:tcPr>
            <w:tcW w:w="781" w:type="pct"/>
            <w:shd w:val="clear" w:color="auto" w:fill="auto"/>
            <w:vAlign w:val="center"/>
          </w:tcPr>
          <w:p w14:paraId="641FFA50"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164/300 (54.7)</w:t>
            </w:r>
          </w:p>
        </w:tc>
        <w:tc>
          <w:tcPr>
            <w:tcW w:w="782" w:type="pct"/>
            <w:shd w:val="clear" w:color="auto" w:fill="auto"/>
            <w:vAlign w:val="center"/>
          </w:tcPr>
          <w:p w14:paraId="39D2CE37"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171/215 (79.5)</w:t>
            </w:r>
          </w:p>
        </w:tc>
        <w:tc>
          <w:tcPr>
            <w:tcW w:w="703" w:type="pct"/>
            <w:shd w:val="clear" w:color="auto" w:fill="auto"/>
            <w:vAlign w:val="center"/>
          </w:tcPr>
          <w:p w14:paraId="673DF72F" w14:textId="77777777" w:rsidR="00B70CA5" w:rsidRPr="006110C9" w:rsidRDefault="00B70CA5" w:rsidP="00B70CA5">
            <w:pPr>
              <w:pStyle w:val="TableText"/>
              <w:keepNext/>
              <w:keepLines/>
              <w:widowControl/>
              <w:spacing w:before="0" w:after="0" w:line="240" w:lineRule="auto"/>
              <w:jc w:val="center"/>
              <w:rPr>
                <w:b/>
                <w:bCs/>
                <w:lang w:val="en-AU"/>
              </w:rPr>
            </w:pPr>
            <w:r w:rsidRPr="006110C9">
              <w:rPr>
                <w:b/>
                <w:bCs/>
                <w:lang w:val="en-AU"/>
              </w:rPr>
              <w:t>0.69 (0.61,0.78)</w:t>
            </w:r>
          </w:p>
        </w:tc>
        <w:tc>
          <w:tcPr>
            <w:tcW w:w="625" w:type="pct"/>
            <w:shd w:val="clear" w:color="auto" w:fill="auto"/>
            <w:vAlign w:val="center"/>
          </w:tcPr>
          <w:p w14:paraId="4F40B2CB"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-25 (-32, -17)</w:t>
            </w:r>
          </w:p>
        </w:tc>
      </w:tr>
    </w:tbl>
    <w:p w14:paraId="34881A0C" w14:textId="77777777" w:rsidR="00D7609F" w:rsidRPr="00A24A89" w:rsidRDefault="00D7609F" w:rsidP="006110C9">
      <w:pPr>
        <w:pStyle w:val="TableFooter"/>
        <w:keepNext/>
        <w:keepLines/>
        <w:widowControl/>
      </w:pPr>
      <w:r w:rsidRPr="00A24A89">
        <w:t xml:space="preserve">Chemo = chemotherapy; CPS = combined positive score; ITT = intention to treat; </w:t>
      </w:r>
      <w:proofErr w:type="spellStart"/>
      <w:r w:rsidRPr="00A24A89">
        <w:t>pembro</w:t>
      </w:r>
      <w:proofErr w:type="spellEnd"/>
      <w:r w:rsidRPr="00A24A89">
        <w:t xml:space="preserve"> = pembrolizumab, RD = risk difference; RR = risk ratio; NR = Not Reported</w:t>
      </w:r>
    </w:p>
    <w:p w14:paraId="645C1E44" w14:textId="77777777" w:rsidR="006110C9" w:rsidRPr="006110C9" w:rsidRDefault="00D7609F" w:rsidP="006110C9">
      <w:pPr>
        <w:pStyle w:val="TableFooter"/>
        <w:keepNext/>
        <w:keepLines/>
        <w:widowControl/>
      </w:pPr>
      <w:r w:rsidRPr="00A24A89">
        <w:rPr>
          <w:vertAlign w:val="superscript"/>
        </w:rPr>
        <w:t xml:space="preserve">a </w:t>
      </w:r>
      <w:r w:rsidR="006110C9">
        <w:t>n/N reported were likely from final analysis (</w:t>
      </w:r>
      <w:proofErr w:type="gramStart"/>
      <w:r w:rsidR="006110C9">
        <w:t>three year</w:t>
      </w:r>
      <w:proofErr w:type="gramEnd"/>
      <w:r w:rsidR="006110C9">
        <w:t xml:space="preserve"> follow-up) but this was not made clear in the resubmission</w:t>
      </w:r>
    </w:p>
    <w:p w14:paraId="3D02115C" w14:textId="77777777" w:rsidR="00D7609F" w:rsidRPr="00A24A89" w:rsidRDefault="006110C9" w:rsidP="006110C9">
      <w:pPr>
        <w:pStyle w:val="TableFooter"/>
        <w:keepNext/>
        <w:keepLines/>
        <w:widowControl/>
      </w:pPr>
      <w:r w:rsidRPr="006110C9">
        <w:rPr>
          <w:vertAlign w:val="superscript"/>
        </w:rPr>
        <w:t>b</w:t>
      </w:r>
      <w:r>
        <w:t xml:space="preserve"> </w:t>
      </w:r>
      <w:r w:rsidR="00D7609F" w:rsidRPr="00A24A89">
        <w:t xml:space="preserve">Median follow up in the </w:t>
      </w:r>
      <w:r w:rsidR="002B1C15" w:rsidRPr="00A24A89">
        <w:t>CPS ≥1</w:t>
      </w:r>
      <w:r w:rsidR="00D7609F" w:rsidRPr="00A24A89">
        <w:t xml:space="preserve"> subgroup not reported in KN048, this value reflects the follow up in ITT population and is an approximation only.</w:t>
      </w:r>
    </w:p>
    <w:p w14:paraId="1360DD87" w14:textId="77777777" w:rsidR="00D7609F" w:rsidRPr="00A24A89" w:rsidRDefault="006110C9" w:rsidP="006110C9">
      <w:pPr>
        <w:pStyle w:val="TableFooter"/>
        <w:keepNext/>
        <w:keepLines/>
        <w:widowControl/>
      </w:pPr>
      <w:r>
        <w:rPr>
          <w:vertAlign w:val="superscript"/>
        </w:rPr>
        <w:t>c</w:t>
      </w:r>
      <w:r w:rsidR="00D7609F" w:rsidRPr="00A24A89">
        <w:t xml:space="preserve"> Updated </w:t>
      </w:r>
      <w:proofErr w:type="gramStart"/>
      <w:r w:rsidR="00D7609F" w:rsidRPr="00A24A89">
        <w:t>4 year</w:t>
      </w:r>
      <w:proofErr w:type="gramEnd"/>
      <w:r w:rsidR="00D7609F" w:rsidRPr="00A24A89">
        <w:t xml:space="preserve"> data</w:t>
      </w:r>
    </w:p>
    <w:p w14:paraId="061F3520" w14:textId="77777777" w:rsidR="00D7609F" w:rsidRDefault="006110C9" w:rsidP="006110C9">
      <w:pPr>
        <w:pStyle w:val="TableFooter"/>
        <w:keepNext/>
        <w:keepLines/>
        <w:widowControl/>
        <w:rPr>
          <w:szCs w:val="18"/>
        </w:rPr>
      </w:pPr>
      <w:r>
        <w:rPr>
          <w:szCs w:val="18"/>
          <w:vertAlign w:val="superscript"/>
        </w:rPr>
        <w:t>d</w:t>
      </w:r>
      <w:r w:rsidR="00D7609F" w:rsidRPr="00A24A89">
        <w:rPr>
          <w:szCs w:val="18"/>
        </w:rPr>
        <w:t xml:space="preserve"> Not statistically significant due to alpha spending requiring lower p-value than 0.05.</w:t>
      </w:r>
    </w:p>
    <w:p w14:paraId="7645BF20" w14:textId="77777777" w:rsidR="00B926EF" w:rsidRPr="00093440" w:rsidRDefault="00B926EF" w:rsidP="006110C9">
      <w:pPr>
        <w:pStyle w:val="TableFooter"/>
        <w:keepNext/>
        <w:keepLines/>
        <w:widowControl/>
        <w:rPr>
          <w:szCs w:val="18"/>
        </w:rPr>
      </w:pPr>
      <w:r w:rsidRPr="00093440">
        <w:rPr>
          <w:szCs w:val="18"/>
          <w:vertAlign w:val="superscript"/>
        </w:rPr>
        <w:t xml:space="preserve">e </w:t>
      </w:r>
      <w:r w:rsidRPr="00093440">
        <w:rPr>
          <w:szCs w:val="18"/>
        </w:rPr>
        <w:t>No adjusted</w:t>
      </w:r>
      <w:r w:rsidRPr="00093440">
        <w:rPr>
          <w:szCs w:val="18"/>
          <w:vertAlign w:val="superscript"/>
        </w:rPr>
        <w:t xml:space="preserve"> </w:t>
      </w:r>
      <w:r w:rsidRPr="00093440">
        <w:rPr>
          <w:szCs w:val="18"/>
        </w:rPr>
        <w:t>value to account for 2L nivolumab was provided for the CPS≥20 population. The revised model in the PSCR assumed that the HR for CPS≥20 is the same as for the CPS≥1 population (0.767).</w:t>
      </w:r>
    </w:p>
    <w:p w14:paraId="6CC218CC" w14:textId="77777777" w:rsidR="006110C9" w:rsidRPr="00A24A89" w:rsidRDefault="006110C9" w:rsidP="006110C9">
      <w:pPr>
        <w:pStyle w:val="TableFooter"/>
        <w:keepNext/>
        <w:keepLines/>
        <w:widowControl/>
        <w:rPr>
          <w:szCs w:val="18"/>
        </w:rPr>
      </w:pPr>
      <w:r>
        <w:rPr>
          <w:szCs w:val="18"/>
        </w:rPr>
        <w:t>Values in bold indicate statistically significant differences</w:t>
      </w:r>
    </w:p>
    <w:p w14:paraId="6D3E32C8" w14:textId="77777777" w:rsidR="00D7609F" w:rsidRPr="00D30F19" w:rsidRDefault="00D7609F" w:rsidP="006110C9">
      <w:pPr>
        <w:pStyle w:val="TableFooter"/>
        <w:keepNext/>
        <w:keepLines/>
        <w:widowControl/>
        <w:rPr>
          <w:szCs w:val="18"/>
        </w:rPr>
      </w:pPr>
      <w:r w:rsidRPr="00D30F19">
        <w:rPr>
          <w:szCs w:val="18"/>
        </w:rPr>
        <w:t>Source: Table 2.6-12, p126</w:t>
      </w:r>
      <w:r w:rsidR="00B70CA5">
        <w:rPr>
          <w:szCs w:val="18"/>
        </w:rPr>
        <w:t>, Table 2.6-13, p127</w:t>
      </w:r>
      <w:r w:rsidRPr="00D30F19">
        <w:rPr>
          <w:szCs w:val="18"/>
        </w:rPr>
        <w:t xml:space="preserve"> </w:t>
      </w:r>
      <w:r w:rsidRPr="00A24A89">
        <w:rPr>
          <w:szCs w:val="18"/>
        </w:rPr>
        <w:t>of the resubmission</w:t>
      </w:r>
      <w:r w:rsidR="00D30F19" w:rsidRPr="00D30F19">
        <w:rPr>
          <w:szCs w:val="18"/>
        </w:rPr>
        <w:t xml:space="preserve">, </w:t>
      </w:r>
      <w:r w:rsidR="00B70CA5">
        <w:rPr>
          <w:szCs w:val="18"/>
        </w:rPr>
        <w:t>Table 6, p 21, T</w:t>
      </w:r>
      <w:r w:rsidR="00D30F19" w:rsidRPr="00D30F19">
        <w:rPr>
          <w:szCs w:val="18"/>
        </w:rPr>
        <w:t xml:space="preserve">able 10, p27, and </w:t>
      </w:r>
      <w:r w:rsidR="00B70CA5">
        <w:rPr>
          <w:szCs w:val="18"/>
        </w:rPr>
        <w:t>T</w:t>
      </w:r>
      <w:r w:rsidR="00D30F19" w:rsidRPr="00D30F19">
        <w:rPr>
          <w:szCs w:val="18"/>
        </w:rPr>
        <w:t xml:space="preserve">able 18, p39, Attachment 20 to the resubmission </w:t>
      </w:r>
    </w:p>
    <w:p w14:paraId="062F196C" w14:textId="77777777" w:rsidR="00D7609F" w:rsidRPr="00A24A89" w:rsidRDefault="00D7609F" w:rsidP="00DD3D4A">
      <w:pPr>
        <w:pStyle w:val="ListParagraph"/>
        <w:numPr>
          <w:ilvl w:val="4"/>
          <w:numId w:val="11"/>
        </w:numPr>
        <w:rPr>
          <w:color w:val="auto"/>
        </w:rPr>
      </w:pPr>
      <w:proofErr w:type="gramStart"/>
      <w:r w:rsidRPr="00A24A89">
        <w:rPr>
          <w:iCs/>
          <w:color w:val="auto"/>
        </w:rPr>
        <w:t>On the basis of</w:t>
      </w:r>
      <w:proofErr w:type="gramEnd"/>
      <w:r w:rsidRPr="00A24A89">
        <w:rPr>
          <w:iCs/>
          <w:color w:val="auto"/>
        </w:rPr>
        <w:t xml:space="preserve"> the direct comparison presented by the resubmission, the comparison of pembrolizumab plus chemotherapy and </w:t>
      </w:r>
      <w:r w:rsidR="00B70CA5">
        <w:rPr>
          <w:iCs/>
          <w:color w:val="auto"/>
        </w:rPr>
        <w:t xml:space="preserve">SoC </w:t>
      </w:r>
      <w:r w:rsidRPr="00A24A89">
        <w:rPr>
          <w:iCs/>
          <w:color w:val="auto"/>
        </w:rPr>
        <w:t>(using cetuximab plus chemotherapy as a proxy for chemotherapy</w:t>
      </w:r>
      <w:r w:rsidR="00D30F19">
        <w:rPr>
          <w:iCs/>
          <w:color w:val="auto"/>
        </w:rPr>
        <w:t xml:space="preserve"> and upscaled 2L nivolumab use</w:t>
      </w:r>
      <w:r w:rsidRPr="00A24A89">
        <w:rPr>
          <w:iCs/>
          <w:color w:val="auto"/>
        </w:rPr>
        <w:t>), resulted in:</w:t>
      </w:r>
    </w:p>
    <w:p w14:paraId="57EEF3F6" w14:textId="77777777" w:rsidR="00B70CA5" w:rsidRDefault="00D7609F" w:rsidP="00DD3D4A">
      <w:pPr>
        <w:pStyle w:val="ListParagraph"/>
        <w:numPr>
          <w:ilvl w:val="0"/>
          <w:numId w:val="19"/>
        </w:numPr>
        <w:spacing w:before="0" w:after="0"/>
        <w:ind w:left="993" w:hanging="284"/>
        <w:rPr>
          <w:iCs/>
          <w:color w:val="auto"/>
        </w:rPr>
      </w:pPr>
      <w:r w:rsidRPr="00A24A89">
        <w:rPr>
          <w:iCs/>
          <w:color w:val="auto"/>
        </w:rPr>
        <w:t xml:space="preserve">In patients with CPS ≥1, approximately a </w:t>
      </w:r>
      <w:r w:rsidR="00D30F19">
        <w:rPr>
          <w:iCs/>
          <w:color w:val="auto"/>
        </w:rPr>
        <w:t>34.2</w:t>
      </w:r>
      <w:r w:rsidRPr="00A24A89">
        <w:rPr>
          <w:iCs/>
          <w:color w:val="auto"/>
        </w:rPr>
        <w:t xml:space="preserve">% reduction in risk of death (at </w:t>
      </w:r>
      <w:r w:rsidR="00B70CA5">
        <w:rPr>
          <w:iCs/>
          <w:color w:val="auto"/>
        </w:rPr>
        <w:t>46</w:t>
      </w:r>
      <w:r w:rsidRPr="00A24A89">
        <w:rPr>
          <w:iCs/>
          <w:color w:val="auto"/>
        </w:rPr>
        <w:t xml:space="preserve"> months follow up</w:t>
      </w:r>
      <w:r w:rsidR="00B70CA5">
        <w:rPr>
          <w:iCs/>
          <w:color w:val="auto"/>
        </w:rPr>
        <w:t>)</w:t>
      </w:r>
      <w:r w:rsidRPr="00A24A89">
        <w:rPr>
          <w:iCs/>
          <w:color w:val="auto"/>
        </w:rPr>
        <w:t xml:space="preserve">; </w:t>
      </w:r>
      <w:r w:rsidR="00EB1C04">
        <w:rPr>
          <w:iCs/>
          <w:color w:val="auto"/>
        </w:rPr>
        <w:t>and</w:t>
      </w:r>
    </w:p>
    <w:p w14:paraId="05121942" w14:textId="77777777" w:rsidR="00D7609F" w:rsidRPr="00A24A89" w:rsidRDefault="00B70CA5" w:rsidP="00DD3D4A">
      <w:pPr>
        <w:pStyle w:val="ListParagraph"/>
        <w:numPr>
          <w:ilvl w:val="0"/>
          <w:numId w:val="19"/>
        </w:numPr>
        <w:spacing w:before="0" w:after="0"/>
        <w:ind w:left="993" w:hanging="284"/>
        <w:rPr>
          <w:iCs/>
          <w:color w:val="auto"/>
        </w:rPr>
      </w:pPr>
      <w:r w:rsidRPr="00A24A89">
        <w:rPr>
          <w:iCs/>
          <w:color w:val="auto"/>
        </w:rPr>
        <w:t xml:space="preserve">In patients </w:t>
      </w:r>
      <w:r>
        <w:rPr>
          <w:iCs/>
          <w:color w:val="auto"/>
        </w:rPr>
        <w:t>irrespective of CPS</w:t>
      </w:r>
      <w:r w:rsidRPr="00A24A89">
        <w:rPr>
          <w:iCs/>
          <w:color w:val="auto"/>
        </w:rPr>
        <w:t xml:space="preserve">, approximately a </w:t>
      </w:r>
      <w:r>
        <w:rPr>
          <w:iCs/>
          <w:color w:val="auto"/>
        </w:rPr>
        <w:t>25.9</w:t>
      </w:r>
      <w:r w:rsidRPr="00A24A89">
        <w:rPr>
          <w:iCs/>
          <w:color w:val="auto"/>
        </w:rPr>
        <w:t xml:space="preserve">% reduction in risk of death (at </w:t>
      </w:r>
      <w:r>
        <w:rPr>
          <w:iCs/>
          <w:color w:val="auto"/>
        </w:rPr>
        <w:t>46</w:t>
      </w:r>
      <w:r w:rsidRPr="00A24A89">
        <w:rPr>
          <w:iCs/>
          <w:color w:val="auto"/>
        </w:rPr>
        <w:t xml:space="preserve"> months follow up</w:t>
      </w:r>
      <w:r>
        <w:rPr>
          <w:iCs/>
          <w:color w:val="auto"/>
        </w:rPr>
        <w:t>)</w:t>
      </w:r>
      <w:r w:rsidR="00EB1C04">
        <w:rPr>
          <w:iCs/>
          <w:color w:val="auto"/>
        </w:rPr>
        <w:t>.</w:t>
      </w:r>
    </w:p>
    <w:p w14:paraId="225FBA3E" w14:textId="77777777" w:rsidR="00D7609F" w:rsidRPr="00A24A89" w:rsidRDefault="00D7609F" w:rsidP="00DD3D4A">
      <w:pPr>
        <w:pStyle w:val="ListParagraph"/>
        <w:numPr>
          <w:ilvl w:val="4"/>
          <w:numId w:val="11"/>
        </w:numPr>
        <w:rPr>
          <w:color w:val="auto"/>
        </w:rPr>
      </w:pPr>
      <w:proofErr w:type="gramStart"/>
      <w:r w:rsidRPr="00A24A89">
        <w:rPr>
          <w:iCs/>
          <w:color w:val="auto"/>
        </w:rPr>
        <w:t>On the basis of</w:t>
      </w:r>
      <w:proofErr w:type="gramEnd"/>
      <w:r w:rsidRPr="00A24A89">
        <w:rPr>
          <w:iCs/>
          <w:color w:val="auto"/>
        </w:rPr>
        <w:t xml:space="preserve"> the direct comparison presented by the resubmission, the comparison of pembrolizumab monotherapy and </w:t>
      </w:r>
      <w:r w:rsidR="00B70CA5">
        <w:rPr>
          <w:iCs/>
          <w:color w:val="auto"/>
        </w:rPr>
        <w:t xml:space="preserve">SoC </w:t>
      </w:r>
      <w:r w:rsidRPr="00A24A89">
        <w:rPr>
          <w:iCs/>
          <w:color w:val="auto"/>
        </w:rPr>
        <w:t>(</w:t>
      </w:r>
      <w:r w:rsidR="00D30F19" w:rsidRPr="00A24A89">
        <w:rPr>
          <w:iCs/>
          <w:color w:val="auto"/>
        </w:rPr>
        <w:t>using cetuximab plus chemotherapy as a proxy for chemotherapy</w:t>
      </w:r>
      <w:r w:rsidR="00D30F19">
        <w:rPr>
          <w:iCs/>
          <w:color w:val="auto"/>
        </w:rPr>
        <w:t xml:space="preserve"> and upscaled 2L nivolumab use</w:t>
      </w:r>
      <w:r w:rsidRPr="00A24A89">
        <w:rPr>
          <w:iCs/>
          <w:color w:val="auto"/>
        </w:rPr>
        <w:t>) resulted in:</w:t>
      </w:r>
    </w:p>
    <w:p w14:paraId="4D789804" w14:textId="77777777" w:rsidR="00D7609F" w:rsidRPr="00A24A89" w:rsidRDefault="00D7609F" w:rsidP="00DD3D4A">
      <w:pPr>
        <w:pStyle w:val="ListParagraph"/>
        <w:numPr>
          <w:ilvl w:val="0"/>
          <w:numId w:val="19"/>
        </w:numPr>
        <w:spacing w:before="0" w:after="0"/>
        <w:ind w:left="993" w:hanging="284"/>
        <w:rPr>
          <w:iCs/>
          <w:color w:val="auto"/>
        </w:rPr>
      </w:pPr>
      <w:r w:rsidRPr="00A24A89">
        <w:rPr>
          <w:iCs/>
          <w:color w:val="auto"/>
        </w:rPr>
        <w:lastRenderedPageBreak/>
        <w:t>In patients with CPS ≥1, approximately a 2</w:t>
      </w:r>
      <w:r w:rsidR="00B70CA5">
        <w:rPr>
          <w:iCs/>
          <w:color w:val="auto"/>
        </w:rPr>
        <w:t>3</w:t>
      </w:r>
      <w:r w:rsidR="00D30F19">
        <w:rPr>
          <w:iCs/>
          <w:color w:val="auto"/>
        </w:rPr>
        <w:t>.</w:t>
      </w:r>
      <w:r w:rsidR="00B70CA5">
        <w:rPr>
          <w:iCs/>
          <w:color w:val="auto"/>
        </w:rPr>
        <w:t>3</w:t>
      </w:r>
      <w:r w:rsidRPr="00A24A89">
        <w:rPr>
          <w:iCs/>
          <w:color w:val="auto"/>
        </w:rPr>
        <w:t xml:space="preserve">% reduction in risk of death (at </w:t>
      </w:r>
      <w:r w:rsidR="00D61BDC">
        <w:rPr>
          <w:iCs/>
          <w:color w:val="auto"/>
        </w:rPr>
        <w:t>46</w:t>
      </w:r>
      <w:r w:rsidRPr="00A24A89">
        <w:rPr>
          <w:iCs/>
          <w:color w:val="auto"/>
        </w:rPr>
        <w:t xml:space="preserve"> months follow up); and</w:t>
      </w:r>
    </w:p>
    <w:p w14:paraId="266CB3D6" w14:textId="77777777" w:rsidR="00D7609F" w:rsidRPr="00A24A89" w:rsidRDefault="00D7609F" w:rsidP="00DD3D4A">
      <w:pPr>
        <w:pStyle w:val="ListParagraph"/>
        <w:numPr>
          <w:ilvl w:val="0"/>
          <w:numId w:val="19"/>
        </w:numPr>
        <w:spacing w:before="0" w:after="0"/>
        <w:ind w:left="993" w:hanging="284"/>
        <w:rPr>
          <w:iCs/>
          <w:color w:val="auto"/>
        </w:rPr>
      </w:pPr>
      <w:r w:rsidRPr="00A24A89">
        <w:rPr>
          <w:iCs/>
          <w:color w:val="auto"/>
        </w:rPr>
        <w:t>In all patients irrespective of CPS, for every 100 patients treated, 25 fewer patients will experience a grade 3+ adverse event.</w:t>
      </w:r>
    </w:p>
    <w:p w14:paraId="333BDF2D" w14:textId="77777777" w:rsidR="00D7609F" w:rsidRPr="0017405A" w:rsidRDefault="00D7609F" w:rsidP="00D7609F">
      <w:pPr>
        <w:pStyle w:val="ListParagraph"/>
        <w:numPr>
          <w:ilvl w:val="4"/>
          <w:numId w:val="1"/>
        </w:numPr>
        <w:rPr>
          <w:iCs/>
          <w:color w:val="auto"/>
        </w:rPr>
      </w:pPr>
      <w:r w:rsidRPr="0017405A">
        <w:rPr>
          <w:iCs/>
          <w:color w:val="auto"/>
        </w:rPr>
        <w:t>False positives from CPS testing would result in patients who should be treated with SoC being exposed to pembrolizumab. If patients receive pembrolizumab monotherapy instead of SoC</w:t>
      </w:r>
      <w:r w:rsidR="003546FE">
        <w:rPr>
          <w:iCs/>
          <w:color w:val="auto"/>
        </w:rPr>
        <w:t xml:space="preserve"> or pembrolizumab plus chemotherapy</w:t>
      </w:r>
      <w:r w:rsidRPr="0017405A">
        <w:rPr>
          <w:iCs/>
          <w:color w:val="auto"/>
        </w:rPr>
        <w:t xml:space="preserve">, they </w:t>
      </w:r>
      <w:r w:rsidR="00D30F19" w:rsidRPr="0017405A">
        <w:rPr>
          <w:iCs/>
          <w:color w:val="auto"/>
        </w:rPr>
        <w:t xml:space="preserve">may </w:t>
      </w:r>
      <w:r w:rsidRPr="0017405A">
        <w:rPr>
          <w:iCs/>
          <w:color w:val="auto"/>
        </w:rPr>
        <w:t>have a worse clinical outcome</w:t>
      </w:r>
      <w:r w:rsidR="00D61BDC">
        <w:rPr>
          <w:iCs/>
          <w:color w:val="auto"/>
        </w:rPr>
        <w:t>.</w:t>
      </w:r>
      <w:r w:rsidRPr="0017405A">
        <w:rPr>
          <w:iCs/>
          <w:color w:val="auto"/>
        </w:rPr>
        <w:t xml:space="preserve"> </w:t>
      </w:r>
    </w:p>
    <w:p w14:paraId="1AED914C" w14:textId="77777777" w:rsidR="00D7609F" w:rsidRPr="0017405A" w:rsidRDefault="00D61BDC" w:rsidP="00D7609F">
      <w:pPr>
        <w:pStyle w:val="ListParagraph"/>
        <w:numPr>
          <w:ilvl w:val="4"/>
          <w:numId w:val="1"/>
        </w:numPr>
        <w:rPr>
          <w:iCs/>
          <w:color w:val="auto"/>
        </w:rPr>
      </w:pPr>
      <w:r>
        <w:rPr>
          <w:iCs/>
          <w:color w:val="auto"/>
        </w:rPr>
        <w:t xml:space="preserve">With a CPS cut-off of </w:t>
      </w:r>
      <w:r>
        <w:rPr>
          <w:rFonts w:cstheme="minorHAnsi"/>
          <w:iCs/>
          <w:color w:val="auto"/>
        </w:rPr>
        <w:t>≥</w:t>
      </w:r>
      <w:r>
        <w:rPr>
          <w:iCs/>
          <w:color w:val="auto"/>
        </w:rPr>
        <w:t>1 for pembrolizumab plus chemotherapy f</w:t>
      </w:r>
      <w:r w:rsidR="00D7609F" w:rsidRPr="0017405A">
        <w:rPr>
          <w:iCs/>
          <w:color w:val="auto"/>
        </w:rPr>
        <w:t xml:space="preserve">alse negatives from CPS testing would result in patients who would benefit from pembrolizumab therapy being treated with SoC instead. </w:t>
      </w:r>
      <w:r>
        <w:rPr>
          <w:iCs/>
          <w:color w:val="auto"/>
        </w:rPr>
        <w:t xml:space="preserve">The PBAC noted this would not be relevant if combination treatment is available to patients irrespective of CPS status. </w:t>
      </w:r>
      <w:r w:rsidR="00D7609F" w:rsidRPr="0017405A">
        <w:rPr>
          <w:iCs/>
          <w:color w:val="auto"/>
        </w:rPr>
        <w:t>In patients who would have been treated with pembrolizumab monotherapy, a false negative would expose patients to adverse events associated with chemotherapy (such as neutropenia and anaemia) rather than immune related adverse events (such as hypothyroidism and pneumonitis).</w:t>
      </w:r>
      <w:r>
        <w:rPr>
          <w:iCs/>
          <w:color w:val="auto"/>
        </w:rPr>
        <w:t xml:space="preserve"> </w:t>
      </w:r>
    </w:p>
    <w:p w14:paraId="26EBE32F" w14:textId="77777777" w:rsidR="00D7609F" w:rsidRPr="00A24A89" w:rsidRDefault="00D96268" w:rsidP="00D7609F">
      <w:pPr>
        <w:pStyle w:val="PBACESHeading2"/>
        <w:numPr>
          <w:ilvl w:val="2"/>
          <w:numId w:val="1"/>
        </w:numPr>
      </w:pPr>
      <w:r>
        <w:t xml:space="preserve">Clinical </w:t>
      </w:r>
      <w:r w:rsidR="00B7761D">
        <w:t>c</w:t>
      </w:r>
      <w:r>
        <w:t>laim</w:t>
      </w:r>
    </w:p>
    <w:p w14:paraId="42773BFE" w14:textId="77777777" w:rsidR="00A053C9" w:rsidRPr="00A24A89" w:rsidRDefault="00A053C9" w:rsidP="00A053C9">
      <w:pPr>
        <w:pStyle w:val="ListParagraph"/>
        <w:numPr>
          <w:ilvl w:val="4"/>
          <w:numId w:val="1"/>
        </w:numPr>
      </w:pPr>
      <w:r w:rsidRPr="00A24A89">
        <w:t xml:space="preserve">The resubmission </w:t>
      </w:r>
      <w:r>
        <w:t>made the clinical claim</w:t>
      </w:r>
      <w:r w:rsidRPr="00A24A89">
        <w:t xml:space="preserve"> that i</w:t>
      </w:r>
      <w:r w:rsidRPr="00A24A89">
        <w:rPr>
          <w:iCs/>
        </w:rPr>
        <w:t xml:space="preserve">n patients with R/M HNSCC </w:t>
      </w:r>
      <w:r w:rsidRPr="00A24A89">
        <w:t xml:space="preserve">whose tumours express CPS ≥1, pembrolizumab plus chemotherapy has superior efficacy and inferior safety, compared to </w:t>
      </w:r>
      <w:r>
        <w:t>SoC</w:t>
      </w:r>
      <w:r w:rsidRPr="00A24A89">
        <w:t xml:space="preserve"> in the Australian setting, </w:t>
      </w:r>
      <w:proofErr w:type="gramStart"/>
      <w:r w:rsidRPr="00A24A89">
        <w:t>i.e.</w:t>
      </w:r>
      <w:proofErr w:type="gramEnd"/>
      <w:r w:rsidRPr="00A24A89">
        <w:t xml:space="preserve"> platinum based chemotherapy in 1L, followed by 2L nivolumab in 50% of patients.</w:t>
      </w:r>
      <w:r w:rsidRPr="00E07371">
        <w:rPr>
          <w:iCs/>
        </w:rPr>
        <w:t xml:space="preserve"> </w:t>
      </w:r>
      <w:r w:rsidRPr="0017405A">
        <w:rPr>
          <w:iCs/>
        </w:rPr>
        <w:t xml:space="preserve">The upscaled OS HR results which included 50% use of 2L nivolumab in the resubmission appear to support the claim of superior efficacy of 1L pembrolizumab plus chemotherapy compared to 1L chemotherapy + 50% 2L nivolumab </w:t>
      </w:r>
      <w:r w:rsidR="000B142A">
        <w:rPr>
          <w:iCs/>
        </w:rPr>
        <w:t>(</w:t>
      </w:r>
      <w:r w:rsidRPr="0017405A">
        <w:rPr>
          <w:iCs/>
        </w:rPr>
        <w:t>HR = 0.658).</w:t>
      </w:r>
      <w:r w:rsidR="000B142A" w:rsidRPr="000B142A">
        <w:rPr>
          <w:iCs/>
        </w:rPr>
        <w:t xml:space="preserve"> </w:t>
      </w:r>
      <w:proofErr w:type="gramStart"/>
      <w:r w:rsidR="000B142A" w:rsidRPr="00093440">
        <w:rPr>
          <w:iCs/>
        </w:rPr>
        <w:t>Overall</w:t>
      </w:r>
      <w:proofErr w:type="gramEnd"/>
      <w:r w:rsidR="000B142A" w:rsidRPr="00093440">
        <w:rPr>
          <w:iCs/>
        </w:rPr>
        <w:t xml:space="preserve"> the ESCs considered the clinical claim is likely to be reasonable based on the evidence presented, though the magnitude of benefit remains uncertain</w:t>
      </w:r>
      <w:r w:rsidR="000B142A">
        <w:rPr>
          <w:iCs/>
        </w:rPr>
        <w:t>.</w:t>
      </w:r>
      <w:r w:rsidR="000B142A" w:rsidRPr="000B142A">
        <w:rPr>
          <w:iCs/>
        </w:rPr>
        <w:t xml:space="preserve"> </w:t>
      </w:r>
      <w:r w:rsidR="000B142A" w:rsidRPr="0017405A">
        <w:rPr>
          <w:iCs/>
        </w:rPr>
        <w:t>The</w:t>
      </w:r>
      <w:r w:rsidR="000B142A">
        <w:rPr>
          <w:iCs/>
        </w:rPr>
        <w:t xml:space="preserve"> </w:t>
      </w:r>
      <w:r w:rsidR="000B142A" w:rsidRPr="00093440">
        <w:rPr>
          <w:iCs/>
        </w:rPr>
        <w:t>ESCs considered the</w:t>
      </w:r>
      <w:r w:rsidR="000B142A" w:rsidRPr="0017405A">
        <w:rPr>
          <w:iCs/>
        </w:rPr>
        <w:t xml:space="preserve"> claim of inferior safety was appropriate based on the indirect comparison of grade 3-5 adverse events between KN048 and EXTREME presented in the resubmission.</w:t>
      </w:r>
    </w:p>
    <w:p w14:paraId="734568C5" w14:textId="77777777" w:rsidR="0058370E" w:rsidRPr="0058370E" w:rsidRDefault="000B142A" w:rsidP="000B142A">
      <w:pPr>
        <w:pStyle w:val="ListParagraph"/>
        <w:numPr>
          <w:ilvl w:val="4"/>
          <w:numId w:val="1"/>
        </w:numPr>
        <w:rPr>
          <w:iCs/>
          <w:color w:val="auto"/>
        </w:rPr>
      </w:pPr>
      <w:r w:rsidRPr="0017405A">
        <w:rPr>
          <w:iCs/>
        </w:rPr>
        <w:t xml:space="preserve">The </w:t>
      </w:r>
      <w:r>
        <w:rPr>
          <w:iCs/>
        </w:rPr>
        <w:t>PBAC recalled it previously accepted the clinical claim of superiority for</w:t>
      </w:r>
      <w:r w:rsidRPr="0017405A">
        <w:rPr>
          <w:iCs/>
        </w:rPr>
        <w:t xml:space="preserve"> pembrolizumab plus chemotherapy compared to 1L chemotherapy alone</w:t>
      </w:r>
      <w:r>
        <w:rPr>
          <w:iCs/>
        </w:rPr>
        <w:t xml:space="preserve"> in patients whose tumour express CPS </w:t>
      </w:r>
      <w:r>
        <w:rPr>
          <w:rFonts w:cstheme="minorHAnsi"/>
          <w:iCs/>
        </w:rPr>
        <w:t>≥</w:t>
      </w:r>
      <w:r>
        <w:rPr>
          <w:iCs/>
        </w:rPr>
        <w:t>1, however the magnitude of clinical benefit over current SoC was uncertain</w:t>
      </w:r>
      <w:r w:rsidRPr="0017405A">
        <w:rPr>
          <w:iCs/>
        </w:rPr>
        <w:t xml:space="preserve"> (paragraph 7.6, pembrolizumab PSD, November 2020 PBAC Meeting). </w:t>
      </w:r>
      <w:r w:rsidR="00416693">
        <w:rPr>
          <w:iCs/>
        </w:rPr>
        <w:t xml:space="preserve">The PBAC also considered that based on results of the KN048 trial </w:t>
      </w:r>
      <w:r w:rsidR="00416693" w:rsidRPr="0017405A">
        <w:rPr>
          <w:iCs/>
        </w:rPr>
        <w:t xml:space="preserve">pembrolizumab plus chemotherapy </w:t>
      </w:r>
      <w:r w:rsidR="00120E5F">
        <w:rPr>
          <w:iCs/>
        </w:rPr>
        <w:t>is</w:t>
      </w:r>
      <w:r w:rsidR="00416693">
        <w:rPr>
          <w:iCs/>
        </w:rPr>
        <w:t xml:space="preserve"> superior</w:t>
      </w:r>
      <w:r w:rsidR="00416693" w:rsidRPr="0017405A">
        <w:rPr>
          <w:iCs/>
        </w:rPr>
        <w:t xml:space="preserve"> to 1L chemotherapy alone</w:t>
      </w:r>
      <w:r w:rsidR="00416693">
        <w:rPr>
          <w:iCs/>
        </w:rPr>
        <w:t xml:space="preserve"> in the full population (regardless of CPS status), though </w:t>
      </w:r>
      <w:r w:rsidR="00416693">
        <w:t>there is likely to be a larger effect with higher CPS score.</w:t>
      </w:r>
      <w:r w:rsidR="00416693">
        <w:rPr>
          <w:iCs/>
        </w:rPr>
        <w:t xml:space="preserve"> T</w:t>
      </w:r>
      <w:r w:rsidRPr="00755C7C">
        <w:t>he PBAC considered that the claim of superior comparative effectiveness</w:t>
      </w:r>
      <w:r>
        <w:t xml:space="preserve"> over SoC</w:t>
      </w:r>
      <w:r w:rsidRPr="00755C7C">
        <w:t xml:space="preserve"> was </w:t>
      </w:r>
      <w:r>
        <w:t xml:space="preserve">reasonable </w:t>
      </w:r>
      <w:r w:rsidR="00416693">
        <w:t xml:space="preserve">for both the CPS </w:t>
      </w:r>
      <w:r w:rsidR="00416693">
        <w:rPr>
          <w:rFonts w:cstheme="minorHAnsi"/>
        </w:rPr>
        <w:t>≥</w:t>
      </w:r>
      <w:r w:rsidR="00416693">
        <w:t xml:space="preserve">1 and ITT population, </w:t>
      </w:r>
      <w:r>
        <w:t xml:space="preserve">but the magnitude of benefit remained </w:t>
      </w:r>
      <w:r w:rsidRPr="0017405A">
        <w:rPr>
          <w:iCs/>
        </w:rPr>
        <w:t>uncertain as</w:t>
      </w:r>
      <w:r w:rsidRPr="000B142A">
        <w:rPr>
          <w:iCs/>
        </w:rPr>
        <w:t xml:space="preserve"> </w:t>
      </w:r>
      <w:proofErr w:type="spellStart"/>
      <w:r w:rsidRPr="000B142A">
        <w:rPr>
          <w:iCs/>
        </w:rPr>
        <w:t>i</w:t>
      </w:r>
      <w:proofErr w:type="spellEnd"/>
      <w:r w:rsidRPr="000B142A">
        <w:rPr>
          <w:iCs/>
        </w:rPr>
        <w:t xml:space="preserve">) 1L cetuximab plus chemotherapy was used as a proxy for 1L </w:t>
      </w:r>
      <w:r w:rsidR="00D27BB6">
        <w:rPr>
          <w:iCs/>
        </w:rPr>
        <w:t xml:space="preserve">chemotherapy alone </w:t>
      </w:r>
      <w:r w:rsidRPr="000B142A">
        <w:rPr>
          <w:iCs/>
        </w:rPr>
        <w:t xml:space="preserve">which may underestimate the incremental efficacy of pembrolizumab plus chemotherapy but ii) the efficacy of 2L nivolumab was </w:t>
      </w:r>
      <w:r w:rsidRPr="000B142A">
        <w:rPr>
          <w:iCs/>
        </w:rPr>
        <w:lastRenderedPageBreak/>
        <w:t xml:space="preserve">likely underestimated compared to the literature and iii) the efficacy of pembrolizumab plus chemotherapy was likely overestimated as no adjustment for 2L EGFR treatment was considered. </w:t>
      </w:r>
    </w:p>
    <w:p w14:paraId="48D1442D" w14:textId="77777777" w:rsidR="000B142A" w:rsidRPr="000B142A" w:rsidRDefault="000B142A" w:rsidP="000B142A">
      <w:pPr>
        <w:pStyle w:val="ListParagraph"/>
        <w:numPr>
          <w:ilvl w:val="4"/>
          <w:numId w:val="1"/>
        </w:numPr>
        <w:rPr>
          <w:iCs/>
          <w:color w:val="auto"/>
        </w:rPr>
      </w:pPr>
      <w:r>
        <w:rPr>
          <w:iCs/>
        </w:rPr>
        <w:t xml:space="preserve">The PBAC also recalled that it </w:t>
      </w:r>
      <w:r w:rsidR="0058370E">
        <w:rPr>
          <w:iCs/>
        </w:rPr>
        <w:t xml:space="preserve">previously considered that pembrolizumab plus chemotherapy was likely inferior in safety to chemotherapy alone and noted that the basis for this conclusion was unchanged. </w:t>
      </w:r>
    </w:p>
    <w:p w14:paraId="1F3160DF" w14:textId="77777777" w:rsidR="000B142A" w:rsidRDefault="000B142A" w:rsidP="000B142A">
      <w:pPr>
        <w:pStyle w:val="ListParagraph"/>
        <w:numPr>
          <w:ilvl w:val="4"/>
          <w:numId w:val="1"/>
        </w:numPr>
      </w:pPr>
      <w:r w:rsidRPr="00A24A89">
        <w:t xml:space="preserve">The resubmission </w:t>
      </w:r>
      <w:r>
        <w:t>made the clinical claim</w:t>
      </w:r>
      <w:r w:rsidRPr="00A24A89">
        <w:t xml:space="preserve"> that i</w:t>
      </w:r>
      <w:r w:rsidRPr="00E07371">
        <w:rPr>
          <w:iCs/>
        </w:rPr>
        <w:t xml:space="preserve">n patients with R/M HNSCC whose tumours express CPS ≥1, pembrolizumab monotherapy has superior efficacy and a superior safety profile compared to </w:t>
      </w:r>
      <w:r>
        <w:rPr>
          <w:iCs/>
        </w:rPr>
        <w:t>SoC</w:t>
      </w:r>
      <w:r w:rsidRPr="00E07371">
        <w:rPr>
          <w:iCs/>
        </w:rPr>
        <w:t xml:space="preserve"> in the Australian setting, </w:t>
      </w:r>
      <w:proofErr w:type="gramStart"/>
      <w:r w:rsidRPr="00E07371">
        <w:rPr>
          <w:iCs/>
        </w:rPr>
        <w:t>i.e.</w:t>
      </w:r>
      <w:proofErr w:type="gramEnd"/>
      <w:r w:rsidRPr="00E07371">
        <w:rPr>
          <w:iCs/>
        </w:rPr>
        <w:t xml:space="preserve"> platinum based chemotherapy in 1L, followed by 2L nivolumab in 50% of patients.</w:t>
      </w:r>
      <w:r>
        <w:t xml:space="preserve"> Based on the revised proposed population in the PSCR the relevant clinical claim was </w:t>
      </w:r>
      <w:r w:rsidRPr="00A24A89">
        <w:t>that i</w:t>
      </w:r>
      <w:r w:rsidRPr="00E07371">
        <w:rPr>
          <w:iCs/>
        </w:rPr>
        <w:t xml:space="preserve">n patients with R/M HNSCC whose tumours express CPS ≥20, pembrolizumab monotherapy has superior efficacy and a superior safety profile compared to </w:t>
      </w:r>
      <w:r>
        <w:rPr>
          <w:iCs/>
        </w:rPr>
        <w:t>SoC</w:t>
      </w:r>
      <w:r w:rsidRPr="00E07371">
        <w:rPr>
          <w:iCs/>
        </w:rPr>
        <w:t xml:space="preserve"> in the Australian setting.</w:t>
      </w:r>
      <w:r w:rsidRPr="00E07371">
        <w:t xml:space="preserve"> </w:t>
      </w:r>
      <w:r w:rsidRPr="00093440">
        <w:t>The ESCs considered that this claim is likely to be reasonable based on the data presented, though the magnitude of benefit remains uncertain as the OS HR from KN048 does not account for 2L nivolumab use in the comparator arm or EGFR use in the pembrolizumab arm.</w:t>
      </w:r>
    </w:p>
    <w:p w14:paraId="445DFB6A" w14:textId="77777777" w:rsidR="00120E5F" w:rsidRPr="0058370E" w:rsidRDefault="00D1656F" w:rsidP="00120E5F">
      <w:pPr>
        <w:pStyle w:val="ListParagraph"/>
        <w:numPr>
          <w:ilvl w:val="4"/>
          <w:numId w:val="1"/>
        </w:numPr>
        <w:rPr>
          <w:iCs/>
          <w:color w:val="auto"/>
        </w:rPr>
      </w:pPr>
      <w:r w:rsidRPr="00755C7C">
        <w:t xml:space="preserve">The PBAC considered that the claim of superior comparative effectiveness </w:t>
      </w:r>
      <w:r w:rsidR="00120E5F">
        <w:t xml:space="preserve">in the CPS </w:t>
      </w:r>
      <w:r w:rsidR="00120E5F">
        <w:rPr>
          <w:rFonts w:cstheme="minorHAnsi"/>
        </w:rPr>
        <w:t>≥</w:t>
      </w:r>
      <w:r w:rsidR="00120E5F">
        <w:t xml:space="preserve">20 population </w:t>
      </w:r>
      <w:r w:rsidRPr="00755C7C">
        <w:t>was reasonable</w:t>
      </w:r>
      <w:r w:rsidR="00120E5F">
        <w:t xml:space="preserve"> based on the results of the KN048 trial</w:t>
      </w:r>
      <w:r w:rsidRPr="00755C7C">
        <w:t>.</w:t>
      </w:r>
      <w:r>
        <w:t xml:space="preserve"> </w:t>
      </w:r>
      <w:r w:rsidR="00120E5F">
        <w:t xml:space="preserve">The PBAC considered that but the magnitude of benefit over SoC remained </w:t>
      </w:r>
      <w:r w:rsidR="00120E5F" w:rsidRPr="0017405A">
        <w:rPr>
          <w:iCs/>
        </w:rPr>
        <w:t>uncertain</w:t>
      </w:r>
      <w:r w:rsidR="00120E5F">
        <w:rPr>
          <w:iCs/>
        </w:rPr>
        <w:t xml:space="preserve"> for the same reasons as outlined above for the comparison with pembrolizumab plus chemotherapy.</w:t>
      </w:r>
      <w:r w:rsidR="00120E5F" w:rsidRPr="000B142A">
        <w:rPr>
          <w:iCs/>
        </w:rPr>
        <w:t xml:space="preserve"> </w:t>
      </w:r>
    </w:p>
    <w:p w14:paraId="6482F862" w14:textId="77777777" w:rsidR="00755C7C" w:rsidRPr="00D1656F" w:rsidRDefault="00D1656F" w:rsidP="00080D9A">
      <w:pPr>
        <w:pStyle w:val="ListParagraph"/>
        <w:numPr>
          <w:ilvl w:val="4"/>
          <w:numId w:val="1"/>
        </w:numPr>
        <w:rPr>
          <w:iCs/>
          <w:color w:val="auto"/>
        </w:rPr>
      </w:pPr>
      <w:r w:rsidRPr="000A694F">
        <w:rPr>
          <w:color w:val="auto"/>
        </w:rPr>
        <w:t>The PBAC</w:t>
      </w:r>
      <w:r w:rsidR="000A694F">
        <w:rPr>
          <w:color w:val="auto"/>
        </w:rPr>
        <w:t xml:space="preserve"> recalled that it</w:t>
      </w:r>
      <w:r w:rsidRPr="000A694F">
        <w:rPr>
          <w:color w:val="auto"/>
        </w:rPr>
        <w:t xml:space="preserve"> had previously noted that the safety profile of pembrolizumab monotherapy (mainly immune related) was different to the profile of chemotherapy </w:t>
      </w:r>
      <w:proofErr w:type="gramStart"/>
      <w:r w:rsidRPr="000A694F">
        <w:rPr>
          <w:color w:val="auto"/>
        </w:rPr>
        <w:t>alone, but</w:t>
      </w:r>
      <w:proofErr w:type="gramEnd"/>
      <w:r w:rsidRPr="000A694F">
        <w:rPr>
          <w:color w:val="auto"/>
        </w:rPr>
        <w:t xml:space="preserve"> considered that the claim of superior safety was reasonable given the known safety profile and mechanism of action of pembrolizumab (paragraph 7.7, pembrolizumab PSD, November 2020 PBAC Meeting).</w:t>
      </w:r>
    </w:p>
    <w:p w14:paraId="0F7FB081" w14:textId="77777777" w:rsidR="00D7609F" w:rsidRPr="00A24A89" w:rsidRDefault="00D7609F" w:rsidP="00D7609F">
      <w:pPr>
        <w:pStyle w:val="PBACESHeading2"/>
        <w:numPr>
          <w:ilvl w:val="2"/>
          <w:numId w:val="1"/>
        </w:numPr>
      </w:pPr>
      <w:bookmarkStart w:id="57" w:name="_Toc81727556"/>
      <w:bookmarkStart w:id="58" w:name="_Toc82600105"/>
      <w:r w:rsidRPr="00A24A89">
        <w:t xml:space="preserve">Claim of </w:t>
      </w:r>
      <w:proofErr w:type="spellStart"/>
      <w:r w:rsidRPr="00A24A89">
        <w:t>codependence</w:t>
      </w:r>
      <w:bookmarkEnd w:id="57"/>
      <w:bookmarkEnd w:id="58"/>
      <w:proofErr w:type="spellEnd"/>
    </w:p>
    <w:p w14:paraId="30A303BB" w14:textId="3280AC39" w:rsidR="00093440" w:rsidRPr="00680F31" w:rsidRDefault="00093440" w:rsidP="00680F31">
      <w:pPr>
        <w:pStyle w:val="ListParagraph"/>
        <w:numPr>
          <w:ilvl w:val="4"/>
          <w:numId w:val="1"/>
        </w:numPr>
        <w:rPr>
          <w:iCs/>
        </w:rPr>
      </w:pPr>
      <w:r w:rsidRPr="00680F31">
        <w:rPr>
          <w:iCs/>
        </w:rPr>
        <w:t xml:space="preserve">MSAC previously considered that the biological rationale for the proposed </w:t>
      </w:r>
      <w:proofErr w:type="spellStart"/>
      <w:r w:rsidRPr="00680F31">
        <w:rPr>
          <w:iCs/>
        </w:rPr>
        <w:t>codependency</w:t>
      </w:r>
      <w:proofErr w:type="spellEnd"/>
      <w:r w:rsidRPr="00680F31">
        <w:rPr>
          <w:iCs/>
        </w:rPr>
        <w:t xml:space="preserve"> was weak and that there was not enough evidence to suggest that a patient’s CPS score is linked to pembrolizumab being a better treatment. MSAC concluded that the trial’s problems due to the change in the definitions of PD-L1 assessment, enrichment of patients with TPS ≥50%, and complex statistical methodology contributed to a complicated trial that was difficult to understand and </w:t>
      </w:r>
      <w:proofErr w:type="gramStart"/>
      <w:r w:rsidRPr="00680F31">
        <w:rPr>
          <w:iCs/>
        </w:rPr>
        <w:t>interpret, and</w:t>
      </w:r>
      <w:proofErr w:type="gramEnd"/>
      <w:r w:rsidRPr="00680F31">
        <w:rPr>
          <w:iCs/>
        </w:rPr>
        <w:t xml:space="preserve"> did not fully inform whether PD-L1 CPS testing identified patients most likely to benefit fr</w:t>
      </w:r>
      <w:r w:rsidR="00BE13E2">
        <w:rPr>
          <w:iCs/>
        </w:rPr>
        <w:t>om pembrolizumab treatment (</w:t>
      </w:r>
      <w:r w:rsidRPr="00680F31">
        <w:rPr>
          <w:iCs/>
        </w:rPr>
        <w:t>application no. 1522 PSD, November 2020 MSAC Meet</w:t>
      </w:r>
      <w:r w:rsidR="00D22CB9">
        <w:rPr>
          <w:iCs/>
        </w:rPr>
        <w:t>ing)</w:t>
      </w:r>
      <w:r w:rsidRPr="00680F31">
        <w:rPr>
          <w:iCs/>
        </w:rPr>
        <w:t>. In response, the resubmission claimed:</w:t>
      </w:r>
    </w:p>
    <w:p w14:paraId="78D2DF9E" w14:textId="77777777" w:rsidR="00093440" w:rsidRDefault="00093440" w:rsidP="00680F31">
      <w:pPr>
        <w:pStyle w:val="ES-bullets"/>
        <w:tabs>
          <w:tab w:val="clear" w:pos="360"/>
        </w:tabs>
        <w:spacing w:before="0" w:after="0" w:line="240" w:lineRule="auto"/>
        <w:ind w:left="993"/>
        <w:jc w:val="both"/>
        <w:rPr>
          <w:rFonts w:asciiTheme="minorHAnsi" w:hAnsiTheme="minorHAnsi" w:cstheme="minorHAnsi"/>
          <w:sz w:val="24"/>
        </w:rPr>
      </w:pPr>
      <w:r>
        <w:rPr>
          <w:rFonts w:asciiTheme="minorHAnsi" w:hAnsiTheme="minorHAnsi" w:cstheme="minorHAnsi"/>
          <w:sz w:val="24"/>
        </w:rPr>
        <w:t>P</w:t>
      </w:r>
      <w:r w:rsidRPr="00C3639A">
        <w:rPr>
          <w:rFonts w:asciiTheme="minorHAnsi" w:hAnsiTheme="minorHAnsi" w:cstheme="minorHAnsi"/>
          <w:sz w:val="24"/>
        </w:rPr>
        <w:t>atients have a better treatment effect when the CPS score is &gt;</w:t>
      </w:r>
      <w:r>
        <w:rPr>
          <w:rFonts w:asciiTheme="minorHAnsi" w:hAnsiTheme="minorHAnsi" w:cstheme="minorHAnsi"/>
          <w:sz w:val="24"/>
        </w:rPr>
        <w:t>1</w:t>
      </w:r>
      <w:r w:rsidRPr="00C3639A">
        <w:rPr>
          <w:rFonts w:asciiTheme="minorHAnsi" w:hAnsiTheme="minorHAnsi" w:cstheme="minorHAnsi"/>
          <w:sz w:val="24"/>
        </w:rPr>
        <w:t>, and that in the CPS</w:t>
      </w:r>
      <w:r>
        <w:rPr>
          <w:rFonts w:asciiTheme="minorHAnsi" w:hAnsiTheme="minorHAnsi" w:cstheme="minorHAnsi"/>
          <w:sz w:val="24"/>
        </w:rPr>
        <w:t xml:space="preserve"> </w:t>
      </w:r>
      <w:r w:rsidRPr="00C3639A">
        <w:rPr>
          <w:rFonts w:asciiTheme="minorHAnsi" w:hAnsiTheme="minorHAnsi" w:cstheme="minorHAnsi"/>
          <w:sz w:val="24"/>
        </w:rPr>
        <w:t xml:space="preserve">&lt;1 population, pembrolizumab is potentially harmful as monotherapy, and </w:t>
      </w:r>
      <w:r w:rsidRPr="00C3639A">
        <w:rPr>
          <w:rFonts w:asciiTheme="minorHAnsi" w:hAnsiTheme="minorHAnsi" w:cstheme="minorHAnsi"/>
          <w:sz w:val="24"/>
        </w:rPr>
        <w:lastRenderedPageBreak/>
        <w:t xml:space="preserve">provides no added benefit but potential harm (due to adverse events) in combination with </w:t>
      </w:r>
      <w:proofErr w:type="gramStart"/>
      <w:r w:rsidRPr="00C3639A">
        <w:rPr>
          <w:rFonts w:asciiTheme="minorHAnsi" w:hAnsiTheme="minorHAnsi" w:cstheme="minorHAnsi"/>
          <w:sz w:val="24"/>
        </w:rPr>
        <w:t>chemotherapy</w:t>
      </w:r>
      <w:r>
        <w:rPr>
          <w:rFonts w:asciiTheme="minorHAnsi" w:hAnsiTheme="minorHAnsi" w:cstheme="minorHAnsi"/>
          <w:sz w:val="24"/>
        </w:rPr>
        <w:t>;</w:t>
      </w:r>
      <w:proofErr w:type="gramEnd"/>
    </w:p>
    <w:p w14:paraId="4CD9A390" w14:textId="77777777" w:rsidR="00093440" w:rsidRPr="00C3639A"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C3639A">
        <w:rPr>
          <w:rFonts w:asciiTheme="minorHAnsi" w:hAnsiTheme="minorHAnsi" w:cstheme="minorHAnsi"/>
          <w:sz w:val="24"/>
        </w:rPr>
        <w:t xml:space="preserve">The change in definition of PD-L1 positivity from </w:t>
      </w:r>
      <w:r>
        <w:rPr>
          <w:rFonts w:asciiTheme="minorHAnsi" w:hAnsiTheme="minorHAnsi" w:cstheme="minorHAnsi"/>
          <w:sz w:val="24"/>
        </w:rPr>
        <w:t xml:space="preserve">using </w:t>
      </w:r>
      <w:r w:rsidRPr="00C3639A">
        <w:rPr>
          <w:rFonts w:asciiTheme="minorHAnsi" w:hAnsiTheme="minorHAnsi" w:cstheme="minorHAnsi"/>
          <w:sz w:val="24"/>
        </w:rPr>
        <w:t xml:space="preserve">TPS to CPS </w:t>
      </w:r>
      <w:r>
        <w:rPr>
          <w:rFonts w:asciiTheme="minorHAnsi" w:hAnsiTheme="minorHAnsi" w:cstheme="minorHAnsi"/>
          <w:sz w:val="24"/>
        </w:rPr>
        <w:t xml:space="preserve">occurred prior to any analysis of results and </w:t>
      </w:r>
      <w:r w:rsidRPr="00C3639A">
        <w:rPr>
          <w:rFonts w:asciiTheme="minorHAnsi" w:hAnsiTheme="minorHAnsi" w:cstheme="minorHAnsi"/>
          <w:sz w:val="24"/>
        </w:rPr>
        <w:t>impacted only th</w:t>
      </w:r>
      <w:r>
        <w:rPr>
          <w:rFonts w:asciiTheme="minorHAnsi" w:hAnsiTheme="minorHAnsi" w:cstheme="minorHAnsi"/>
          <w:sz w:val="24"/>
        </w:rPr>
        <w:t>e</w:t>
      </w:r>
      <w:r w:rsidRPr="00C3639A">
        <w:rPr>
          <w:rFonts w:asciiTheme="minorHAnsi" w:hAnsiTheme="minorHAnsi" w:cstheme="minorHAnsi"/>
          <w:sz w:val="24"/>
        </w:rPr>
        <w:t xml:space="preserve"> primary objectives and statistical plan</w:t>
      </w:r>
      <w:r>
        <w:rPr>
          <w:rFonts w:asciiTheme="minorHAnsi" w:hAnsiTheme="minorHAnsi" w:cstheme="minorHAnsi"/>
          <w:sz w:val="24"/>
        </w:rPr>
        <w:t xml:space="preserve">, with no change to </w:t>
      </w:r>
      <w:proofErr w:type="gramStart"/>
      <w:r>
        <w:rPr>
          <w:rFonts w:asciiTheme="minorHAnsi" w:hAnsiTheme="minorHAnsi" w:cstheme="minorHAnsi"/>
          <w:sz w:val="24"/>
        </w:rPr>
        <w:t>stratification;</w:t>
      </w:r>
      <w:proofErr w:type="gramEnd"/>
    </w:p>
    <w:p w14:paraId="5464AC32" w14:textId="77777777" w:rsidR="00093440"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C3639A">
        <w:rPr>
          <w:rFonts w:asciiTheme="minorHAnsi" w:hAnsiTheme="minorHAnsi" w:cstheme="minorHAnsi"/>
          <w:sz w:val="24"/>
        </w:rPr>
        <w:t xml:space="preserve">The </w:t>
      </w:r>
      <w:r>
        <w:rPr>
          <w:rFonts w:asciiTheme="minorHAnsi" w:hAnsiTheme="minorHAnsi" w:cstheme="minorHAnsi"/>
          <w:sz w:val="24"/>
        </w:rPr>
        <w:t xml:space="preserve">KN048 </w:t>
      </w:r>
      <w:r w:rsidRPr="00C3639A">
        <w:rPr>
          <w:rFonts w:asciiTheme="minorHAnsi" w:hAnsiTheme="minorHAnsi" w:cstheme="minorHAnsi"/>
          <w:sz w:val="24"/>
        </w:rPr>
        <w:t xml:space="preserve">trial stratification </w:t>
      </w:r>
      <w:r>
        <w:rPr>
          <w:rFonts w:asciiTheme="minorHAnsi" w:hAnsiTheme="minorHAnsi" w:cstheme="minorHAnsi"/>
          <w:sz w:val="24"/>
        </w:rPr>
        <w:t>(</w:t>
      </w:r>
      <w:r w:rsidRPr="00C3639A">
        <w:rPr>
          <w:rFonts w:asciiTheme="minorHAnsi" w:hAnsiTheme="minorHAnsi" w:cstheme="minorHAnsi"/>
          <w:sz w:val="24"/>
        </w:rPr>
        <w:t>TPS≥50%</w:t>
      </w:r>
      <w:r>
        <w:rPr>
          <w:rFonts w:asciiTheme="minorHAnsi" w:hAnsiTheme="minorHAnsi" w:cstheme="minorHAnsi"/>
          <w:sz w:val="24"/>
        </w:rPr>
        <w:t>)</w:t>
      </w:r>
      <w:r w:rsidRPr="00C3639A">
        <w:rPr>
          <w:rFonts w:asciiTheme="minorHAnsi" w:hAnsiTheme="minorHAnsi" w:cstheme="minorHAnsi"/>
          <w:sz w:val="24"/>
        </w:rPr>
        <w:t xml:space="preserve"> remained for the entire trial. Hence </w:t>
      </w:r>
      <w:proofErr w:type="spellStart"/>
      <w:r w:rsidRPr="00C3639A">
        <w:rPr>
          <w:rFonts w:asciiTheme="minorHAnsi" w:hAnsiTheme="minorHAnsi" w:cstheme="minorHAnsi"/>
          <w:sz w:val="24"/>
        </w:rPr>
        <w:t>randomisation</w:t>
      </w:r>
      <w:proofErr w:type="spellEnd"/>
      <w:r w:rsidRPr="00C3639A">
        <w:rPr>
          <w:rFonts w:asciiTheme="minorHAnsi" w:hAnsiTheme="minorHAnsi" w:cstheme="minorHAnsi"/>
          <w:sz w:val="24"/>
        </w:rPr>
        <w:t xml:space="preserve"> by TPS was maintained for the duration of the </w:t>
      </w:r>
      <w:proofErr w:type="gramStart"/>
      <w:r w:rsidRPr="00C3639A">
        <w:rPr>
          <w:rFonts w:asciiTheme="minorHAnsi" w:hAnsiTheme="minorHAnsi" w:cstheme="minorHAnsi"/>
          <w:sz w:val="24"/>
        </w:rPr>
        <w:t>trial</w:t>
      </w:r>
      <w:r>
        <w:rPr>
          <w:rFonts w:asciiTheme="minorHAnsi" w:hAnsiTheme="minorHAnsi" w:cstheme="minorHAnsi"/>
          <w:sz w:val="24"/>
        </w:rPr>
        <w:t>;</w:t>
      </w:r>
      <w:proofErr w:type="gramEnd"/>
    </w:p>
    <w:p w14:paraId="352ECEAF" w14:textId="77777777" w:rsidR="00093440"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C3639A">
        <w:rPr>
          <w:rFonts w:asciiTheme="minorHAnsi" w:hAnsiTheme="minorHAnsi" w:cstheme="minorHAnsi"/>
          <w:sz w:val="24"/>
        </w:rPr>
        <w:t>There was no enrichment of TPS≥50% patients</w:t>
      </w:r>
      <w:r>
        <w:rPr>
          <w:rFonts w:asciiTheme="minorHAnsi" w:hAnsiTheme="minorHAnsi" w:cstheme="minorHAnsi"/>
          <w:sz w:val="24"/>
        </w:rPr>
        <w:t xml:space="preserve">. While there was a protocol amendment (Global Amendment 1, dated </w:t>
      </w:r>
      <w:r w:rsidRPr="00130F2C">
        <w:rPr>
          <w:rFonts w:asciiTheme="minorHAnsi" w:hAnsiTheme="minorHAnsi" w:cstheme="minorHAnsi"/>
          <w:sz w:val="24"/>
        </w:rPr>
        <w:t>26 June 2015</w:t>
      </w:r>
      <w:r>
        <w:rPr>
          <w:rFonts w:asciiTheme="minorHAnsi" w:hAnsiTheme="minorHAnsi" w:cstheme="minorHAnsi"/>
          <w:sz w:val="24"/>
        </w:rPr>
        <w:t xml:space="preserve">) made to ensure inclusion of an increased proportion of patients with strongly positive PD-L1 expression, </w:t>
      </w:r>
      <w:r w:rsidRPr="00C3639A">
        <w:rPr>
          <w:rFonts w:asciiTheme="minorHAnsi" w:hAnsiTheme="minorHAnsi" w:cstheme="minorHAnsi"/>
          <w:sz w:val="24"/>
        </w:rPr>
        <w:t xml:space="preserve">this amendment was superseded </w:t>
      </w:r>
      <w:r>
        <w:rPr>
          <w:rFonts w:asciiTheme="minorHAnsi" w:hAnsiTheme="minorHAnsi" w:cstheme="minorHAnsi"/>
          <w:sz w:val="24"/>
        </w:rPr>
        <w:t xml:space="preserve">(Global amendment 5, dated </w:t>
      </w:r>
      <w:r w:rsidRPr="00130F2C">
        <w:rPr>
          <w:rFonts w:asciiTheme="minorHAnsi" w:hAnsiTheme="minorHAnsi" w:cstheme="minorHAnsi"/>
          <w:sz w:val="24"/>
        </w:rPr>
        <w:t>5-Aug 2016</w:t>
      </w:r>
      <w:r>
        <w:rPr>
          <w:rFonts w:asciiTheme="minorHAnsi" w:hAnsiTheme="minorHAnsi" w:cstheme="minorHAnsi"/>
          <w:sz w:val="24"/>
        </w:rPr>
        <w:t xml:space="preserve">) </w:t>
      </w:r>
      <w:r w:rsidRPr="00C3639A">
        <w:rPr>
          <w:rFonts w:asciiTheme="minorHAnsi" w:hAnsiTheme="minorHAnsi" w:cstheme="minorHAnsi"/>
          <w:sz w:val="24"/>
        </w:rPr>
        <w:t xml:space="preserve">and </w:t>
      </w:r>
      <w:r>
        <w:rPr>
          <w:rFonts w:asciiTheme="minorHAnsi" w:hAnsiTheme="minorHAnsi" w:cstheme="minorHAnsi"/>
          <w:sz w:val="24"/>
        </w:rPr>
        <w:t xml:space="preserve">was </w:t>
      </w:r>
      <w:r w:rsidRPr="00C3639A">
        <w:rPr>
          <w:rFonts w:asciiTheme="minorHAnsi" w:hAnsiTheme="minorHAnsi" w:cstheme="minorHAnsi"/>
          <w:sz w:val="24"/>
        </w:rPr>
        <w:t xml:space="preserve">not </w:t>
      </w:r>
      <w:proofErr w:type="gramStart"/>
      <w:r w:rsidRPr="00C3639A">
        <w:rPr>
          <w:rFonts w:asciiTheme="minorHAnsi" w:hAnsiTheme="minorHAnsi" w:cstheme="minorHAnsi"/>
          <w:sz w:val="24"/>
        </w:rPr>
        <w:t>implemented</w:t>
      </w:r>
      <w:r>
        <w:rPr>
          <w:rFonts w:asciiTheme="minorHAnsi" w:hAnsiTheme="minorHAnsi" w:cstheme="minorHAnsi"/>
          <w:sz w:val="24"/>
        </w:rPr>
        <w:t>;</w:t>
      </w:r>
      <w:proofErr w:type="gramEnd"/>
    </w:p>
    <w:p w14:paraId="5FBBE537" w14:textId="77777777" w:rsidR="00093440" w:rsidRPr="00BA042F"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BA042F">
        <w:rPr>
          <w:rFonts w:asciiTheme="minorHAnsi" w:hAnsiTheme="minorHAnsi" w:cstheme="minorHAnsi"/>
          <w:sz w:val="24"/>
        </w:rPr>
        <w:t xml:space="preserve">The selection of CPS, rather than TPS was based on rigorous scientific analysis of four clinical trials, including two Phase III trials rather than a biological </w:t>
      </w:r>
      <w:proofErr w:type="gramStart"/>
      <w:r w:rsidRPr="00BA042F">
        <w:rPr>
          <w:rFonts w:asciiTheme="minorHAnsi" w:hAnsiTheme="minorHAnsi" w:cstheme="minorHAnsi"/>
          <w:sz w:val="24"/>
        </w:rPr>
        <w:t>explanation;</w:t>
      </w:r>
      <w:proofErr w:type="gramEnd"/>
      <w:r w:rsidRPr="00BA042F">
        <w:rPr>
          <w:rFonts w:asciiTheme="minorHAnsi" w:hAnsiTheme="minorHAnsi" w:cstheme="minorHAnsi"/>
          <w:sz w:val="24"/>
        </w:rPr>
        <w:t xml:space="preserve"> and</w:t>
      </w:r>
    </w:p>
    <w:p w14:paraId="4655606C" w14:textId="77777777" w:rsidR="00093440" w:rsidRPr="00C3639A"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F12553">
        <w:rPr>
          <w:rFonts w:asciiTheme="minorHAnsi" w:hAnsiTheme="minorHAnsi" w:cstheme="minorHAnsi"/>
          <w:sz w:val="24"/>
        </w:rPr>
        <w:t>Any imbalances in baseline characteristics in the CPS≥1 population for both pembro</w:t>
      </w:r>
      <w:r>
        <w:rPr>
          <w:rFonts w:asciiTheme="minorHAnsi" w:hAnsiTheme="minorHAnsi" w:cstheme="minorHAnsi"/>
          <w:sz w:val="24"/>
        </w:rPr>
        <w:t>lizumab</w:t>
      </w:r>
      <w:r w:rsidRPr="00F12553">
        <w:rPr>
          <w:rFonts w:asciiTheme="minorHAnsi" w:hAnsiTheme="minorHAnsi" w:cstheme="minorHAnsi"/>
          <w:sz w:val="24"/>
        </w:rPr>
        <w:t xml:space="preserve"> mono</w:t>
      </w:r>
      <w:r>
        <w:rPr>
          <w:rFonts w:asciiTheme="minorHAnsi" w:hAnsiTheme="minorHAnsi" w:cstheme="minorHAnsi"/>
          <w:sz w:val="24"/>
        </w:rPr>
        <w:t>therapy</w:t>
      </w:r>
      <w:r w:rsidRPr="00F12553">
        <w:rPr>
          <w:rFonts w:asciiTheme="minorHAnsi" w:hAnsiTheme="minorHAnsi" w:cstheme="minorHAnsi"/>
          <w:sz w:val="24"/>
        </w:rPr>
        <w:t xml:space="preserve"> and pembro</w:t>
      </w:r>
      <w:r>
        <w:rPr>
          <w:rFonts w:asciiTheme="minorHAnsi" w:hAnsiTheme="minorHAnsi" w:cstheme="minorHAnsi"/>
          <w:sz w:val="24"/>
        </w:rPr>
        <w:t>lizumab</w:t>
      </w:r>
      <w:r w:rsidRPr="00F12553">
        <w:rPr>
          <w:rFonts w:asciiTheme="minorHAnsi" w:hAnsiTheme="minorHAnsi" w:cstheme="minorHAnsi"/>
          <w:sz w:val="24"/>
        </w:rPr>
        <w:t xml:space="preserve"> + chemo</w:t>
      </w:r>
      <w:r>
        <w:rPr>
          <w:rFonts w:asciiTheme="minorHAnsi" w:hAnsiTheme="minorHAnsi" w:cstheme="minorHAnsi"/>
          <w:sz w:val="24"/>
        </w:rPr>
        <w:t>therapy</w:t>
      </w:r>
      <w:r w:rsidRPr="00F12553">
        <w:rPr>
          <w:rFonts w:asciiTheme="minorHAnsi" w:hAnsiTheme="minorHAnsi" w:cstheme="minorHAnsi"/>
          <w:sz w:val="24"/>
        </w:rPr>
        <w:t xml:space="preserve"> ha</w:t>
      </w:r>
      <w:r>
        <w:rPr>
          <w:rFonts w:asciiTheme="minorHAnsi" w:hAnsiTheme="minorHAnsi" w:cstheme="minorHAnsi"/>
          <w:sz w:val="24"/>
        </w:rPr>
        <w:t>d</w:t>
      </w:r>
      <w:r w:rsidRPr="00F12553">
        <w:rPr>
          <w:rFonts w:asciiTheme="minorHAnsi" w:hAnsiTheme="minorHAnsi" w:cstheme="minorHAnsi"/>
          <w:sz w:val="24"/>
        </w:rPr>
        <w:t xml:space="preserve"> minimal impact on the overall survival</w:t>
      </w:r>
      <w:r w:rsidRPr="00F12553">
        <w:rPr>
          <w:rFonts w:asciiTheme="minorHAnsi" w:hAnsiTheme="minorHAnsi"/>
        </w:rPr>
        <w:t xml:space="preserve"> </w:t>
      </w:r>
      <w:r>
        <w:rPr>
          <w:rFonts w:asciiTheme="minorHAnsi" w:hAnsiTheme="minorHAnsi" w:cstheme="minorHAnsi"/>
          <w:sz w:val="24"/>
        </w:rPr>
        <w:t>hazard ratio</w:t>
      </w:r>
      <w:r w:rsidRPr="00F12553">
        <w:rPr>
          <w:rFonts w:asciiTheme="minorHAnsi" w:hAnsiTheme="minorHAnsi" w:cstheme="minorHAnsi"/>
          <w:sz w:val="24"/>
        </w:rPr>
        <w:t>s, as determined through multivariate analysis.</w:t>
      </w:r>
    </w:p>
    <w:p w14:paraId="5460E939" w14:textId="77777777" w:rsidR="00093440" w:rsidRPr="00680F31" w:rsidRDefault="00093440" w:rsidP="00680F31">
      <w:pPr>
        <w:pStyle w:val="ListParagraph"/>
        <w:numPr>
          <w:ilvl w:val="4"/>
          <w:numId w:val="1"/>
        </w:numPr>
        <w:rPr>
          <w:iCs/>
        </w:rPr>
      </w:pPr>
      <w:r w:rsidRPr="00680F31">
        <w:rPr>
          <w:iCs/>
        </w:rPr>
        <w:t xml:space="preserve">Evidence for PD-L1 as a valid biomarker for efficacy of pembrolizumab in R/M HNSCC was first observed in Keynote-012 (KN012), a non-randomised open label phase 1b study of pembrolizumab in R/M HNSCC, which reported a correlation between the degree of PD-L1 expression and overall response and progression-free survival (PFS). A Combined Positive Score (CPS) ≥1 was proposed as the threshold for eligibility, as subsequent analysis of data from KN012 demonstrated that the CPS scoring was more sensitive than tumour proportion score (TPS) scoring and was more predictive of improved overall survival (OS) and progression free survival (PFS). CPS measures PD-L1 expression by staining tumour cells, </w:t>
      </w:r>
      <w:proofErr w:type="gramStart"/>
      <w:r w:rsidRPr="00680F31">
        <w:rPr>
          <w:iCs/>
        </w:rPr>
        <w:t>lymphocytes</w:t>
      </w:r>
      <w:proofErr w:type="gramEnd"/>
      <w:r w:rsidRPr="00680F31">
        <w:rPr>
          <w:iCs/>
        </w:rPr>
        <w:t xml:space="preserve"> and macrophages, whereas TPS restricts PD-L1 staining to tumour cells only.</w:t>
      </w:r>
    </w:p>
    <w:p w14:paraId="24E00F51" w14:textId="77777777" w:rsidR="00093440" w:rsidRPr="00680F31" w:rsidRDefault="00093440" w:rsidP="00680F31">
      <w:pPr>
        <w:pStyle w:val="ListParagraph"/>
        <w:numPr>
          <w:ilvl w:val="4"/>
          <w:numId w:val="1"/>
        </w:numPr>
        <w:rPr>
          <w:iCs/>
        </w:rPr>
      </w:pPr>
      <w:r w:rsidRPr="00680F31">
        <w:rPr>
          <w:iCs/>
        </w:rPr>
        <w:t>Further analysis of data from KN012 (cohort B2) and Keynote-055 (KN055) (a non-randomised phase 2 study of pembrolizumab in patients with R/M HNSCC in whom platinum and cetuximab therapy failed) confirmed that these CPS cut off points should be evaluated (</w:t>
      </w:r>
      <w:r w:rsidR="008D43ED" w:rsidRPr="008D43ED">
        <w:rPr>
          <w:iCs/>
        </w:rPr>
        <w:t>Table 13</w:t>
      </w:r>
      <w:r w:rsidRPr="00680F31">
        <w:rPr>
          <w:iCs/>
        </w:rPr>
        <w:t xml:space="preserve">). The resubmission appeared to define sensitivity and specificity in the context of clinical utility, which was based on a retrospective exploratory analysis where overall response rates to pembrolizumab were compared to the different PD-L1 metrics and thresholds to propose a preferred option. A subset of the CPS thresholds was then further examined in a subsequent analysis in KN048 (with unclear </w:t>
      </w:r>
      <w:proofErr w:type="spellStart"/>
      <w:r w:rsidRPr="00680F31">
        <w:rPr>
          <w:iCs/>
        </w:rPr>
        <w:t>prespecification</w:t>
      </w:r>
      <w:proofErr w:type="spellEnd"/>
      <w:r w:rsidRPr="00680F31">
        <w:rPr>
          <w:iCs/>
        </w:rPr>
        <w:t xml:space="preserve"> because the prespecified TPS ≥50% metric and threshold were changed at some stage).</w:t>
      </w:r>
    </w:p>
    <w:p w14:paraId="42B86793" w14:textId="77777777" w:rsidR="00093440" w:rsidRDefault="00093440" w:rsidP="00024DCD">
      <w:pPr>
        <w:pStyle w:val="Caption"/>
        <w:rPr>
          <w:snapToGrid w:val="0"/>
        </w:rPr>
      </w:pPr>
      <w:bookmarkStart w:id="59" w:name="_Ref86677587"/>
      <w:r>
        <w:lastRenderedPageBreak/>
        <w:t xml:space="preserve">Table </w:t>
      </w:r>
      <w:r w:rsidR="008D43ED">
        <w:rPr>
          <w:noProof/>
        </w:rPr>
        <w:t>13</w:t>
      </w:r>
      <w:bookmarkEnd w:id="59"/>
      <w:r w:rsidR="00024DCD">
        <w:rPr>
          <w:noProof/>
        </w:rPr>
        <w:t xml:space="preserve">: </w:t>
      </w:r>
      <w:r w:rsidRPr="00A24A89">
        <w:rPr>
          <w:snapToGrid w:val="0"/>
        </w:rPr>
        <w:t>Clinical utility for CPS and TPS in non-enriched KN012 cohort B2 and KN055 (n=252; 51 responses; ORR = 20.2%)</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Clinical utility for CPS and TPS in non-enriched KN012 cohort B2 and KN055 (n=252; 51 responses; ORR = 20.2%)"/>
      </w:tblPr>
      <w:tblGrid>
        <w:gridCol w:w="1701"/>
        <w:gridCol w:w="1220"/>
        <w:gridCol w:w="1220"/>
        <w:gridCol w:w="1220"/>
        <w:gridCol w:w="1220"/>
        <w:gridCol w:w="1220"/>
        <w:gridCol w:w="1220"/>
      </w:tblGrid>
      <w:tr w:rsidR="00093440" w:rsidRPr="00ED3EB5" w14:paraId="24D875B4"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701" w:type="dxa"/>
            <w:shd w:val="clear" w:color="auto" w:fill="auto"/>
          </w:tcPr>
          <w:p w14:paraId="376A4161" w14:textId="77777777" w:rsidR="00093440" w:rsidRPr="00ED3EB5" w:rsidRDefault="00093440" w:rsidP="0073003C">
            <w:pPr>
              <w:pStyle w:val="TableText"/>
              <w:keepNext/>
              <w:keepLines/>
              <w:spacing w:before="0" w:after="0" w:line="257" w:lineRule="auto"/>
              <w:rPr>
                <w:b w:val="0"/>
                <w:snapToGrid w:val="0"/>
              </w:rPr>
            </w:pPr>
            <w:r>
              <w:rPr>
                <w:snapToGrid w:val="0"/>
              </w:rPr>
              <w:t>Scoring and cutoff</w:t>
            </w:r>
          </w:p>
        </w:tc>
        <w:tc>
          <w:tcPr>
            <w:tcW w:w="1220" w:type="dxa"/>
            <w:shd w:val="clear" w:color="auto" w:fill="auto"/>
          </w:tcPr>
          <w:p w14:paraId="025AEAF4" w14:textId="77777777" w:rsidR="00093440" w:rsidRDefault="00093440" w:rsidP="0073003C">
            <w:pPr>
              <w:pStyle w:val="TableText"/>
              <w:keepNext/>
              <w:keepLines/>
              <w:spacing w:before="0" w:after="0" w:line="257" w:lineRule="auto"/>
              <w:jc w:val="center"/>
              <w:rPr>
                <w:b w:val="0"/>
                <w:snapToGrid w:val="0"/>
              </w:rPr>
            </w:pPr>
            <w:r>
              <w:rPr>
                <w:snapToGrid w:val="0"/>
              </w:rPr>
              <w:t>Sensitivity</w:t>
            </w:r>
          </w:p>
          <w:p w14:paraId="74F43568"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57B1BB69" w14:textId="77777777" w:rsidR="00093440" w:rsidRDefault="00093440" w:rsidP="0073003C">
            <w:pPr>
              <w:pStyle w:val="TableText"/>
              <w:keepNext/>
              <w:keepLines/>
              <w:spacing w:before="0" w:after="0" w:line="257" w:lineRule="auto"/>
              <w:jc w:val="center"/>
              <w:rPr>
                <w:b w:val="0"/>
                <w:snapToGrid w:val="0"/>
              </w:rPr>
            </w:pPr>
            <w:r>
              <w:rPr>
                <w:snapToGrid w:val="0"/>
              </w:rPr>
              <w:t>Specificity</w:t>
            </w:r>
          </w:p>
          <w:p w14:paraId="586F99D0"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4C6CA544" w14:textId="77777777" w:rsidR="00093440" w:rsidRDefault="00093440" w:rsidP="0073003C">
            <w:pPr>
              <w:pStyle w:val="TableText"/>
              <w:keepNext/>
              <w:keepLines/>
              <w:spacing w:before="0" w:after="0" w:line="257" w:lineRule="auto"/>
              <w:jc w:val="center"/>
              <w:rPr>
                <w:b w:val="0"/>
                <w:snapToGrid w:val="0"/>
              </w:rPr>
            </w:pPr>
            <w:r>
              <w:rPr>
                <w:snapToGrid w:val="0"/>
              </w:rPr>
              <w:t>YI</w:t>
            </w:r>
          </w:p>
          <w:p w14:paraId="7F0D0056"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30D2CCE4" w14:textId="77777777" w:rsidR="00093440" w:rsidRDefault="00093440" w:rsidP="0073003C">
            <w:pPr>
              <w:pStyle w:val="TableText"/>
              <w:keepNext/>
              <w:keepLines/>
              <w:spacing w:before="0" w:after="0" w:line="257" w:lineRule="auto"/>
              <w:jc w:val="center"/>
              <w:rPr>
                <w:b w:val="0"/>
                <w:snapToGrid w:val="0"/>
              </w:rPr>
            </w:pPr>
            <w:r>
              <w:rPr>
                <w:snapToGrid w:val="0"/>
              </w:rPr>
              <w:t>PPV</w:t>
            </w:r>
          </w:p>
          <w:p w14:paraId="220B252A"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209D8A09" w14:textId="77777777" w:rsidR="00093440" w:rsidRDefault="00093440" w:rsidP="0073003C">
            <w:pPr>
              <w:pStyle w:val="TableText"/>
              <w:keepNext/>
              <w:keepLines/>
              <w:spacing w:before="0" w:after="0" w:line="257" w:lineRule="auto"/>
              <w:jc w:val="center"/>
              <w:rPr>
                <w:b w:val="0"/>
                <w:snapToGrid w:val="0"/>
              </w:rPr>
            </w:pPr>
            <w:r>
              <w:rPr>
                <w:snapToGrid w:val="0"/>
              </w:rPr>
              <w:t>NPV</w:t>
            </w:r>
          </w:p>
          <w:p w14:paraId="56C54393"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68BE431B" w14:textId="77777777" w:rsidR="00093440" w:rsidRDefault="00093440" w:rsidP="0073003C">
            <w:pPr>
              <w:pStyle w:val="TableText"/>
              <w:keepNext/>
              <w:keepLines/>
              <w:spacing w:before="0" w:after="0" w:line="257" w:lineRule="auto"/>
              <w:jc w:val="center"/>
              <w:rPr>
                <w:b w:val="0"/>
                <w:snapToGrid w:val="0"/>
              </w:rPr>
            </w:pPr>
            <w:r>
              <w:rPr>
                <w:snapToGrid w:val="0"/>
              </w:rPr>
              <w:t>Prevalence</w:t>
            </w:r>
          </w:p>
          <w:p w14:paraId="66214171"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r>
      <w:tr w:rsidR="00093440" w:rsidRPr="00ED3EB5" w14:paraId="3505E96E" w14:textId="77777777" w:rsidTr="00C9746C">
        <w:trPr>
          <w:trHeight w:val="203"/>
        </w:trPr>
        <w:tc>
          <w:tcPr>
            <w:tcW w:w="1701" w:type="dxa"/>
            <w:shd w:val="clear" w:color="auto" w:fill="auto"/>
          </w:tcPr>
          <w:p w14:paraId="1F283237" w14:textId="77777777" w:rsidR="00093440" w:rsidRPr="00ED3EB5" w:rsidRDefault="00093440" w:rsidP="0073003C">
            <w:pPr>
              <w:pStyle w:val="TableText"/>
              <w:keepNext/>
              <w:keepLines/>
              <w:spacing w:before="0" w:after="0" w:line="257" w:lineRule="auto"/>
              <w:rPr>
                <w:snapToGrid w:val="0"/>
              </w:rPr>
            </w:pPr>
            <w:r>
              <w:rPr>
                <w:snapToGrid w:val="0"/>
              </w:rPr>
              <w:t>CPS ≥1</w:t>
            </w:r>
          </w:p>
        </w:tc>
        <w:tc>
          <w:tcPr>
            <w:tcW w:w="1220" w:type="dxa"/>
            <w:shd w:val="clear" w:color="auto" w:fill="auto"/>
          </w:tcPr>
          <w:p w14:paraId="641B27D1" w14:textId="77777777" w:rsidR="00093440" w:rsidRPr="00ED3EB5" w:rsidRDefault="00093440" w:rsidP="0073003C">
            <w:pPr>
              <w:pStyle w:val="TableText"/>
              <w:keepNext/>
              <w:keepLines/>
              <w:spacing w:before="0" w:after="0" w:line="257" w:lineRule="auto"/>
              <w:jc w:val="center"/>
              <w:rPr>
                <w:snapToGrid w:val="0"/>
              </w:rPr>
            </w:pPr>
            <w:r>
              <w:rPr>
                <w:snapToGrid w:val="0"/>
              </w:rPr>
              <w:t>92.2</w:t>
            </w:r>
          </w:p>
        </w:tc>
        <w:tc>
          <w:tcPr>
            <w:tcW w:w="1220" w:type="dxa"/>
            <w:shd w:val="clear" w:color="auto" w:fill="auto"/>
          </w:tcPr>
          <w:p w14:paraId="00D373D7" w14:textId="77777777" w:rsidR="00093440" w:rsidRPr="00ED3EB5" w:rsidRDefault="00093440" w:rsidP="0073003C">
            <w:pPr>
              <w:pStyle w:val="TableText"/>
              <w:keepNext/>
              <w:keepLines/>
              <w:spacing w:before="0" w:after="0" w:line="257" w:lineRule="auto"/>
              <w:jc w:val="center"/>
              <w:rPr>
                <w:snapToGrid w:val="0"/>
              </w:rPr>
            </w:pPr>
            <w:r>
              <w:rPr>
                <w:snapToGrid w:val="0"/>
              </w:rPr>
              <w:t>18.9</w:t>
            </w:r>
          </w:p>
        </w:tc>
        <w:tc>
          <w:tcPr>
            <w:tcW w:w="1220" w:type="dxa"/>
            <w:shd w:val="clear" w:color="auto" w:fill="auto"/>
          </w:tcPr>
          <w:p w14:paraId="4B0FBCB2" w14:textId="77777777" w:rsidR="00093440" w:rsidRPr="00ED3EB5" w:rsidRDefault="00093440" w:rsidP="0073003C">
            <w:pPr>
              <w:pStyle w:val="TableText"/>
              <w:keepNext/>
              <w:keepLines/>
              <w:spacing w:before="0" w:after="0" w:line="257" w:lineRule="auto"/>
              <w:jc w:val="center"/>
              <w:rPr>
                <w:snapToGrid w:val="0"/>
              </w:rPr>
            </w:pPr>
            <w:r>
              <w:rPr>
                <w:snapToGrid w:val="0"/>
              </w:rPr>
              <w:t>11.1</w:t>
            </w:r>
          </w:p>
        </w:tc>
        <w:tc>
          <w:tcPr>
            <w:tcW w:w="1220" w:type="dxa"/>
            <w:shd w:val="clear" w:color="auto" w:fill="auto"/>
          </w:tcPr>
          <w:p w14:paraId="35C6DE58" w14:textId="77777777" w:rsidR="00093440" w:rsidRPr="00ED3EB5" w:rsidRDefault="00093440" w:rsidP="0073003C">
            <w:pPr>
              <w:pStyle w:val="TableText"/>
              <w:keepNext/>
              <w:keepLines/>
              <w:spacing w:before="0" w:after="0" w:line="257" w:lineRule="auto"/>
              <w:jc w:val="center"/>
              <w:rPr>
                <w:snapToGrid w:val="0"/>
              </w:rPr>
            </w:pPr>
            <w:r>
              <w:rPr>
                <w:snapToGrid w:val="0"/>
              </w:rPr>
              <w:t>22.4</w:t>
            </w:r>
          </w:p>
        </w:tc>
        <w:tc>
          <w:tcPr>
            <w:tcW w:w="1220" w:type="dxa"/>
            <w:shd w:val="clear" w:color="auto" w:fill="auto"/>
          </w:tcPr>
          <w:p w14:paraId="294CA791" w14:textId="77777777" w:rsidR="00093440" w:rsidRPr="00ED3EB5" w:rsidRDefault="00093440" w:rsidP="0073003C">
            <w:pPr>
              <w:pStyle w:val="TableText"/>
              <w:keepNext/>
              <w:keepLines/>
              <w:spacing w:before="0" w:after="0" w:line="257" w:lineRule="auto"/>
              <w:jc w:val="center"/>
              <w:rPr>
                <w:snapToGrid w:val="0"/>
              </w:rPr>
            </w:pPr>
            <w:r>
              <w:rPr>
                <w:snapToGrid w:val="0"/>
              </w:rPr>
              <w:t>90.5</w:t>
            </w:r>
          </w:p>
        </w:tc>
        <w:tc>
          <w:tcPr>
            <w:tcW w:w="1220" w:type="dxa"/>
            <w:shd w:val="clear" w:color="auto" w:fill="auto"/>
          </w:tcPr>
          <w:p w14:paraId="7CC53818" w14:textId="77777777" w:rsidR="00093440" w:rsidRPr="00ED3EB5" w:rsidRDefault="00093440" w:rsidP="0073003C">
            <w:pPr>
              <w:pStyle w:val="TableText"/>
              <w:keepNext/>
              <w:keepLines/>
              <w:spacing w:before="0" w:after="0" w:line="257" w:lineRule="auto"/>
              <w:jc w:val="center"/>
              <w:rPr>
                <w:snapToGrid w:val="0"/>
              </w:rPr>
            </w:pPr>
            <w:r>
              <w:rPr>
                <w:snapToGrid w:val="0"/>
              </w:rPr>
              <w:t>83.3</w:t>
            </w:r>
          </w:p>
        </w:tc>
      </w:tr>
      <w:tr w:rsidR="00093440" w:rsidRPr="00ED3EB5" w14:paraId="5526BBE0" w14:textId="77777777" w:rsidTr="00C9746C">
        <w:tc>
          <w:tcPr>
            <w:tcW w:w="1701" w:type="dxa"/>
            <w:shd w:val="clear" w:color="auto" w:fill="auto"/>
          </w:tcPr>
          <w:p w14:paraId="3ED8EC6A" w14:textId="77777777" w:rsidR="00093440" w:rsidRPr="00ED3EB5" w:rsidRDefault="00093440" w:rsidP="0073003C">
            <w:pPr>
              <w:pStyle w:val="TableText"/>
              <w:keepNext/>
              <w:keepLines/>
              <w:spacing w:before="0" w:after="0" w:line="257" w:lineRule="auto"/>
              <w:rPr>
                <w:snapToGrid w:val="0"/>
              </w:rPr>
            </w:pPr>
            <w:r w:rsidRPr="00634499">
              <w:rPr>
                <w:snapToGrid w:val="0"/>
              </w:rPr>
              <w:t>CPS ≥1</w:t>
            </w:r>
            <w:r>
              <w:rPr>
                <w:snapToGrid w:val="0"/>
              </w:rPr>
              <w:t>0</w:t>
            </w:r>
          </w:p>
        </w:tc>
        <w:tc>
          <w:tcPr>
            <w:tcW w:w="1220" w:type="dxa"/>
            <w:shd w:val="clear" w:color="auto" w:fill="auto"/>
          </w:tcPr>
          <w:p w14:paraId="22F274FA" w14:textId="77777777" w:rsidR="00093440" w:rsidRPr="00ED3EB5" w:rsidRDefault="00093440" w:rsidP="0073003C">
            <w:pPr>
              <w:pStyle w:val="TableText"/>
              <w:keepNext/>
              <w:keepLines/>
              <w:spacing w:before="0" w:after="0" w:line="257" w:lineRule="auto"/>
              <w:jc w:val="center"/>
              <w:rPr>
                <w:snapToGrid w:val="0"/>
              </w:rPr>
            </w:pPr>
            <w:r>
              <w:rPr>
                <w:snapToGrid w:val="0"/>
              </w:rPr>
              <w:t>74.5</w:t>
            </w:r>
          </w:p>
        </w:tc>
        <w:tc>
          <w:tcPr>
            <w:tcW w:w="1220" w:type="dxa"/>
            <w:shd w:val="clear" w:color="auto" w:fill="auto"/>
          </w:tcPr>
          <w:p w14:paraId="4A7E65D3" w14:textId="77777777" w:rsidR="00093440" w:rsidRPr="00ED3EB5" w:rsidRDefault="00093440" w:rsidP="0073003C">
            <w:pPr>
              <w:pStyle w:val="TableText"/>
              <w:keepNext/>
              <w:keepLines/>
              <w:spacing w:before="0" w:after="0" w:line="257" w:lineRule="auto"/>
              <w:jc w:val="center"/>
              <w:rPr>
                <w:snapToGrid w:val="0"/>
              </w:rPr>
            </w:pPr>
            <w:r>
              <w:rPr>
                <w:snapToGrid w:val="0"/>
              </w:rPr>
              <w:t>45.8</w:t>
            </w:r>
          </w:p>
        </w:tc>
        <w:tc>
          <w:tcPr>
            <w:tcW w:w="1220" w:type="dxa"/>
            <w:shd w:val="clear" w:color="auto" w:fill="auto"/>
          </w:tcPr>
          <w:p w14:paraId="6E1522AC" w14:textId="77777777" w:rsidR="00093440" w:rsidRPr="00ED3EB5" w:rsidRDefault="00093440" w:rsidP="0073003C">
            <w:pPr>
              <w:pStyle w:val="TableText"/>
              <w:keepNext/>
              <w:keepLines/>
              <w:spacing w:before="0" w:after="0" w:line="257" w:lineRule="auto"/>
              <w:jc w:val="center"/>
              <w:rPr>
                <w:snapToGrid w:val="0"/>
              </w:rPr>
            </w:pPr>
            <w:r>
              <w:rPr>
                <w:snapToGrid w:val="0"/>
              </w:rPr>
              <w:t>20.3</w:t>
            </w:r>
          </w:p>
        </w:tc>
        <w:tc>
          <w:tcPr>
            <w:tcW w:w="1220" w:type="dxa"/>
            <w:shd w:val="clear" w:color="auto" w:fill="auto"/>
          </w:tcPr>
          <w:p w14:paraId="3BE00437" w14:textId="77777777" w:rsidR="00093440" w:rsidRPr="00ED3EB5" w:rsidRDefault="00093440" w:rsidP="0073003C">
            <w:pPr>
              <w:pStyle w:val="TableText"/>
              <w:keepNext/>
              <w:keepLines/>
              <w:spacing w:before="0" w:after="0" w:line="257" w:lineRule="auto"/>
              <w:jc w:val="center"/>
              <w:rPr>
                <w:snapToGrid w:val="0"/>
              </w:rPr>
            </w:pPr>
            <w:r>
              <w:rPr>
                <w:snapToGrid w:val="0"/>
              </w:rPr>
              <w:t>25.9</w:t>
            </w:r>
          </w:p>
        </w:tc>
        <w:tc>
          <w:tcPr>
            <w:tcW w:w="1220" w:type="dxa"/>
            <w:shd w:val="clear" w:color="auto" w:fill="auto"/>
          </w:tcPr>
          <w:p w14:paraId="1C0E82D5" w14:textId="77777777" w:rsidR="00093440" w:rsidRPr="00ED3EB5" w:rsidRDefault="00093440" w:rsidP="0073003C">
            <w:pPr>
              <w:pStyle w:val="TableText"/>
              <w:keepNext/>
              <w:keepLines/>
              <w:spacing w:before="0" w:after="0" w:line="257" w:lineRule="auto"/>
              <w:jc w:val="center"/>
              <w:rPr>
                <w:snapToGrid w:val="0"/>
              </w:rPr>
            </w:pPr>
            <w:r>
              <w:rPr>
                <w:snapToGrid w:val="0"/>
              </w:rPr>
              <w:t>87.6</w:t>
            </w:r>
          </w:p>
        </w:tc>
        <w:tc>
          <w:tcPr>
            <w:tcW w:w="1220" w:type="dxa"/>
            <w:shd w:val="clear" w:color="auto" w:fill="auto"/>
          </w:tcPr>
          <w:p w14:paraId="73BDD87A" w14:textId="77777777" w:rsidR="00093440" w:rsidRPr="00ED3EB5" w:rsidRDefault="00093440" w:rsidP="0073003C">
            <w:pPr>
              <w:pStyle w:val="TableText"/>
              <w:keepNext/>
              <w:keepLines/>
              <w:spacing w:before="0" w:after="0" w:line="257" w:lineRule="auto"/>
              <w:jc w:val="center"/>
              <w:rPr>
                <w:snapToGrid w:val="0"/>
              </w:rPr>
            </w:pPr>
            <w:r>
              <w:rPr>
                <w:snapToGrid w:val="0"/>
              </w:rPr>
              <w:t>58.3</w:t>
            </w:r>
          </w:p>
        </w:tc>
      </w:tr>
      <w:tr w:rsidR="00093440" w:rsidRPr="00ED3EB5" w14:paraId="3B00EE28" w14:textId="77777777" w:rsidTr="00C9746C">
        <w:tc>
          <w:tcPr>
            <w:tcW w:w="1701" w:type="dxa"/>
            <w:shd w:val="clear" w:color="auto" w:fill="auto"/>
          </w:tcPr>
          <w:p w14:paraId="4A026E72"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20</w:t>
            </w:r>
          </w:p>
        </w:tc>
        <w:tc>
          <w:tcPr>
            <w:tcW w:w="1220" w:type="dxa"/>
            <w:shd w:val="clear" w:color="auto" w:fill="auto"/>
          </w:tcPr>
          <w:p w14:paraId="5A53DEBC" w14:textId="77777777" w:rsidR="00093440" w:rsidRPr="00ED3EB5" w:rsidRDefault="00093440" w:rsidP="0073003C">
            <w:pPr>
              <w:pStyle w:val="TableText"/>
              <w:keepNext/>
              <w:keepLines/>
              <w:spacing w:before="0" w:after="0" w:line="257" w:lineRule="auto"/>
              <w:jc w:val="center"/>
              <w:rPr>
                <w:snapToGrid w:val="0"/>
              </w:rPr>
            </w:pPr>
            <w:r>
              <w:rPr>
                <w:snapToGrid w:val="0"/>
              </w:rPr>
              <w:t>66.7</w:t>
            </w:r>
          </w:p>
        </w:tc>
        <w:tc>
          <w:tcPr>
            <w:tcW w:w="1220" w:type="dxa"/>
            <w:shd w:val="clear" w:color="auto" w:fill="auto"/>
          </w:tcPr>
          <w:p w14:paraId="5E94AB89" w14:textId="77777777" w:rsidR="00093440" w:rsidRPr="00ED3EB5" w:rsidRDefault="00093440" w:rsidP="0073003C">
            <w:pPr>
              <w:pStyle w:val="TableText"/>
              <w:keepNext/>
              <w:keepLines/>
              <w:spacing w:before="0" w:after="0" w:line="257" w:lineRule="auto"/>
              <w:jc w:val="center"/>
              <w:rPr>
                <w:snapToGrid w:val="0"/>
              </w:rPr>
            </w:pPr>
            <w:r>
              <w:rPr>
                <w:snapToGrid w:val="0"/>
              </w:rPr>
              <w:t>54.2</w:t>
            </w:r>
          </w:p>
        </w:tc>
        <w:tc>
          <w:tcPr>
            <w:tcW w:w="1220" w:type="dxa"/>
            <w:shd w:val="clear" w:color="auto" w:fill="auto"/>
          </w:tcPr>
          <w:p w14:paraId="08858D6D" w14:textId="77777777" w:rsidR="00093440" w:rsidRPr="00ED3EB5" w:rsidRDefault="00093440" w:rsidP="0073003C">
            <w:pPr>
              <w:pStyle w:val="TableText"/>
              <w:keepNext/>
              <w:keepLines/>
              <w:spacing w:before="0" w:after="0" w:line="257" w:lineRule="auto"/>
              <w:jc w:val="center"/>
              <w:rPr>
                <w:snapToGrid w:val="0"/>
              </w:rPr>
            </w:pPr>
            <w:r>
              <w:rPr>
                <w:snapToGrid w:val="0"/>
              </w:rPr>
              <w:t>20.9</w:t>
            </w:r>
          </w:p>
        </w:tc>
        <w:tc>
          <w:tcPr>
            <w:tcW w:w="1220" w:type="dxa"/>
            <w:shd w:val="clear" w:color="auto" w:fill="auto"/>
          </w:tcPr>
          <w:p w14:paraId="068F3C3C" w14:textId="77777777" w:rsidR="00093440" w:rsidRPr="00ED3EB5" w:rsidRDefault="00093440" w:rsidP="0073003C">
            <w:pPr>
              <w:pStyle w:val="TableText"/>
              <w:keepNext/>
              <w:keepLines/>
              <w:spacing w:before="0" w:after="0" w:line="257" w:lineRule="auto"/>
              <w:jc w:val="center"/>
              <w:rPr>
                <w:snapToGrid w:val="0"/>
              </w:rPr>
            </w:pPr>
            <w:r>
              <w:rPr>
                <w:snapToGrid w:val="0"/>
              </w:rPr>
              <w:t>27.0</w:t>
            </w:r>
          </w:p>
        </w:tc>
        <w:tc>
          <w:tcPr>
            <w:tcW w:w="1220" w:type="dxa"/>
            <w:shd w:val="clear" w:color="auto" w:fill="auto"/>
          </w:tcPr>
          <w:p w14:paraId="40066EA9" w14:textId="77777777" w:rsidR="00093440" w:rsidRPr="00ED3EB5" w:rsidRDefault="00093440" w:rsidP="0073003C">
            <w:pPr>
              <w:pStyle w:val="TableText"/>
              <w:keepNext/>
              <w:keepLines/>
              <w:spacing w:before="0" w:after="0" w:line="257" w:lineRule="auto"/>
              <w:jc w:val="center"/>
              <w:rPr>
                <w:snapToGrid w:val="0"/>
              </w:rPr>
            </w:pPr>
            <w:r>
              <w:rPr>
                <w:snapToGrid w:val="0"/>
              </w:rPr>
              <w:t>86.5</w:t>
            </w:r>
          </w:p>
        </w:tc>
        <w:tc>
          <w:tcPr>
            <w:tcW w:w="1220" w:type="dxa"/>
            <w:shd w:val="clear" w:color="auto" w:fill="auto"/>
          </w:tcPr>
          <w:p w14:paraId="51D03152" w14:textId="77777777" w:rsidR="00093440" w:rsidRPr="00ED3EB5" w:rsidRDefault="00093440" w:rsidP="0073003C">
            <w:pPr>
              <w:pStyle w:val="TableText"/>
              <w:keepNext/>
              <w:keepLines/>
              <w:spacing w:before="0" w:after="0" w:line="257" w:lineRule="auto"/>
              <w:jc w:val="center"/>
              <w:rPr>
                <w:snapToGrid w:val="0"/>
              </w:rPr>
            </w:pPr>
            <w:r>
              <w:rPr>
                <w:snapToGrid w:val="0"/>
              </w:rPr>
              <w:t>50.0</w:t>
            </w:r>
          </w:p>
        </w:tc>
      </w:tr>
      <w:tr w:rsidR="00093440" w:rsidRPr="00ED3EB5" w14:paraId="57A95259" w14:textId="77777777" w:rsidTr="00C9746C">
        <w:tc>
          <w:tcPr>
            <w:tcW w:w="1701" w:type="dxa"/>
            <w:shd w:val="clear" w:color="auto" w:fill="auto"/>
          </w:tcPr>
          <w:p w14:paraId="2DBD466E"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30</w:t>
            </w:r>
          </w:p>
        </w:tc>
        <w:tc>
          <w:tcPr>
            <w:tcW w:w="1220" w:type="dxa"/>
            <w:shd w:val="clear" w:color="auto" w:fill="auto"/>
          </w:tcPr>
          <w:p w14:paraId="5143B1E4" w14:textId="77777777" w:rsidR="00093440" w:rsidRPr="00ED3EB5" w:rsidRDefault="00093440" w:rsidP="0073003C">
            <w:pPr>
              <w:pStyle w:val="TableText"/>
              <w:keepNext/>
              <w:keepLines/>
              <w:spacing w:before="0" w:after="0" w:line="257" w:lineRule="auto"/>
              <w:jc w:val="center"/>
              <w:rPr>
                <w:snapToGrid w:val="0"/>
              </w:rPr>
            </w:pPr>
            <w:r>
              <w:rPr>
                <w:snapToGrid w:val="0"/>
              </w:rPr>
              <w:t>58.8</w:t>
            </w:r>
          </w:p>
        </w:tc>
        <w:tc>
          <w:tcPr>
            <w:tcW w:w="1220" w:type="dxa"/>
            <w:shd w:val="clear" w:color="auto" w:fill="auto"/>
          </w:tcPr>
          <w:p w14:paraId="2D0C600E" w14:textId="77777777" w:rsidR="00093440" w:rsidRPr="00ED3EB5" w:rsidRDefault="00093440" w:rsidP="0073003C">
            <w:pPr>
              <w:pStyle w:val="TableText"/>
              <w:keepNext/>
              <w:keepLines/>
              <w:spacing w:before="0" w:after="0" w:line="257" w:lineRule="auto"/>
              <w:jc w:val="center"/>
              <w:rPr>
                <w:snapToGrid w:val="0"/>
              </w:rPr>
            </w:pPr>
            <w:r>
              <w:rPr>
                <w:snapToGrid w:val="0"/>
              </w:rPr>
              <w:t>62.7</w:t>
            </w:r>
          </w:p>
        </w:tc>
        <w:tc>
          <w:tcPr>
            <w:tcW w:w="1220" w:type="dxa"/>
            <w:shd w:val="clear" w:color="auto" w:fill="auto"/>
          </w:tcPr>
          <w:p w14:paraId="4ECDC5F6" w14:textId="77777777" w:rsidR="00093440" w:rsidRPr="00ED3EB5" w:rsidRDefault="00093440" w:rsidP="0073003C">
            <w:pPr>
              <w:pStyle w:val="TableText"/>
              <w:keepNext/>
              <w:keepLines/>
              <w:spacing w:before="0" w:after="0" w:line="257" w:lineRule="auto"/>
              <w:jc w:val="center"/>
              <w:rPr>
                <w:snapToGrid w:val="0"/>
              </w:rPr>
            </w:pPr>
            <w:r>
              <w:rPr>
                <w:snapToGrid w:val="0"/>
              </w:rPr>
              <w:t>21.5</w:t>
            </w:r>
          </w:p>
        </w:tc>
        <w:tc>
          <w:tcPr>
            <w:tcW w:w="1220" w:type="dxa"/>
            <w:shd w:val="clear" w:color="auto" w:fill="auto"/>
          </w:tcPr>
          <w:p w14:paraId="47305625" w14:textId="77777777" w:rsidR="00093440" w:rsidRPr="00ED3EB5" w:rsidRDefault="00093440" w:rsidP="0073003C">
            <w:pPr>
              <w:pStyle w:val="TableText"/>
              <w:keepNext/>
              <w:keepLines/>
              <w:spacing w:before="0" w:after="0" w:line="257" w:lineRule="auto"/>
              <w:jc w:val="center"/>
              <w:rPr>
                <w:snapToGrid w:val="0"/>
              </w:rPr>
            </w:pPr>
            <w:r>
              <w:rPr>
                <w:snapToGrid w:val="0"/>
              </w:rPr>
              <w:t>28.6</w:t>
            </w:r>
          </w:p>
        </w:tc>
        <w:tc>
          <w:tcPr>
            <w:tcW w:w="1220" w:type="dxa"/>
            <w:shd w:val="clear" w:color="auto" w:fill="auto"/>
          </w:tcPr>
          <w:p w14:paraId="246592E0" w14:textId="77777777" w:rsidR="00093440" w:rsidRPr="00ED3EB5" w:rsidRDefault="00093440" w:rsidP="0073003C">
            <w:pPr>
              <w:pStyle w:val="TableText"/>
              <w:keepNext/>
              <w:keepLines/>
              <w:spacing w:before="0" w:after="0" w:line="257" w:lineRule="auto"/>
              <w:jc w:val="center"/>
              <w:rPr>
                <w:snapToGrid w:val="0"/>
              </w:rPr>
            </w:pPr>
            <w:r>
              <w:rPr>
                <w:snapToGrid w:val="0"/>
              </w:rPr>
              <w:t>85.7</w:t>
            </w:r>
          </w:p>
        </w:tc>
        <w:tc>
          <w:tcPr>
            <w:tcW w:w="1220" w:type="dxa"/>
            <w:shd w:val="clear" w:color="auto" w:fill="auto"/>
          </w:tcPr>
          <w:p w14:paraId="67C04F26" w14:textId="77777777" w:rsidR="00093440" w:rsidRPr="00ED3EB5" w:rsidRDefault="00093440" w:rsidP="0073003C">
            <w:pPr>
              <w:pStyle w:val="TableText"/>
              <w:keepNext/>
              <w:keepLines/>
              <w:spacing w:before="0" w:after="0" w:line="257" w:lineRule="auto"/>
              <w:jc w:val="center"/>
              <w:rPr>
                <w:snapToGrid w:val="0"/>
              </w:rPr>
            </w:pPr>
            <w:r>
              <w:rPr>
                <w:snapToGrid w:val="0"/>
              </w:rPr>
              <w:t>41.7</w:t>
            </w:r>
          </w:p>
        </w:tc>
      </w:tr>
      <w:tr w:rsidR="00093440" w:rsidRPr="00ED3EB5" w14:paraId="26237706" w14:textId="77777777" w:rsidTr="00C9746C">
        <w:tc>
          <w:tcPr>
            <w:tcW w:w="1701" w:type="dxa"/>
            <w:shd w:val="clear" w:color="auto" w:fill="auto"/>
          </w:tcPr>
          <w:p w14:paraId="15C90F9A"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40</w:t>
            </w:r>
          </w:p>
        </w:tc>
        <w:tc>
          <w:tcPr>
            <w:tcW w:w="1220" w:type="dxa"/>
            <w:shd w:val="clear" w:color="auto" w:fill="auto"/>
          </w:tcPr>
          <w:p w14:paraId="5D6856AB" w14:textId="77777777" w:rsidR="00093440" w:rsidRPr="00ED3EB5" w:rsidRDefault="00093440" w:rsidP="0073003C">
            <w:pPr>
              <w:pStyle w:val="TableText"/>
              <w:keepNext/>
              <w:keepLines/>
              <w:spacing w:before="0" w:after="0" w:line="257" w:lineRule="auto"/>
              <w:jc w:val="center"/>
              <w:rPr>
                <w:snapToGrid w:val="0"/>
              </w:rPr>
            </w:pPr>
            <w:r>
              <w:rPr>
                <w:snapToGrid w:val="0"/>
              </w:rPr>
              <w:t>49.0</w:t>
            </w:r>
          </w:p>
        </w:tc>
        <w:tc>
          <w:tcPr>
            <w:tcW w:w="1220" w:type="dxa"/>
            <w:shd w:val="clear" w:color="auto" w:fill="auto"/>
          </w:tcPr>
          <w:p w14:paraId="06D1C227" w14:textId="77777777" w:rsidR="00093440" w:rsidRPr="00ED3EB5" w:rsidRDefault="00093440" w:rsidP="0073003C">
            <w:pPr>
              <w:pStyle w:val="TableText"/>
              <w:keepNext/>
              <w:keepLines/>
              <w:spacing w:before="0" w:after="0" w:line="257" w:lineRule="auto"/>
              <w:jc w:val="center"/>
              <w:rPr>
                <w:snapToGrid w:val="0"/>
              </w:rPr>
            </w:pPr>
            <w:r>
              <w:rPr>
                <w:snapToGrid w:val="0"/>
              </w:rPr>
              <w:t>69.7</w:t>
            </w:r>
          </w:p>
        </w:tc>
        <w:tc>
          <w:tcPr>
            <w:tcW w:w="1220" w:type="dxa"/>
            <w:shd w:val="clear" w:color="auto" w:fill="auto"/>
          </w:tcPr>
          <w:p w14:paraId="38121874" w14:textId="77777777" w:rsidR="00093440" w:rsidRPr="00ED3EB5" w:rsidRDefault="00093440" w:rsidP="0073003C">
            <w:pPr>
              <w:pStyle w:val="TableText"/>
              <w:keepNext/>
              <w:keepLines/>
              <w:spacing w:before="0" w:after="0" w:line="257" w:lineRule="auto"/>
              <w:jc w:val="center"/>
              <w:rPr>
                <w:snapToGrid w:val="0"/>
              </w:rPr>
            </w:pPr>
            <w:r>
              <w:rPr>
                <w:snapToGrid w:val="0"/>
              </w:rPr>
              <w:t>18.7</w:t>
            </w:r>
          </w:p>
        </w:tc>
        <w:tc>
          <w:tcPr>
            <w:tcW w:w="1220" w:type="dxa"/>
            <w:shd w:val="clear" w:color="auto" w:fill="auto"/>
          </w:tcPr>
          <w:p w14:paraId="2940DC27" w14:textId="77777777" w:rsidR="00093440" w:rsidRPr="00ED3EB5" w:rsidRDefault="00093440" w:rsidP="0073003C">
            <w:pPr>
              <w:pStyle w:val="TableText"/>
              <w:keepNext/>
              <w:keepLines/>
              <w:spacing w:before="0" w:after="0" w:line="257" w:lineRule="auto"/>
              <w:jc w:val="center"/>
              <w:rPr>
                <w:snapToGrid w:val="0"/>
              </w:rPr>
            </w:pPr>
            <w:r>
              <w:rPr>
                <w:snapToGrid w:val="0"/>
              </w:rPr>
              <w:t>29.1</w:t>
            </w:r>
          </w:p>
        </w:tc>
        <w:tc>
          <w:tcPr>
            <w:tcW w:w="1220" w:type="dxa"/>
            <w:shd w:val="clear" w:color="auto" w:fill="auto"/>
          </w:tcPr>
          <w:p w14:paraId="384A9EFB" w14:textId="77777777" w:rsidR="00093440" w:rsidRPr="00ED3EB5" w:rsidRDefault="00093440" w:rsidP="0073003C">
            <w:pPr>
              <w:pStyle w:val="TableText"/>
              <w:keepNext/>
              <w:keepLines/>
              <w:spacing w:before="0" w:after="0" w:line="257" w:lineRule="auto"/>
              <w:jc w:val="center"/>
              <w:rPr>
                <w:snapToGrid w:val="0"/>
              </w:rPr>
            </w:pPr>
            <w:r>
              <w:rPr>
                <w:snapToGrid w:val="0"/>
              </w:rPr>
              <w:t>84.3</w:t>
            </w:r>
          </w:p>
        </w:tc>
        <w:tc>
          <w:tcPr>
            <w:tcW w:w="1220" w:type="dxa"/>
            <w:shd w:val="clear" w:color="auto" w:fill="auto"/>
          </w:tcPr>
          <w:p w14:paraId="21C1E2B8" w14:textId="77777777" w:rsidR="00093440" w:rsidRPr="00ED3EB5" w:rsidRDefault="00093440" w:rsidP="0073003C">
            <w:pPr>
              <w:pStyle w:val="TableText"/>
              <w:keepNext/>
              <w:keepLines/>
              <w:spacing w:before="0" w:after="0" w:line="257" w:lineRule="auto"/>
              <w:jc w:val="center"/>
              <w:rPr>
                <w:snapToGrid w:val="0"/>
              </w:rPr>
            </w:pPr>
            <w:r>
              <w:rPr>
                <w:snapToGrid w:val="0"/>
              </w:rPr>
              <w:t>34.1</w:t>
            </w:r>
          </w:p>
        </w:tc>
      </w:tr>
      <w:tr w:rsidR="00093440" w:rsidRPr="00ED3EB5" w14:paraId="040584BE" w14:textId="77777777" w:rsidTr="00C9746C">
        <w:tc>
          <w:tcPr>
            <w:tcW w:w="1701" w:type="dxa"/>
            <w:shd w:val="clear" w:color="auto" w:fill="auto"/>
          </w:tcPr>
          <w:p w14:paraId="3999F447"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50</w:t>
            </w:r>
          </w:p>
        </w:tc>
        <w:tc>
          <w:tcPr>
            <w:tcW w:w="1220" w:type="dxa"/>
            <w:shd w:val="clear" w:color="auto" w:fill="auto"/>
          </w:tcPr>
          <w:p w14:paraId="623D0C20" w14:textId="77777777" w:rsidR="00093440" w:rsidRPr="00ED3EB5" w:rsidRDefault="00093440" w:rsidP="0073003C">
            <w:pPr>
              <w:pStyle w:val="TableText"/>
              <w:keepNext/>
              <w:keepLines/>
              <w:spacing w:before="0" w:after="0" w:line="257" w:lineRule="auto"/>
              <w:jc w:val="center"/>
              <w:rPr>
                <w:snapToGrid w:val="0"/>
              </w:rPr>
            </w:pPr>
            <w:r>
              <w:rPr>
                <w:snapToGrid w:val="0"/>
              </w:rPr>
              <w:t>43.1</w:t>
            </w:r>
          </w:p>
        </w:tc>
        <w:tc>
          <w:tcPr>
            <w:tcW w:w="1220" w:type="dxa"/>
            <w:shd w:val="clear" w:color="auto" w:fill="auto"/>
          </w:tcPr>
          <w:p w14:paraId="5B071AA3" w14:textId="77777777" w:rsidR="00093440" w:rsidRPr="00ED3EB5" w:rsidRDefault="00093440" w:rsidP="0073003C">
            <w:pPr>
              <w:pStyle w:val="TableText"/>
              <w:keepNext/>
              <w:keepLines/>
              <w:spacing w:before="0" w:after="0" w:line="257" w:lineRule="auto"/>
              <w:jc w:val="center"/>
              <w:rPr>
                <w:snapToGrid w:val="0"/>
              </w:rPr>
            </w:pPr>
            <w:r>
              <w:rPr>
                <w:snapToGrid w:val="0"/>
              </w:rPr>
              <w:t>74.1</w:t>
            </w:r>
          </w:p>
        </w:tc>
        <w:tc>
          <w:tcPr>
            <w:tcW w:w="1220" w:type="dxa"/>
            <w:shd w:val="clear" w:color="auto" w:fill="auto"/>
          </w:tcPr>
          <w:p w14:paraId="3A95D873" w14:textId="77777777" w:rsidR="00093440" w:rsidRPr="00ED3EB5" w:rsidRDefault="00093440" w:rsidP="0073003C">
            <w:pPr>
              <w:pStyle w:val="TableText"/>
              <w:keepNext/>
              <w:keepLines/>
              <w:spacing w:before="0" w:after="0" w:line="257" w:lineRule="auto"/>
              <w:jc w:val="center"/>
              <w:rPr>
                <w:snapToGrid w:val="0"/>
              </w:rPr>
            </w:pPr>
            <w:r>
              <w:rPr>
                <w:snapToGrid w:val="0"/>
              </w:rPr>
              <w:t>17.3</w:t>
            </w:r>
          </w:p>
        </w:tc>
        <w:tc>
          <w:tcPr>
            <w:tcW w:w="1220" w:type="dxa"/>
            <w:shd w:val="clear" w:color="auto" w:fill="auto"/>
          </w:tcPr>
          <w:p w14:paraId="219D8993" w14:textId="77777777" w:rsidR="00093440" w:rsidRPr="00ED3EB5" w:rsidRDefault="00093440" w:rsidP="0073003C">
            <w:pPr>
              <w:pStyle w:val="TableText"/>
              <w:keepNext/>
              <w:keepLines/>
              <w:spacing w:before="0" w:after="0" w:line="257" w:lineRule="auto"/>
              <w:jc w:val="center"/>
              <w:rPr>
                <w:snapToGrid w:val="0"/>
              </w:rPr>
            </w:pPr>
            <w:r>
              <w:rPr>
                <w:snapToGrid w:val="0"/>
              </w:rPr>
              <w:t>29.7</w:t>
            </w:r>
          </w:p>
        </w:tc>
        <w:tc>
          <w:tcPr>
            <w:tcW w:w="1220" w:type="dxa"/>
            <w:shd w:val="clear" w:color="auto" w:fill="auto"/>
          </w:tcPr>
          <w:p w14:paraId="33B37F0E" w14:textId="77777777" w:rsidR="00093440" w:rsidRPr="00ED3EB5" w:rsidRDefault="00093440" w:rsidP="0073003C">
            <w:pPr>
              <w:pStyle w:val="TableText"/>
              <w:keepNext/>
              <w:keepLines/>
              <w:spacing w:before="0" w:after="0" w:line="257" w:lineRule="auto"/>
              <w:jc w:val="center"/>
              <w:rPr>
                <w:snapToGrid w:val="0"/>
              </w:rPr>
            </w:pPr>
            <w:r>
              <w:rPr>
                <w:snapToGrid w:val="0"/>
              </w:rPr>
              <w:t>83.7</w:t>
            </w:r>
          </w:p>
        </w:tc>
        <w:tc>
          <w:tcPr>
            <w:tcW w:w="1220" w:type="dxa"/>
            <w:shd w:val="clear" w:color="auto" w:fill="auto"/>
          </w:tcPr>
          <w:p w14:paraId="081E0DD6" w14:textId="77777777" w:rsidR="00093440" w:rsidRPr="00ED3EB5" w:rsidRDefault="00093440" w:rsidP="0073003C">
            <w:pPr>
              <w:pStyle w:val="TableText"/>
              <w:keepNext/>
              <w:keepLines/>
              <w:spacing w:before="0" w:after="0" w:line="257" w:lineRule="auto"/>
              <w:jc w:val="center"/>
              <w:rPr>
                <w:snapToGrid w:val="0"/>
              </w:rPr>
            </w:pPr>
            <w:r>
              <w:rPr>
                <w:snapToGrid w:val="0"/>
              </w:rPr>
              <w:t>29.4</w:t>
            </w:r>
          </w:p>
        </w:tc>
      </w:tr>
      <w:tr w:rsidR="00093440" w:rsidRPr="00ED3EB5" w14:paraId="131396C2" w14:textId="77777777" w:rsidTr="00C9746C">
        <w:tc>
          <w:tcPr>
            <w:tcW w:w="1701" w:type="dxa"/>
            <w:shd w:val="clear" w:color="auto" w:fill="auto"/>
          </w:tcPr>
          <w:p w14:paraId="62C210C3" w14:textId="77777777" w:rsidR="00093440" w:rsidRPr="00ED3EB5" w:rsidRDefault="00093440" w:rsidP="0073003C">
            <w:pPr>
              <w:pStyle w:val="TableText"/>
              <w:keepNext/>
              <w:keepLines/>
              <w:spacing w:before="0" w:after="0" w:line="257" w:lineRule="auto"/>
              <w:rPr>
                <w:snapToGrid w:val="0"/>
              </w:rPr>
            </w:pPr>
            <w:r>
              <w:rPr>
                <w:snapToGrid w:val="0"/>
              </w:rPr>
              <w:t>TPS ≥1%</w:t>
            </w:r>
          </w:p>
        </w:tc>
        <w:tc>
          <w:tcPr>
            <w:tcW w:w="1220" w:type="dxa"/>
            <w:shd w:val="clear" w:color="auto" w:fill="auto"/>
          </w:tcPr>
          <w:p w14:paraId="4A09FB54" w14:textId="77777777" w:rsidR="00093440" w:rsidRPr="00ED3EB5" w:rsidRDefault="00093440" w:rsidP="0073003C">
            <w:pPr>
              <w:pStyle w:val="TableText"/>
              <w:keepNext/>
              <w:keepLines/>
              <w:spacing w:before="0" w:after="0" w:line="257" w:lineRule="auto"/>
              <w:jc w:val="center"/>
              <w:rPr>
                <w:snapToGrid w:val="0"/>
              </w:rPr>
            </w:pPr>
            <w:r>
              <w:rPr>
                <w:snapToGrid w:val="0"/>
              </w:rPr>
              <w:t>74.5</w:t>
            </w:r>
          </w:p>
        </w:tc>
        <w:tc>
          <w:tcPr>
            <w:tcW w:w="1220" w:type="dxa"/>
            <w:shd w:val="clear" w:color="auto" w:fill="auto"/>
          </w:tcPr>
          <w:p w14:paraId="7BFBB455" w14:textId="77777777" w:rsidR="00093440" w:rsidRPr="00ED3EB5" w:rsidRDefault="00093440" w:rsidP="0073003C">
            <w:pPr>
              <w:pStyle w:val="TableText"/>
              <w:keepNext/>
              <w:keepLines/>
              <w:spacing w:before="0" w:after="0" w:line="257" w:lineRule="auto"/>
              <w:jc w:val="center"/>
              <w:rPr>
                <w:snapToGrid w:val="0"/>
              </w:rPr>
            </w:pPr>
            <w:r>
              <w:rPr>
                <w:snapToGrid w:val="0"/>
              </w:rPr>
              <w:t>32.3</w:t>
            </w:r>
          </w:p>
        </w:tc>
        <w:tc>
          <w:tcPr>
            <w:tcW w:w="1220" w:type="dxa"/>
            <w:shd w:val="clear" w:color="auto" w:fill="auto"/>
          </w:tcPr>
          <w:p w14:paraId="02421386" w14:textId="77777777" w:rsidR="00093440" w:rsidRPr="00ED3EB5" w:rsidRDefault="00093440" w:rsidP="0073003C">
            <w:pPr>
              <w:pStyle w:val="TableText"/>
              <w:keepNext/>
              <w:keepLines/>
              <w:spacing w:before="0" w:after="0" w:line="257" w:lineRule="auto"/>
              <w:jc w:val="center"/>
              <w:rPr>
                <w:snapToGrid w:val="0"/>
              </w:rPr>
            </w:pPr>
            <w:r>
              <w:rPr>
                <w:snapToGrid w:val="0"/>
              </w:rPr>
              <w:t>6.8</w:t>
            </w:r>
          </w:p>
        </w:tc>
        <w:tc>
          <w:tcPr>
            <w:tcW w:w="1220" w:type="dxa"/>
            <w:shd w:val="clear" w:color="auto" w:fill="auto"/>
          </w:tcPr>
          <w:p w14:paraId="3BF3ABDC" w14:textId="77777777" w:rsidR="00093440" w:rsidRPr="00ED3EB5" w:rsidRDefault="00093440" w:rsidP="0073003C">
            <w:pPr>
              <w:pStyle w:val="TableText"/>
              <w:keepNext/>
              <w:keepLines/>
              <w:spacing w:before="0" w:after="0" w:line="257" w:lineRule="auto"/>
              <w:jc w:val="center"/>
              <w:rPr>
                <w:snapToGrid w:val="0"/>
              </w:rPr>
            </w:pPr>
            <w:r>
              <w:rPr>
                <w:snapToGrid w:val="0"/>
              </w:rPr>
              <w:t>21.8</w:t>
            </w:r>
          </w:p>
        </w:tc>
        <w:tc>
          <w:tcPr>
            <w:tcW w:w="1220" w:type="dxa"/>
            <w:shd w:val="clear" w:color="auto" w:fill="auto"/>
          </w:tcPr>
          <w:p w14:paraId="0E14E8E6" w14:textId="77777777" w:rsidR="00093440" w:rsidRPr="00ED3EB5" w:rsidRDefault="00093440" w:rsidP="0073003C">
            <w:pPr>
              <w:pStyle w:val="TableText"/>
              <w:keepNext/>
              <w:keepLines/>
              <w:spacing w:before="0" w:after="0" w:line="257" w:lineRule="auto"/>
              <w:jc w:val="center"/>
              <w:rPr>
                <w:snapToGrid w:val="0"/>
              </w:rPr>
            </w:pPr>
            <w:r>
              <w:rPr>
                <w:snapToGrid w:val="0"/>
              </w:rPr>
              <w:t>83.3</w:t>
            </w:r>
          </w:p>
        </w:tc>
        <w:tc>
          <w:tcPr>
            <w:tcW w:w="1220" w:type="dxa"/>
            <w:shd w:val="clear" w:color="auto" w:fill="auto"/>
          </w:tcPr>
          <w:p w14:paraId="53377F18" w14:textId="77777777" w:rsidR="00093440" w:rsidRPr="00ED3EB5" w:rsidRDefault="00093440" w:rsidP="0073003C">
            <w:pPr>
              <w:pStyle w:val="TableText"/>
              <w:keepNext/>
              <w:keepLines/>
              <w:spacing w:before="0" w:after="0" w:line="257" w:lineRule="auto"/>
              <w:jc w:val="center"/>
              <w:rPr>
                <w:snapToGrid w:val="0"/>
              </w:rPr>
            </w:pPr>
            <w:r>
              <w:rPr>
                <w:snapToGrid w:val="0"/>
              </w:rPr>
              <w:t>69.0</w:t>
            </w:r>
          </w:p>
        </w:tc>
      </w:tr>
      <w:tr w:rsidR="00093440" w:rsidRPr="00ED3EB5" w14:paraId="11781B08" w14:textId="77777777" w:rsidTr="00C9746C">
        <w:tc>
          <w:tcPr>
            <w:tcW w:w="1701" w:type="dxa"/>
            <w:shd w:val="clear" w:color="auto" w:fill="auto"/>
          </w:tcPr>
          <w:p w14:paraId="718B5E8D" w14:textId="77777777" w:rsidR="00093440" w:rsidRPr="00ED3EB5" w:rsidRDefault="00093440" w:rsidP="0073003C">
            <w:pPr>
              <w:pStyle w:val="TableText"/>
              <w:keepNext/>
              <w:keepLines/>
              <w:spacing w:before="0" w:after="0" w:line="257" w:lineRule="auto"/>
              <w:rPr>
                <w:snapToGrid w:val="0"/>
              </w:rPr>
            </w:pPr>
            <w:r w:rsidRPr="00833864">
              <w:rPr>
                <w:snapToGrid w:val="0"/>
              </w:rPr>
              <w:t>TPS ≥1</w:t>
            </w:r>
            <w:r>
              <w:rPr>
                <w:snapToGrid w:val="0"/>
              </w:rPr>
              <w:t>0</w:t>
            </w:r>
            <w:r w:rsidRPr="00833864">
              <w:rPr>
                <w:snapToGrid w:val="0"/>
              </w:rPr>
              <w:t>%</w:t>
            </w:r>
          </w:p>
        </w:tc>
        <w:tc>
          <w:tcPr>
            <w:tcW w:w="1220" w:type="dxa"/>
            <w:shd w:val="clear" w:color="auto" w:fill="auto"/>
          </w:tcPr>
          <w:p w14:paraId="0AB72B68" w14:textId="77777777" w:rsidR="00093440" w:rsidRPr="00ED3EB5" w:rsidRDefault="00093440" w:rsidP="0073003C">
            <w:pPr>
              <w:pStyle w:val="TableText"/>
              <w:keepNext/>
              <w:keepLines/>
              <w:spacing w:before="0" w:after="0" w:line="257" w:lineRule="auto"/>
              <w:jc w:val="center"/>
              <w:rPr>
                <w:snapToGrid w:val="0"/>
              </w:rPr>
            </w:pPr>
            <w:r>
              <w:rPr>
                <w:snapToGrid w:val="0"/>
              </w:rPr>
              <w:t>66.7</w:t>
            </w:r>
          </w:p>
        </w:tc>
        <w:tc>
          <w:tcPr>
            <w:tcW w:w="1220" w:type="dxa"/>
            <w:shd w:val="clear" w:color="auto" w:fill="auto"/>
          </w:tcPr>
          <w:p w14:paraId="3008E2B7" w14:textId="77777777" w:rsidR="00093440" w:rsidRPr="00ED3EB5" w:rsidRDefault="00093440" w:rsidP="0073003C">
            <w:pPr>
              <w:pStyle w:val="TableText"/>
              <w:keepNext/>
              <w:keepLines/>
              <w:spacing w:before="0" w:after="0" w:line="257" w:lineRule="auto"/>
              <w:jc w:val="center"/>
              <w:rPr>
                <w:snapToGrid w:val="0"/>
              </w:rPr>
            </w:pPr>
            <w:r>
              <w:rPr>
                <w:snapToGrid w:val="0"/>
              </w:rPr>
              <w:t>52.7</w:t>
            </w:r>
          </w:p>
        </w:tc>
        <w:tc>
          <w:tcPr>
            <w:tcW w:w="1220" w:type="dxa"/>
            <w:shd w:val="clear" w:color="auto" w:fill="auto"/>
          </w:tcPr>
          <w:p w14:paraId="5FEE4738" w14:textId="77777777" w:rsidR="00093440" w:rsidRPr="00ED3EB5" w:rsidRDefault="00093440" w:rsidP="0073003C">
            <w:pPr>
              <w:pStyle w:val="TableText"/>
              <w:keepNext/>
              <w:keepLines/>
              <w:spacing w:before="0" w:after="0" w:line="257" w:lineRule="auto"/>
              <w:jc w:val="center"/>
              <w:rPr>
                <w:snapToGrid w:val="0"/>
              </w:rPr>
            </w:pPr>
            <w:r>
              <w:rPr>
                <w:snapToGrid w:val="0"/>
              </w:rPr>
              <w:t>19.4</w:t>
            </w:r>
          </w:p>
        </w:tc>
        <w:tc>
          <w:tcPr>
            <w:tcW w:w="1220" w:type="dxa"/>
            <w:shd w:val="clear" w:color="auto" w:fill="auto"/>
          </w:tcPr>
          <w:p w14:paraId="532F06C9" w14:textId="77777777" w:rsidR="00093440" w:rsidRPr="00ED3EB5" w:rsidRDefault="00093440" w:rsidP="0073003C">
            <w:pPr>
              <w:pStyle w:val="TableText"/>
              <w:keepNext/>
              <w:keepLines/>
              <w:spacing w:before="0" w:after="0" w:line="257" w:lineRule="auto"/>
              <w:jc w:val="center"/>
              <w:rPr>
                <w:snapToGrid w:val="0"/>
              </w:rPr>
            </w:pPr>
            <w:r>
              <w:rPr>
                <w:snapToGrid w:val="0"/>
              </w:rPr>
              <w:t>26.4</w:t>
            </w:r>
          </w:p>
        </w:tc>
        <w:tc>
          <w:tcPr>
            <w:tcW w:w="1220" w:type="dxa"/>
            <w:shd w:val="clear" w:color="auto" w:fill="auto"/>
          </w:tcPr>
          <w:p w14:paraId="4E2425E2" w14:textId="77777777" w:rsidR="00093440" w:rsidRPr="00ED3EB5" w:rsidRDefault="00093440" w:rsidP="0073003C">
            <w:pPr>
              <w:pStyle w:val="TableText"/>
              <w:keepNext/>
              <w:keepLines/>
              <w:spacing w:before="0" w:after="0" w:line="257" w:lineRule="auto"/>
              <w:jc w:val="center"/>
              <w:rPr>
                <w:snapToGrid w:val="0"/>
              </w:rPr>
            </w:pPr>
            <w:r>
              <w:rPr>
                <w:snapToGrid w:val="0"/>
              </w:rPr>
              <w:t>86.2</w:t>
            </w:r>
          </w:p>
        </w:tc>
        <w:tc>
          <w:tcPr>
            <w:tcW w:w="1220" w:type="dxa"/>
            <w:shd w:val="clear" w:color="auto" w:fill="auto"/>
          </w:tcPr>
          <w:p w14:paraId="5BCE3946" w14:textId="77777777" w:rsidR="00093440" w:rsidRPr="00ED3EB5" w:rsidRDefault="00093440" w:rsidP="0073003C">
            <w:pPr>
              <w:pStyle w:val="TableText"/>
              <w:keepNext/>
              <w:keepLines/>
              <w:spacing w:before="0" w:after="0" w:line="257" w:lineRule="auto"/>
              <w:jc w:val="center"/>
              <w:rPr>
                <w:snapToGrid w:val="0"/>
              </w:rPr>
            </w:pPr>
            <w:r>
              <w:rPr>
                <w:snapToGrid w:val="0"/>
              </w:rPr>
              <w:t>51.2</w:t>
            </w:r>
          </w:p>
        </w:tc>
      </w:tr>
      <w:tr w:rsidR="00093440" w:rsidRPr="00ED3EB5" w14:paraId="01A4F409" w14:textId="77777777" w:rsidTr="00C9746C">
        <w:tc>
          <w:tcPr>
            <w:tcW w:w="1701" w:type="dxa"/>
            <w:shd w:val="clear" w:color="auto" w:fill="auto"/>
          </w:tcPr>
          <w:p w14:paraId="47B1CB43" w14:textId="77777777" w:rsidR="00093440" w:rsidRPr="00ED3EB5" w:rsidRDefault="00093440" w:rsidP="0073003C">
            <w:pPr>
              <w:pStyle w:val="TableText"/>
              <w:keepNext/>
              <w:keepLines/>
              <w:spacing w:before="0" w:after="0" w:line="257" w:lineRule="auto"/>
              <w:rPr>
                <w:snapToGrid w:val="0"/>
              </w:rPr>
            </w:pPr>
            <w:r w:rsidRPr="00833864">
              <w:rPr>
                <w:snapToGrid w:val="0"/>
              </w:rPr>
              <w:t>TPS ≥</w:t>
            </w:r>
            <w:r>
              <w:rPr>
                <w:snapToGrid w:val="0"/>
              </w:rPr>
              <w:t>20</w:t>
            </w:r>
            <w:r w:rsidRPr="00833864">
              <w:rPr>
                <w:snapToGrid w:val="0"/>
              </w:rPr>
              <w:t>%</w:t>
            </w:r>
          </w:p>
        </w:tc>
        <w:tc>
          <w:tcPr>
            <w:tcW w:w="1220" w:type="dxa"/>
            <w:shd w:val="clear" w:color="auto" w:fill="auto"/>
          </w:tcPr>
          <w:p w14:paraId="0ACF9C84" w14:textId="77777777" w:rsidR="00093440" w:rsidRPr="00ED3EB5" w:rsidRDefault="00093440" w:rsidP="0073003C">
            <w:pPr>
              <w:pStyle w:val="TableText"/>
              <w:keepNext/>
              <w:keepLines/>
              <w:spacing w:before="0" w:after="0" w:line="257" w:lineRule="auto"/>
              <w:jc w:val="center"/>
              <w:rPr>
                <w:snapToGrid w:val="0"/>
              </w:rPr>
            </w:pPr>
            <w:r>
              <w:rPr>
                <w:snapToGrid w:val="0"/>
              </w:rPr>
              <w:t>62.7</w:t>
            </w:r>
          </w:p>
        </w:tc>
        <w:tc>
          <w:tcPr>
            <w:tcW w:w="1220" w:type="dxa"/>
            <w:shd w:val="clear" w:color="auto" w:fill="auto"/>
          </w:tcPr>
          <w:p w14:paraId="59B418E4" w14:textId="77777777" w:rsidR="00093440" w:rsidRPr="00ED3EB5" w:rsidRDefault="00093440" w:rsidP="0073003C">
            <w:pPr>
              <w:pStyle w:val="TableText"/>
              <w:keepNext/>
              <w:keepLines/>
              <w:spacing w:before="0" w:after="0" w:line="257" w:lineRule="auto"/>
              <w:jc w:val="center"/>
              <w:rPr>
                <w:snapToGrid w:val="0"/>
              </w:rPr>
            </w:pPr>
            <w:r>
              <w:rPr>
                <w:snapToGrid w:val="0"/>
              </w:rPr>
              <w:t>59.2</w:t>
            </w:r>
          </w:p>
        </w:tc>
        <w:tc>
          <w:tcPr>
            <w:tcW w:w="1220" w:type="dxa"/>
            <w:shd w:val="clear" w:color="auto" w:fill="auto"/>
          </w:tcPr>
          <w:p w14:paraId="6D2BD1B8" w14:textId="77777777" w:rsidR="00093440" w:rsidRPr="00ED3EB5" w:rsidRDefault="00093440" w:rsidP="0073003C">
            <w:pPr>
              <w:pStyle w:val="TableText"/>
              <w:keepNext/>
              <w:keepLines/>
              <w:spacing w:before="0" w:after="0" w:line="257" w:lineRule="auto"/>
              <w:jc w:val="center"/>
              <w:rPr>
                <w:snapToGrid w:val="0"/>
              </w:rPr>
            </w:pPr>
            <w:r>
              <w:rPr>
                <w:snapToGrid w:val="0"/>
              </w:rPr>
              <w:t>21.9</w:t>
            </w:r>
          </w:p>
        </w:tc>
        <w:tc>
          <w:tcPr>
            <w:tcW w:w="1220" w:type="dxa"/>
            <w:shd w:val="clear" w:color="auto" w:fill="auto"/>
          </w:tcPr>
          <w:p w14:paraId="45197974" w14:textId="77777777" w:rsidR="00093440" w:rsidRPr="00ED3EB5" w:rsidRDefault="00093440" w:rsidP="0073003C">
            <w:pPr>
              <w:pStyle w:val="TableText"/>
              <w:keepNext/>
              <w:keepLines/>
              <w:spacing w:before="0" w:after="0" w:line="257" w:lineRule="auto"/>
              <w:jc w:val="center"/>
              <w:rPr>
                <w:snapToGrid w:val="0"/>
              </w:rPr>
            </w:pPr>
            <w:r>
              <w:rPr>
                <w:snapToGrid w:val="0"/>
              </w:rPr>
              <w:t>28.1</w:t>
            </w:r>
          </w:p>
        </w:tc>
        <w:tc>
          <w:tcPr>
            <w:tcW w:w="1220" w:type="dxa"/>
            <w:shd w:val="clear" w:color="auto" w:fill="auto"/>
          </w:tcPr>
          <w:p w14:paraId="7D55297C" w14:textId="77777777" w:rsidR="00093440" w:rsidRPr="00ED3EB5" w:rsidRDefault="00093440" w:rsidP="0073003C">
            <w:pPr>
              <w:pStyle w:val="TableText"/>
              <w:keepNext/>
              <w:keepLines/>
              <w:spacing w:before="0" w:after="0" w:line="257" w:lineRule="auto"/>
              <w:jc w:val="center"/>
              <w:rPr>
                <w:snapToGrid w:val="0"/>
              </w:rPr>
            </w:pPr>
            <w:r>
              <w:rPr>
                <w:snapToGrid w:val="0"/>
              </w:rPr>
              <w:t>86.2</w:t>
            </w:r>
          </w:p>
        </w:tc>
        <w:tc>
          <w:tcPr>
            <w:tcW w:w="1220" w:type="dxa"/>
            <w:shd w:val="clear" w:color="auto" w:fill="auto"/>
          </w:tcPr>
          <w:p w14:paraId="47256BCA" w14:textId="77777777" w:rsidR="00093440" w:rsidRPr="00ED3EB5" w:rsidRDefault="00093440" w:rsidP="0073003C">
            <w:pPr>
              <w:pStyle w:val="TableText"/>
              <w:keepNext/>
              <w:keepLines/>
              <w:spacing w:before="0" w:after="0" w:line="257" w:lineRule="auto"/>
              <w:jc w:val="center"/>
              <w:rPr>
                <w:snapToGrid w:val="0"/>
              </w:rPr>
            </w:pPr>
            <w:r>
              <w:rPr>
                <w:snapToGrid w:val="0"/>
              </w:rPr>
              <w:t>45.2</w:t>
            </w:r>
          </w:p>
        </w:tc>
      </w:tr>
      <w:tr w:rsidR="00093440" w:rsidRPr="00ED3EB5" w14:paraId="2FBFCFE1" w14:textId="77777777" w:rsidTr="00C9746C">
        <w:tc>
          <w:tcPr>
            <w:tcW w:w="1701" w:type="dxa"/>
            <w:shd w:val="clear" w:color="auto" w:fill="auto"/>
          </w:tcPr>
          <w:p w14:paraId="3032B3F8" w14:textId="77777777" w:rsidR="00093440" w:rsidRPr="00ED3EB5" w:rsidRDefault="00093440" w:rsidP="0073003C">
            <w:pPr>
              <w:pStyle w:val="TableText"/>
              <w:keepNext/>
              <w:keepLines/>
              <w:spacing w:before="0" w:after="0" w:line="257" w:lineRule="auto"/>
              <w:rPr>
                <w:snapToGrid w:val="0"/>
              </w:rPr>
            </w:pPr>
            <w:r w:rsidRPr="00833864">
              <w:rPr>
                <w:snapToGrid w:val="0"/>
              </w:rPr>
              <w:t>TPS ≥</w:t>
            </w:r>
            <w:r>
              <w:rPr>
                <w:snapToGrid w:val="0"/>
              </w:rPr>
              <w:t>30</w:t>
            </w:r>
            <w:r w:rsidRPr="00833864">
              <w:rPr>
                <w:snapToGrid w:val="0"/>
              </w:rPr>
              <w:t>%</w:t>
            </w:r>
          </w:p>
        </w:tc>
        <w:tc>
          <w:tcPr>
            <w:tcW w:w="1220" w:type="dxa"/>
            <w:shd w:val="clear" w:color="auto" w:fill="auto"/>
          </w:tcPr>
          <w:p w14:paraId="242EFB80" w14:textId="77777777" w:rsidR="00093440" w:rsidRPr="00ED3EB5" w:rsidRDefault="00093440" w:rsidP="0073003C">
            <w:pPr>
              <w:pStyle w:val="TableText"/>
              <w:keepNext/>
              <w:keepLines/>
              <w:spacing w:before="0" w:after="0" w:line="257" w:lineRule="auto"/>
              <w:jc w:val="center"/>
              <w:rPr>
                <w:snapToGrid w:val="0"/>
              </w:rPr>
            </w:pPr>
            <w:r>
              <w:rPr>
                <w:snapToGrid w:val="0"/>
              </w:rPr>
              <w:t>58.8</w:t>
            </w:r>
          </w:p>
        </w:tc>
        <w:tc>
          <w:tcPr>
            <w:tcW w:w="1220" w:type="dxa"/>
            <w:shd w:val="clear" w:color="auto" w:fill="auto"/>
          </w:tcPr>
          <w:p w14:paraId="39732AA4" w14:textId="77777777" w:rsidR="00093440" w:rsidRPr="00ED3EB5" w:rsidRDefault="00093440" w:rsidP="0073003C">
            <w:pPr>
              <w:pStyle w:val="TableText"/>
              <w:keepNext/>
              <w:keepLines/>
              <w:spacing w:before="0" w:after="0" w:line="257" w:lineRule="auto"/>
              <w:jc w:val="center"/>
              <w:rPr>
                <w:snapToGrid w:val="0"/>
              </w:rPr>
            </w:pPr>
            <w:r>
              <w:rPr>
                <w:snapToGrid w:val="0"/>
              </w:rPr>
              <w:t>65.2</w:t>
            </w:r>
          </w:p>
        </w:tc>
        <w:tc>
          <w:tcPr>
            <w:tcW w:w="1220" w:type="dxa"/>
            <w:shd w:val="clear" w:color="auto" w:fill="auto"/>
          </w:tcPr>
          <w:p w14:paraId="12379C33" w14:textId="77777777" w:rsidR="00093440" w:rsidRPr="00ED3EB5" w:rsidRDefault="00093440" w:rsidP="0073003C">
            <w:pPr>
              <w:pStyle w:val="TableText"/>
              <w:keepNext/>
              <w:keepLines/>
              <w:spacing w:before="0" w:after="0" w:line="257" w:lineRule="auto"/>
              <w:jc w:val="center"/>
              <w:rPr>
                <w:snapToGrid w:val="0"/>
              </w:rPr>
            </w:pPr>
            <w:r>
              <w:rPr>
                <w:snapToGrid w:val="0"/>
              </w:rPr>
              <w:t>24.0</w:t>
            </w:r>
          </w:p>
        </w:tc>
        <w:tc>
          <w:tcPr>
            <w:tcW w:w="1220" w:type="dxa"/>
            <w:shd w:val="clear" w:color="auto" w:fill="auto"/>
          </w:tcPr>
          <w:p w14:paraId="7A701EC0" w14:textId="77777777" w:rsidR="00093440" w:rsidRPr="00ED3EB5" w:rsidRDefault="00093440" w:rsidP="0073003C">
            <w:pPr>
              <w:pStyle w:val="TableText"/>
              <w:keepNext/>
              <w:keepLines/>
              <w:spacing w:before="0" w:after="0" w:line="257" w:lineRule="auto"/>
              <w:jc w:val="center"/>
              <w:rPr>
                <w:snapToGrid w:val="0"/>
              </w:rPr>
            </w:pPr>
            <w:r>
              <w:rPr>
                <w:snapToGrid w:val="0"/>
              </w:rPr>
              <w:t>30.0</w:t>
            </w:r>
          </w:p>
        </w:tc>
        <w:tc>
          <w:tcPr>
            <w:tcW w:w="1220" w:type="dxa"/>
            <w:shd w:val="clear" w:color="auto" w:fill="auto"/>
          </w:tcPr>
          <w:p w14:paraId="3A589DDE" w14:textId="77777777" w:rsidR="00093440" w:rsidRPr="00ED3EB5" w:rsidRDefault="00093440" w:rsidP="0073003C">
            <w:pPr>
              <w:pStyle w:val="TableText"/>
              <w:keepNext/>
              <w:keepLines/>
              <w:spacing w:before="0" w:after="0" w:line="257" w:lineRule="auto"/>
              <w:jc w:val="center"/>
              <w:rPr>
                <w:snapToGrid w:val="0"/>
              </w:rPr>
            </w:pPr>
            <w:r>
              <w:rPr>
                <w:snapToGrid w:val="0"/>
              </w:rPr>
              <w:t>86.2</w:t>
            </w:r>
          </w:p>
        </w:tc>
        <w:tc>
          <w:tcPr>
            <w:tcW w:w="1220" w:type="dxa"/>
            <w:shd w:val="clear" w:color="auto" w:fill="auto"/>
          </w:tcPr>
          <w:p w14:paraId="74AD19B3" w14:textId="77777777" w:rsidR="00093440" w:rsidRPr="00ED3EB5" w:rsidRDefault="00093440" w:rsidP="0073003C">
            <w:pPr>
              <w:pStyle w:val="TableText"/>
              <w:keepNext/>
              <w:keepLines/>
              <w:spacing w:before="0" w:after="0" w:line="257" w:lineRule="auto"/>
              <w:jc w:val="center"/>
              <w:rPr>
                <w:snapToGrid w:val="0"/>
              </w:rPr>
            </w:pPr>
            <w:r>
              <w:rPr>
                <w:snapToGrid w:val="0"/>
              </w:rPr>
              <w:t>39.7</w:t>
            </w:r>
          </w:p>
        </w:tc>
      </w:tr>
      <w:tr w:rsidR="00093440" w:rsidRPr="00ED3EB5" w14:paraId="02CD9445" w14:textId="77777777" w:rsidTr="00C9746C">
        <w:tc>
          <w:tcPr>
            <w:tcW w:w="1701" w:type="dxa"/>
            <w:shd w:val="clear" w:color="auto" w:fill="auto"/>
          </w:tcPr>
          <w:p w14:paraId="6C96BB49" w14:textId="77777777" w:rsidR="00093440" w:rsidRPr="00ED3EB5" w:rsidRDefault="00093440" w:rsidP="0073003C">
            <w:pPr>
              <w:pStyle w:val="TableText"/>
              <w:keepNext/>
              <w:keepLines/>
              <w:spacing w:before="0" w:after="0" w:line="257" w:lineRule="auto"/>
              <w:rPr>
                <w:snapToGrid w:val="0"/>
              </w:rPr>
            </w:pPr>
            <w:r w:rsidRPr="00833864">
              <w:rPr>
                <w:snapToGrid w:val="0"/>
              </w:rPr>
              <w:t>TPS ≥</w:t>
            </w:r>
            <w:r>
              <w:rPr>
                <w:snapToGrid w:val="0"/>
              </w:rPr>
              <w:t>40</w:t>
            </w:r>
            <w:r w:rsidRPr="00833864">
              <w:rPr>
                <w:snapToGrid w:val="0"/>
              </w:rPr>
              <w:t>%</w:t>
            </w:r>
          </w:p>
        </w:tc>
        <w:tc>
          <w:tcPr>
            <w:tcW w:w="1220" w:type="dxa"/>
            <w:shd w:val="clear" w:color="auto" w:fill="auto"/>
          </w:tcPr>
          <w:p w14:paraId="6D9BC379" w14:textId="77777777" w:rsidR="00093440" w:rsidRPr="00ED3EB5" w:rsidRDefault="00093440" w:rsidP="0073003C">
            <w:pPr>
              <w:pStyle w:val="TableText"/>
              <w:keepNext/>
              <w:keepLines/>
              <w:spacing w:before="0" w:after="0" w:line="257" w:lineRule="auto"/>
              <w:jc w:val="center"/>
              <w:rPr>
                <w:snapToGrid w:val="0"/>
              </w:rPr>
            </w:pPr>
            <w:r>
              <w:rPr>
                <w:snapToGrid w:val="0"/>
              </w:rPr>
              <w:t>45.1</w:t>
            </w:r>
          </w:p>
        </w:tc>
        <w:tc>
          <w:tcPr>
            <w:tcW w:w="1220" w:type="dxa"/>
            <w:shd w:val="clear" w:color="auto" w:fill="auto"/>
          </w:tcPr>
          <w:p w14:paraId="0BA6DECA" w14:textId="77777777" w:rsidR="00093440" w:rsidRPr="00ED3EB5" w:rsidRDefault="00093440" w:rsidP="0073003C">
            <w:pPr>
              <w:pStyle w:val="TableText"/>
              <w:keepNext/>
              <w:keepLines/>
              <w:spacing w:before="0" w:after="0" w:line="257" w:lineRule="auto"/>
              <w:jc w:val="center"/>
              <w:rPr>
                <w:snapToGrid w:val="0"/>
              </w:rPr>
            </w:pPr>
            <w:r>
              <w:rPr>
                <w:snapToGrid w:val="0"/>
              </w:rPr>
              <w:t>71.6</w:t>
            </w:r>
          </w:p>
        </w:tc>
        <w:tc>
          <w:tcPr>
            <w:tcW w:w="1220" w:type="dxa"/>
            <w:shd w:val="clear" w:color="auto" w:fill="auto"/>
          </w:tcPr>
          <w:p w14:paraId="1BBD992B" w14:textId="77777777" w:rsidR="00093440" w:rsidRPr="00ED3EB5" w:rsidRDefault="00093440" w:rsidP="0073003C">
            <w:pPr>
              <w:pStyle w:val="TableText"/>
              <w:keepNext/>
              <w:keepLines/>
              <w:spacing w:before="0" w:after="0" w:line="257" w:lineRule="auto"/>
              <w:jc w:val="center"/>
              <w:rPr>
                <w:snapToGrid w:val="0"/>
              </w:rPr>
            </w:pPr>
            <w:r>
              <w:rPr>
                <w:snapToGrid w:val="0"/>
              </w:rPr>
              <w:t>16.7</w:t>
            </w:r>
          </w:p>
        </w:tc>
        <w:tc>
          <w:tcPr>
            <w:tcW w:w="1220" w:type="dxa"/>
            <w:shd w:val="clear" w:color="auto" w:fill="auto"/>
          </w:tcPr>
          <w:p w14:paraId="53A9B96C" w14:textId="77777777" w:rsidR="00093440" w:rsidRPr="00ED3EB5" w:rsidRDefault="00093440" w:rsidP="0073003C">
            <w:pPr>
              <w:pStyle w:val="TableText"/>
              <w:keepNext/>
              <w:keepLines/>
              <w:spacing w:before="0" w:after="0" w:line="257" w:lineRule="auto"/>
              <w:jc w:val="center"/>
              <w:rPr>
                <w:snapToGrid w:val="0"/>
              </w:rPr>
            </w:pPr>
            <w:r>
              <w:rPr>
                <w:snapToGrid w:val="0"/>
              </w:rPr>
              <w:t>28.8</w:t>
            </w:r>
          </w:p>
        </w:tc>
        <w:tc>
          <w:tcPr>
            <w:tcW w:w="1220" w:type="dxa"/>
            <w:shd w:val="clear" w:color="auto" w:fill="auto"/>
          </w:tcPr>
          <w:p w14:paraId="313B43EB" w14:textId="77777777" w:rsidR="00093440" w:rsidRPr="00ED3EB5" w:rsidRDefault="00093440" w:rsidP="0073003C">
            <w:pPr>
              <w:pStyle w:val="TableText"/>
              <w:keepNext/>
              <w:keepLines/>
              <w:spacing w:before="0" w:after="0" w:line="257" w:lineRule="auto"/>
              <w:jc w:val="center"/>
              <w:rPr>
                <w:snapToGrid w:val="0"/>
              </w:rPr>
            </w:pPr>
            <w:r>
              <w:rPr>
                <w:snapToGrid w:val="0"/>
              </w:rPr>
              <w:t>83.7</w:t>
            </w:r>
          </w:p>
        </w:tc>
        <w:tc>
          <w:tcPr>
            <w:tcW w:w="1220" w:type="dxa"/>
            <w:shd w:val="clear" w:color="auto" w:fill="auto"/>
          </w:tcPr>
          <w:p w14:paraId="49A9667D" w14:textId="77777777" w:rsidR="00093440" w:rsidRPr="00ED3EB5" w:rsidRDefault="00093440" w:rsidP="0073003C">
            <w:pPr>
              <w:pStyle w:val="TableText"/>
              <w:keepNext/>
              <w:keepLines/>
              <w:spacing w:before="0" w:after="0" w:line="257" w:lineRule="auto"/>
              <w:jc w:val="center"/>
              <w:rPr>
                <w:snapToGrid w:val="0"/>
              </w:rPr>
            </w:pPr>
            <w:r>
              <w:rPr>
                <w:snapToGrid w:val="0"/>
              </w:rPr>
              <w:t>31.7</w:t>
            </w:r>
          </w:p>
        </w:tc>
      </w:tr>
      <w:tr w:rsidR="00093440" w:rsidRPr="00ED3EB5" w14:paraId="7E6B2462" w14:textId="77777777" w:rsidTr="00C9746C">
        <w:tc>
          <w:tcPr>
            <w:tcW w:w="1701" w:type="dxa"/>
            <w:shd w:val="clear" w:color="auto" w:fill="auto"/>
          </w:tcPr>
          <w:p w14:paraId="23BDB9CA" w14:textId="77777777" w:rsidR="00093440" w:rsidRPr="00833864" w:rsidRDefault="00093440" w:rsidP="0073003C">
            <w:pPr>
              <w:pStyle w:val="TableText"/>
              <w:keepNext/>
              <w:keepLines/>
              <w:spacing w:before="0" w:after="0" w:line="257" w:lineRule="auto"/>
              <w:rPr>
                <w:snapToGrid w:val="0"/>
              </w:rPr>
            </w:pPr>
            <w:r w:rsidRPr="00833864">
              <w:rPr>
                <w:snapToGrid w:val="0"/>
              </w:rPr>
              <w:t>TPS ≥</w:t>
            </w:r>
            <w:r>
              <w:rPr>
                <w:snapToGrid w:val="0"/>
              </w:rPr>
              <w:t>50</w:t>
            </w:r>
            <w:r w:rsidRPr="00833864">
              <w:rPr>
                <w:snapToGrid w:val="0"/>
              </w:rPr>
              <w:t>%</w:t>
            </w:r>
          </w:p>
        </w:tc>
        <w:tc>
          <w:tcPr>
            <w:tcW w:w="1220" w:type="dxa"/>
            <w:shd w:val="clear" w:color="auto" w:fill="auto"/>
          </w:tcPr>
          <w:p w14:paraId="408D3FFE" w14:textId="77777777" w:rsidR="00093440" w:rsidRPr="00ED3EB5" w:rsidRDefault="00093440" w:rsidP="0073003C">
            <w:pPr>
              <w:pStyle w:val="TableText"/>
              <w:keepNext/>
              <w:keepLines/>
              <w:spacing w:before="0" w:after="0" w:line="257" w:lineRule="auto"/>
              <w:jc w:val="center"/>
              <w:rPr>
                <w:snapToGrid w:val="0"/>
              </w:rPr>
            </w:pPr>
            <w:r>
              <w:rPr>
                <w:snapToGrid w:val="0"/>
              </w:rPr>
              <w:t>41.2</w:t>
            </w:r>
          </w:p>
        </w:tc>
        <w:tc>
          <w:tcPr>
            <w:tcW w:w="1220" w:type="dxa"/>
            <w:shd w:val="clear" w:color="auto" w:fill="auto"/>
          </w:tcPr>
          <w:p w14:paraId="05DCDA4E" w14:textId="77777777" w:rsidR="00093440" w:rsidRPr="00ED3EB5" w:rsidRDefault="00093440" w:rsidP="0073003C">
            <w:pPr>
              <w:pStyle w:val="TableText"/>
              <w:keepNext/>
              <w:keepLines/>
              <w:spacing w:before="0" w:after="0" w:line="257" w:lineRule="auto"/>
              <w:jc w:val="center"/>
              <w:rPr>
                <w:snapToGrid w:val="0"/>
              </w:rPr>
            </w:pPr>
            <w:r>
              <w:rPr>
                <w:snapToGrid w:val="0"/>
              </w:rPr>
              <w:t>75.6</w:t>
            </w:r>
          </w:p>
        </w:tc>
        <w:tc>
          <w:tcPr>
            <w:tcW w:w="1220" w:type="dxa"/>
            <w:shd w:val="clear" w:color="auto" w:fill="auto"/>
          </w:tcPr>
          <w:p w14:paraId="04AF8C73" w14:textId="77777777" w:rsidR="00093440" w:rsidRPr="00ED3EB5" w:rsidRDefault="00093440" w:rsidP="0073003C">
            <w:pPr>
              <w:pStyle w:val="TableText"/>
              <w:keepNext/>
              <w:keepLines/>
              <w:spacing w:before="0" w:after="0" w:line="257" w:lineRule="auto"/>
              <w:jc w:val="center"/>
              <w:rPr>
                <w:snapToGrid w:val="0"/>
              </w:rPr>
            </w:pPr>
            <w:r>
              <w:rPr>
                <w:snapToGrid w:val="0"/>
              </w:rPr>
              <w:t>16.8</w:t>
            </w:r>
          </w:p>
        </w:tc>
        <w:tc>
          <w:tcPr>
            <w:tcW w:w="1220" w:type="dxa"/>
            <w:shd w:val="clear" w:color="auto" w:fill="auto"/>
          </w:tcPr>
          <w:p w14:paraId="5DABCE66" w14:textId="77777777" w:rsidR="00093440" w:rsidRPr="00ED3EB5" w:rsidRDefault="00093440" w:rsidP="0073003C">
            <w:pPr>
              <w:pStyle w:val="TableText"/>
              <w:keepNext/>
              <w:keepLines/>
              <w:spacing w:before="0" w:after="0" w:line="257" w:lineRule="auto"/>
              <w:jc w:val="center"/>
              <w:rPr>
                <w:snapToGrid w:val="0"/>
              </w:rPr>
            </w:pPr>
            <w:r>
              <w:rPr>
                <w:snapToGrid w:val="0"/>
              </w:rPr>
              <w:t>30.0</w:t>
            </w:r>
          </w:p>
        </w:tc>
        <w:tc>
          <w:tcPr>
            <w:tcW w:w="1220" w:type="dxa"/>
            <w:shd w:val="clear" w:color="auto" w:fill="auto"/>
          </w:tcPr>
          <w:p w14:paraId="231A08DB" w14:textId="77777777" w:rsidR="00093440" w:rsidRPr="00ED3EB5" w:rsidRDefault="00093440" w:rsidP="0073003C">
            <w:pPr>
              <w:pStyle w:val="TableText"/>
              <w:keepNext/>
              <w:keepLines/>
              <w:spacing w:before="0" w:after="0" w:line="257" w:lineRule="auto"/>
              <w:jc w:val="center"/>
              <w:rPr>
                <w:snapToGrid w:val="0"/>
              </w:rPr>
            </w:pPr>
            <w:r>
              <w:rPr>
                <w:snapToGrid w:val="0"/>
              </w:rPr>
              <w:t>83.5</w:t>
            </w:r>
          </w:p>
        </w:tc>
        <w:tc>
          <w:tcPr>
            <w:tcW w:w="1220" w:type="dxa"/>
            <w:shd w:val="clear" w:color="auto" w:fill="auto"/>
          </w:tcPr>
          <w:p w14:paraId="38D27F51" w14:textId="77777777" w:rsidR="00093440" w:rsidRPr="00ED3EB5" w:rsidRDefault="00093440" w:rsidP="0073003C">
            <w:pPr>
              <w:pStyle w:val="TableText"/>
              <w:keepNext/>
              <w:keepLines/>
              <w:spacing w:before="0" w:after="0" w:line="257" w:lineRule="auto"/>
              <w:jc w:val="center"/>
              <w:rPr>
                <w:snapToGrid w:val="0"/>
              </w:rPr>
            </w:pPr>
            <w:r>
              <w:rPr>
                <w:snapToGrid w:val="0"/>
              </w:rPr>
              <w:t>27.8</w:t>
            </w:r>
          </w:p>
        </w:tc>
      </w:tr>
    </w:tbl>
    <w:p w14:paraId="6F5FBB42" w14:textId="77777777" w:rsidR="0073003C" w:rsidRDefault="00093440" w:rsidP="0073003C">
      <w:pPr>
        <w:pStyle w:val="TableFooter"/>
        <w:keepNext/>
        <w:keepLines/>
        <w:spacing w:after="0"/>
        <w:rPr>
          <w:b/>
          <w:snapToGrid/>
        </w:rPr>
      </w:pPr>
      <w:r>
        <w:t>CPS = combined positive score, NPV = negative predictive value, PPV = positive predictive value, TPS = tumour proportion score, YI = Youden Index</w:t>
      </w:r>
    </w:p>
    <w:p w14:paraId="469FD653" w14:textId="77777777" w:rsidR="0073003C" w:rsidRPr="00BA042F" w:rsidRDefault="00093440" w:rsidP="0073003C">
      <w:pPr>
        <w:pStyle w:val="TableFooter"/>
        <w:keepNext/>
        <w:keepLines/>
        <w:spacing w:after="0"/>
        <w:rPr>
          <w:szCs w:val="18"/>
        </w:rPr>
      </w:pPr>
      <w:r w:rsidRPr="0073003C">
        <w:t>Source: Table 2.9-3, p143 of the resubmission</w:t>
      </w:r>
      <w:bookmarkStart w:id="60" w:name="_Hlk88212601"/>
    </w:p>
    <w:bookmarkEnd w:id="60"/>
    <w:p w14:paraId="7CEE1806" w14:textId="77777777" w:rsidR="00093440" w:rsidRPr="0073003C" w:rsidRDefault="00093440" w:rsidP="0073003C">
      <w:pPr>
        <w:pStyle w:val="ListParagraph"/>
        <w:numPr>
          <w:ilvl w:val="4"/>
          <w:numId w:val="1"/>
        </w:numPr>
        <w:rPr>
          <w:iCs/>
        </w:rPr>
      </w:pPr>
      <w:r w:rsidRPr="0073003C">
        <w:rPr>
          <w:iCs/>
        </w:rPr>
        <w:t xml:space="preserve">The results for OS in the intention to treat (ITT) population and the CPS ≥1 and ≥20 subgroups </w:t>
      </w:r>
      <w:r w:rsidR="008D4F73" w:rsidRPr="0073003C">
        <w:rPr>
          <w:iCs/>
        </w:rPr>
        <w:t xml:space="preserve">and their complements </w:t>
      </w:r>
      <w:r w:rsidRPr="0073003C">
        <w:rPr>
          <w:iCs/>
        </w:rPr>
        <w:t xml:space="preserve">in KN048 are presented in </w:t>
      </w:r>
      <w:r w:rsidR="008D43ED" w:rsidRPr="008D43ED">
        <w:rPr>
          <w:iCs/>
        </w:rPr>
        <w:t>Table 14</w:t>
      </w:r>
      <w:r w:rsidRPr="0073003C">
        <w:rPr>
          <w:iCs/>
        </w:rPr>
        <w:t xml:space="preserve">. </w:t>
      </w:r>
    </w:p>
    <w:p w14:paraId="551C9145" w14:textId="77777777" w:rsidR="0073003C" w:rsidRDefault="0073003C" w:rsidP="0073003C">
      <w:pPr>
        <w:pStyle w:val="InstructionalText"/>
        <w:spacing w:before="0" w:after="0"/>
        <w:rPr>
          <w:rFonts w:cstheme="minorHAnsi"/>
          <w:i/>
          <w:iCs/>
          <w:color w:val="auto"/>
        </w:rPr>
      </w:pPr>
    </w:p>
    <w:p w14:paraId="43FDDDE8" w14:textId="77777777" w:rsidR="00093440" w:rsidRPr="00A24A89" w:rsidRDefault="00093440" w:rsidP="00024DCD">
      <w:pPr>
        <w:pStyle w:val="Caption"/>
      </w:pPr>
      <w:bookmarkStart w:id="61" w:name="_Ref86738165"/>
      <w:bookmarkStart w:id="62" w:name="_Hlk84582333"/>
      <w:r>
        <w:lastRenderedPageBreak/>
        <w:t xml:space="preserve">Table </w:t>
      </w:r>
      <w:r w:rsidR="008D43ED">
        <w:rPr>
          <w:noProof/>
        </w:rPr>
        <w:t>14</w:t>
      </w:r>
      <w:bookmarkEnd w:id="61"/>
      <w:r w:rsidR="00024DCD">
        <w:rPr>
          <w:noProof/>
        </w:rPr>
        <w:t>:</w:t>
      </w:r>
      <w:r w:rsidRPr="007F070F">
        <w:rPr>
          <w:snapToGrid w:val="0"/>
          <w:lang w:eastAsia="en-AU" w:bidi="en-US"/>
        </w:rPr>
        <w:tab/>
        <w:t>Overall survival for pembrolizumab ± chemotherapy vs cetuximab plus chemotherapy (KN048)</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Overall survival for pembrolizumab ± chemotherapy vs cetuximab plus chemotherapy (KN048)"/>
      </w:tblPr>
      <w:tblGrid>
        <w:gridCol w:w="1803"/>
        <w:gridCol w:w="1803"/>
        <w:gridCol w:w="1803"/>
        <w:gridCol w:w="1803"/>
        <w:gridCol w:w="1804"/>
      </w:tblGrid>
      <w:tr w:rsidR="00093440" w:rsidRPr="00BD789E" w14:paraId="37E1B0FA" w14:textId="77777777" w:rsidTr="0056423A">
        <w:trPr>
          <w:cnfStyle w:val="100000000000" w:firstRow="1" w:lastRow="0" w:firstColumn="0" w:lastColumn="0" w:oddVBand="0" w:evenVBand="0" w:oddHBand="0" w:evenHBand="0" w:firstRowFirstColumn="0" w:firstRowLastColumn="0" w:lastRowFirstColumn="0" w:lastRowLastColumn="0"/>
          <w:trHeight w:val="170"/>
          <w:tblHeader/>
        </w:trPr>
        <w:tc>
          <w:tcPr>
            <w:tcW w:w="1803" w:type="dxa"/>
            <w:shd w:val="clear" w:color="auto" w:fill="auto"/>
          </w:tcPr>
          <w:p w14:paraId="7D36DEF3" w14:textId="77777777" w:rsidR="00093440" w:rsidRPr="00BD789E" w:rsidRDefault="00093440" w:rsidP="00C9746C">
            <w:pPr>
              <w:keepNext/>
              <w:keepLines/>
              <w:spacing w:before="0"/>
              <w:rPr>
                <w:rFonts w:ascii="Arial Narrow" w:hAnsi="Arial Narrow"/>
                <w:sz w:val="20"/>
                <w:szCs w:val="20"/>
                <w:lang w:val="en-AU"/>
              </w:rPr>
            </w:pPr>
            <w:bookmarkStart w:id="63" w:name="_Hlk84583712"/>
          </w:p>
        </w:tc>
        <w:tc>
          <w:tcPr>
            <w:tcW w:w="3606" w:type="dxa"/>
            <w:gridSpan w:val="2"/>
            <w:shd w:val="clear" w:color="auto" w:fill="auto"/>
            <w:vAlign w:val="center"/>
          </w:tcPr>
          <w:p w14:paraId="3D14100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Previous submission</w:t>
            </w:r>
          </w:p>
        </w:tc>
        <w:tc>
          <w:tcPr>
            <w:tcW w:w="3607" w:type="dxa"/>
            <w:gridSpan w:val="2"/>
            <w:shd w:val="clear" w:color="auto" w:fill="auto"/>
            <w:vAlign w:val="center"/>
          </w:tcPr>
          <w:p w14:paraId="45B7D135"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Current resubmission (</w:t>
            </w:r>
            <w:proofErr w:type="gramStart"/>
            <w:r w:rsidRPr="00BD789E">
              <w:rPr>
                <w:rFonts w:ascii="Arial Narrow" w:hAnsi="Arial Narrow"/>
                <w:sz w:val="20"/>
                <w:szCs w:val="20"/>
                <w:lang w:val="en-AU"/>
              </w:rPr>
              <w:t>four year</w:t>
            </w:r>
            <w:proofErr w:type="gramEnd"/>
            <w:r w:rsidRPr="00BD789E">
              <w:rPr>
                <w:rFonts w:ascii="Arial Narrow" w:hAnsi="Arial Narrow"/>
                <w:sz w:val="20"/>
                <w:szCs w:val="20"/>
                <w:lang w:val="en-AU"/>
              </w:rPr>
              <w:t xml:space="preserve"> follow-up)</w:t>
            </w:r>
          </w:p>
        </w:tc>
      </w:tr>
      <w:tr w:rsidR="00093440" w:rsidRPr="00BD789E" w14:paraId="1E3633EB" w14:textId="77777777" w:rsidTr="00C9746C">
        <w:trPr>
          <w:trHeight w:val="170"/>
        </w:trPr>
        <w:tc>
          <w:tcPr>
            <w:tcW w:w="1803" w:type="dxa"/>
            <w:shd w:val="clear" w:color="auto" w:fill="auto"/>
          </w:tcPr>
          <w:p w14:paraId="684F2EAD" w14:textId="77777777" w:rsidR="00093440" w:rsidRPr="00BD789E" w:rsidRDefault="00093440" w:rsidP="00C9746C">
            <w:pPr>
              <w:keepNext/>
              <w:keepLines/>
              <w:spacing w:before="0"/>
              <w:rPr>
                <w:rFonts w:ascii="Arial Narrow" w:hAnsi="Arial Narrow"/>
                <w:sz w:val="20"/>
                <w:szCs w:val="20"/>
                <w:lang w:val="en-AU"/>
              </w:rPr>
            </w:pPr>
          </w:p>
        </w:tc>
        <w:tc>
          <w:tcPr>
            <w:tcW w:w="1803" w:type="dxa"/>
            <w:shd w:val="clear" w:color="auto" w:fill="auto"/>
            <w:vAlign w:val="center"/>
          </w:tcPr>
          <w:p w14:paraId="40BE841B"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OS HR</w:t>
            </w:r>
          </w:p>
        </w:tc>
        <w:tc>
          <w:tcPr>
            <w:tcW w:w="1803" w:type="dxa"/>
            <w:shd w:val="clear" w:color="auto" w:fill="auto"/>
            <w:vAlign w:val="center"/>
          </w:tcPr>
          <w:p w14:paraId="67DED0C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Test for interaction</w:t>
            </w:r>
          </w:p>
        </w:tc>
        <w:tc>
          <w:tcPr>
            <w:tcW w:w="1803" w:type="dxa"/>
            <w:shd w:val="clear" w:color="auto" w:fill="auto"/>
            <w:vAlign w:val="center"/>
          </w:tcPr>
          <w:p w14:paraId="69FD563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OS HR</w:t>
            </w:r>
          </w:p>
        </w:tc>
        <w:tc>
          <w:tcPr>
            <w:tcW w:w="1804" w:type="dxa"/>
            <w:shd w:val="clear" w:color="auto" w:fill="auto"/>
            <w:vAlign w:val="center"/>
          </w:tcPr>
          <w:p w14:paraId="36E22F1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Test for interaction</w:t>
            </w:r>
          </w:p>
        </w:tc>
      </w:tr>
      <w:tr w:rsidR="00093440" w:rsidRPr="00BD789E" w14:paraId="643284B9" w14:textId="77777777" w:rsidTr="00C9746C">
        <w:trPr>
          <w:trHeight w:val="170"/>
        </w:trPr>
        <w:tc>
          <w:tcPr>
            <w:tcW w:w="9016" w:type="dxa"/>
            <w:gridSpan w:val="5"/>
            <w:shd w:val="clear" w:color="auto" w:fill="auto"/>
          </w:tcPr>
          <w:p w14:paraId="207283AF"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Pembrolizumab monotherapy cohort</w:t>
            </w:r>
          </w:p>
        </w:tc>
      </w:tr>
      <w:tr w:rsidR="00093440" w:rsidRPr="00BD789E" w14:paraId="0F2A5BF6" w14:textId="77777777" w:rsidTr="00C9746C">
        <w:trPr>
          <w:trHeight w:val="170"/>
        </w:trPr>
        <w:tc>
          <w:tcPr>
            <w:tcW w:w="1803" w:type="dxa"/>
            <w:shd w:val="clear" w:color="auto" w:fill="auto"/>
          </w:tcPr>
          <w:p w14:paraId="011A973C" w14:textId="77777777" w:rsidR="00093440" w:rsidRPr="00BD789E" w:rsidRDefault="00093440" w:rsidP="00C9746C">
            <w:pPr>
              <w:keepNext/>
              <w:keepLines/>
              <w:spacing w:before="0"/>
              <w:rPr>
                <w:rFonts w:ascii="Arial Narrow" w:hAnsi="Arial Narrow"/>
                <w:sz w:val="20"/>
                <w:szCs w:val="20"/>
                <w:lang w:val="en-AU"/>
              </w:rPr>
            </w:pPr>
            <w:proofErr w:type="spellStart"/>
            <w:r w:rsidRPr="00BD789E">
              <w:rPr>
                <w:rFonts w:ascii="Arial Narrow" w:hAnsi="Arial Narrow"/>
                <w:sz w:val="20"/>
                <w:szCs w:val="20"/>
                <w:lang w:val="en-AU"/>
              </w:rPr>
              <w:t>ITT</w:t>
            </w:r>
            <w:r w:rsidRPr="00BD789E">
              <w:rPr>
                <w:rFonts w:ascii="Arial Narrow" w:hAnsi="Arial Narrow"/>
                <w:sz w:val="20"/>
                <w:szCs w:val="20"/>
                <w:vertAlign w:val="superscript"/>
                <w:lang w:val="en-AU"/>
              </w:rPr>
              <w:t>a</w:t>
            </w:r>
            <w:proofErr w:type="spellEnd"/>
          </w:p>
        </w:tc>
        <w:tc>
          <w:tcPr>
            <w:tcW w:w="1803" w:type="dxa"/>
            <w:shd w:val="clear" w:color="auto" w:fill="auto"/>
            <w:vAlign w:val="center"/>
          </w:tcPr>
          <w:p w14:paraId="74288D1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Cs/>
                <w:sz w:val="20"/>
                <w:szCs w:val="20"/>
                <w:lang w:val="en-AU"/>
              </w:rPr>
              <w:t xml:space="preserve">0.83 (0.70, </w:t>
            </w:r>
            <w:proofErr w:type="gramStart"/>
            <w:r w:rsidRPr="00BD789E">
              <w:rPr>
                <w:rFonts w:ascii="Arial Narrow" w:hAnsi="Arial Narrow"/>
                <w:bCs/>
                <w:sz w:val="20"/>
                <w:szCs w:val="20"/>
                <w:lang w:val="en-AU"/>
              </w:rPr>
              <w:t>0.99)</w:t>
            </w:r>
            <w:r w:rsidRPr="00BD789E">
              <w:rPr>
                <w:rFonts w:ascii="Arial Narrow" w:hAnsi="Arial Narrow"/>
                <w:bCs/>
                <w:sz w:val="20"/>
                <w:szCs w:val="20"/>
                <w:vertAlign w:val="superscript"/>
                <w:lang w:val="en-AU"/>
              </w:rPr>
              <w:t>a</w:t>
            </w:r>
            <w:proofErr w:type="gramEnd"/>
          </w:p>
        </w:tc>
        <w:tc>
          <w:tcPr>
            <w:tcW w:w="1803" w:type="dxa"/>
            <w:shd w:val="clear" w:color="auto" w:fill="auto"/>
            <w:vAlign w:val="center"/>
          </w:tcPr>
          <w:p w14:paraId="52B9C9A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c>
          <w:tcPr>
            <w:tcW w:w="1803" w:type="dxa"/>
            <w:shd w:val="clear" w:color="auto" w:fill="auto"/>
            <w:vAlign w:val="center"/>
          </w:tcPr>
          <w:p w14:paraId="3C7AF63F"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 xml:space="preserve">0.81 (0.68, </w:t>
            </w:r>
            <w:proofErr w:type="gramStart"/>
            <w:r w:rsidRPr="00BD789E">
              <w:rPr>
                <w:rFonts w:ascii="Arial Narrow" w:hAnsi="Arial Narrow"/>
                <w:sz w:val="20"/>
                <w:szCs w:val="20"/>
                <w:lang w:val="en-AU"/>
              </w:rPr>
              <w:t>0.97)</w:t>
            </w:r>
            <w:r w:rsidRPr="00BD789E">
              <w:rPr>
                <w:rFonts w:ascii="Arial Narrow" w:hAnsi="Arial Narrow"/>
                <w:sz w:val="20"/>
                <w:szCs w:val="20"/>
                <w:vertAlign w:val="superscript"/>
                <w:lang w:val="en-AU"/>
              </w:rPr>
              <w:t>a</w:t>
            </w:r>
            <w:proofErr w:type="gramEnd"/>
          </w:p>
        </w:tc>
        <w:tc>
          <w:tcPr>
            <w:tcW w:w="1804" w:type="dxa"/>
            <w:shd w:val="clear" w:color="auto" w:fill="auto"/>
            <w:vAlign w:val="center"/>
          </w:tcPr>
          <w:p w14:paraId="5445A727"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r>
      <w:tr w:rsidR="00093440" w:rsidRPr="00BD789E" w14:paraId="1DFC0F11" w14:textId="77777777" w:rsidTr="00C9746C">
        <w:trPr>
          <w:trHeight w:val="170"/>
        </w:trPr>
        <w:tc>
          <w:tcPr>
            <w:tcW w:w="1803" w:type="dxa"/>
            <w:shd w:val="clear" w:color="auto" w:fill="auto"/>
          </w:tcPr>
          <w:p w14:paraId="6716A935"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&lt;1</w:t>
            </w:r>
          </w:p>
        </w:tc>
        <w:tc>
          <w:tcPr>
            <w:tcW w:w="1803" w:type="dxa"/>
            <w:shd w:val="clear" w:color="auto" w:fill="auto"/>
            <w:vAlign w:val="center"/>
          </w:tcPr>
          <w:p w14:paraId="6B6642F9"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1.72 (1.06, 2.79)</w:t>
            </w:r>
          </w:p>
        </w:tc>
        <w:tc>
          <w:tcPr>
            <w:tcW w:w="1803" w:type="dxa"/>
            <w:vMerge w:val="restart"/>
            <w:shd w:val="clear" w:color="auto" w:fill="auto"/>
            <w:vAlign w:val="center"/>
          </w:tcPr>
          <w:p w14:paraId="4D2439C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0.002 (89.8%)</w:t>
            </w:r>
          </w:p>
        </w:tc>
        <w:tc>
          <w:tcPr>
            <w:tcW w:w="1803" w:type="dxa"/>
            <w:shd w:val="clear" w:color="auto" w:fill="auto"/>
            <w:vAlign w:val="center"/>
          </w:tcPr>
          <w:p w14:paraId="01CA4452" w14:textId="77777777" w:rsidR="00093440" w:rsidRPr="00BD789E" w:rsidRDefault="00093440" w:rsidP="00C9746C">
            <w:pPr>
              <w:keepNext/>
              <w:keepLines/>
              <w:spacing w:before="0"/>
              <w:jc w:val="center"/>
              <w:rPr>
                <w:rFonts w:ascii="Arial Narrow" w:hAnsi="Arial Narrow"/>
                <w:sz w:val="20"/>
                <w:szCs w:val="20"/>
                <w:vertAlign w:val="superscript"/>
                <w:lang w:val="en-AU"/>
              </w:rPr>
            </w:pPr>
            <w:r w:rsidRPr="00BD789E">
              <w:rPr>
                <w:rFonts w:ascii="Arial Narrow" w:hAnsi="Arial Narrow"/>
                <w:sz w:val="20"/>
                <w:szCs w:val="20"/>
                <w:lang w:val="en-AU"/>
              </w:rPr>
              <w:t xml:space="preserve">1.53 (0.95, </w:t>
            </w:r>
            <w:proofErr w:type="gramStart"/>
            <w:r w:rsidRPr="00BD789E">
              <w:rPr>
                <w:rFonts w:ascii="Arial Narrow" w:hAnsi="Arial Narrow"/>
                <w:sz w:val="20"/>
                <w:szCs w:val="20"/>
                <w:lang w:val="en-AU"/>
              </w:rPr>
              <w:t>2.48)</w:t>
            </w:r>
            <w:r w:rsidRPr="00BD789E">
              <w:rPr>
                <w:rFonts w:ascii="Arial Narrow" w:hAnsi="Arial Narrow"/>
                <w:sz w:val="20"/>
                <w:szCs w:val="20"/>
                <w:vertAlign w:val="superscript"/>
                <w:lang w:val="en-AU"/>
              </w:rPr>
              <w:t>b</w:t>
            </w:r>
            <w:proofErr w:type="gramEnd"/>
          </w:p>
        </w:tc>
        <w:tc>
          <w:tcPr>
            <w:tcW w:w="1804" w:type="dxa"/>
            <w:vMerge w:val="restart"/>
            <w:shd w:val="clear" w:color="auto" w:fill="auto"/>
            <w:vAlign w:val="center"/>
          </w:tcPr>
          <w:p w14:paraId="47AB9EE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0.006 (86.93%)</w:t>
            </w:r>
          </w:p>
        </w:tc>
      </w:tr>
      <w:tr w:rsidR="00093440" w:rsidRPr="00BD789E" w14:paraId="395B721A" w14:textId="77777777" w:rsidTr="00C9746C">
        <w:trPr>
          <w:trHeight w:val="60"/>
        </w:trPr>
        <w:tc>
          <w:tcPr>
            <w:tcW w:w="1803" w:type="dxa"/>
            <w:shd w:val="clear" w:color="auto" w:fill="auto"/>
          </w:tcPr>
          <w:p w14:paraId="69DAAF0E"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≥1</w:t>
            </w:r>
          </w:p>
        </w:tc>
        <w:tc>
          <w:tcPr>
            <w:tcW w:w="1803" w:type="dxa"/>
            <w:shd w:val="clear" w:color="auto" w:fill="auto"/>
            <w:vAlign w:val="center"/>
          </w:tcPr>
          <w:p w14:paraId="057A888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0.74 (0.61, 0.90)</w:t>
            </w:r>
          </w:p>
        </w:tc>
        <w:tc>
          <w:tcPr>
            <w:tcW w:w="1803" w:type="dxa"/>
            <w:vMerge/>
            <w:shd w:val="clear" w:color="auto" w:fill="auto"/>
            <w:vAlign w:val="center"/>
          </w:tcPr>
          <w:p w14:paraId="48D5423E" w14:textId="77777777" w:rsidR="00093440" w:rsidRPr="00BD789E" w:rsidRDefault="00093440" w:rsidP="00C9746C">
            <w:pPr>
              <w:keepNext/>
              <w:keepLines/>
              <w:spacing w:before="0"/>
              <w:jc w:val="center"/>
              <w:rPr>
                <w:rFonts w:ascii="Arial Narrow" w:hAnsi="Arial Narrow"/>
                <w:sz w:val="20"/>
                <w:szCs w:val="20"/>
                <w:lang w:val="en-AU"/>
              </w:rPr>
            </w:pPr>
          </w:p>
        </w:tc>
        <w:tc>
          <w:tcPr>
            <w:tcW w:w="1803" w:type="dxa"/>
            <w:shd w:val="clear" w:color="auto" w:fill="auto"/>
            <w:vAlign w:val="center"/>
          </w:tcPr>
          <w:p w14:paraId="385B2721"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lang w:val="en-AU"/>
              </w:rPr>
              <w:t>0.74 (0.61, 0.89)</w:t>
            </w:r>
          </w:p>
        </w:tc>
        <w:tc>
          <w:tcPr>
            <w:tcW w:w="1804" w:type="dxa"/>
            <w:vMerge/>
            <w:shd w:val="clear" w:color="auto" w:fill="auto"/>
            <w:vAlign w:val="center"/>
          </w:tcPr>
          <w:p w14:paraId="1BF8F854" w14:textId="77777777" w:rsidR="00093440" w:rsidRPr="00BD789E" w:rsidRDefault="00093440" w:rsidP="00C9746C">
            <w:pPr>
              <w:keepNext/>
              <w:keepLines/>
              <w:spacing w:before="0"/>
              <w:jc w:val="center"/>
              <w:rPr>
                <w:rFonts w:ascii="Arial Narrow" w:hAnsi="Arial Narrow"/>
                <w:sz w:val="20"/>
                <w:szCs w:val="20"/>
                <w:lang w:val="en-AU"/>
              </w:rPr>
            </w:pPr>
          </w:p>
        </w:tc>
      </w:tr>
      <w:tr w:rsidR="00093440" w:rsidRPr="00BD789E" w14:paraId="34C15B42" w14:textId="77777777" w:rsidTr="00C9746C">
        <w:trPr>
          <w:trHeight w:val="170"/>
        </w:trPr>
        <w:tc>
          <w:tcPr>
            <w:tcW w:w="0" w:type="dxa"/>
            <w:shd w:val="clear" w:color="auto" w:fill="auto"/>
            <w:vAlign w:val="center"/>
          </w:tcPr>
          <w:p w14:paraId="04352325"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1≤ CPS &lt;20</w:t>
            </w:r>
          </w:p>
        </w:tc>
        <w:tc>
          <w:tcPr>
            <w:tcW w:w="0" w:type="dxa"/>
            <w:shd w:val="clear" w:color="auto" w:fill="auto"/>
            <w:vAlign w:val="center"/>
          </w:tcPr>
          <w:p w14:paraId="0591F1C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0.92 (0.70,1.20)</w:t>
            </w:r>
          </w:p>
        </w:tc>
        <w:tc>
          <w:tcPr>
            <w:tcW w:w="0" w:type="dxa"/>
            <w:vMerge w:val="restart"/>
            <w:shd w:val="clear" w:color="auto" w:fill="auto"/>
            <w:vAlign w:val="center"/>
          </w:tcPr>
          <w:p w14:paraId="4AF5F12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Cs/>
                <w:sz w:val="20"/>
                <w:szCs w:val="20"/>
                <w:lang w:val="en-AU"/>
              </w:rPr>
              <w:t>&lt;0.001 (86.81%)</w:t>
            </w:r>
          </w:p>
        </w:tc>
        <w:tc>
          <w:tcPr>
            <w:tcW w:w="0" w:type="dxa"/>
            <w:shd w:val="clear" w:color="auto" w:fill="auto"/>
            <w:vAlign w:val="center"/>
          </w:tcPr>
          <w:p w14:paraId="58316166"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0.91 (0.70, 1.19)</w:t>
            </w:r>
          </w:p>
        </w:tc>
        <w:tc>
          <w:tcPr>
            <w:tcW w:w="0" w:type="dxa"/>
            <w:vMerge w:val="restart"/>
            <w:shd w:val="clear" w:color="auto" w:fill="auto"/>
            <w:vAlign w:val="center"/>
          </w:tcPr>
          <w:p w14:paraId="79726609"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0.003 (82.93%)</w:t>
            </w:r>
          </w:p>
        </w:tc>
      </w:tr>
      <w:tr w:rsidR="00093440" w:rsidRPr="00BD789E" w14:paraId="4D07BA4A" w14:textId="77777777" w:rsidTr="00C9746C">
        <w:trPr>
          <w:trHeight w:val="170"/>
        </w:trPr>
        <w:tc>
          <w:tcPr>
            <w:tcW w:w="0" w:type="dxa"/>
            <w:shd w:val="clear" w:color="auto" w:fill="auto"/>
            <w:vAlign w:val="center"/>
          </w:tcPr>
          <w:p w14:paraId="78D6D3B5"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≥20</w:t>
            </w:r>
          </w:p>
        </w:tc>
        <w:tc>
          <w:tcPr>
            <w:tcW w:w="0" w:type="dxa"/>
            <w:shd w:val="clear" w:color="auto" w:fill="auto"/>
            <w:vAlign w:val="center"/>
          </w:tcPr>
          <w:p w14:paraId="6484B3B3"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0.58 (0.44,0.78)</w:t>
            </w:r>
          </w:p>
        </w:tc>
        <w:tc>
          <w:tcPr>
            <w:tcW w:w="0" w:type="dxa"/>
            <w:vMerge/>
            <w:tcBorders>
              <w:bottom w:val="nil"/>
            </w:tcBorders>
            <w:shd w:val="clear" w:color="auto" w:fill="auto"/>
            <w:vAlign w:val="center"/>
          </w:tcPr>
          <w:p w14:paraId="51EEB810" w14:textId="77777777" w:rsidR="00093440" w:rsidRPr="00BD789E" w:rsidRDefault="00093440" w:rsidP="00C9746C">
            <w:pPr>
              <w:keepNext/>
              <w:keepLines/>
              <w:spacing w:before="0"/>
              <w:rPr>
                <w:rFonts w:ascii="Arial Narrow" w:hAnsi="Arial Narrow"/>
                <w:sz w:val="20"/>
                <w:szCs w:val="20"/>
                <w:lang w:val="en-AU"/>
              </w:rPr>
            </w:pPr>
          </w:p>
        </w:tc>
        <w:tc>
          <w:tcPr>
            <w:tcW w:w="0" w:type="dxa"/>
            <w:shd w:val="clear" w:color="auto" w:fill="auto"/>
            <w:vAlign w:val="center"/>
          </w:tcPr>
          <w:p w14:paraId="4E181614"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rPr>
              <w:t>0.60 (0.46, 0.80)</w:t>
            </w:r>
          </w:p>
        </w:tc>
        <w:tc>
          <w:tcPr>
            <w:tcW w:w="0" w:type="dxa"/>
            <w:vMerge/>
            <w:tcBorders>
              <w:bottom w:val="nil"/>
            </w:tcBorders>
            <w:shd w:val="clear" w:color="auto" w:fill="auto"/>
            <w:vAlign w:val="center"/>
          </w:tcPr>
          <w:p w14:paraId="0D13D60F" w14:textId="77777777" w:rsidR="00093440" w:rsidRPr="00BD789E" w:rsidRDefault="00093440" w:rsidP="00C9746C">
            <w:pPr>
              <w:keepNext/>
              <w:keepLines/>
              <w:spacing w:before="0"/>
              <w:rPr>
                <w:rFonts w:ascii="Arial Narrow" w:hAnsi="Arial Narrow"/>
                <w:sz w:val="20"/>
                <w:szCs w:val="20"/>
                <w:lang w:val="en-AU"/>
              </w:rPr>
            </w:pPr>
          </w:p>
        </w:tc>
      </w:tr>
      <w:tr w:rsidR="00093440" w:rsidRPr="00BD789E" w14:paraId="3FDD1C97" w14:textId="77777777" w:rsidTr="00C9746C">
        <w:trPr>
          <w:trHeight w:val="170"/>
        </w:trPr>
        <w:tc>
          <w:tcPr>
            <w:tcW w:w="0" w:type="dxa"/>
            <w:shd w:val="clear" w:color="auto" w:fill="auto"/>
          </w:tcPr>
          <w:p w14:paraId="3C82959B"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&lt;1</w:t>
            </w:r>
          </w:p>
        </w:tc>
        <w:tc>
          <w:tcPr>
            <w:tcW w:w="0" w:type="dxa"/>
            <w:shd w:val="clear" w:color="auto" w:fill="auto"/>
            <w:vAlign w:val="center"/>
          </w:tcPr>
          <w:p w14:paraId="78B22449"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b/>
                <w:sz w:val="20"/>
                <w:szCs w:val="20"/>
              </w:rPr>
              <w:t>1.72 (1.06, 2.79)</w:t>
            </w:r>
          </w:p>
        </w:tc>
        <w:tc>
          <w:tcPr>
            <w:tcW w:w="0" w:type="dxa"/>
            <w:tcBorders>
              <w:top w:val="nil"/>
            </w:tcBorders>
            <w:shd w:val="clear" w:color="auto" w:fill="auto"/>
            <w:vAlign w:val="center"/>
          </w:tcPr>
          <w:p w14:paraId="65270193" w14:textId="77777777" w:rsidR="00093440" w:rsidRPr="00BD789E" w:rsidRDefault="00093440" w:rsidP="00C9746C">
            <w:pPr>
              <w:keepNext/>
              <w:keepLines/>
              <w:spacing w:before="0"/>
              <w:rPr>
                <w:rFonts w:ascii="Arial Narrow" w:hAnsi="Arial Narrow"/>
                <w:sz w:val="20"/>
                <w:szCs w:val="20"/>
              </w:rPr>
            </w:pPr>
          </w:p>
        </w:tc>
        <w:tc>
          <w:tcPr>
            <w:tcW w:w="0" w:type="dxa"/>
            <w:shd w:val="clear" w:color="auto" w:fill="auto"/>
            <w:vAlign w:val="center"/>
          </w:tcPr>
          <w:p w14:paraId="24744463"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cs="Arial"/>
                <w:sz w:val="20"/>
                <w:szCs w:val="20"/>
              </w:rPr>
              <w:t>1.53 (0.95, 2.48)</w:t>
            </w:r>
            <w:r w:rsidR="00F36A9F" w:rsidRPr="00BD789E">
              <w:rPr>
                <w:rFonts w:ascii="Arial Narrow" w:hAnsi="Arial Narrow"/>
                <w:sz w:val="20"/>
                <w:szCs w:val="20"/>
                <w:vertAlign w:val="superscript"/>
                <w:lang w:val="en-AU"/>
              </w:rPr>
              <w:t xml:space="preserve"> b</w:t>
            </w:r>
          </w:p>
        </w:tc>
        <w:tc>
          <w:tcPr>
            <w:tcW w:w="0" w:type="dxa"/>
            <w:tcBorders>
              <w:top w:val="nil"/>
            </w:tcBorders>
            <w:shd w:val="clear" w:color="auto" w:fill="auto"/>
            <w:vAlign w:val="center"/>
          </w:tcPr>
          <w:p w14:paraId="1B705798" w14:textId="77777777" w:rsidR="00093440" w:rsidRPr="00BD789E" w:rsidRDefault="00093440" w:rsidP="00C9746C">
            <w:pPr>
              <w:keepNext/>
              <w:keepLines/>
              <w:spacing w:before="0"/>
              <w:rPr>
                <w:rFonts w:ascii="Arial Narrow" w:hAnsi="Arial Narrow"/>
                <w:sz w:val="20"/>
                <w:szCs w:val="20"/>
              </w:rPr>
            </w:pPr>
          </w:p>
        </w:tc>
      </w:tr>
      <w:tr w:rsidR="00093440" w:rsidRPr="00BD789E" w14:paraId="62F9D4D6" w14:textId="77777777" w:rsidTr="00C9746C">
        <w:trPr>
          <w:trHeight w:val="170"/>
        </w:trPr>
        <w:tc>
          <w:tcPr>
            <w:tcW w:w="1803" w:type="dxa"/>
            <w:shd w:val="clear" w:color="auto" w:fill="auto"/>
            <w:vAlign w:val="center"/>
          </w:tcPr>
          <w:p w14:paraId="209E9371"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&lt;20</w:t>
            </w:r>
          </w:p>
        </w:tc>
        <w:tc>
          <w:tcPr>
            <w:tcW w:w="1803" w:type="dxa"/>
            <w:shd w:val="clear" w:color="auto" w:fill="auto"/>
            <w:vAlign w:val="center"/>
          </w:tcPr>
          <w:p w14:paraId="7E8B0D92"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bCs/>
                <w:sz w:val="20"/>
                <w:szCs w:val="20"/>
              </w:rPr>
              <w:t>1.05 (0.84, 1.32)</w:t>
            </w:r>
          </w:p>
        </w:tc>
        <w:tc>
          <w:tcPr>
            <w:tcW w:w="1803" w:type="dxa"/>
            <w:vMerge w:val="restart"/>
            <w:tcBorders>
              <w:top w:val="nil"/>
            </w:tcBorders>
            <w:shd w:val="clear" w:color="auto" w:fill="auto"/>
            <w:vAlign w:val="center"/>
          </w:tcPr>
          <w:p w14:paraId="37948ABB"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0.002</w:t>
            </w:r>
          </w:p>
        </w:tc>
        <w:tc>
          <w:tcPr>
            <w:tcW w:w="1803" w:type="dxa"/>
            <w:shd w:val="clear" w:color="auto" w:fill="auto"/>
            <w:vAlign w:val="center"/>
          </w:tcPr>
          <w:p w14:paraId="589B08F7" w14:textId="77777777" w:rsidR="00093440" w:rsidRPr="00BD789E" w:rsidRDefault="00093440" w:rsidP="00C9746C">
            <w:pPr>
              <w:keepNext/>
              <w:keepLines/>
              <w:spacing w:before="0"/>
              <w:jc w:val="center"/>
              <w:rPr>
                <w:rFonts w:ascii="Arial Narrow" w:hAnsi="Arial Narrow" w:cs="Arial"/>
                <w:sz w:val="20"/>
                <w:szCs w:val="20"/>
              </w:rPr>
            </w:pPr>
            <w:r w:rsidRPr="00BD789E">
              <w:rPr>
                <w:rFonts w:ascii="Arial Narrow" w:hAnsi="Arial Narrow" w:cs="Arial"/>
                <w:sz w:val="20"/>
                <w:szCs w:val="20"/>
              </w:rPr>
              <w:t>1.02 (0.81, 1.28)</w:t>
            </w:r>
          </w:p>
        </w:tc>
        <w:tc>
          <w:tcPr>
            <w:tcW w:w="1804" w:type="dxa"/>
            <w:vMerge w:val="restart"/>
            <w:tcBorders>
              <w:top w:val="nil"/>
            </w:tcBorders>
            <w:shd w:val="clear" w:color="auto" w:fill="auto"/>
            <w:vAlign w:val="center"/>
          </w:tcPr>
          <w:p w14:paraId="4EB3CE30"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cs="Arial"/>
                <w:sz w:val="20"/>
                <w:szCs w:val="20"/>
              </w:rPr>
              <w:t>0.004 (87.85 %)</w:t>
            </w:r>
          </w:p>
        </w:tc>
      </w:tr>
      <w:tr w:rsidR="00093440" w:rsidRPr="00BD789E" w14:paraId="083EF253" w14:textId="77777777" w:rsidTr="00C9746C">
        <w:trPr>
          <w:trHeight w:val="170"/>
        </w:trPr>
        <w:tc>
          <w:tcPr>
            <w:tcW w:w="1803" w:type="dxa"/>
            <w:shd w:val="clear" w:color="auto" w:fill="auto"/>
            <w:vAlign w:val="center"/>
          </w:tcPr>
          <w:p w14:paraId="256707EF"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≥20</w:t>
            </w:r>
          </w:p>
        </w:tc>
        <w:tc>
          <w:tcPr>
            <w:tcW w:w="1803" w:type="dxa"/>
            <w:shd w:val="clear" w:color="auto" w:fill="auto"/>
            <w:vAlign w:val="center"/>
          </w:tcPr>
          <w:p w14:paraId="7CA82EC4"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b/>
                <w:sz w:val="20"/>
                <w:szCs w:val="20"/>
              </w:rPr>
              <w:t>0.58 (0.44,0.78)</w:t>
            </w:r>
          </w:p>
        </w:tc>
        <w:tc>
          <w:tcPr>
            <w:tcW w:w="1803" w:type="dxa"/>
            <w:vMerge/>
            <w:shd w:val="clear" w:color="auto" w:fill="auto"/>
            <w:vAlign w:val="center"/>
          </w:tcPr>
          <w:p w14:paraId="5B171854" w14:textId="77777777" w:rsidR="00093440" w:rsidRPr="00BD789E" w:rsidRDefault="00093440" w:rsidP="00C9746C">
            <w:pPr>
              <w:keepNext/>
              <w:keepLines/>
              <w:spacing w:before="0"/>
              <w:rPr>
                <w:rFonts w:ascii="Arial Narrow" w:hAnsi="Arial Narrow"/>
                <w:sz w:val="20"/>
                <w:szCs w:val="20"/>
              </w:rPr>
            </w:pPr>
          </w:p>
        </w:tc>
        <w:tc>
          <w:tcPr>
            <w:tcW w:w="1803" w:type="dxa"/>
            <w:shd w:val="clear" w:color="auto" w:fill="auto"/>
            <w:vAlign w:val="center"/>
          </w:tcPr>
          <w:p w14:paraId="200D2390" w14:textId="77777777" w:rsidR="00093440" w:rsidRPr="00BD789E" w:rsidRDefault="00093440" w:rsidP="00C9746C">
            <w:pPr>
              <w:keepNext/>
              <w:keepLines/>
              <w:spacing w:before="0"/>
              <w:jc w:val="center"/>
              <w:rPr>
                <w:rFonts w:ascii="Arial Narrow" w:hAnsi="Arial Narrow" w:cs="Arial"/>
                <w:b/>
                <w:bCs/>
                <w:sz w:val="20"/>
                <w:szCs w:val="20"/>
              </w:rPr>
            </w:pPr>
            <w:r w:rsidRPr="00BD789E">
              <w:rPr>
                <w:rFonts w:ascii="Arial Narrow" w:hAnsi="Arial Narrow" w:cs="Arial"/>
                <w:b/>
                <w:bCs/>
                <w:sz w:val="20"/>
                <w:szCs w:val="20"/>
              </w:rPr>
              <w:t>0.60 (0.46, 0.80)</w:t>
            </w:r>
          </w:p>
        </w:tc>
        <w:tc>
          <w:tcPr>
            <w:tcW w:w="1804" w:type="dxa"/>
            <w:vMerge/>
            <w:shd w:val="clear" w:color="auto" w:fill="auto"/>
            <w:vAlign w:val="center"/>
          </w:tcPr>
          <w:p w14:paraId="331A0502" w14:textId="77777777" w:rsidR="00093440" w:rsidRPr="00BD789E" w:rsidRDefault="00093440" w:rsidP="00C9746C">
            <w:pPr>
              <w:keepNext/>
              <w:keepLines/>
              <w:spacing w:before="0"/>
              <w:rPr>
                <w:rFonts w:ascii="Arial Narrow" w:hAnsi="Arial Narrow"/>
                <w:sz w:val="20"/>
                <w:szCs w:val="20"/>
              </w:rPr>
            </w:pPr>
          </w:p>
        </w:tc>
      </w:tr>
      <w:tr w:rsidR="00093440" w:rsidRPr="00BD789E" w14:paraId="2EF90660" w14:textId="77777777" w:rsidTr="00C9746C">
        <w:trPr>
          <w:trHeight w:val="170"/>
        </w:trPr>
        <w:tc>
          <w:tcPr>
            <w:tcW w:w="9016" w:type="dxa"/>
            <w:gridSpan w:val="5"/>
            <w:shd w:val="clear" w:color="auto" w:fill="auto"/>
          </w:tcPr>
          <w:p w14:paraId="71E31066"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Pembrolizumab + chemotherapy cohort</w:t>
            </w:r>
          </w:p>
        </w:tc>
      </w:tr>
      <w:tr w:rsidR="00093440" w:rsidRPr="00BD789E" w14:paraId="7DEF3BAC" w14:textId="77777777" w:rsidTr="00C9746C">
        <w:trPr>
          <w:trHeight w:val="170"/>
        </w:trPr>
        <w:tc>
          <w:tcPr>
            <w:tcW w:w="1803" w:type="dxa"/>
            <w:shd w:val="clear" w:color="auto" w:fill="auto"/>
          </w:tcPr>
          <w:p w14:paraId="22766B51"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ITT</w:t>
            </w:r>
          </w:p>
        </w:tc>
        <w:tc>
          <w:tcPr>
            <w:tcW w:w="1803" w:type="dxa"/>
            <w:shd w:val="clear" w:color="auto" w:fill="auto"/>
            <w:vAlign w:val="center"/>
          </w:tcPr>
          <w:p w14:paraId="33FFBF1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0.72 (0.60, 0.87)</w:t>
            </w:r>
          </w:p>
        </w:tc>
        <w:tc>
          <w:tcPr>
            <w:tcW w:w="1803" w:type="dxa"/>
            <w:shd w:val="clear" w:color="auto" w:fill="auto"/>
            <w:vAlign w:val="center"/>
          </w:tcPr>
          <w:p w14:paraId="7553C0A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c>
          <w:tcPr>
            <w:tcW w:w="1803" w:type="dxa"/>
            <w:shd w:val="clear" w:color="auto" w:fill="auto"/>
            <w:vAlign w:val="center"/>
          </w:tcPr>
          <w:p w14:paraId="2913CACC"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lang w:val="en-AU"/>
              </w:rPr>
              <w:t>0.71 (0.59, 0.85)</w:t>
            </w:r>
          </w:p>
        </w:tc>
        <w:tc>
          <w:tcPr>
            <w:tcW w:w="1804" w:type="dxa"/>
            <w:shd w:val="clear" w:color="auto" w:fill="auto"/>
            <w:vAlign w:val="center"/>
          </w:tcPr>
          <w:p w14:paraId="7757CA0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r>
      <w:tr w:rsidR="00093440" w:rsidRPr="00BD789E" w14:paraId="79704C84" w14:textId="77777777" w:rsidTr="00C9746C">
        <w:trPr>
          <w:trHeight w:val="170"/>
        </w:trPr>
        <w:tc>
          <w:tcPr>
            <w:tcW w:w="1803" w:type="dxa"/>
            <w:shd w:val="clear" w:color="auto" w:fill="auto"/>
          </w:tcPr>
          <w:p w14:paraId="5DD12580"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&lt;1</w:t>
            </w:r>
          </w:p>
        </w:tc>
        <w:tc>
          <w:tcPr>
            <w:tcW w:w="1803" w:type="dxa"/>
            <w:shd w:val="clear" w:color="auto" w:fill="auto"/>
            <w:vAlign w:val="center"/>
          </w:tcPr>
          <w:p w14:paraId="3B988E9F"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1.18 (0.73, 1.90)</w:t>
            </w:r>
          </w:p>
        </w:tc>
        <w:tc>
          <w:tcPr>
            <w:tcW w:w="1803" w:type="dxa"/>
            <w:vMerge w:val="restart"/>
            <w:shd w:val="clear" w:color="auto" w:fill="auto"/>
            <w:vAlign w:val="center"/>
          </w:tcPr>
          <w:p w14:paraId="66A42B8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0.025 (80.2%)</w:t>
            </w:r>
          </w:p>
        </w:tc>
        <w:tc>
          <w:tcPr>
            <w:tcW w:w="1803" w:type="dxa"/>
            <w:shd w:val="clear" w:color="auto" w:fill="auto"/>
            <w:vAlign w:val="center"/>
          </w:tcPr>
          <w:p w14:paraId="43278622" w14:textId="77777777" w:rsidR="00093440" w:rsidRPr="00BD789E" w:rsidRDefault="00093440" w:rsidP="00C9746C">
            <w:pPr>
              <w:keepNext/>
              <w:keepLines/>
              <w:spacing w:before="0"/>
              <w:jc w:val="center"/>
              <w:rPr>
                <w:rFonts w:ascii="Arial Narrow" w:hAnsi="Arial Narrow"/>
                <w:sz w:val="20"/>
                <w:szCs w:val="20"/>
                <w:vertAlign w:val="superscript"/>
                <w:lang w:val="en-AU"/>
              </w:rPr>
            </w:pPr>
            <w:r w:rsidRPr="00BD789E">
              <w:rPr>
                <w:rFonts w:ascii="Arial Narrow" w:hAnsi="Arial Narrow"/>
                <w:sz w:val="20"/>
                <w:szCs w:val="20"/>
                <w:lang w:val="en-AU"/>
              </w:rPr>
              <w:t xml:space="preserve">1.21 (0.76, </w:t>
            </w:r>
            <w:proofErr w:type="gramStart"/>
            <w:r w:rsidRPr="00BD789E">
              <w:rPr>
                <w:rFonts w:ascii="Arial Narrow" w:hAnsi="Arial Narrow"/>
                <w:sz w:val="20"/>
                <w:szCs w:val="20"/>
                <w:lang w:val="en-AU"/>
              </w:rPr>
              <w:t>1.94)</w:t>
            </w:r>
            <w:r w:rsidRPr="00BD789E">
              <w:rPr>
                <w:rFonts w:ascii="Arial Narrow" w:hAnsi="Arial Narrow"/>
                <w:sz w:val="20"/>
                <w:szCs w:val="20"/>
                <w:vertAlign w:val="superscript"/>
                <w:lang w:val="en-AU"/>
              </w:rPr>
              <w:t>b</w:t>
            </w:r>
            <w:proofErr w:type="gramEnd"/>
          </w:p>
        </w:tc>
        <w:tc>
          <w:tcPr>
            <w:tcW w:w="1804" w:type="dxa"/>
            <w:vMerge w:val="restart"/>
            <w:shd w:val="clear" w:color="auto" w:fill="auto"/>
            <w:vAlign w:val="center"/>
          </w:tcPr>
          <w:p w14:paraId="5E518BE2"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0.014 (83.43%)</w:t>
            </w:r>
          </w:p>
        </w:tc>
      </w:tr>
      <w:tr w:rsidR="00093440" w:rsidRPr="00BD789E" w14:paraId="503B1100" w14:textId="77777777" w:rsidTr="00C9746C">
        <w:trPr>
          <w:trHeight w:val="170"/>
        </w:trPr>
        <w:tc>
          <w:tcPr>
            <w:tcW w:w="1803" w:type="dxa"/>
            <w:shd w:val="clear" w:color="auto" w:fill="auto"/>
          </w:tcPr>
          <w:p w14:paraId="643467FA"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≥1</w:t>
            </w:r>
          </w:p>
        </w:tc>
        <w:tc>
          <w:tcPr>
            <w:tcW w:w="1803" w:type="dxa"/>
            <w:shd w:val="clear" w:color="auto" w:fill="auto"/>
            <w:vAlign w:val="center"/>
          </w:tcPr>
          <w:p w14:paraId="4985BDC2"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0.65 (0.53, 0.80)</w:t>
            </w:r>
          </w:p>
        </w:tc>
        <w:tc>
          <w:tcPr>
            <w:tcW w:w="1803" w:type="dxa"/>
            <w:vMerge/>
            <w:shd w:val="clear" w:color="auto" w:fill="auto"/>
            <w:vAlign w:val="center"/>
          </w:tcPr>
          <w:p w14:paraId="2ACD9072" w14:textId="77777777" w:rsidR="00093440" w:rsidRPr="00BD789E" w:rsidRDefault="00093440" w:rsidP="00C9746C">
            <w:pPr>
              <w:keepNext/>
              <w:keepLines/>
              <w:spacing w:before="0"/>
              <w:jc w:val="center"/>
              <w:rPr>
                <w:rFonts w:ascii="Arial Narrow" w:hAnsi="Arial Narrow"/>
                <w:sz w:val="20"/>
                <w:szCs w:val="20"/>
                <w:lang w:val="en-AU"/>
              </w:rPr>
            </w:pPr>
          </w:p>
        </w:tc>
        <w:tc>
          <w:tcPr>
            <w:tcW w:w="1803" w:type="dxa"/>
            <w:shd w:val="clear" w:color="auto" w:fill="auto"/>
            <w:vAlign w:val="center"/>
          </w:tcPr>
          <w:p w14:paraId="2B2B3E81"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lang w:val="en-AU"/>
              </w:rPr>
              <w:t>0.64 (0.53, 0.78)</w:t>
            </w:r>
          </w:p>
        </w:tc>
        <w:tc>
          <w:tcPr>
            <w:tcW w:w="1804" w:type="dxa"/>
            <w:vMerge/>
            <w:shd w:val="clear" w:color="auto" w:fill="auto"/>
            <w:vAlign w:val="center"/>
          </w:tcPr>
          <w:p w14:paraId="3509B394" w14:textId="77777777" w:rsidR="00093440" w:rsidRPr="00BD789E" w:rsidRDefault="00093440" w:rsidP="00C9746C">
            <w:pPr>
              <w:keepNext/>
              <w:keepLines/>
              <w:spacing w:before="0"/>
              <w:jc w:val="center"/>
              <w:rPr>
                <w:rFonts w:ascii="Arial Narrow" w:hAnsi="Arial Narrow"/>
                <w:sz w:val="20"/>
                <w:szCs w:val="20"/>
                <w:lang w:val="en-AU"/>
              </w:rPr>
            </w:pPr>
          </w:p>
        </w:tc>
      </w:tr>
      <w:tr w:rsidR="00093440" w:rsidRPr="00BD789E" w14:paraId="7A946A52" w14:textId="77777777" w:rsidTr="00C9746C">
        <w:trPr>
          <w:trHeight w:val="170"/>
        </w:trPr>
        <w:tc>
          <w:tcPr>
            <w:tcW w:w="0" w:type="dxa"/>
            <w:shd w:val="clear" w:color="auto" w:fill="auto"/>
            <w:vAlign w:val="center"/>
          </w:tcPr>
          <w:p w14:paraId="05081DD9"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1≤ CPS &lt;20</w:t>
            </w:r>
          </w:p>
        </w:tc>
        <w:tc>
          <w:tcPr>
            <w:tcW w:w="0" w:type="dxa"/>
            <w:shd w:val="clear" w:color="auto" w:fill="auto"/>
            <w:vAlign w:val="center"/>
          </w:tcPr>
          <w:p w14:paraId="236DB014"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0.71 (0.54, 0.94)</w:t>
            </w:r>
          </w:p>
        </w:tc>
        <w:tc>
          <w:tcPr>
            <w:tcW w:w="0" w:type="dxa"/>
            <w:vMerge w:val="restart"/>
            <w:shd w:val="clear" w:color="auto" w:fill="auto"/>
            <w:vAlign w:val="center"/>
          </w:tcPr>
          <w:p w14:paraId="4208A31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0.067 (63.08%)</w:t>
            </w:r>
          </w:p>
        </w:tc>
        <w:tc>
          <w:tcPr>
            <w:tcW w:w="0" w:type="dxa"/>
            <w:shd w:val="clear" w:color="auto" w:fill="auto"/>
            <w:vAlign w:val="center"/>
          </w:tcPr>
          <w:p w14:paraId="6066840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0.68 (0.52, 0.90)</w:t>
            </w:r>
          </w:p>
        </w:tc>
        <w:tc>
          <w:tcPr>
            <w:tcW w:w="0" w:type="dxa"/>
            <w:vMerge w:val="restart"/>
            <w:shd w:val="clear" w:color="auto" w:fill="auto"/>
            <w:vAlign w:val="center"/>
          </w:tcPr>
          <w:p w14:paraId="57E4AB81"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0.049 (66.78%)</w:t>
            </w:r>
          </w:p>
        </w:tc>
      </w:tr>
      <w:tr w:rsidR="00093440" w:rsidRPr="00BD789E" w14:paraId="1AEE79B3" w14:textId="77777777" w:rsidTr="00C9746C">
        <w:trPr>
          <w:trHeight w:val="170"/>
        </w:trPr>
        <w:tc>
          <w:tcPr>
            <w:tcW w:w="0" w:type="dxa"/>
            <w:shd w:val="clear" w:color="auto" w:fill="auto"/>
            <w:vAlign w:val="center"/>
          </w:tcPr>
          <w:p w14:paraId="2ABFD2A9"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≥20</w:t>
            </w:r>
          </w:p>
        </w:tc>
        <w:tc>
          <w:tcPr>
            <w:tcW w:w="0" w:type="dxa"/>
            <w:shd w:val="clear" w:color="auto" w:fill="auto"/>
            <w:vAlign w:val="center"/>
          </w:tcPr>
          <w:p w14:paraId="1C017570"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0.60 (0.45, 0.82)</w:t>
            </w:r>
          </w:p>
        </w:tc>
        <w:tc>
          <w:tcPr>
            <w:tcW w:w="0" w:type="dxa"/>
            <w:vMerge/>
            <w:tcBorders>
              <w:bottom w:val="nil"/>
            </w:tcBorders>
            <w:shd w:val="clear" w:color="auto" w:fill="auto"/>
          </w:tcPr>
          <w:p w14:paraId="7F030D92" w14:textId="77777777" w:rsidR="00093440" w:rsidRPr="00BD789E" w:rsidRDefault="00093440" w:rsidP="00C9746C">
            <w:pPr>
              <w:keepNext/>
              <w:keepLines/>
              <w:spacing w:before="0"/>
              <w:rPr>
                <w:rFonts w:ascii="Arial Narrow" w:hAnsi="Arial Narrow"/>
                <w:sz w:val="20"/>
                <w:szCs w:val="20"/>
                <w:lang w:val="en-AU"/>
              </w:rPr>
            </w:pPr>
          </w:p>
        </w:tc>
        <w:tc>
          <w:tcPr>
            <w:tcW w:w="0" w:type="dxa"/>
            <w:shd w:val="clear" w:color="auto" w:fill="auto"/>
            <w:vAlign w:val="center"/>
          </w:tcPr>
          <w:p w14:paraId="332C899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rPr>
              <w:t>0.62 (0.46, 0.83)</w:t>
            </w:r>
          </w:p>
        </w:tc>
        <w:tc>
          <w:tcPr>
            <w:tcW w:w="0" w:type="dxa"/>
            <w:vMerge/>
            <w:tcBorders>
              <w:bottom w:val="nil"/>
            </w:tcBorders>
            <w:shd w:val="clear" w:color="auto" w:fill="auto"/>
          </w:tcPr>
          <w:p w14:paraId="4EA7EAFB" w14:textId="77777777" w:rsidR="00093440" w:rsidRPr="00BD789E" w:rsidRDefault="00093440" w:rsidP="00C9746C">
            <w:pPr>
              <w:keepNext/>
              <w:keepLines/>
              <w:spacing w:before="0"/>
              <w:rPr>
                <w:rFonts w:ascii="Arial Narrow" w:hAnsi="Arial Narrow"/>
                <w:sz w:val="20"/>
                <w:szCs w:val="20"/>
                <w:lang w:val="en-AU"/>
              </w:rPr>
            </w:pPr>
          </w:p>
        </w:tc>
      </w:tr>
      <w:tr w:rsidR="00093440" w:rsidRPr="00BD789E" w14:paraId="0B4A7B4D" w14:textId="77777777" w:rsidTr="00C9746C">
        <w:trPr>
          <w:trHeight w:val="170"/>
        </w:trPr>
        <w:tc>
          <w:tcPr>
            <w:tcW w:w="0" w:type="dxa"/>
            <w:shd w:val="clear" w:color="auto" w:fill="auto"/>
          </w:tcPr>
          <w:p w14:paraId="49BF8BB0"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&lt;1</w:t>
            </w:r>
          </w:p>
        </w:tc>
        <w:tc>
          <w:tcPr>
            <w:tcW w:w="0" w:type="dxa"/>
            <w:shd w:val="clear" w:color="auto" w:fill="auto"/>
            <w:vAlign w:val="center"/>
          </w:tcPr>
          <w:p w14:paraId="545EB99A"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sz w:val="20"/>
                <w:szCs w:val="20"/>
              </w:rPr>
              <w:t>1.18 (0.73, 1.90)</w:t>
            </w:r>
          </w:p>
        </w:tc>
        <w:tc>
          <w:tcPr>
            <w:tcW w:w="0" w:type="dxa"/>
            <w:tcBorders>
              <w:top w:val="nil"/>
              <w:bottom w:val="single" w:sz="4" w:space="0" w:color="auto"/>
            </w:tcBorders>
            <w:shd w:val="clear" w:color="auto" w:fill="auto"/>
          </w:tcPr>
          <w:p w14:paraId="51031A8B" w14:textId="77777777" w:rsidR="00093440" w:rsidRPr="00BD789E" w:rsidRDefault="00093440" w:rsidP="00C9746C">
            <w:pPr>
              <w:keepNext/>
              <w:keepLines/>
              <w:spacing w:before="0"/>
              <w:rPr>
                <w:rFonts w:ascii="Arial Narrow" w:hAnsi="Arial Narrow"/>
                <w:sz w:val="20"/>
                <w:szCs w:val="20"/>
              </w:rPr>
            </w:pPr>
          </w:p>
        </w:tc>
        <w:tc>
          <w:tcPr>
            <w:tcW w:w="0" w:type="dxa"/>
            <w:shd w:val="clear" w:color="auto" w:fill="auto"/>
            <w:vAlign w:val="center"/>
          </w:tcPr>
          <w:p w14:paraId="7F1E18EA"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1.21 (0.76, 1.94)</w:t>
            </w:r>
          </w:p>
        </w:tc>
        <w:tc>
          <w:tcPr>
            <w:tcW w:w="0" w:type="dxa"/>
            <w:tcBorders>
              <w:top w:val="nil"/>
              <w:bottom w:val="single" w:sz="4" w:space="0" w:color="auto"/>
            </w:tcBorders>
            <w:shd w:val="clear" w:color="auto" w:fill="auto"/>
          </w:tcPr>
          <w:p w14:paraId="40AEC1B8" w14:textId="77777777" w:rsidR="00093440" w:rsidRPr="00BD789E" w:rsidRDefault="00093440" w:rsidP="00C9746C">
            <w:pPr>
              <w:keepNext/>
              <w:keepLines/>
              <w:spacing w:before="0"/>
              <w:rPr>
                <w:rFonts w:ascii="Arial Narrow" w:hAnsi="Arial Narrow"/>
                <w:sz w:val="20"/>
                <w:szCs w:val="20"/>
              </w:rPr>
            </w:pPr>
          </w:p>
        </w:tc>
      </w:tr>
      <w:tr w:rsidR="00093440" w:rsidRPr="00BD789E" w14:paraId="02539B12" w14:textId="77777777" w:rsidTr="00C9746C">
        <w:trPr>
          <w:trHeight w:val="170"/>
        </w:trPr>
        <w:tc>
          <w:tcPr>
            <w:tcW w:w="0" w:type="dxa"/>
            <w:shd w:val="clear" w:color="auto" w:fill="auto"/>
            <w:vAlign w:val="center"/>
          </w:tcPr>
          <w:p w14:paraId="4368E914"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&lt;20</w:t>
            </w:r>
          </w:p>
        </w:tc>
        <w:tc>
          <w:tcPr>
            <w:tcW w:w="0" w:type="dxa"/>
            <w:shd w:val="clear" w:color="auto" w:fill="auto"/>
            <w:vAlign w:val="center"/>
          </w:tcPr>
          <w:p w14:paraId="2AC26F45"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0.83 (0.65, 1.05)</w:t>
            </w:r>
          </w:p>
        </w:tc>
        <w:tc>
          <w:tcPr>
            <w:tcW w:w="0" w:type="dxa"/>
            <w:tcBorders>
              <w:top w:val="single" w:sz="4" w:space="0" w:color="auto"/>
              <w:bottom w:val="nil"/>
            </w:tcBorders>
            <w:shd w:val="clear" w:color="auto" w:fill="auto"/>
          </w:tcPr>
          <w:p w14:paraId="00337D17"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0.109</w:t>
            </w:r>
          </w:p>
        </w:tc>
        <w:tc>
          <w:tcPr>
            <w:tcW w:w="0" w:type="dxa"/>
            <w:shd w:val="clear" w:color="auto" w:fill="auto"/>
          </w:tcPr>
          <w:p w14:paraId="525298B9"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0.80 (0.63; 1.00)</w:t>
            </w:r>
          </w:p>
        </w:tc>
        <w:tc>
          <w:tcPr>
            <w:tcW w:w="0" w:type="dxa"/>
            <w:tcBorders>
              <w:top w:val="single" w:sz="4" w:space="0" w:color="auto"/>
              <w:bottom w:val="nil"/>
            </w:tcBorders>
            <w:shd w:val="clear" w:color="auto" w:fill="auto"/>
            <w:vAlign w:val="center"/>
          </w:tcPr>
          <w:p w14:paraId="45B9C1FB"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lang w:val="en-AU"/>
              </w:rPr>
              <w:t>0.180 (4</w:t>
            </w:r>
            <w:r w:rsidRPr="00BD789E">
              <w:rPr>
                <w:rFonts w:ascii="Arial Narrow" w:hAnsi="Arial Narrow"/>
                <w:sz w:val="20"/>
                <w:szCs w:val="20"/>
              </w:rPr>
              <w:t>4.42%)</w:t>
            </w:r>
          </w:p>
        </w:tc>
      </w:tr>
      <w:tr w:rsidR="00093440" w:rsidRPr="00BD789E" w14:paraId="2382199A" w14:textId="77777777" w:rsidTr="00C9746C">
        <w:trPr>
          <w:trHeight w:val="170"/>
        </w:trPr>
        <w:tc>
          <w:tcPr>
            <w:tcW w:w="0" w:type="dxa"/>
            <w:shd w:val="clear" w:color="auto" w:fill="auto"/>
            <w:vAlign w:val="center"/>
          </w:tcPr>
          <w:p w14:paraId="5C70AFB2"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≥20</w:t>
            </w:r>
          </w:p>
        </w:tc>
        <w:tc>
          <w:tcPr>
            <w:tcW w:w="0" w:type="dxa"/>
            <w:shd w:val="clear" w:color="auto" w:fill="auto"/>
            <w:vAlign w:val="center"/>
          </w:tcPr>
          <w:p w14:paraId="6A11154F"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b/>
                <w:sz w:val="20"/>
                <w:szCs w:val="20"/>
              </w:rPr>
              <w:t>0.60 (0.45, 0.82)</w:t>
            </w:r>
          </w:p>
        </w:tc>
        <w:tc>
          <w:tcPr>
            <w:tcW w:w="0" w:type="dxa"/>
            <w:tcBorders>
              <w:top w:val="nil"/>
            </w:tcBorders>
            <w:shd w:val="clear" w:color="auto" w:fill="auto"/>
          </w:tcPr>
          <w:p w14:paraId="2C6B59C8" w14:textId="77777777" w:rsidR="00093440" w:rsidRPr="00BD789E" w:rsidRDefault="00093440" w:rsidP="00C9746C">
            <w:pPr>
              <w:keepNext/>
              <w:keepLines/>
              <w:spacing w:before="0"/>
              <w:jc w:val="center"/>
              <w:rPr>
                <w:rFonts w:ascii="Arial Narrow" w:hAnsi="Arial Narrow"/>
                <w:sz w:val="20"/>
                <w:szCs w:val="20"/>
              </w:rPr>
            </w:pPr>
          </w:p>
        </w:tc>
        <w:tc>
          <w:tcPr>
            <w:tcW w:w="0" w:type="dxa"/>
            <w:shd w:val="clear" w:color="auto" w:fill="auto"/>
          </w:tcPr>
          <w:p w14:paraId="2D601E95"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b/>
                <w:bCs/>
                <w:sz w:val="20"/>
                <w:szCs w:val="20"/>
              </w:rPr>
              <w:t>0.62 (0.46; 0.83)</w:t>
            </w:r>
          </w:p>
        </w:tc>
        <w:tc>
          <w:tcPr>
            <w:tcW w:w="0" w:type="dxa"/>
            <w:tcBorders>
              <w:top w:val="nil"/>
            </w:tcBorders>
            <w:shd w:val="clear" w:color="auto" w:fill="auto"/>
          </w:tcPr>
          <w:p w14:paraId="5B81F432" w14:textId="77777777" w:rsidR="00093440" w:rsidRPr="00BD789E" w:rsidRDefault="00093440" w:rsidP="00C9746C">
            <w:pPr>
              <w:keepNext/>
              <w:keepLines/>
              <w:spacing w:before="0"/>
              <w:rPr>
                <w:rFonts w:ascii="Arial Narrow" w:hAnsi="Arial Narrow"/>
                <w:sz w:val="20"/>
                <w:szCs w:val="20"/>
              </w:rPr>
            </w:pPr>
          </w:p>
        </w:tc>
      </w:tr>
    </w:tbl>
    <w:p w14:paraId="511CF0F3"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rPr>
        <w:t>Source: Table 2.5-4, p75, Table 2.5-12, p89-90, Table 2.6-1, p117 and Table 2.6-</w:t>
      </w:r>
      <w:proofErr w:type="gramStart"/>
      <w:r w:rsidRPr="00A24A89">
        <w:rPr>
          <w:rFonts w:ascii="Arial Narrow" w:hAnsi="Arial Narrow"/>
          <w:color w:val="auto"/>
          <w:sz w:val="18"/>
          <w:szCs w:val="18"/>
        </w:rPr>
        <w:t>2,p</w:t>
      </w:r>
      <w:proofErr w:type="gramEnd"/>
      <w:r w:rsidRPr="00A24A89">
        <w:rPr>
          <w:rFonts w:ascii="Arial Narrow" w:hAnsi="Arial Narrow"/>
          <w:color w:val="auto"/>
          <w:sz w:val="18"/>
          <w:szCs w:val="18"/>
        </w:rPr>
        <w:t>118 of the resubmission and p203 of the resubmission</w:t>
      </w:r>
    </w:p>
    <w:p w14:paraId="5E548978"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rPr>
        <w:t>Chemotherapy = cisplatin or carboplatin + 5FU</w:t>
      </w:r>
    </w:p>
    <w:p w14:paraId="6C2AAFB6"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vertAlign w:val="superscript"/>
        </w:rPr>
        <w:t>a</w:t>
      </w:r>
      <w:r w:rsidRPr="00A24A89">
        <w:rPr>
          <w:rFonts w:ascii="Arial Narrow" w:hAnsi="Arial Narrow"/>
          <w:color w:val="auto"/>
          <w:sz w:val="18"/>
          <w:szCs w:val="18"/>
        </w:rPr>
        <w:t xml:space="preserve"> Not statistically significant due to alpha spending requiring lower p-value than 0.05.</w:t>
      </w:r>
    </w:p>
    <w:p w14:paraId="3CA3C145" w14:textId="77777777" w:rsidR="00093440" w:rsidRPr="00BD789E" w:rsidRDefault="00093440" w:rsidP="00093440">
      <w:pPr>
        <w:pStyle w:val="InstructionalText"/>
        <w:keepNext/>
        <w:keepLines/>
        <w:spacing w:before="0" w:after="0"/>
        <w:rPr>
          <w:rFonts w:ascii="Arial Narrow" w:hAnsi="Arial Narrow"/>
          <w:color w:val="auto"/>
          <w:sz w:val="18"/>
          <w:szCs w:val="18"/>
        </w:rPr>
      </w:pPr>
      <w:r w:rsidRPr="00BD789E">
        <w:rPr>
          <w:rFonts w:ascii="Arial Narrow" w:hAnsi="Arial Narrow"/>
          <w:color w:val="auto"/>
          <w:sz w:val="18"/>
          <w:szCs w:val="18"/>
          <w:vertAlign w:val="superscript"/>
        </w:rPr>
        <w:t>b</w:t>
      </w:r>
      <w:r w:rsidRPr="00BD789E">
        <w:rPr>
          <w:rFonts w:ascii="Arial Narrow" w:hAnsi="Arial Narrow"/>
          <w:color w:val="auto"/>
          <w:sz w:val="18"/>
          <w:szCs w:val="18"/>
        </w:rPr>
        <w:t xml:space="preserve"> </w:t>
      </w:r>
      <w:proofErr w:type="gramStart"/>
      <w:r w:rsidRPr="00BD789E">
        <w:rPr>
          <w:rFonts w:ascii="Arial Narrow" w:hAnsi="Arial Narrow"/>
          <w:color w:val="auto"/>
          <w:sz w:val="18"/>
          <w:szCs w:val="18"/>
        </w:rPr>
        <w:t>As</w:t>
      </w:r>
      <w:proofErr w:type="gramEnd"/>
      <w:r w:rsidRPr="00BD789E">
        <w:rPr>
          <w:rFonts w:ascii="Arial Narrow" w:hAnsi="Arial Narrow"/>
          <w:color w:val="auto"/>
          <w:sz w:val="18"/>
          <w:szCs w:val="18"/>
        </w:rPr>
        <w:t xml:space="preserve"> provided in the PSCR</w:t>
      </w:r>
    </w:p>
    <w:p w14:paraId="713A3A1F"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rPr>
        <w:t>CPS = combined positive score, NA = not applicable, NR = not reported</w:t>
      </w:r>
    </w:p>
    <w:p w14:paraId="61D4B118" w14:textId="77777777" w:rsidR="00093440" w:rsidRPr="00E35308" w:rsidRDefault="00093440" w:rsidP="00141C89">
      <w:pPr>
        <w:pStyle w:val="InstructionalText"/>
        <w:keepNext/>
        <w:keepLines/>
        <w:spacing w:before="0" w:after="0"/>
      </w:pPr>
      <w:r w:rsidRPr="00A24A89">
        <w:rPr>
          <w:rFonts w:ascii="Arial Narrow" w:hAnsi="Arial Narrow"/>
          <w:color w:val="auto"/>
          <w:sz w:val="18"/>
          <w:szCs w:val="18"/>
        </w:rPr>
        <w:t>Text in bold indicate statistically significant differences</w:t>
      </w:r>
      <w:bookmarkEnd w:id="62"/>
      <w:bookmarkEnd w:id="63"/>
    </w:p>
    <w:p w14:paraId="379ACD0C" w14:textId="77777777" w:rsidR="00093440" w:rsidRPr="00BA042F" w:rsidRDefault="00093440" w:rsidP="00E35308">
      <w:pPr>
        <w:pStyle w:val="ListParagraph"/>
        <w:numPr>
          <w:ilvl w:val="4"/>
          <w:numId w:val="1"/>
        </w:numPr>
      </w:pPr>
      <w:r w:rsidRPr="00E35308">
        <w:rPr>
          <w:iCs/>
        </w:rPr>
        <w:t>The PSCR stated that the tests for interaction at CPS ≥20 for pembrolizumab monotherapy and at CPS ≥1 for pembrolizumab plus chemotherapy have demonstrated a statistically significant treatment effect modification, indicative of a predictive effect of PD-L1 (p-value for interaction test: CPS ≥20 pembrolizumab monotherapy p</w:t>
      </w:r>
      <w:r w:rsidR="00D27BB6">
        <w:rPr>
          <w:iCs/>
        </w:rPr>
        <w:t>=</w:t>
      </w:r>
      <w:r w:rsidRPr="00E35308">
        <w:rPr>
          <w:iCs/>
        </w:rPr>
        <w:t>0.004; CPS ≥1 pembrolizumab</w:t>
      </w:r>
      <w:r w:rsidRPr="00BA042F">
        <w:t xml:space="preserve"> plus chemotherapy p=0.014).</w:t>
      </w:r>
    </w:p>
    <w:p w14:paraId="48B90B58" w14:textId="77777777" w:rsidR="00141C89" w:rsidRPr="00554B90" w:rsidRDefault="00141C89" w:rsidP="00080D9A">
      <w:pPr>
        <w:pStyle w:val="ListParagraph"/>
        <w:numPr>
          <w:ilvl w:val="4"/>
          <w:numId w:val="1"/>
        </w:numPr>
        <w:rPr>
          <w:iCs/>
        </w:rPr>
      </w:pPr>
      <w:r w:rsidRPr="00554B90">
        <w:rPr>
          <w:iCs/>
        </w:rPr>
        <w:t>In studies using response rate from clinical trials as the reference standard, PD</w:t>
      </w:r>
      <w:r w:rsidRPr="00554B90">
        <w:rPr>
          <w:iCs/>
        </w:rPr>
        <w:noBreakHyphen/>
        <w:t xml:space="preserve">L1 testing using the CPS ≥1 threshold reported a high sensitivity (92-94%), but low specificity (19-23%). If a high sensitivity was acceptable at the expense of low specificity, then it would arguably be preferable to not test and just assume all patients respond to a similar extent (100% sensitivity, 0% specificity). </w:t>
      </w:r>
    </w:p>
    <w:p w14:paraId="7DF4FB78" w14:textId="77777777" w:rsidR="00141C89" w:rsidRPr="00141C89" w:rsidRDefault="00141C89" w:rsidP="00141C89">
      <w:pPr>
        <w:pStyle w:val="ListParagraph"/>
        <w:numPr>
          <w:ilvl w:val="4"/>
          <w:numId w:val="1"/>
        </w:numPr>
        <w:rPr>
          <w:iCs/>
        </w:rPr>
      </w:pPr>
      <w:r w:rsidRPr="00141C89">
        <w:rPr>
          <w:iCs/>
        </w:rPr>
        <w:t>The discordance of the PD-L1 test may lead to unacceptable risks for some patients. False positives from CPS testing (patients with CPS</w:t>
      </w:r>
      <w:r>
        <w:rPr>
          <w:iCs/>
        </w:rPr>
        <w:t xml:space="preserve"> </w:t>
      </w:r>
      <w:r w:rsidRPr="00141C89">
        <w:rPr>
          <w:iCs/>
        </w:rPr>
        <w:t>&lt;1 being misclassified as CPS</w:t>
      </w:r>
      <w:r>
        <w:rPr>
          <w:iCs/>
        </w:rPr>
        <w:t xml:space="preserve"> </w:t>
      </w:r>
      <w:r w:rsidRPr="00141C89">
        <w:rPr>
          <w:iCs/>
        </w:rPr>
        <w:t>≥1) would result in patients who should be treated with SoC being exposed to pembrolizumab. If patients receive pembrolizumab monotherapy instead of SoC, they would be expected to have a worse clinical outcome with a lower OS observed for patients with CPS</w:t>
      </w:r>
      <w:r>
        <w:rPr>
          <w:iCs/>
        </w:rPr>
        <w:t xml:space="preserve"> </w:t>
      </w:r>
      <w:r w:rsidRPr="00141C89">
        <w:rPr>
          <w:iCs/>
        </w:rPr>
        <w:t>&lt;1 (HR 1.72, 95% CI 1.06, 2.79). In the PSCR</w:t>
      </w:r>
      <w:r>
        <w:rPr>
          <w:iCs/>
        </w:rPr>
        <w:t xml:space="preserve"> </w:t>
      </w:r>
      <w:r w:rsidRPr="00141C89">
        <w:rPr>
          <w:iCs/>
        </w:rPr>
        <w:t>the sponsor proposed increasing the threshold for pembrolizumab monotherapy to CPS</w:t>
      </w:r>
      <w:r>
        <w:rPr>
          <w:iCs/>
        </w:rPr>
        <w:t xml:space="preserve"> </w:t>
      </w:r>
      <w:r w:rsidRPr="00141C89">
        <w:rPr>
          <w:iCs/>
        </w:rPr>
        <w:t xml:space="preserve">≥20 to decrease the likely number of false positives. If a false positive would result in patients receiving pembrolizumab plus chemotherapy instead of SoC, they would be exposed to additional adverse events with </w:t>
      </w:r>
      <w:r w:rsidR="0073003C">
        <w:rPr>
          <w:iCs/>
        </w:rPr>
        <w:t>reduced</w:t>
      </w:r>
      <w:r w:rsidRPr="00141C89">
        <w:rPr>
          <w:iCs/>
        </w:rPr>
        <w:t xml:space="preserve"> corresponding benefit in efficacy and would </w:t>
      </w:r>
      <w:r w:rsidRPr="00141C89">
        <w:rPr>
          <w:iCs/>
        </w:rPr>
        <w:lastRenderedPageBreak/>
        <w:t>be denied treatment with PBS-subsidised 2L nivolumab based on the current restrictions.</w:t>
      </w:r>
    </w:p>
    <w:p w14:paraId="3A6015E4" w14:textId="77777777" w:rsidR="00554B90" w:rsidRDefault="00141C89" w:rsidP="00554B90">
      <w:pPr>
        <w:pStyle w:val="ListParagraph"/>
        <w:numPr>
          <w:ilvl w:val="4"/>
          <w:numId w:val="1"/>
        </w:numPr>
        <w:rPr>
          <w:iCs/>
        </w:rPr>
      </w:pPr>
      <w:r w:rsidRPr="00141C89">
        <w:rPr>
          <w:iCs/>
        </w:rPr>
        <w:t>False negatives from CPS testing would result in patients who would benefit from pembrolizumab therapy being treated with SoC instead. In patients who would have been treated with pembrolizumab monotherapy, a false negative would expose patients to adverse events associated with chemotherapy (such as neutropenia and anaemia) rather than immune related adverse events (such as hypothyroidism and pneumonitis).</w:t>
      </w:r>
      <w:r w:rsidR="00554B90" w:rsidRPr="00554B90">
        <w:rPr>
          <w:iCs/>
        </w:rPr>
        <w:t xml:space="preserve"> </w:t>
      </w:r>
    </w:p>
    <w:p w14:paraId="1334A9DE" w14:textId="686186C5" w:rsidR="0073003C" w:rsidRPr="00AC0D67" w:rsidRDefault="00554B90" w:rsidP="00080D9A">
      <w:pPr>
        <w:pStyle w:val="ListParagraph"/>
        <w:numPr>
          <w:ilvl w:val="4"/>
          <w:numId w:val="1"/>
        </w:numPr>
        <w:rPr>
          <w:iCs/>
        </w:rPr>
      </w:pPr>
      <w:r w:rsidRPr="00AC0D67">
        <w:rPr>
          <w:iCs/>
        </w:rPr>
        <w:t xml:space="preserve">MSAC previously queried whether the postulated </w:t>
      </w:r>
      <w:proofErr w:type="spellStart"/>
      <w:r w:rsidRPr="00AC0D67">
        <w:rPr>
          <w:iCs/>
        </w:rPr>
        <w:t>codependency</w:t>
      </w:r>
      <w:proofErr w:type="spellEnd"/>
      <w:r w:rsidRPr="00AC0D67">
        <w:rPr>
          <w:iCs/>
        </w:rPr>
        <w:t xml:space="preserve"> between PD-L1 status and the clinical benefit from pembrolizumab differed when it was used as monotherapy compared with its use in c</w:t>
      </w:r>
      <w:r w:rsidR="00BE13E2">
        <w:rPr>
          <w:iCs/>
        </w:rPr>
        <w:t>ombination with chemotherapy (</w:t>
      </w:r>
      <w:r w:rsidRPr="00AC0D67">
        <w:rPr>
          <w:iCs/>
        </w:rPr>
        <w:t xml:space="preserve">application no. 1522 PSD, November 2020 MSAC Meeting). </w:t>
      </w:r>
      <w:r w:rsidR="00AC0D67">
        <w:rPr>
          <w:iCs/>
        </w:rPr>
        <w:t xml:space="preserve">As noted above (paragraphs </w:t>
      </w:r>
      <w:r w:rsidR="008D43ED">
        <w:rPr>
          <w:iCs/>
        </w:rPr>
        <w:t>1.5</w:t>
      </w:r>
      <w:r w:rsidR="00AC0D67">
        <w:rPr>
          <w:iCs/>
        </w:rPr>
        <w:t>-</w:t>
      </w:r>
      <w:r w:rsidR="008D43ED">
        <w:rPr>
          <w:iCs/>
        </w:rPr>
        <w:t>1.6</w:t>
      </w:r>
      <w:r w:rsidR="00AC0D67">
        <w:rPr>
          <w:iCs/>
        </w:rPr>
        <w:t xml:space="preserve">), subject to MSAC’s advice, the </w:t>
      </w:r>
      <w:r w:rsidR="00AC0D67">
        <w:t xml:space="preserve">PBAC expressed a preference for recommending the CPS ≥20 threshold for pembrolizumab monotherapy and an allcomers population for pembrolizumab plus chemotherapy. The PBAC considered that this clinical approach may minimise the impact of false negative and false positive CPS test results. </w:t>
      </w:r>
      <w:r w:rsidR="0073003C" w:rsidRPr="00AC0D67">
        <w:rPr>
          <w:iCs/>
        </w:rPr>
        <w:t>The ESCs noted that if pembrolizumab + chemotherapy was to be listed for allcomers (</w:t>
      </w:r>
      <w:r w:rsidR="003C0EC8">
        <w:rPr>
          <w:iCs/>
        </w:rPr>
        <w:t>regardless</w:t>
      </w:r>
      <w:r w:rsidR="0073003C" w:rsidRPr="00AC0D67">
        <w:rPr>
          <w:iCs/>
        </w:rPr>
        <w:t xml:space="preserve"> of </w:t>
      </w:r>
      <w:r w:rsidR="00EE6794">
        <w:rPr>
          <w:iCs/>
        </w:rPr>
        <w:t>PD-L1</w:t>
      </w:r>
      <w:r w:rsidR="00EE6794" w:rsidRPr="00AC0D67">
        <w:rPr>
          <w:iCs/>
        </w:rPr>
        <w:t xml:space="preserve"> </w:t>
      </w:r>
      <w:r w:rsidR="0073003C" w:rsidRPr="00AC0D67">
        <w:rPr>
          <w:iCs/>
        </w:rPr>
        <w:t>status) acceptance of PD</w:t>
      </w:r>
      <w:r w:rsidR="0073003C" w:rsidRPr="00AC0D67">
        <w:rPr>
          <w:iCs/>
        </w:rPr>
        <w:noBreakHyphen/>
        <w:t>L1 testing as a valid biomarker for efficacy of pembrolizumab in this indication would not be required. However, clinicians may still prefer that PD</w:t>
      </w:r>
      <w:r w:rsidR="0073003C" w:rsidRPr="00AC0D67">
        <w:rPr>
          <w:iCs/>
        </w:rPr>
        <w:noBreakHyphen/>
        <w:t>L1 testing is accessible to inform the treatment decision regarding the inclusion/exclusion and/or extent of chemotherapy.</w:t>
      </w:r>
    </w:p>
    <w:p w14:paraId="66655B8C" w14:textId="77777777" w:rsidR="00D7609F" w:rsidRPr="00A24A89" w:rsidRDefault="00D7609F" w:rsidP="00D7609F">
      <w:pPr>
        <w:pStyle w:val="PBACESHeading2"/>
        <w:numPr>
          <w:ilvl w:val="2"/>
          <w:numId w:val="1"/>
        </w:numPr>
      </w:pPr>
      <w:bookmarkStart w:id="64" w:name="_Toc81727557"/>
      <w:bookmarkStart w:id="65" w:name="_Toc82600106"/>
      <w:r w:rsidRPr="00A24A89">
        <w:t>Economic analysis</w:t>
      </w:r>
      <w:bookmarkEnd w:id="64"/>
      <w:bookmarkEnd w:id="65"/>
    </w:p>
    <w:p w14:paraId="59760903" w14:textId="77777777" w:rsidR="00D7609F" w:rsidRPr="00A24A89" w:rsidRDefault="00D7609F" w:rsidP="00D7609F">
      <w:pPr>
        <w:pStyle w:val="ListParagraph"/>
        <w:numPr>
          <w:ilvl w:val="4"/>
          <w:numId w:val="1"/>
        </w:numPr>
      </w:pPr>
      <w:r w:rsidRPr="00A24A89">
        <w:t xml:space="preserve">The basis of the economic evaluation was a cost effectiveness analysis (CEA). The resubmission presented two modelled economic evaluations, separately comparing pembrolizumab plus chemotherapy with SoC (economic analysis 1 (EA1)), and pembrolizumab monotherapy with SoC (economic analysis 2 (EA2)), in a population of patients with previously untreated R/M HNSCC with a CPS ≥1. </w:t>
      </w:r>
      <w:r w:rsidRPr="0017405A">
        <w:t>Both models had the same structure.</w:t>
      </w:r>
      <w:r w:rsidRPr="00A24A89">
        <w:rPr>
          <w:i/>
        </w:rPr>
        <w:t xml:space="preserve"> </w:t>
      </w:r>
      <w:r w:rsidRPr="00A24A89">
        <w:t xml:space="preserve">In both analyses cetuximab plus chemotherapy was used as a proxy for chemotherapy alone and adjustments were made for increased 2L nivolumab use. Also presented were additional analyses that considered treating all patients irrespective of CPS (scenario analysis 1 (SA1)), </w:t>
      </w:r>
      <w:r w:rsidR="00330760">
        <w:t xml:space="preserve">and </w:t>
      </w:r>
      <w:r w:rsidRPr="00A24A89">
        <w:t>a wholistic model that accounts for the assumed PD-L1 test accuracy (Scenario analyses 2 (SA2))</w:t>
      </w:r>
      <w:r w:rsidR="00330760">
        <w:t xml:space="preserve"> which relied on outputs from EA1, EA2 and SA1</w:t>
      </w:r>
      <w:r w:rsidRPr="00A24A89">
        <w:t>. Incremental cost-effectiveness ratios (cost per quality-adjusted life-year</w:t>
      </w:r>
      <w:r w:rsidR="00E566ED">
        <w:t xml:space="preserve"> (QALY)</w:t>
      </w:r>
      <w:r w:rsidRPr="00A24A89">
        <w:t xml:space="preserve"> gained [base case] and cost per life-year-saved) were presented for each analysis and a weighted cost-utility estimate was also provided.</w:t>
      </w:r>
    </w:p>
    <w:p w14:paraId="20449B4C" w14:textId="77777777" w:rsidR="00D7609F" w:rsidRPr="00A24A89" w:rsidRDefault="00D7609F" w:rsidP="00D7609F">
      <w:pPr>
        <w:pStyle w:val="ListParagraph"/>
        <w:numPr>
          <w:ilvl w:val="4"/>
          <w:numId w:val="1"/>
        </w:numPr>
      </w:pPr>
      <w:r w:rsidRPr="00A24A89">
        <w:t xml:space="preserve">The resubmission included </w:t>
      </w:r>
      <w:proofErr w:type="gramStart"/>
      <w:r w:rsidRPr="00A24A89">
        <w:t>a number of</w:t>
      </w:r>
      <w:proofErr w:type="gramEnd"/>
      <w:r w:rsidRPr="00A24A89">
        <w:t xml:space="preserve"> additions and alterations that were made to the economic evaluation following the previous submission. The primary changes were:</w:t>
      </w:r>
    </w:p>
    <w:p w14:paraId="030678F9" w14:textId="77777777" w:rsidR="00D7609F" w:rsidRPr="00A24A89" w:rsidRDefault="00D7609F" w:rsidP="00DD3D4A">
      <w:pPr>
        <w:pStyle w:val="ListParagraph"/>
        <w:numPr>
          <w:ilvl w:val="0"/>
          <w:numId w:val="19"/>
        </w:numPr>
        <w:ind w:left="993" w:hanging="284"/>
        <w:rPr>
          <w:iCs/>
          <w:color w:val="auto"/>
        </w:rPr>
      </w:pPr>
      <w:r w:rsidRPr="00A24A89">
        <w:rPr>
          <w:iCs/>
          <w:color w:val="auto"/>
        </w:rPr>
        <w:lastRenderedPageBreak/>
        <w:t>Additional long-term data has been added to the economic model such that median patient follow</w:t>
      </w:r>
      <w:r w:rsidR="00A034F8">
        <w:rPr>
          <w:iCs/>
          <w:color w:val="auto"/>
        </w:rPr>
        <w:t>-up</w:t>
      </w:r>
      <w:r w:rsidRPr="00A24A89">
        <w:rPr>
          <w:iCs/>
          <w:color w:val="auto"/>
        </w:rPr>
        <w:t xml:space="preserve"> has increase</w:t>
      </w:r>
      <w:r w:rsidR="00A034F8">
        <w:rPr>
          <w:iCs/>
          <w:color w:val="auto"/>
        </w:rPr>
        <w:t>d</w:t>
      </w:r>
      <w:r w:rsidRPr="00A24A89">
        <w:rPr>
          <w:iCs/>
          <w:color w:val="auto"/>
        </w:rPr>
        <w:t xml:space="preserve"> to ~46 months (~55 months/4.6 years maximum follow-up)</w:t>
      </w:r>
      <w:r w:rsidR="00330760">
        <w:rPr>
          <w:iCs/>
          <w:color w:val="auto"/>
        </w:rPr>
        <w:t xml:space="preserve">, with a resultant change in the extrapolation of all </w:t>
      </w:r>
      <w:proofErr w:type="gramStart"/>
      <w:r w:rsidR="00330760">
        <w:rPr>
          <w:iCs/>
          <w:color w:val="auto"/>
        </w:rPr>
        <w:t>treatments</w:t>
      </w:r>
      <w:r w:rsidRPr="00A24A89">
        <w:rPr>
          <w:iCs/>
          <w:color w:val="auto"/>
        </w:rPr>
        <w:t>;</w:t>
      </w:r>
      <w:proofErr w:type="gramEnd"/>
    </w:p>
    <w:p w14:paraId="2A5B8B13" w14:textId="77777777" w:rsidR="00D7609F" w:rsidRPr="00A24A89" w:rsidRDefault="00D7609F" w:rsidP="00DD3D4A">
      <w:pPr>
        <w:pStyle w:val="ListParagraph"/>
        <w:numPr>
          <w:ilvl w:val="0"/>
          <w:numId w:val="19"/>
        </w:numPr>
        <w:ind w:left="993" w:hanging="284"/>
        <w:rPr>
          <w:iCs/>
          <w:color w:val="auto"/>
        </w:rPr>
      </w:pPr>
      <w:r w:rsidRPr="00A24A89">
        <w:rPr>
          <w:iCs/>
          <w:color w:val="auto"/>
        </w:rPr>
        <w:t>The base case CEA (</w:t>
      </w:r>
      <w:r w:rsidR="002B1C15" w:rsidRPr="00A24A89">
        <w:rPr>
          <w:iCs/>
          <w:color w:val="auto"/>
        </w:rPr>
        <w:t>CPS ≥1</w:t>
      </w:r>
      <w:r w:rsidRPr="00A24A89">
        <w:rPr>
          <w:iCs/>
          <w:color w:val="auto"/>
        </w:rPr>
        <w:t xml:space="preserve">) relied on efficacy data taken directly from KN048 comparing pembrolizumab ± chemotherapy with </w:t>
      </w:r>
      <w:r w:rsidR="00C077D0">
        <w:rPr>
          <w:iCs/>
          <w:color w:val="auto"/>
        </w:rPr>
        <w:t>cetuximab plus</w:t>
      </w:r>
      <w:r w:rsidRPr="00A24A89">
        <w:rPr>
          <w:iCs/>
          <w:color w:val="auto"/>
        </w:rPr>
        <w:t xml:space="preserve"> chemotherapy (acting as a proxy for chemotherapy alone), not indirect comparisons. The cost of cetuximab was not applied in these </w:t>
      </w:r>
      <w:proofErr w:type="gramStart"/>
      <w:r w:rsidRPr="00A24A89">
        <w:rPr>
          <w:iCs/>
          <w:color w:val="auto"/>
        </w:rPr>
        <w:t>analyses;</w:t>
      </w:r>
      <w:proofErr w:type="gramEnd"/>
    </w:p>
    <w:p w14:paraId="14F32E9A" w14:textId="77777777" w:rsidR="00D7609F" w:rsidRPr="00A24A89" w:rsidRDefault="00D7609F" w:rsidP="00DD3D4A">
      <w:pPr>
        <w:pStyle w:val="ListParagraph"/>
        <w:numPr>
          <w:ilvl w:val="0"/>
          <w:numId w:val="19"/>
        </w:numPr>
        <w:ind w:left="993" w:hanging="284"/>
        <w:rPr>
          <w:iCs/>
          <w:color w:val="auto"/>
        </w:rPr>
      </w:pPr>
      <w:r w:rsidRPr="00A24A89">
        <w:rPr>
          <w:iCs/>
          <w:color w:val="auto"/>
        </w:rPr>
        <w:t xml:space="preserve">While 26-27% of patients in KN048 received nivolumab treatment in the comparator arm after disease progression, it was estimated that around 50% of patients who have disease progression and receive a 2L treatment will receive nivolumab in Australia. The resubmission acknowledged that while it was elementary to capture the costs of these treatments in the economic model, adjusting the survival estimates to capture the effects of increased use of nivolumab is methodologically challenging. A </w:t>
      </w:r>
      <w:r w:rsidR="00330760">
        <w:rPr>
          <w:iCs/>
          <w:color w:val="auto"/>
        </w:rPr>
        <w:t>two</w:t>
      </w:r>
      <w:r w:rsidRPr="00A24A89">
        <w:rPr>
          <w:iCs/>
          <w:color w:val="auto"/>
        </w:rPr>
        <w:t xml:space="preserve">-stage adjustment for treatment switching was applied to the SoC arm to estimate the treatment effect of nivolumab, which was then upscaled to reflect 50% </w:t>
      </w:r>
      <w:r w:rsidR="00AE5E44" w:rsidRPr="00E31F5B">
        <w:rPr>
          <w:iCs/>
          <w:color w:val="auto"/>
        </w:rPr>
        <w:t>(revised to 43.7% in the PSCR)</w:t>
      </w:r>
      <w:r w:rsidR="00AE5E44">
        <w:rPr>
          <w:iCs/>
          <w:color w:val="auto"/>
        </w:rPr>
        <w:t xml:space="preserve"> </w:t>
      </w:r>
      <w:r w:rsidRPr="00A24A89">
        <w:rPr>
          <w:iCs/>
          <w:color w:val="auto"/>
        </w:rPr>
        <w:t>estimated 2L use of nivolumab in Australia; and</w:t>
      </w:r>
    </w:p>
    <w:p w14:paraId="504F7421" w14:textId="77777777" w:rsidR="00D7609F" w:rsidRPr="00A24A89" w:rsidRDefault="00D7609F" w:rsidP="00DD3D4A">
      <w:pPr>
        <w:pStyle w:val="ListParagraph"/>
        <w:numPr>
          <w:ilvl w:val="0"/>
          <w:numId w:val="19"/>
        </w:numPr>
        <w:ind w:left="993" w:hanging="284"/>
        <w:rPr>
          <w:iCs/>
          <w:color w:val="auto"/>
        </w:rPr>
      </w:pPr>
      <w:r w:rsidRPr="00A24A89">
        <w:rPr>
          <w:iCs/>
          <w:color w:val="auto"/>
        </w:rPr>
        <w:t>In the resubmission, the transition probabilities for SoC w</w:t>
      </w:r>
      <w:r w:rsidR="00D36073">
        <w:rPr>
          <w:iCs/>
          <w:color w:val="auto"/>
        </w:rPr>
        <w:t>ere</w:t>
      </w:r>
      <w:r w:rsidRPr="00A24A89">
        <w:rPr>
          <w:iCs/>
          <w:color w:val="auto"/>
        </w:rPr>
        <w:t xml:space="preserve"> informed directly from the KM curves (and the extrapolations) in KN048, with 1L </w:t>
      </w:r>
      <w:r w:rsidR="00C077D0">
        <w:rPr>
          <w:iCs/>
          <w:color w:val="auto"/>
        </w:rPr>
        <w:t>cetuximab plus</w:t>
      </w:r>
      <w:r w:rsidRPr="00A24A89">
        <w:rPr>
          <w:iCs/>
          <w:color w:val="auto"/>
        </w:rPr>
        <w:t xml:space="preserve"> chemotherapy serving as a proxy for 1L chemotherapy. Previously the SoC arm was informed by applying an inverse hazard ratio to the results of the pembrolizumab KM curve.</w:t>
      </w:r>
    </w:p>
    <w:p w14:paraId="1326F9F2" w14:textId="77777777" w:rsidR="00D7609F" w:rsidRPr="00A24A89" w:rsidRDefault="00D7609F" w:rsidP="00D7609F">
      <w:pPr>
        <w:pStyle w:val="ListParagraph"/>
        <w:numPr>
          <w:ilvl w:val="4"/>
          <w:numId w:val="1"/>
        </w:numPr>
      </w:pPr>
      <w:r w:rsidRPr="00A24A89">
        <w:t>The summary of the model structure and rationale is presented in</w:t>
      </w:r>
      <w:r w:rsidR="00330760">
        <w:t xml:space="preserve"> </w:t>
      </w:r>
      <w:r w:rsidR="008D43ED">
        <w:t xml:space="preserve">Table </w:t>
      </w:r>
      <w:r w:rsidR="008D43ED">
        <w:rPr>
          <w:noProof/>
        </w:rPr>
        <w:t>15</w:t>
      </w:r>
      <w:r w:rsidRPr="00A24A89">
        <w:t>.</w:t>
      </w:r>
    </w:p>
    <w:p w14:paraId="594F783A" w14:textId="77777777" w:rsidR="00D7609F" w:rsidRPr="00A24A89" w:rsidRDefault="00E31F5B" w:rsidP="00024DCD">
      <w:pPr>
        <w:pStyle w:val="Caption"/>
      </w:pPr>
      <w:bookmarkStart w:id="66" w:name="_Ref80068817"/>
      <w:r>
        <w:lastRenderedPageBreak/>
        <w:t xml:space="preserve">Table </w:t>
      </w:r>
      <w:r w:rsidR="008D43ED">
        <w:rPr>
          <w:noProof/>
        </w:rPr>
        <w:t>15</w:t>
      </w:r>
      <w:bookmarkEnd w:id="66"/>
      <w:r w:rsidR="00024DCD">
        <w:rPr>
          <w:noProof/>
        </w:rPr>
        <w:t xml:space="preserve">: </w:t>
      </w:r>
      <w:r w:rsidR="00D7609F" w:rsidRPr="00A24A89">
        <w:t>Summary of model structure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5: Summary of model structure and rationale"/>
      </w:tblPr>
      <w:tblGrid>
        <w:gridCol w:w="1555"/>
        <w:gridCol w:w="3543"/>
        <w:gridCol w:w="3969"/>
      </w:tblGrid>
      <w:tr w:rsidR="00D7609F" w:rsidRPr="0017405A" w14:paraId="348CF4CA" w14:textId="77777777" w:rsidTr="00463FCE">
        <w:tc>
          <w:tcPr>
            <w:tcW w:w="1555" w:type="dxa"/>
            <w:shd w:val="clear" w:color="auto" w:fill="auto"/>
          </w:tcPr>
          <w:p w14:paraId="58C43591" w14:textId="77777777" w:rsidR="00D7609F" w:rsidRPr="0017405A" w:rsidRDefault="00D7609F" w:rsidP="00330760">
            <w:pPr>
              <w:pStyle w:val="TableText"/>
              <w:keepNext/>
              <w:keepLines/>
              <w:widowControl/>
              <w:spacing w:before="0" w:after="0"/>
              <w:rPr>
                <w:b/>
                <w:szCs w:val="20"/>
              </w:rPr>
            </w:pPr>
            <w:r w:rsidRPr="0017405A">
              <w:rPr>
                <w:b/>
                <w:szCs w:val="20"/>
              </w:rPr>
              <w:t xml:space="preserve">Component </w:t>
            </w:r>
          </w:p>
        </w:tc>
        <w:tc>
          <w:tcPr>
            <w:tcW w:w="3543" w:type="dxa"/>
            <w:shd w:val="clear" w:color="auto" w:fill="auto"/>
          </w:tcPr>
          <w:p w14:paraId="7A47D61C" w14:textId="77777777" w:rsidR="00D7609F" w:rsidRPr="0017405A" w:rsidRDefault="00D7609F" w:rsidP="00330760">
            <w:pPr>
              <w:pStyle w:val="TableText"/>
              <w:keepNext/>
              <w:keepLines/>
              <w:widowControl/>
              <w:spacing w:before="0" w:after="0"/>
              <w:rPr>
                <w:b/>
                <w:szCs w:val="20"/>
              </w:rPr>
            </w:pPr>
            <w:r w:rsidRPr="0017405A">
              <w:rPr>
                <w:b/>
                <w:szCs w:val="20"/>
              </w:rPr>
              <w:t>Description</w:t>
            </w:r>
          </w:p>
        </w:tc>
        <w:tc>
          <w:tcPr>
            <w:tcW w:w="3969" w:type="dxa"/>
          </w:tcPr>
          <w:p w14:paraId="30EDF997" w14:textId="77777777" w:rsidR="00D7609F" w:rsidRPr="0017405A" w:rsidRDefault="00D7609F" w:rsidP="00330760">
            <w:pPr>
              <w:pStyle w:val="TableText"/>
              <w:keepNext/>
              <w:keepLines/>
              <w:widowControl/>
              <w:spacing w:before="0" w:after="0"/>
              <w:rPr>
                <w:b/>
                <w:szCs w:val="20"/>
              </w:rPr>
            </w:pPr>
            <w:r w:rsidRPr="0017405A">
              <w:rPr>
                <w:b/>
                <w:szCs w:val="20"/>
              </w:rPr>
              <w:t>Justification/comments</w:t>
            </w:r>
          </w:p>
        </w:tc>
      </w:tr>
      <w:tr w:rsidR="00D7609F" w:rsidRPr="0017405A" w14:paraId="7DCDD21B" w14:textId="77777777" w:rsidTr="00463FCE">
        <w:tc>
          <w:tcPr>
            <w:tcW w:w="1555" w:type="dxa"/>
            <w:shd w:val="clear" w:color="auto" w:fill="auto"/>
          </w:tcPr>
          <w:p w14:paraId="1E97C88B" w14:textId="77777777" w:rsidR="00D7609F" w:rsidRPr="0017405A" w:rsidRDefault="00D7609F" w:rsidP="00330760">
            <w:pPr>
              <w:pStyle w:val="TableText"/>
              <w:keepNext/>
              <w:keepLines/>
              <w:widowControl/>
              <w:spacing w:before="0" w:after="0"/>
              <w:rPr>
                <w:szCs w:val="20"/>
              </w:rPr>
            </w:pPr>
            <w:r w:rsidRPr="0017405A">
              <w:rPr>
                <w:szCs w:val="20"/>
              </w:rPr>
              <w:t>Type of analysis</w:t>
            </w:r>
          </w:p>
        </w:tc>
        <w:tc>
          <w:tcPr>
            <w:tcW w:w="3543" w:type="dxa"/>
            <w:shd w:val="clear" w:color="auto" w:fill="auto"/>
            <w:vAlign w:val="center"/>
          </w:tcPr>
          <w:p w14:paraId="3FF54A32"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Cost effectiveness analysis (cost utility analysis in the base case)</w:t>
            </w:r>
          </w:p>
        </w:tc>
        <w:tc>
          <w:tcPr>
            <w:tcW w:w="3969" w:type="dxa"/>
            <w:vAlign w:val="center"/>
          </w:tcPr>
          <w:p w14:paraId="402C47DD"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1D079168" w14:textId="77777777" w:rsidTr="00463FCE">
        <w:tc>
          <w:tcPr>
            <w:tcW w:w="1555" w:type="dxa"/>
            <w:shd w:val="clear" w:color="auto" w:fill="auto"/>
          </w:tcPr>
          <w:p w14:paraId="5C025A6E"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Outcomes</w:t>
            </w:r>
          </w:p>
        </w:tc>
        <w:tc>
          <w:tcPr>
            <w:tcW w:w="3543" w:type="dxa"/>
            <w:shd w:val="clear" w:color="auto" w:fill="auto"/>
            <w:vAlign w:val="center"/>
          </w:tcPr>
          <w:p w14:paraId="61541B48"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Quality-adjusted life years saved (base case), life years gained</w:t>
            </w:r>
          </w:p>
        </w:tc>
        <w:tc>
          <w:tcPr>
            <w:tcW w:w="3969" w:type="dxa"/>
            <w:vAlign w:val="center"/>
          </w:tcPr>
          <w:p w14:paraId="72A77384"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1A830A70" w14:textId="77777777" w:rsidTr="00463FCE">
        <w:tc>
          <w:tcPr>
            <w:tcW w:w="1555" w:type="dxa"/>
            <w:shd w:val="clear" w:color="auto" w:fill="auto"/>
          </w:tcPr>
          <w:p w14:paraId="4661FF66"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Time horizon</w:t>
            </w:r>
          </w:p>
        </w:tc>
        <w:tc>
          <w:tcPr>
            <w:tcW w:w="3543" w:type="dxa"/>
            <w:shd w:val="clear" w:color="auto" w:fill="auto"/>
          </w:tcPr>
          <w:p w14:paraId="388FC3DF" w14:textId="77777777" w:rsidR="00D7609F" w:rsidRPr="0017405A" w:rsidRDefault="00D7609F" w:rsidP="00330760">
            <w:pPr>
              <w:pStyle w:val="TableText"/>
              <w:keepNext/>
              <w:keepLines/>
              <w:widowControl/>
              <w:spacing w:before="0" w:after="0"/>
              <w:rPr>
                <w:szCs w:val="20"/>
              </w:rPr>
            </w:pPr>
            <w:r w:rsidRPr="0017405A">
              <w:rPr>
                <w:szCs w:val="20"/>
              </w:rPr>
              <w:t>7.5 years in the model base case</w:t>
            </w:r>
          </w:p>
          <w:p w14:paraId="7E5A175A"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 xml:space="preserve">Sensitivity analysis in resubmission considered a </w:t>
            </w:r>
            <w:proofErr w:type="gramStart"/>
            <w:r w:rsidRPr="0017405A">
              <w:rPr>
                <w:szCs w:val="20"/>
              </w:rPr>
              <w:t>10 year</w:t>
            </w:r>
            <w:proofErr w:type="gramEnd"/>
            <w:r w:rsidRPr="0017405A">
              <w:rPr>
                <w:szCs w:val="20"/>
              </w:rPr>
              <w:t xml:space="preserve"> time horizon.</w:t>
            </w:r>
          </w:p>
        </w:tc>
        <w:tc>
          <w:tcPr>
            <w:tcW w:w="3969" w:type="dxa"/>
            <w:vAlign w:val="center"/>
          </w:tcPr>
          <w:p w14:paraId="613ED3A0" w14:textId="77777777" w:rsidR="00D7609F" w:rsidRPr="0017405A" w:rsidRDefault="00D7609F" w:rsidP="00330760">
            <w:pPr>
              <w:pStyle w:val="TableText"/>
              <w:keepNext/>
              <w:keepLines/>
              <w:widowControl/>
              <w:spacing w:before="0" w:after="0"/>
              <w:rPr>
                <w:szCs w:val="20"/>
              </w:rPr>
            </w:pPr>
            <w:r w:rsidRPr="0017405A">
              <w:rPr>
                <w:szCs w:val="20"/>
              </w:rPr>
              <w:t xml:space="preserve">Same duration as used in previous model. The PBAC previously considered that the use of a base case </w:t>
            </w:r>
            <w:proofErr w:type="gramStart"/>
            <w:r w:rsidRPr="0017405A">
              <w:rPr>
                <w:szCs w:val="20"/>
              </w:rPr>
              <w:t>7.5 year</w:t>
            </w:r>
            <w:proofErr w:type="gramEnd"/>
            <w:r w:rsidRPr="0017405A">
              <w:rPr>
                <w:szCs w:val="20"/>
              </w:rPr>
              <w:t xml:space="preserve"> time horizon was not reasonable based on the currently available evidence but that it may be supported with longer follow up for KN048 (paragraph 7.10, pembrolizumab PSD, November 2020</w:t>
            </w:r>
            <w:r w:rsidR="007000C5" w:rsidRPr="0017405A">
              <w:rPr>
                <w:szCs w:val="20"/>
              </w:rPr>
              <w:t xml:space="preserve"> PBAC Meeting</w:t>
            </w:r>
            <w:r w:rsidRPr="0017405A">
              <w:rPr>
                <w:szCs w:val="20"/>
              </w:rPr>
              <w:t>).</w:t>
            </w:r>
          </w:p>
          <w:p w14:paraId="42498BC0" w14:textId="77777777" w:rsidR="00D7609F" w:rsidRPr="0017405A" w:rsidRDefault="00D7609F" w:rsidP="00330760">
            <w:pPr>
              <w:pStyle w:val="TableText"/>
              <w:keepNext/>
              <w:keepLines/>
              <w:widowControl/>
              <w:spacing w:before="0" w:after="0"/>
              <w:rPr>
                <w:szCs w:val="20"/>
              </w:rPr>
            </w:pPr>
            <w:r w:rsidRPr="0017405A">
              <w:rPr>
                <w:szCs w:val="20"/>
              </w:rPr>
              <w:t>An additional 12 months of data from KN048 has been provided in the resubmission (median patient follow up of 46 months).</w:t>
            </w:r>
          </w:p>
        </w:tc>
      </w:tr>
      <w:tr w:rsidR="00D7609F" w:rsidRPr="0017405A" w14:paraId="560CBAB7" w14:textId="77777777" w:rsidTr="00463FCE">
        <w:tc>
          <w:tcPr>
            <w:tcW w:w="1555" w:type="dxa"/>
            <w:shd w:val="clear" w:color="auto" w:fill="auto"/>
          </w:tcPr>
          <w:p w14:paraId="30341B51"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Method used to generate results</w:t>
            </w:r>
          </w:p>
        </w:tc>
        <w:tc>
          <w:tcPr>
            <w:tcW w:w="3543" w:type="dxa"/>
            <w:shd w:val="clear" w:color="auto" w:fill="auto"/>
            <w:vAlign w:val="center"/>
          </w:tcPr>
          <w:p w14:paraId="5A08C7D8"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Partitioned survival cohort simulation</w:t>
            </w:r>
          </w:p>
        </w:tc>
        <w:tc>
          <w:tcPr>
            <w:tcW w:w="3969" w:type="dxa"/>
            <w:vAlign w:val="center"/>
          </w:tcPr>
          <w:p w14:paraId="1DE78602"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0E31F1C7" w14:textId="77777777" w:rsidTr="00463FCE">
        <w:tc>
          <w:tcPr>
            <w:tcW w:w="1555" w:type="dxa"/>
            <w:shd w:val="clear" w:color="auto" w:fill="auto"/>
          </w:tcPr>
          <w:p w14:paraId="4163DCF7"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Health states</w:t>
            </w:r>
          </w:p>
        </w:tc>
        <w:tc>
          <w:tcPr>
            <w:tcW w:w="3543" w:type="dxa"/>
            <w:shd w:val="clear" w:color="auto" w:fill="auto"/>
            <w:vAlign w:val="center"/>
          </w:tcPr>
          <w:p w14:paraId="2F20CB72"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Progression free survival, progressive disease, death</w:t>
            </w:r>
          </w:p>
        </w:tc>
        <w:tc>
          <w:tcPr>
            <w:tcW w:w="3969" w:type="dxa"/>
            <w:vAlign w:val="center"/>
          </w:tcPr>
          <w:p w14:paraId="1829947B"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7FAE1B5C" w14:textId="77777777" w:rsidTr="00463FCE">
        <w:tc>
          <w:tcPr>
            <w:tcW w:w="1555" w:type="dxa"/>
            <w:shd w:val="clear" w:color="auto" w:fill="auto"/>
          </w:tcPr>
          <w:p w14:paraId="2D151086"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Cycle length</w:t>
            </w:r>
          </w:p>
        </w:tc>
        <w:tc>
          <w:tcPr>
            <w:tcW w:w="3543" w:type="dxa"/>
            <w:shd w:val="clear" w:color="auto" w:fill="auto"/>
            <w:vAlign w:val="center"/>
          </w:tcPr>
          <w:p w14:paraId="1C27A51F"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1 week</w:t>
            </w:r>
          </w:p>
        </w:tc>
        <w:tc>
          <w:tcPr>
            <w:tcW w:w="3969" w:type="dxa"/>
            <w:vAlign w:val="center"/>
          </w:tcPr>
          <w:p w14:paraId="37F651D5" w14:textId="77777777" w:rsidR="00D7609F" w:rsidRPr="0017405A" w:rsidRDefault="00D7609F" w:rsidP="00330760">
            <w:pPr>
              <w:pStyle w:val="TableText"/>
              <w:keepNext/>
              <w:keepLines/>
              <w:widowControl/>
              <w:spacing w:before="0" w:after="0"/>
              <w:rPr>
                <w:szCs w:val="20"/>
              </w:rPr>
            </w:pPr>
            <w:r w:rsidRPr="0017405A">
              <w:rPr>
                <w:szCs w:val="20"/>
              </w:rPr>
              <w:t>Reasonable, as used in previous model</w:t>
            </w:r>
          </w:p>
        </w:tc>
      </w:tr>
      <w:tr w:rsidR="00D7609F" w:rsidRPr="0017405A" w14:paraId="1F65A8C4" w14:textId="77777777" w:rsidTr="00463FCE">
        <w:tc>
          <w:tcPr>
            <w:tcW w:w="1555" w:type="dxa"/>
            <w:shd w:val="clear" w:color="auto" w:fill="auto"/>
          </w:tcPr>
          <w:p w14:paraId="555CA776" w14:textId="77777777" w:rsidR="00D7609F" w:rsidRPr="0017405A" w:rsidRDefault="00D7609F" w:rsidP="00330760">
            <w:pPr>
              <w:pStyle w:val="TableText"/>
              <w:keepNext/>
              <w:keepLines/>
              <w:widowControl/>
              <w:spacing w:before="0" w:after="0"/>
              <w:rPr>
                <w:szCs w:val="20"/>
              </w:rPr>
            </w:pPr>
            <w:r w:rsidRPr="0017405A">
              <w:rPr>
                <w:szCs w:val="20"/>
              </w:rPr>
              <w:t>Discount rate</w:t>
            </w:r>
          </w:p>
        </w:tc>
        <w:tc>
          <w:tcPr>
            <w:tcW w:w="3543" w:type="dxa"/>
            <w:shd w:val="clear" w:color="auto" w:fill="auto"/>
            <w:vAlign w:val="center"/>
          </w:tcPr>
          <w:p w14:paraId="5E912A44" w14:textId="77777777" w:rsidR="00D7609F" w:rsidRPr="0017405A" w:rsidRDefault="00D7609F" w:rsidP="00330760">
            <w:pPr>
              <w:pStyle w:val="TableText"/>
              <w:keepNext/>
              <w:keepLines/>
              <w:widowControl/>
              <w:spacing w:before="0" w:after="0"/>
              <w:rPr>
                <w:szCs w:val="20"/>
              </w:rPr>
            </w:pPr>
            <w:r w:rsidRPr="0017405A">
              <w:rPr>
                <w:szCs w:val="20"/>
              </w:rPr>
              <w:t>5% per annum</w:t>
            </w:r>
          </w:p>
        </w:tc>
        <w:tc>
          <w:tcPr>
            <w:tcW w:w="3969" w:type="dxa"/>
            <w:vAlign w:val="center"/>
          </w:tcPr>
          <w:p w14:paraId="020F48BA" w14:textId="77777777" w:rsidR="00D7609F" w:rsidRPr="0017405A" w:rsidRDefault="00D7609F" w:rsidP="00330760">
            <w:pPr>
              <w:pStyle w:val="TableText"/>
              <w:keepNext/>
              <w:keepLines/>
              <w:widowControl/>
              <w:spacing w:before="0" w:after="0"/>
              <w:rPr>
                <w:szCs w:val="20"/>
              </w:rPr>
            </w:pPr>
            <w:r w:rsidRPr="0017405A">
              <w:rPr>
                <w:szCs w:val="20"/>
              </w:rPr>
              <w:t>Appropriate</w:t>
            </w:r>
          </w:p>
        </w:tc>
      </w:tr>
      <w:tr w:rsidR="00D7609F" w:rsidRPr="0017405A" w14:paraId="25478DE5" w14:textId="77777777" w:rsidTr="00463FCE">
        <w:tc>
          <w:tcPr>
            <w:tcW w:w="1555" w:type="dxa"/>
            <w:shd w:val="clear" w:color="auto" w:fill="auto"/>
          </w:tcPr>
          <w:p w14:paraId="1A082C97" w14:textId="77777777" w:rsidR="00D7609F" w:rsidRPr="0017405A" w:rsidRDefault="00D7609F" w:rsidP="00330760">
            <w:pPr>
              <w:pStyle w:val="TableText"/>
              <w:keepNext/>
              <w:keepLines/>
              <w:widowControl/>
              <w:spacing w:before="0" w:after="0"/>
              <w:rPr>
                <w:szCs w:val="20"/>
              </w:rPr>
            </w:pPr>
            <w:r w:rsidRPr="0017405A">
              <w:rPr>
                <w:szCs w:val="20"/>
              </w:rPr>
              <w:t>Transition probabilit</w:t>
            </w:r>
            <w:r w:rsidR="00463FCE">
              <w:rPr>
                <w:szCs w:val="20"/>
              </w:rPr>
              <w:t>ies</w:t>
            </w:r>
          </w:p>
        </w:tc>
        <w:tc>
          <w:tcPr>
            <w:tcW w:w="3543" w:type="dxa"/>
            <w:shd w:val="clear" w:color="auto" w:fill="auto"/>
            <w:vAlign w:val="center"/>
          </w:tcPr>
          <w:p w14:paraId="46A36EFA" w14:textId="77777777" w:rsidR="00D7609F" w:rsidRPr="0017405A" w:rsidRDefault="00D7609F" w:rsidP="00330760">
            <w:pPr>
              <w:pStyle w:val="TableText"/>
              <w:keepNext/>
              <w:keepLines/>
              <w:widowControl/>
              <w:spacing w:before="0" w:after="0"/>
              <w:rPr>
                <w:szCs w:val="20"/>
              </w:rPr>
            </w:pPr>
            <w:r w:rsidRPr="0017405A">
              <w:rPr>
                <w:szCs w:val="20"/>
              </w:rPr>
              <w:t>No specific transition probabilities are modelled.</w:t>
            </w:r>
            <w:r w:rsidR="00330760" w:rsidRPr="0017405A">
              <w:rPr>
                <w:szCs w:val="20"/>
              </w:rPr>
              <w:t xml:space="preserve"> </w:t>
            </w:r>
            <w:r w:rsidRPr="0017405A">
              <w:rPr>
                <w:szCs w:val="20"/>
              </w:rPr>
              <w:t xml:space="preserve">Health state allocation over time was determined by PFS and OS curves from the KN048 trial (partitioned survival analysis) using </w:t>
            </w:r>
            <w:r w:rsidR="00C077D0" w:rsidRPr="0017405A">
              <w:rPr>
                <w:szCs w:val="20"/>
              </w:rPr>
              <w:t>cetuximab plus</w:t>
            </w:r>
            <w:r w:rsidRPr="0017405A">
              <w:rPr>
                <w:szCs w:val="20"/>
              </w:rPr>
              <w:t xml:space="preserve"> chemotherapy as a proxy for chemotherapy alone plus adjustment for 2L nivolumab use.</w:t>
            </w:r>
          </w:p>
        </w:tc>
        <w:tc>
          <w:tcPr>
            <w:tcW w:w="3969" w:type="dxa"/>
            <w:vAlign w:val="center"/>
          </w:tcPr>
          <w:p w14:paraId="06E549A9" w14:textId="77777777" w:rsidR="00D7609F" w:rsidRPr="0017405A" w:rsidRDefault="00D7609F" w:rsidP="00330760">
            <w:pPr>
              <w:pStyle w:val="TableText"/>
              <w:keepNext/>
              <w:keepLines/>
              <w:widowControl/>
              <w:spacing w:before="0" w:after="0"/>
              <w:rPr>
                <w:szCs w:val="20"/>
              </w:rPr>
            </w:pPr>
            <w:r w:rsidRPr="0017405A">
              <w:rPr>
                <w:szCs w:val="20"/>
              </w:rPr>
              <w:t xml:space="preserve">Compared to the previous model, different methodology has been used for health state allocation of the SoC arms (previously the HR from a fractional polynomial network </w:t>
            </w:r>
            <w:proofErr w:type="spellStart"/>
            <w:proofErr w:type="gramStart"/>
            <w:r w:rsidRPr="0017405A">
              <w:rPr>
                <w:szCs w:val="20"/>
              </w:rPr>
              <w:t>meta analysis</w:t>
            </w:r>
            <w:proofErr w:type="spellEnd"/>
            <w:proofErr w:type="gramEnd"/>
            <w:r w:rsidRPr="0017405A">
              <w:rPr>
                <w:szCs w:val="20"/>
              </w:rPr>
              <w:t xml:space="preserve"> was used). An adjustment was also incorporated to factor in 2L nivolumab use in the resubmission.</w:t>
            </w:r>
          </w:p>
        </w:tc>
      </w:tr>
      <w:tr w:rsidR="00D7609F" w:rsidRPr="0017405A" w14:paraId="5F5AEFB8" w14:textId="77777777" w:rsidTr="00463FCE">
        <w:trPr>
          <w:trHeight w:val="70"/>
        </w:trPr>
        <w:tc>
          <w:tcPr>
            <w:tcW w:w="1555" w:type="dxa"/>
            <w:shd w:val="clear" w:color="auto" w:fill="auto"/>
          </w:tcPr>
          <w:p w14:paraId="451B5831"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Software package</w:t>
            </w:r>
          </w:p>
        </w:tc>
        <w:tc>
          <w:tcPr>
            <w:tcW w:w="3543" w:type="dxa"/>
            <w:shd w:val="clear" w:color="auto" w:fill="auto"/>
            <w:vAlign w:val="center"/>
          </w:tcPr>
          <w:p w14:paraId="45132D03"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Excel 2010</w:t>
            </w:r>
          </w:p>
        </w:tc>
        <w:tc>
          <w:tcPr>
            <w:tcW w:w="3969" w:type="dxa"/>
            <w:vAlign w:val="center"/>
          </w:tcPr>
          <w:p w14:paraId="0BB2A46F"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bl>
    <w:p w14:paraId="3EAB44EE" w14:textId="77777777" w:rsidR="00D7609F" w:rsidRPr="00A24A89" w:rsidRDefault="00D7609F" w:rsidP="00330760">
      <w:pPr>
        <w:pStyle w:val="TableFooter"/>
        <w:keepNext/>
        <w:keepLines/>
        <w:widowControl/>
        <w:spacing w:after="0"/>
      </w:pPr>
      <w:r w:rsidRPr="00A24A89">
        <w:t>R/M = recurrent or metastatic, HNSCC = head and neck squamous cell carcinoma, HR = hazard ratio, 2L = second line</w:t>
      </w:r>
    </w:p>
    <w:p w14:paraId="4B802531" w14:textId="77777777" w:rsidR="00D7609F" w:rsidRPr="00A24A89" w:rsidRDefault="00D7609F" w:rsidP="00330760">
      <w:pPr>
        <w:pStyle w:val="TableFooter"/>
        <w:keepNext/>
        <w:keepLines/>
        <w:widowControl/>
        <w:spacing w:after="0"/>
      </w:pPr>
      <w:r w:rsidRPr="00A24A89">
        <w:t>Source: Table 3.1-1, p201-202 of the resubmission</w:t>
      </w:r>
    </w:p>
    <w:p w14:paraId="0E1FB4A0" w14:textId="77777777" w:rsidR="00D7609F" w:rsidRPr="00A24A89" w:rsidRDefault="00D7609F" w:rsidP="00D7609F">
      <w:pPr>
        <w:pStyle w:val="ListParagraph"/>
        <w:numPr>
          <w:ilvl w:val="4"/>
          <w:numId w:val="1"/>
        </w:numPr>
        <w:rPr>
          <w:iCs/>
          <w:color w:val="auto"/>
        </w:rPr>
      </w:pPr>
      <w:r w:rsidRPr="00A24A89">
        <w:rPr>
          <w:iCs/>
          <w:color w:val="auto"/>
        </w:rPr>
        <w:t>In the partitioned survival cohort simulations, all patients enter the model in the progression free survival state. Each cycle (1 week), a proportion of the cohort moved to the progressed disease state (based on PFS curve in KN048) or died (based on OS curve in KN048</w:t>
      </w:r>
      <w:r w:rsidR="00B82F68">
        <w:rPr>
          <w:iCs/>
          <w:color w:val="auto"/>
        </w:rPr>
        <w:t xml:space="preserve"> and baseline mortality from ABS life tables</w:t>
      </w:r>
      <w:r w:rsidRPr="00A24A89">
        <w:rPr>
          <w:iCs/>
          <w:color w:val="auto"/>
        </w:rPr>
        <w:t>), and a proportion of the cohort in the progressed disease state died (based on the difference between the PFS and OS curves). Patients who progressed incurred a once off progression cost while patients who died incurred a terminal care cost. OS and PFS curves for pembrolizumab monotherapy and pembrolizumab plus chemotherapy were derived from the KN048 trial (direct Kaplan Meier data used until median follow up, then parametric extrapolation used until 7.5 years, the time horizon for the model). OS and PFS curves for SoC were also derived from the KN048 trial using direct Kaplan Meier data, with the comparator arm (cetuximab plus chemotherapy</w:t>
      </w:r>
      <w:r w:rsidR="00330760">
        <w:rPr>
          <w:iCs/>
          <w:color w:val="auto"/>
        </w:rPr>
        <w:t>, upscaled to 50% 2L nivolumab use</w:t>
      </w:r>
      <w:r w:rsidRPr="00A24A89">
        <w:rPr>
          <w:iCs/>
          <w:color w:val="auto"/>
        </w:rPr>
        <w:t xml:space="preserve">) of KN048 used as a proxy for chemotherapy alone. Patients in the progression free survival and progressed disease health states accrue health state costs associated with management of disease and utilities depending on the health state. Total life years and QALYs accrued in the cohort over the time horizon were then added </w:t>
      </w:r>
      <w:r w:rsidRPr="00A24A89">
        <w:rPr>
          <w:iCs/>
          <w:color w:val="auto"/>
        </w:rPr>
        <w:lastRenderedPageBreak/>
        <w:t xml:space="preserve">together. </w:t>
      </w:r>
      <w:r w:rsidRPr="00E31F5B">
        <w:rPr>
          <w:iCs/>
          <w:color w:val="auto"/>
        </w:rPr>
        <w:t xml:space="preserve">The </w:t>
      </w:r>
      <w:r w:rsidR="00A9213D" w:rsidRPr="00E31F5B">
        <w:rPr>
          <w:iCs/>
          <w:color w:val="auto"/>
        </w:rPr>
        <w:t>ESC</w:t>
      </w:r>
      <w:r w:rsidR="003824BB" w:rsidRPr="00E31F5B">
        <w:rPr>
          <w:iCs/>
          <w:color w:val="auto"/>
        </w:rPr>
        <w:t>s</w:t>
      </w:r>
      <w:r w:rsidR="00A9213D" w:rsidRPr="00E31F5B">
        <w:rPr>
          <w:iCs/>
          <w:color w:val="auto"/>
        </w:rPr>
        <w:t xml:space="preserve"> considered the </w:t>
      </w:r>
      <w:r w:rsidRPr="00E31F5B">
        <w:rPr>
          <w:iCs/>
          <w:color w:val="auto"/>
        </w:rPr>
        <w:t>overall structure of the economic model was generally appropriate, though there were issues with some of the inputs</w:t>
      </w:r>
      <w:r w:rsidR="00A9213D" w:rsidRPr="00E31F5B">
        <w:rPr>
          <w:iCs/>
          <w:color w:val="auto"/>
        </w:rPr>
        <w:t>.</w:t>
      </w:r>
    </w:p>
    <w:p w14:paraId="71612036" w14:textId="77777777" w:rsidR="00D7609F" w:rsidRPr="0070470D" w:rsidRDefault="00997276" w:rsidP="00BE7B51">
      <w:pPr>
        <w:pStyle w:val="ListParagraph"/>
        <w:numPr>
          <w:ilvl w:val="4"/>
          <w:numId w:val="1"/>
        </w:numPr>
        <w:rPr>
          <w:iCs/>
          <w:color w:val="auto"/>
        </w:rPr>
      </w:pPr>
      <w:r w:rsidRPr="0070470D">
        <w:rPr>
          <w:iCs/>
          <w:color w:val="auto"/>
        </w:rPr>
        <w:t>T</w:t>
      </w:r>
      <w:r w:rsidR="00D7609F" w:rsidRPr="0070470D">
        <w:rPr>
          <w:iCs/>
          <w:color w:val="auto"/>
        </w:rPr>
        <w:t>he observed time on treatment (</w:t>
      </w:r>
      <w:proofErr w:type="spellStart"/>
      <w:r w:rsidR="00D7609F" w:rsidRPr="0070470D">
        <w:rPr>
          <w:iCs/>
          <w:color w:val="auto"/>
        </w:rPr>
        <w:t>ToT</w:t>
      </w:r>
      <w:proofErr w:type="spellEnd"/>
      <w:r w:rsidR="00D7609F" w:rsidRPr="0070470D">
        <w:rPr>
          <w:iCs/>
          <w:color w:val="auto"/>
        </w:rPr>
        <w:t xml:space="preserve">) Kaplan-Meier curves from KN048 were applied, with a proportion of patients discontinuing treatment each cycle. </w:t>
      </w:r>
      <w:r w:rsidR="00B82F68" w:rsidRPr="0070470D">
        <w:rPr>
          <w:iCs/>
          <w:color w:val="auto"/>
        </w:rPr>
        <w:t xml:space="preserve">A fixed proportion of patients who discontinue treatment each cycle (based on difference in </w:t>
      </w:r>
      <w:proofErr w:type="spellStart"/>
      <w:r w:rsidR="00B82F68" w:rsidRPr="0070470D">
        <w:rPr>
          <w:iCs/>
          <w:color w:val="auto"/>
        </w:rPr>
        <w:t>ToT</w:t>
      </w:r>
      <w:proofErr w:type="spellEnd"/>
      <w:r w:rsidR="00B82F68" w:rsidRPr="0070470D">
        <w:rPr>
          <w:iCs/>
          <w:color w:val="auto"/>
        </w:rPr>
        <w:t xml:space="preserve"> between cycles) and who were alive (based on difference in OS between cycles) were assumed to use subsequent anti-cancer therapy, which differed depending on the initial therapy. </w:t>
      </w:r>
      <w:r w:rsidR="006806D7">
        <w:rPr>
          <w:color w:val="auto"/>
        </w:rPr>
        <w:t xml:space="preserve">Because </w:t>
      </w:r>
      <w:r w:rsidR="00B82F68" w:rsidRPr="0070470D">
        <w:rPr>
          <w:color w:val="auto"/>
        </w:rPr>
        <w:t>the use of subsequent therapies was not related to progression</w:t>
      </w:r>
      <w:r w:rsidR="006806D7">
        <w:rPr>
          <w:color w:val="auto"/>
        </w:rPr>
        <w:t xml:space="preserve"> </w:t>
      </w:r>
      <w:r w:rsidR="00B82F68" w:rsidRPr="0070470D">
        <w:rPr>
          <w:color w:val="auto"/>
        </w:rPr>
        <w:t xml:space="preserve">the proportion of patients who discontinued and received subsequent treatment was </w:t>
      </w:r>
      <w:proofErr w:type="gramStart"/>
      <w:r w:rsidR="00B82F68" w:rsidRPr="0070470D">
        <w:rPr>
          <w:color w:val="auto"/>
        </w:rPr>
        <w:t>actually higher</w:t>
      </w:r>
      <w:proofErr w:type="gramEnd"/>
      <w:r w:rsidR="00B82F68" w:rsidRPr="0070470D">
        <w:rPr>
          <w:color w:val="auto"/>
        </w:rPr>
        <w:t xml:space="preserve"> than the proportion of patients who progressed.</w:t>
      </w:r>
      <w:r w:rsidR="0070470D">
        <w:rPr>
          <w:color w:val="auto"/>
        </w:rPr>
        <w:t xml:space="preserve"> </w:t>
      </w:r>
      <w:r w:rsidR="00D7609F" w:rsidRPr="0070470D">
        <w:rPr>
          <w:iCs/>
        </w:rPr>
        <w:t xml:space="preserve">For SoC, it was assumed that the </w:t>
      </w:r>
      <w:proofErr w:type="spellStart"/>
      <w:r w:rsidR="00D7609F" w:rsidRPr="0070470D">
        <w:rPr>
          <w:iCs/>
        </w:rPr>
        <w:t>ToT</w:t>
      </w:r>
      <w:proofErr w:type="spellEnd"/>
      <w:r w:rsidR="00D7609F" w:rsidRPr="0070470D">
        <w:rPr>
          <w:iCs/>
        </w:rPr>
        <w:t xml:space="preserve"> data from the cetuximab plus chemotherapy arm in KN048 would apply. </w:t>
      </w:r>
    </w:p>
    <w:p w14:paraId="361D9966" w14:textId="77777777" w:rsidR="00346CAF" w:rsidRPr="0017405A" w:rsidRDefault="00E566ED" w:rsidP="00346CAF">
      <w:pPr>
        <w:pStyle w:val="ListParagraph"/>
        <w:numPr>
          <w:ilvl w:val="4"/>
          <w:numId w:val="1"/>
        </w:numPr>
        <w:rPr>
          <w:iCs/>
        </w:rPr>
      </w:pPr>
      <w:r>
        <w:rPr>
          <w:iCs/>
        </w:rPr>
        <w:t>T</w:t>
      </w:r>
      <w:r w:rsidR="00D7609F" w:rsidRPr="0017405A">
        <w:rPr>
          <w:iCs/>
        </w:rPr>
        <w:t xml:space="preserve">he PBAC </w:t>
      </w:r>
      <w:r>
        <w:rPr>
          <w:iCs/>
        </w:rPr>
        <w:t xml:space="preserve">previously </w:t>
      </w:r>
      <w:r w:rsidR="00D7609F" w:rsidRPr="0017405A">
        <w:rPr>
          <w:iCs/>
        </w:rPr>
        <w:t xml:space="preserve">considered that the use of a base case </w:t>
      </w:r>
      <w:proofErr w:type="gramStart"/>
      <w:r w:rsidR="00D7609F" w:rsidRPr="0017405A">
        <w:rPr>
          <w:iCs/>
        </w:rPr>
        <w:t>7.5 year</w:t>
      </w:r>
      <w:proofErr w:type="gramEnd"/>
      <w:r w:rsidR="00D7609F" w:rsidRPr="0017405A">
        <w:rPr>
          <w:iCs/>
        </w:rPr>
        <w:t xml:space="preserve"> time horizon was not reasonable, based on the currently available evidence but that it may be supported with longer follow up for KN048 (paragraph 7.10, pembrolizumab PSD, November 2020</w:t>
      </w:r>
      <w:r w:rsidR="007000C5" w:rsidRPr="0017405A">
        <w:rPr>
          <w:iCs/>
        </w:rPr>
        <w:t xml:space="preserve"> PBAC Meeting</w:t>
      </w:r>
      <w:r w:rsidR="00D7609F" w:rsidRPr="0017405A">
        <w:rPr>
          <w:iCs/>
        </w:rPr>
        <w:t xml:space="preserve">). In the March 2018 cetuximab submission, the PBAC considered a </w:t>
      </w:r>
      <w:proofErr w:type="gramStart"/>
      <w:r w:rsidR="00D7609F" w:rsidRPr="0017405A">
        <w:rPr>
          <w:iCs/>
        </w:rPr>
        <w:t>five year</w:t>
      </w:r>
      <w:proofErr w:type="gramEnd"/>
      <w:r w:rsidR="00D7609F" w:rsidRPr="0017405A">
        <w:rPr>
          <w:iCs/>
        </w:rPr>
        <w:t xml:space="preserve"> time horizon to be appropriate for 1L R/M HNSCC (paragraph 7.8, cetuximab PSD, March 2018</w:t>
      </w:r>
      <w:r w:rsidR="007000C5" w:rsidRPr="0017405A">
        <w:rPr>
          <w:iCs/>
        </w:rPr>
        <w:t xml:space="preserve"> PBAC Meeting</w:t>
      </w:r>
      <w:r w:rsidR="00D7609F" w:rsidRPr="0017405A">
        <w:rPr>
          <w:iCs/>
        </w:rPr>
        <w:t xml:space="preserve">), although this was based on the EXTREME trial having 18.2-19.1 months of follow up. </w:t>
      </w:r>
      <w:r w:rsidR="00A9213D" w:rsidRPr="00BE4703">
        <w:rPr>
          <w:iCs/>
        </w:rPr>
        <w:t>The ESCs</w:t>
      </w:r>
      <w:r w:rsidR="00D7609F" w:rsidRPr="0017405A">
        <w:rPr>
          <w:iCs/>
        </w:rPr>
        <w:t xml:space="preserve"> also noted that the current model did not include any convergence which increases the uncertainty of the model and favours treatment with pembrolizumab over a </w:t>
      </w:r>
      <w:proofErr w:type="gramStart"/>
      <w:r w:rsidR="00D7609F" w:rsidRPr="0017405A">
        <w:rPr>
          <w:iCs/>
        </w:rPr>
        <w:t>long time</w:t>
      </w:r>
      <w:proofErr w:type="gramEnd"/>
      <w:r w:rsidR="00D7609F" w:rsidRPr="0017405A">
        <w:rPr>
          <w:iCs/>
        </w:rPr>
        <w:t xml:space="preserve"> horizon.</w:t>
      </w:r>
      <w:r w:rsidR="000A2B25" w:rsidRPr="0017405A">
        <w:rPr>
          <w:iCs/>
        </w:rPr>
        <w:t xml:space="preserve"> </w:t>
      </w:r>
      <w:r w:rsidR="00346CAF" w:rsidRPr="0017405A">
        <w:rPr>
          <w:iCs/>
        </w:rPr>
        <w:t xml:space="preserve">While the Kaplan-Meier curves beyond 45 months appeared to suggest that the number of OS responders was </w:t>
      </w:r>
      <w:r w:rsidR="009953FC" w:rsidRPr="0017405A">
        <w:rPr>
          <w:iCs/>
        </w:rPr>
        <w:t xml:space="preserve">beginning </w:t>
      </w:r>
      <w:r w:rsidR="00346CAF" w:rsidRPr="0017405A">
        <w:rPr>
          <w:iCs/>
        </w:rPr>
        <w:t>to plateau after four years of follow up, the number of patients who remained in the trial was very small</w:t>
      </w:r>
      <w:r w:rsidR="009953FC" w:rsidRPr="0017405A">
        <w:rPr>
          <w:iCs/>
        </w:rPr>
        <w:t xml:space="preserve"> (see </w:t>
      </w:r>
      <w:r w:rsidR="008D43ED" w:rsidRPr="008D43ED">
        <w:rPr>
          <w:iCs/>
        </w:rPr>
        <w:t>Figure 1</w:t>
      </w:r>
      <w:r w:rsidR="009953FC" w:rsidRPr="0017405A">
        <w:rPr>
          <w:iCs/>
        </w:rPr>
        <w:t xml:space="preserve"> and </w:t>
      </w:r>
      <w:r w:rsidR="008D43ED" w:rsidRPr="008D43ED">
        <w:rPr>
          <w:iCs/>
        </w:rPr>
        <w:t>Figure 2</w:t>
      </w:r>
      <w:r w:rsidR="009953FC" w:rsidRPr="0017405A">
        <w:rPr>
          <w:iCs/>
        </w:rPr>
        <w:t>) with a higher proportion of patients censored between 40 and 55 months of follow-up.</w:t>
      </w:r>
      <w:r w:rsidR="00BE4703">
        <w:rPr>
          <w:iCs/>
        </w:rPr>
        <w:t xml:space="preserve"> </w:t>
      </w:r>
    </w:p>
    <w:p w14:paraId="2892B98B" w14:textId="77777777" w:rsidR="00D7609F" w:rsidRPr="0017405A" w:rsidRDefault="00D7609F" w:rsidP="00941CE0">
      <w:pPr>
        <w:pStyle w:val="ListParagraph"/>
        <w:numPr>
          <w:ilvl w:val="4"/>
          <w:numId w:val="1"/>
        </w:numPr>
        <w:rPr>
          <w:iCs/>
        </w:rPr>
      </w:pPr>
      <w:r w:rsidRPr="0017405A">
        <w:rPr>
          <w:iCs/>
        </w:rPr>
        <w:t xml:space="preserve">In KN048, around 20% of patients randomised to pembrolizumab ± chemotherapy used 2L </w:t>
      </w:r>
      <w:r w:rsidR="00B82F68" w:rsidRPr="0017405A">
        <w:rPr>
          <w:iCs/>
        </w:rPr>
        <w:t>EGFR inhibitors (such as cetuximab)</w:t>
      </w:r>
      <w:r w:rsidRPr="0017405A">
        <w:rPr>
          <w:iCs/>
        </w:rPr>
        <w:t xml:space="preserve"> and around 6% used 2L immunotherapy (likely nivolumab) after disease progression. </w:t>
      </w:r>
      <w:r w:rsidR="00C6476F" w:rsidRPr="0017405A">
        <w:rPr>
          <w:iCs/>
        </w:rPr>
        <w:t>The ESCs previously noted that cetuximab is not PBS listed for R/M HNSCC and therefore using unadjusted results from KN048 would overestimate the survival benefit for pembrolizumab in the Australian population (paragraph 6.11, pembrolizumab PSD, November 2020 PBAC Meeting). In addition,</w:t>
      </w:r>
      <w:r w:rsidRPr="0017405A">
        <w:rPr>
          <w:iCs/>
        </w:rPr>
        <w:t xml:space="preserve"> PBS subsidised 2L nivolumab would not be available to patients who have received 1L pembrolizumab under the current 2L nivolumab listing. </w:t>
      </w:r>
      <w:r w:rsidR="006806D7">
        <w:rPr>
          <w:iCs/>
        </w:rPr>
        <w:t>The r</w:t>
      </w:r>
      <w:r w:rsidRPr="0017405A">
        <w:rPr>
          <w:iCs/>
        </w:rPr>
        <w:t>esubmission did not adjust for the efficacy of these 2L therapies in the pembrolizumab arms, favouring pembrolizumab.</w:t>
      </w:r>
      <w:r w:rsidR="00BE4703">
        <w:rPr>
          <w:iCs/>
        </w:rPr>
        <w:t xml:space="preserve"> However, the PBAC noted that the use of chemotherapy plus cetuximab as a proxy for SoC favoured the comparator arm. </w:t>
      </w:r>
    </w:p>
    <w:p w14:paraId="1FE4DB05" w14:textId="67D18FB7" w:rsidR="00D7609F" w:rsidRPr="00A24A89" w:rsidRDefault="00D7609F" w:rsidP="00D7609F">
      <w:pPr>
        <w:pStyle w:val="ListParagraph"/>
        <w:numPr>
          <w:ilvl w:val="4"/>
          <w:numId w:val="1"/>
        </w:numPr>
      </w:pPr>
      <w:bookmarkStart w:id="67" w:name="_Ref80069489"/>
      <w:r w:rsidRPr="00A24A89">
        <w:t>There were significant issues with the application of adverse event costs in the resubmission</w:t>
      </w:r>
      <w:r w:rsidR="000657D5">
        <w:t>, these are outlined in</w:t>
      </w:r>
      <w:r w:rsidRPr="00A24A89">
        <w:t xml:space="preserve"> </w:t>
      </w:r>
      <w:r w:rsidR="008D43ED">
        <w:t>Table 16</w:t>
      </w:r>
      <w:r w:rsidR="000657D5">
        <w:t>.</w:t>
      </w:r>
      <w:bookmarkEnd w:id="67"/>
    </w:p>
    <w:p w14:paraId="29B31A45" w14:textId="77777777" w:rsidR="00D7609F" w:rsidRPr="00A24A89" w:rsidRDefault="00E31F5B" w:rsidP="00024DCD">
      <w:pPr>
        <w:pStyle w:val="Caption"/>
      </w:pPr>
      <w:bookmarkStart w:id="68" w:name="_Ref80069545"/>
      <w:r>
        <w:lastRenderedPageBreak/>
        <w:t xml:space="preserve">Table </w:t>
      </w:r>
      <w:r w:rsidR="008D43ED">
        <w:rPr>
          <w:noProof/>
        </w:rPr>
        <w:t>16</w:t>
      </w:r>
      <w:bookmarkEnd w:id="68"/>
      <w:r w:rsidR="00024DCD">
        <w:rPr>
          <w:noProof/>
        </w:rPr>
        <w:t xml:space="preserve">: </w:t>
      </w:r>
      <w:r w:rsidR="00D7609F" w:rsidRPr="00A24A89">
        <w:t>Application of adverse events associated with chemotherapy in economic model</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Application of adverse events associated with chemotherapy in economic model"/>
      </w:tblPr>
      <w:tblGrid>
        <w:gridCol w:w="1032"/>
        <w:gridCol w:w="4301"/>
        <w:gridCol w:w="4301"/>
      </w:tblGrid>
      <w:tr w:rsidR="00D7609F" w:rsidRPr="00A24A89" w14:paraId="71529101"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032" w:type="dxa"/>
            <w:shd w:val="clear" w:color="auto" w:fill="auto"/>
            <w:vAlign w:val="center"/>
          </w:tcPr>
          <w:p w14:paraId="57039F88" w14:textId="77777777" w:rsidR="00D7609F" w:rsidRPr="00A24A89" w:rsidRDefault="00D7609F" w:rsidP="006419CD">
            <w:pPr>
              <w:pStyle w:val="Tabletext0"/>
              <w:keepNext/>
              <w:rPr>
                <w:lang w:val="en-AU"/>
              </w:rPr>
            </w:pPr>
            <w:r w:rsidRPr="00A24A89">
              <w:rPr>
                <w:lang w:val="en-AU"/>
              </w:rPr>
              <w:t>Analysis</w:t>
            </w:r>
          </w:p>
        </w:tc>
        <w:tc>
          <w:tcPr>
            <w:tcW w:w="4301" w:type="dxa"/>
            <w:shd w:val="clear" w:color="auto" w:fill="auto"/>
            <w:vAlign w:val="center"/>
          </w:tcPr>
          <w:p w14:paraId="410C15C6" w14:textId="77777777" w:rsidR="00D7609F" w:rsidRPr="00A24A89" w:rsidRDefault="00D7609F" w:rsidP="006419CD">
            <w:pPr>
              <w:pStyle w:val="Tabletext0"/>
              <w:keepNext/>
              <w:jc w:val="center"/>
              <w:rPr>
                <w:lang w:val="en-AU"/>
              </w:rPr>
            </w:pPr>
            <w:r w:rsidRPr="00A24A89">
              <w:rPr>
                <w:lang w:val="en-AU"/>
              </w:rPr>
              <w:t xml:space="preserve">Pembrolizumab </w:t>
            </w:r>
            <w:r w:rsidRPr="00A24A89">
              <w:rPr>
                <w:rFonts w:cstheme="minorHAnsi"/>
                <w:lang w:val="en-AU"/>
              </w:rPr>
              <w:t>±</w:t>
            </w:r>
            <w:r w:rsidRPr="00A24A89">
              <w:rPr>
                <w:lang w:val="en-AU"/>
              </w:rPr>
              <w:t xml:space="preserve"> chemotherapy</w:t>
            </w:r>
          </w:p>
        </w:tc>
        <w:tc>
          <w:tcPr>
            <w:tcW w:w="4301" w:type="dxa"/>
            <w:shd w:val="clear" w:color="auto" w:fill="auto"/>
            <w:vAlign w:val="center"/>
          </w:tcPr>
          <w:p w14:paraId="07AC1FF4" w14:textId="77777777" w:rsidR="00D7609F" w:rsidRPr="00A24A89" w:rsidRDefault="00D7609F" w:rsidP="006419CD">
            <w:pPr>
              <w:pStyle w:val="Tabletext0"/>
              <w:keepNext/>
              <w:jc w:val="center"/>
              <w:rPr>
                <w:lang w:val="en-AU"/>
              </w:rPr>
            </w:pPr>
            <w:r w:rsidRPr="00A24A89">
              <w:rPr>
                <w:lang w:val="en-AU"/>
              </w:rPr>
              <w:t>SoC</w:t>
            </w:r>
          </w:p>
        </w:tc>
      </w:tr>
      <w:tr w:rsidR="00D7609F" w:rsidRPr="00A24A89" w14:paraId="06FF0ADC" w14:textId="77777777" w:rsidTr="006419CD">
        <w:tc>
          <w:tcPr>
            <w:tcW w:w="1032" w:type="dxa"/>
            <w:vAlign w:val="center"/>
          </w:tcPr>
          <w:p w14:paraId="0791CA81" w14:textId="77777777" w:rsidR="00D7609F" w:rsidRPr="00A24A89" w:rsidRDefault="00D7609F" w:rsidP="006419CD">
            <w:pPr>
              <w:pStyle w:val="Tabletext0"/>
              <w:keepNext/>
              <w:rPr>
                <w:lang w:val="en-AU"/>
              </w:rPr>
            </w:pPr>
            <w:r w:rsidRPr="00A24A89">
              <w:rPr>
                <w:lang w:val="en-AU"/>
              </w:rPr>
              <w:t>EA1</w:t>
            </w:r>
          </w:p>
        </w:tc>
        <w:tc>
          <w:tcPr>
            <w:tcW w:w="4301" w:type="dxa"/>
            <w:vAlign w:val="center"/>
          </w:tcPr>
          <w:p w14:paraId="7F126324" w14:textId="77777777" w:rsidR="00D7609F" w:rsidRPr="00A24A89" w:rsidRDefault="00D7609F" w:rsidP="006419CD">
            <w:pPr>
              <w:pStyle w:val="Tabletext0"/>
              <w:keepNext/>
              <w:jc w:val="center"/>
              <w:rPr>
                <w:lang w:val="en-AU"/>
              </w:rPr>
            </w:pPr>
            <w:r w:rsidRPr="00A24A89">
              <w:rPr>
                <w:lang w:val="en-AU"/>
              </w:rPr>
              <w:t xml:space="preserve">AE rates were underestimated based on the new clinical claim of inferior safety to </w:t>
            </w:r>
            <w:proofErr w:type="spellStart"/>
            <w:r w:rsidRPr="00A24A89">
              <w:rPr>
                <w:lang w:val="en-AU"/>
              </w:rPr>
              <w:t>SoC.</w:t>
            </w:r>
            <w:proofErr w:type="spellEnd"/>
            <w:r w:rsidRPr="00A24A89">
              <w:rPr>
                <w:lang w:val="en-AU"/>
              </w:rPr>
              <w:t xml:space="preserve"> The AE rates from KN048 applied to the </w:t>
            </w:r>
            <w:r w:rsidR="00A15BE8">
              <w:rPr>
                <w:lang w:val="en-AU"/>
              </w:rPr>
              <w:t>pembrolizumab plus</w:t>
            </w:r>
            <w:r w:rsidRPr="00A24A89">
              <w:rPr>
                <w:lang w:val="en-AU"/>
              </w:rPr>
              <w:t xml:space="preserve"> chemotherapy arm were lower than </w:t>
            </w:r>
            <w:proofErr w:type="gramStart"/>
            <w:r w:rsidRPr="00A24A89">
              <w:rPr>
                <w:lang w:val="en-AU"/>
              </w:rPr>
              <w:t>the all</w:t>
            </w:r>
            <w:proofErr w:type="gramEnd"/>
            <w:r w:rsidRPr="00A24A89">
              <w:rPr>
                <w:lang w:val="en-AU"/>
              </w:rPr>
              <w:t xml:space="preserve"> cause grade 3-4 AEs from EXTREME applied to </w:t>
            </w:r>
            <w:proofErr w:type="spellStart"/>
            <w:r w:rsidRPr="00A24A89">
              <w:rPr>
                <w:lang w:val="en-AU"/>
              </w:rPr>
              <w:t>SoC.</w:t>
            </w:r>
            <w:proofErr w:type="spellEnd"/>
            <w:r w:rsidRPr="00A24A89">
              <w:rPr>
                <w:lang w:val="en-AU"/>
              </w:rPr>
              <w:t xml:space="preserve"> </w:t>
            </w:r>
          </w:p>
          <w:p w14:paraId="7F7269B0" w14:textId="77777777" w:rsidR="00D7609F" w:rsidRPr="00A24A89" w:rsidRDefault="00D7609F" w:rsidP="006419CD">
            <w:pPr>
              <w:pStyle w:val="Tabletext0"/>
              <w:keepNext/>
              <w:jc w:val="center"/>
              <w:rPr>
                <w:lang w:val="en-AU"/>
              </w:rPr>
            </w:pPr>
          </w:p>
          <w:p w14:paraId="634D90D4" w14:textId="77777777" w:rsidR="00D7609F" w:rsidRPr="00A24A89" w:rsidRDefault="00D7609F" w:rsidP="006419CD">
            <w:pPr>
              <w:pStyle w:val="Tabletext0"/>
              <w:keepNext/>
              <w:jc w:val="center"/>
              <w:rPr>
                <w:lang w:val="en-AU"/>
              </w:rPr>
            </w:pPr>
            <w:r w:rsidRPr="00A24A89">
              <w:rPr>
                <w:lang w:val="en-AU"/>
              </w:rPr>
              <w:t>Duration of treatment was overestimated as chemotherapy treatment was continued past 6 cycles, which resulted in AEs being overestimated.</w:t>
            </w:r>
          </w:p>
        </w:tc>
        <w:tc>
          <w:tcPr>
            <w:tcW w:w="4301" w:type="dxa"/>
            <w:vMerge w:val="restart"/>
            <w:vAlign w:val="center"/>
          </w:tcPr>
          <w:p w14:paraId="31B9F3A7" w14:textId="77777777" w:rsidR="00D7609F" w:rsidRPr="00A24A89" w:rsidRDefault="00D7609F" w:rsidP="006419CD">
            <w:pPr>
              <w:pStyle w:val="Tabletext0"/>
              <w:keepNext/>
              <w:jc w:val="center"/>
              <w:rPr>
                <w:lang w:val="en-AU"/>
              </w:rPr>
            </w:pPr>
            <w:r w:rsidRPr="00A24A89">
              <w:rPr>
                <w:lang w:val="en-AU"/>
              </w:rPr>
              <w:t xml:space="preserve">AE rates were overestimated for the SoC arm as the model used all cause grade 3-4 AEs from EXTREME for SoC, whereas KN048 grade 3-5 TRAE which required hospitalisation were applied to the </w:t>
            </w:r>
            <w:r w:rsidR="00A15BE8">
              <w:rPr>
                <w:lang w:val="en-AU"/>
              </w:rPr>
              <w:t>pembrolizumab plus</w:t>
            </w:r>
            <w:r w:rsidRPr="00A24A89">
              <w:rPr>
                <w:lang w:val="en-AU"/>
              </w:rPr>
              <w:t xml:space="preserve"> chemotherapy arm.</w:t>
            </w:r>
          </w:p>
          <w:p w14:paraId="45C510F4" w14:textId="77777777" w:rsidR="00D7609F" w:rsidRPr="00A24A89" w:rsidRDefault="00D7609F" w:rsidP="006419CD">
            <w:pPr>
              <w:pStyle w:val="Tabletext0"/>
              <w:keepNext/>
              <w:jc w:val="center"/>
              <w:rPr>
                <w:lang w:val="en-AU"/>
              </w:rPr>
            </w:pPr>
          </w:p>
          <w:p w14:paraId="34283ED4" w14:textId="77777777" w:rsidR="00D7609F" w:rsidRPr="00A24A89" w:rsidRDefault="00D7609F" w:rsidP="006419CD">
            <w:pPr>
              <w:pStyle w:val="Tabletext0"/>
              <w:keepNext/>
              <w:jc w:val="center"/>
              <w:rPr>
                <w:lang w:val="en-AU"/>
              </w:rPr>
            </w:pPr>
            <w:r w:rsidRPr="00A24A89">
              <w:rPr>
                <w:lang w:val="en-AU"/>
              </w:rPr>
              <w:t>Duration of treatment was overestimated as treatment related adverse event was applied past six cycles of treatment, which resulted in AEs being overestimated.</w:t>
            </w:r>
          </w:p>
        </w:tc>
      </w:tr>
      <w:tr w:rsidR="00D7609F" w:rsidRPr="00A24A89" w14:paraId="1351A111" w14:textId="77777777" w:rsidTr="006419CD">
        <w:tc>
          <w:tcPr>
            <w:tcW w:w="1032" w:type="dxa"/>
            <w:vAlign w:val="center"/>
          </w:tcPr>
          <w:p w14:paraId="0150441C" w14:textId="77777777" w:rsidR="00D7609F" w:rsidRPr="00A24A89" w:rsidRDefault="00D7609F" w:rsidP="006419CD">
            <w:pPr>
              <w:pStyle w:val="Tabletext0"/>
              <w:keepNext/>
              <w:rPr>
                <w:lang w:val="en-AU"/>
              </w:rPr>
            </w:pPr>
            <w:r w:rsidRPr="00A24A89">
              <w:rPr>
                <w:lang w:val="en-AU"/>
              </w:rPr>
              <w:t>EA2</w:t>
            </w:r>
          </w:p>
        </w:tc>
        <w:tc>
          <w:tcPr>
            <w:tcW w:w="4301" w:type="dxa"/>
            <w:vAlign w:val="center"/>
          </w:tcPr>
          <w:p w14:paraId="7F51A3C2" w14:textId="77777777" w:rsidR="00D7609F" w:rsidRPr="00A24A89" w:rsidRDefault="00D7609F" w:rsidP="00B82F68">
            <w:pPr>
              <w:pStyle w:val="Tabletext0"/>
              <w:keepNext/>
              <w:jc w:val="center"/>
              <w:rPr>
                <w:lang w:val="en-AU"/>
              </w:rPr>
            </w:pPr>
            <w:r w:rsidRPr="00A24A89">
              <w:rPr>
                <w:lang w:val="en-AU"/>
              </w:rPr>
              <w:t>NA</w:t>
            </w:r>
          </w:p>
        </w:tc>
        <w:tc>
          <w:tcPr>
            <w:tcW w:w="4301" w:type="dxa"/>
            <w:vMerge/>
            <w:vAlign w:val="center"/>
          </w:tcPr>
          <w:p w14:paraId="7A045584" w14:textId="77777777" w:rsidR="00D7609F" w:rsidRPr="00A24A89" w:rsidRDefault="00D7609F" w:rsidP="006419CD">
            <w:pPr>
              <w:pStyle w:val="Tabletext0"/>
              <w:keepNext/>
              <w:jc w:val="center"/>
              <w:rPr>
                <w:lang w:val="en-AU"/>
              </w:rPr>
            </w:pPr>
          </w:p>
        </w:tc>
      </w:tr>
    </w:tbl>
    <w:p w14:paraId="3D9CC33F" w14:textId="77777777" w:rsidR="00D7609F" w:rsidRPr="00A24A89" w:rsidRDefault="00D7609F" w:rsidP="00D7609F">
      <w:pPr>
        <w:pStyle w:val="TableFooter"/>
        <w:keepNext/>
        <w:widowControl/>
      </w:pPr>
      <w:r w:rsidRPr="00A24A89">
        <w:t>AEs = adverse events; TNA = not applicable; RAE = treatment related adverse events; SoC = standard of care</w:t>
      </w:r>
    </w:p>
    <w:p w14:paraId="41FB18F6" w14:textId="77777777" w:rsidR="00D7609F" w:rsidRPr="00A24A89" w:rsidRDefault="00D7609F" w:rsidP="00D7609F">
      <w:pPr>
        <w:pStyle w:val="TableFooter"/>
        <w:keepNext/>
        <w:widowControl/>
      </w:pPr>
      <w:r w:rsidRPr="00A24A89">
        <w:t>Source: Constructed during evaluation</w:t>
      </w:r>
    </w:p>
    <w:p w14:paraId="58F95D5F" w14:textId="77777777" w:rsidR="00D7609F" w:rsidRPr="0017405A" w:rsidRDefault="006806D7" w:rsidP="00D7609F">
      <w:pPr>
        <w:pStyle w:val="ListParagraph"/>
        <w:numPr>
          <w:ilvl w:val="4"/>
          <w:numId w:val="1"/>
        </w:numPr>
        <w:rPr>
          <w:iCs/>
        </w:rPr>
      </w:pPr>
      <w:r>
        <w:rPr>
          <w:iCs/>
        </w:rPr>
        <w:t>A</w:t>
      </w:r>
      <w:r w:rsidRPr="0017405A">
        <w:rPr>
          <w:iCs/>
        </w:rPr>
        <w:t xml:space="preserve"> modified base case was constructed during the evaluation</w:t>
      </w:r>
      <w:r w:rsidRPr="0017405A" w:rsidDel="000657D5">
        <w:rPr>
          <w:iCs/>
        </w:rPr>
        <w:t xml:space="preserve"> </w:t>
      </w:r>
      <w:r>
        <w:rPr>
          <w:iCs/>
        </w:rPr>
        <w:t>with t</w:t>
      </w:r>
      <w:r w:rsidR="00D7609F" w:rsidRPr="0017405A">
        <w:rPr>
          <w:iCs/>
        </w:rPr>
        <w:t>he following adjustments:</w:t>
      </w:r>
    </w:p>
    <w:p w14:paraId="717FF4B4" w14:textId="77777777" w:rsidR="00D7609F" w:rsidRPr="00E31F5B" w:rsidRDefault="00D7609F" w:rsidP="00DD3D4A">
      <w:pPr>
        <w:pStyle w:val="ListParagraph"/>
        <w:numPr>
          <w:ilvl w:val="0"/>
          <w:numId w:val="19"/>
        </w:numPr>
        <w:ind w:left="993" w:hanging="284"/>
        <w:rPr>
          <w:color w:val="auto"/>
        </w:rPr>
      </w:pPr>
      <w:r w:rsidRPr="0017405A">
        <w:rPr>
          <w:color w:val="auto"/>
        </w:rPr>
        <w:t>Change weekly rate of AEs for SoC arm in EA1 and EA2 to be the same as used for pembrolizumab plus chemotherapy. This addresses the inconsistency with the non-inferior clinical claim for EA2</w:t>
      </w:r>
      <w:r w:rsidR="008C2E41" w:rsidRPr="0017405A">
        <w:rPr>
          <w:color w:val="auto"/>
        </w:rPr>
        <w:t xml:space="preserve"> and </w:t>
      </w:r>
      <w:r w:rsidR="007A194D" w:rsidRPr="0017405A">
        <w:rPr>
          <w:color w:val="auto"/>
        </w:rPr>
        <w:t xml:space="preserve">is aligned </w:t>
      </w:r>
      <w:r w:rsidR="008C2E41" w:rsidRPr="0017405A">
        <w:rPr>
          <w:color w:val="auto"/>
        </w:rPr>
        <w:t>with</w:t>
      </w:r>
      <w:r w:rsidR="007A194D" w:rsidRPr="0017405A">
        <w:rPr>
          <w:color w:val="auto"/>
        </w:rPr>
        <w:t xml:space="preserve"> </w:t>
      </w:r>
      <w:r w:rsidR="008C2E41" w:rsidRPr="0017405A">
        <w:rPr>
          <w:color w:val="auto"/>
        </w:rPr>
        <w:t xml:space="preserve">the approach of </w:t>
      </w:r>
      <w:r w:rsidRPr="0017405A">
        <w:rPr>
          <w:color w:val="auto"/>
        </w:rPr>
        <w:t>the resubmission</w:t>
      </w:r>
      <w:r w:rsidR="008C2E41" w:rsidRPr="0017405A">
        <w:rPr>
          <w:color w:val="auto"/>
        </w:rPr>
        <w:t xml:space="preserve"> which</w:t>
      </w:r>
      <w:r w:rsidRPr="0017405A">
        <w:rPr>
          <w:color w:val="auto"/>
        </w:rPr>
        <w:t xml:space="preserve"> acknowledged that the safety of pembrolizumab plus chemotherapy was inferior to that of SoC</w:t>
      </w:r>
      <w:r w:rsidR="00721FBC" w:rsidRPr="00E31F5B">
        <w:rPr>
          <w:color w:val="auto"/>
        </w:rPr>
        <w:t>; and</w:t>
      </w:r>
    </w:p>
    <w:p w14:paraId="54DB8C82" w14:textId="77777777" w:rsidR="00D7609F" w:rsidRPr="0017405A" w:rsidRDefault="00D7609F" w:rsidP="00DD3D4A">
      <w:pPr>
        <w:pStyle w:val="ListParagraph"/>
        <w:numPr>
          <w:ilvl w:val="0"/>
          <w:numId w:val="19"/>
        </w:numPr>
        <w:ind w:left="993" w:hanging="284"/>
        <w:rPr>
          <w:color w:val="auto"/>
        </w:rPr>
      </w:pPr>
      <w:r w:rsidRPr="0017405A">
        <w:rPr>
          <w:color w:val="auto"/>
        </w:rPr>
        <w:t xml:space="preserve">Change </w:t>
      </w:r>
      <w:proofErr w:type="spellStart"/>
      <w:r w:rsidRPr="0017405A">
        <w:rPr>
          <w:color w:val="auto"/>
        </w:rPr>
        <w:t>ToT</w:t>
      </w:r>
      <w:proofErr w:type="spellEnd"/>
      <w:r w:rsidRPr="0017405A">
        <w:rPr>
          <w:color w:val="auto"/>
        </w:rPr>
        <w:t xml:space="preserve"> for SoC arm in pembrolizumab monotherapy model (EA2) to account for the overestimate in duration of treatment, thereby limiting the duration of chemotherapy treatment to six cycles. This was not done in EA1 as </w:t>
      </w:r>
      <w:r w:rsidR="00721FBC" w:rsidRPr="0017405A">
        <w:rPr>
          <w:color w:val="auto"/>
        </w:rPr>
        <w:t xml:space="preserve">overestimate of </w:t>
      </w:r>
      <w:r w:rsidRPr="0017405A">
        <w:rPr>
          <w:color w:val="auto"/>
        </w:rPr>
        <w:t xml:space="preserve">adverse events from the chemotherapy use should </w:t>
      </w:r>
      <w:r w:rsidR="00721FBC" w:rsidRPr="0017405A">
        <w:rPr>
          <w:color w:val="auto"/>
        </w:rPr>
        <w:t xml:space="preserve">numerically </w:t>
      </w:r>
      <w:r w:rsidRPr="0017405A">
        <w:rPr>
          <w:color w:val="auto"/>
        </w:rPr>
        <w:t>cancel out between treatment arms</w:t>
      </w:r>
      <w:r w:rsidR="00721FBC" w:rsidRPr="0017405A">
        <w:rPr>
          <w:color w:val="auto"/>
        </w:rPr>
        <w:t xml:space="preserve"> and provide an increment that was reasonable (though the adverse event costs in each arm would still be overestimated)</w:t>
      </w:r>
      <w:r w:rsidRPr="0017405A">
        <w:rPr>
          <w:color w:val="auto"/>
        </w:rPr>
        <w:t>.</w:t>
      </w:r>
    </w:p>
    <w:p w14:paraId="05AA3F75" w14:textId="77777777" w:rsidR="00D7609F" w:rsidRPr="00A24A89" w:rsidRDefault="00D7609F" w:rsidP="00D7609F">
      <w:pPr>
        <w:pStyle w:val="ListParagraph"/>
        <w:numPr>
          <w:ilvl w:val="4"/>
          <w:numId w:val="1"/>
        </w:numPr>
      </w:pPr>
      <w:r w:rsidRPr="00A24A89">
        <w:t xml:space="preserve">The key drivers of the economic model identified during the evaluation are presented in </w:t>
      </w:r>
      <w:r w:rsidR="008D43ED">
        <w:t xml:space="preserve">Table </w:t>
      </w:r>
      <w:r w:rsidR="008D43ED">
        <w:rPr>
          <w:noProof/>
        </w:rPr>
        <w:t>17</w:t>
      </w:r>
      <w:r w:rsidR="00E31F5B">
        <w:t>.</w:t>
      </w:r>
    </w:p>
    <w:p w14:paraId="6F511204" w14:textId="77777777" w:rsidR="00D7609F" w:rsidRPr="00A24A89" w:rsidRDefault="00E31F5B" w:rsidP="00024DCD">
      <w:pPr>
        <w:pStyle w:val="Caption"/>
      </w:pPr>
      <w:bookmarkStart w:id="69" w:name="_Ref80069788"/>
      <w:r>
        <w:lastRenderedPageBreak/>
        <w:t xml:space="preserve">Table </w:t>
      </w:r>
      <w:r w:rsidR="008D43ED">
        <w:rPr>
          <w:noProof/>
        </w:rPr>
        <w:t>17</w:t>
      </w:r>
      <w:bookmarkEnd w:id="69"/>
      <w:r w:rsidR="00024DCD">
        <w:rPr>
          <w:noProof/>
        </w:rPr>
        <w:t xml:space="preserve">: </w:t>
      </w:r>
      <w:r w:rsidR="00D7609F" w:rsidRPr="00A24A89">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drivers of the model"/>
      </w:tblPr>
      <w:tblGrid>
        <w:gridCol w:w="2263"/>
        <w:gridCol w:w="2835"/>
        <w:gridCol w:w="3918"/>
      </w:tblGrid>
      <w:tr w:rsidR="00D7609F" w:rsidRPr="0017405A" w14:paraId="7D7A75AB" w14:textId="77777777" w:rsidTr="006419CD">
        <w:trPr>
          <w:tblHeader/>
        </w:trPr>
        <w:tc>
          <w:tcPr>
            <w:tcW w:w="1255" w:type="pct"/>
            <w:tcBorders>
              <w:top w:val="single" w:sz="4" w:space="0" w:color="auto"/>
              <w:left w:val="single" w:sz="4" w:space="0" w:color="auto"/>
              <w:bottom w:val="single" w:sz="4" w:space="0" w:color="auto"/>
              <w:right w:val="single" w:sz="4" w:space="0" w:color="auto"/>
            </w:tcBorders>
            <w:vAlign w:val="bottom"/>
            <w:hideMark/>
          </w:tcPr>
          <w:p w14:paraId="142D0B3B" w14:textId="77777777" w:rsidR="00D7609F" w:rsidRPr="0017405A" w:rsidRDefault="00D7609F" w:rsidP="00465525">
            <w:pPr>
              <w:pStyle w:val="TableText"/>
              <w:keepNext/>
              <w:keepLines/>
              <w:widowControl/>
              <w:spacing w:before="0" w:after="0" w:line="240" w:lineRule="auto"/>
              <w:rPr>
                <w:b/>
                <w:bCs/>
              </w:rPr>
            </w:pPr>
            <w:r w:rsidRPr="0017405A">
              <w:rPr>
                <w:b/>
                <w:bCs/>
              </w:rPr>
              <w:t>Description</w:t>
            </w:r>
          </w:p>
        </w:tc>
        <w:tc>
          <w:tcPr>
            <w:tcW w:w="1572" w:type="pct"/>
            <w:tcBorders>
              <w:top w:val="single" w:sz="4" w:space="0" w:color="auto"/>
              <w:left w:val="single" w:sz="4" w:space="0" w:color="auto"/>
              <w:bottom w:val="single" w:sz="4" w:space="0" w:color="auto"/>
              <w:right w:val="single" w:sz="4" w:space="0" w:color="auto"/>
            </w:tcBorders>
            <w:vAlign w:val="bottom"/>
            <w:hideMark/>
          </w:tcPr>
          <w:p w14:paraId="1F149FF1" w14:textId="77777777" w:rsidR="00D7609F" w:rsidRPr="0017405A" w:rsidRDefault="00D7609F" w:rsidP="00465525">
            <w:pPr>
              <w:pStyle w:val="TableText"/>
              <w:keepNext/>
              <w:keepLines/>
              <w:widowControl/>
              <w:spacing w:before="0" w:after="0" w:line="240" w:lineRule="auto"/>
              <w:rPr>
                <w:b/>
                <w:bCs/>
              </w:rPr>
            </w:pPr>
            <w:r w:rsidRPr="0017405A">
              <w:rPr>
                <w:b/>
                <w:bCs/>
              </w:rPr>
              <w:t>Method/Value</w:t>
            </w:r>
          </w:p>
        </w:tc>
        <w:tc>
          <w:tcPr>
            <w:tcW w:w="2173" w:type="pct"/>
            <w:tcBorders>
              <w:top w:val="single" w:sz="4" w:space="0" w:color="auto"/>
              <w:left w:val="single" w:sz="4" w:space="0" w:color="auto"/>
              <w:bottom w:val="single" w:sz="4" w:space="0" w:color="auto"/>
              <w:right w:val="single" w:sz="4" w:space="0" w:color="auto"/>
            </w:tcBorders>
            <w:vAlign w:val="bottom"/>
            <w:hideMark/>
          </w:tcPr>
          <w:p w14:paraId="75489B4B" w14:textId="77777777" w:rsidR="00D7609F" w:rsidRPr="0017405A" w:rsidRDefault="00D7609F" w:rsidP="00465525">
            <w:pPr>
              <w:pStyle w:val="TableText"/>
              <w:keepNext/>
              <w:keepLines/>
              <w:widowControl/>
              <w:spacing w:before="0" w:after="0" w:line="240" w:lineRule="auto"/>
              <w:rPr>
                <w:b/>
                <w:bCs/>
              </w:rPr>
            </w:pPr>
            <w:r w:rsidRPr="0017405A">
              <w:rPr>
                <w:b/>
                <w:bCs/>
              </w:rPr>
              <w:t>Impact</w:t>
            </w:r>
          </w:p>
        </w:tc>
      </w:tr>
      <w:tr w:rsidR="00721FBC" w:rsidRPr="0017405A" w14:paraId="02563782"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5E0110D6" w14:textId="77777777" w:rsidR="00721FBC" w:rsidRPr="0017405A" w:rsidRDefault="00721FBC" w:rsidP="00465525">
            <w:pPr>
              <w:pStyle w:val="TableText"/>
              <w:keepNext/>
              <w:keepLines/>
              <w:widowControl/>
              <w:spacing w:before="0" w:after="0" w:line="240" w:lineRule="auto"/>
            </w:pPr>
            <w:r w:rsidRPr="0017405A">
              <w:t>Time horizon</w:t>
            </w:r>
          </w:p>
        </w:tc>
        <w:tc>
          <w:tcPr>
            <w:tcW w:w="1572" w:type="pct"/>
            <w:tcBorders>
              <w:top w:val="single" w:sz="4" w:space="0" w:color="auto"/>
              <w:left w:val="single" w:sz="4" w:space="0" w:color="auto"/>
              <w:bottom w:val="single" w:sz="4" w:space="0" w:color="auto"/>
              <w:right w:val="single" w:sz="4" w:space="0" w:color="auto"/>
            </w:tcBorders>
            <w:vAlign w:val="center"/>
          </w:tcPr>
          <w:p w14:paraId="69EFDB59" w14:textId="77777777" w:rsidR="00721FBC" w:rsidRPr="0017405A" w:rsidRDefault="00721FBC" w:rsidP="00465525">
            <w:pPr>
              <w:pStyle w:val="TableText"/>
              <w:keepNext/>
              <w:keepLines/>
              <w:widowControl/>
              <w:spacing w:before="0" w:after="0" w:line="240" w:lineRule="auto"/>
            </w:pPr>
            <w:r w:rsidRPr="0017405A">
              <w:t xml:space="preserve">Base case 7.5 years, extrapolated from </w:t>
            </w:r>
            <w:proofErr w:type="gramStart"/>
            <w:r w:rsidRPr="0017405A">
              <w:t>46 month</w:t>
            </w:r>
            <w:proofErr w:type="gramEnd"/>
            <w:r w:rsidRPr="0017405A">
              <w:t xml:space="preserve"> median follow up in KN048.</w:t>
            </w:r>
          </w:p>
        </w:tc>
        <w:tc>
          <w:tcPr>
            <w:tcW w:w="2173" w:type="pct"/>
            <w:tcBorders>
              <w:top w:val="single" w:sz="4" w:space="0" w:color="auto"/>
              <w:left w:val="single" w:sz="4" w:space="0" w:color="auto"/>
              <w:bottom w:val="single" w:sz="4" w:space="0" w:color="auto"/>
              <w:right w:val="single" w:sz="4" w:space="0" w:color="auto"/>
            </w:tcBorders>
            <w:vAlign w:val="center"/>
          </w:tcPr>
          <w:p w14:paraId="31BEDDF8" w14:textId="77777777" w:rsidR="00721FBC" w:rsidRPr="0017405A" w:rsidRDefault="00721FBC" w:rsidP="00465525">
            <w:pPr>
              <w:pStyle w:val="TableText"/>
              <w:keepNext/>
              <w:keepLines/>
              <w:widowControl/>
              <w:spacing w:before="0" w:after="0" w:line="240" w:lineRule="auto"/>
            </w:pPr>
            <w:r w:rsidRPr="0017405A">
              <w:t>High. Changing to</w:t>
            </w:r>
            <w:r w:rsidR="00B66FA0">
              <w:t xml:space="preserve"> a</w:t>
            </w:r>
            <w:r w:rsidRPr="0017405A">
              <w:t xml:space="preserve"> </w:t>
            </w:r>
            <w:proofErr w:type="gramStart"/>
            <w:r w:rsidRPr="0017405A">
              <w:t>5 year</w:t>
            </w:r>
            <w:proofErr w:type="gramEnd"/>
            <w:r w:rsidRPr="0017405A">
              <w:t xml:space="preserve"> time horizon as per cetuximab March 2018 submission increase</w:t>
            </w:r>
            <w:r w:rsidR="00B66FA0">
              <w:t>d</w:t>
            </w:r>
            <w:r w:rsidRPr="0017405A">
              <w:t xml:space="preserve"> ICER by 39%. </w:t>
            </w:r>
            <w:r w:rsidR="00463CFE">
              <w:t>The</w:t>
            </w:r>
            <w:r w:rsidRPr="0017405A">
              <w:t xml:space="preserve"> effect of extrapolation diminishes significantly with shorter time horizon</w:t>
            </w:r>
            <w:r w:rsidR="00463CFE">
              <w:t>.</w:t>
            </w:r>
          </w:p>
        </w:tc>
      </w:tr>
      <w:tr w:rsidR="00721FBC" w:rsidRPr="0017405A" w14:paraId="5ADF2395"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409C237C" w14:textId="77777777" w:rsidR="00721FBC" w:rsidRPr="0017405A" w:rsidRDefault="00721FBC" w:rsidP="00465525">
            <w:pPr>
              <w:pStyle w:val="TableText"/>
              <w:keepNext/>
              <w:keepLines/>
              <w:widowControl/>
              <w:spacing w:before="0" w:after="0" w:line="240" w:lineRule="auto"/>
            </w:pPr>
            <w:r w:rsidRPr="0017405A">
              <w:t>Efficacy of pembrolizumab</w:t>
            </w:r>
          </w:p>
        </w:tc>
        <w:tc>
          <w:tcPr>
            <w:tcW w:w="1572" w:type="pct"/>
            <w:tcBorders>
              <w:top w:val="single" w:sz="4" w:space="0" w:color="auto"/>
              <w:left w:val="single" w:sz="4" w:space="0" w:color="auto"/>
              <w:bottom w:val="single" w:sz="4" w:space="0" w:color="auto"/>
              <w:right w:val="single" w:sz="4" w:space="0" w:color="auto"/>
            </w:tcBorders>
            <w:vAlign w:val="center"/>
          </w:tcPr>
          <w:p w14:paraId="410A1ACD" w14:textId="77777777" w:rsidR="00721FBC" w:rsidRPr="0017405A" w:rsidRDefault="00721FBC" w:rsidP="00465525">
            <w:pPr>
              <w:pStyle w:val="TableText"/>
              <w:keepNext/>
              <w:keepLines/>
              <w:widowControl/>
              <w:spacing w:before="0" w:after="0" w:line="240" w:lineRule="auto"/>
            </w:pPr>
            <w:r w:rsidRPr="0017405A">
              <w:t>Extrapolation applied after around 46 months. In EA1, most optimistic extrapolation chosen. No convergence assumed</w:t>
            </w:r>
          </w:p>
        </w:tc>
        <w:tc>
          <w:tcPr>
            <w:tcW w:w="2173" w:type="pct"/>
            <w:tcBorders>
              <w:top w:val="single" w:sz="4" w:space="0" w:color="auto"/>
              <w:left w:val="single" w:sz="4" w:space="0" w:color="auto"/>
              <w:bottom w:val="single" w:sz="4" w:space="0" w:color="auto"/>
              <w:right w:val="single" w:sz="4" w:space="0" w:color="auto"/>
            </w:tcBorders>
            <w:vAlign w:val="center"/>
          </w:tcPr>
          <w:p w14:paraId="3BB2F148" w14:textId="77777777" w:rsidR="00721FBC" w:rsidRPr="0017405A" w:rsidRDefault="00721FBC" w:rsidP="00465525">
            <w:pPr>
              <w:pStyle w:val="TableText"/>
              <w:keepNext/>
              <w:keepLines/>
              <w:widowControl/>
              <w:spacing w:before="0" w:after="0" w:line="240" w:lineRule="auto"/>
            </w:pPr>
            <w:r w:rsidRPr="0017405A">
              <w:t>High. Using exponential function for extrapolation of pembrolizumab ± chemotherapy OS increased ICER by 29%. All alternative extrapolation functions for either pembrolizumab plus chemotherapy or SoC in EA1 increased ICER.</w:t>
            </w:r>
          </w:p>
        </w:tc>
      </w:tr>
      <w:tr w:rsidR="00721FBC" w:rsidRPr="0017405A" w14:paraId="022B50D6"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3D64EF75" w14:textId="77777777" w:rsidR="00721FBC" w:rsidRPr="0017405A" w:rsidRDefault="00721FBC" w:rsidP="00465525">
            <w:pPr>
              <w:pStyle w:val="TableText"/>
              <w:keepNext/>
              <w:keepLines/>
              <w:widowControl/>
              <w:spacing w:before="0" w:after="0" w:line="240" w:lineRule="auto"/>
            </w:pPr>
            <w:r w:rsidRPr="0017405A">
              <w:t>Source of utility</w:t>
            </w:r>
          </w:p>
        </w:tc>
        <w:tc>
          <w:tcPr>
            <w:tcW w:w="1572" w:type="pct"/>
            <w:tcBorders>
              <w:top w:val="single" w:sz="4" w:space="0" w:color="auto"/>
              <w:left w:val="single" w:sz="4" w:space="0" w:color="auto"/>
              <w:bottom w:val="single" w:sz="4" w:space="0" w:color="auto"/>
              <w:right w:val="single" w:sz="4" w:space="0" w:color="auto"/>
            </w:tcBorders>
            <w:vAlign w:val="center"/>
          </w:tcPr>
          <w:p w14:paraId="64433DA8" w14:textId="77777777" w:rsidR="00721FBC" w:rsidRPr="0017405A" w:rsidRDefault="00721FBC" w:rsidP="00465525">
            <w:pPr>
              <w:pStyle w:val="TableText"/>
              <w:keepNext/>
              <w:keepLines/>
              <w:widowControl/>
              <w:spacing w:before="0" w:after="0" w:line="240" w:lineRule="auto"/>
            </w:pPr>
            <w:r w:rsidRPr="0017405A">
              <w:rPr>
                <w:iCs/>
              </w:rPr>
              <w:t xml:space="preserve">Based on utility analysis in KN048 </w:t>
            </w:r>
          </w:p>
        </w:tc>
        <w:tc>
          <w:tcPr>
            <w:tcW w:w="2173" w:type="pct"/>
            <w:tcBorders>
              <w:top w:val="single" w:sz="4" w:space="0" w:color="auto"/>
              <w:left w:val="single" w:sz="4" w:space="0" w:color="auto"/>
              <w:bottom w:val="single" w:sz="4" w:space="0" w:color="auto"/>
              <w:right w:val="single" w:sz="4" w:space="0" w:color="auto"/>
            </w:tcBorders>
            <w:vAlign w:val="center"/>
          </w:tcPr>
          <w:p w14:paraId="02A1544A" w14:textId="77777777" w:rsidR="00721FBC" w:rsidRPr="0017405A" w:rsidRDefault="00721FBC" w:rsidP="00465525">
            <w:pPr>
              <w:pStyle w:val="TableText"/>
              <w:keepNext/>
              <w:keepLines/>
              <w:widowControl/>
              <w:spacing w:before="0" w:after="0" w:line="240" w:lineRule="auto"/>
            </w:pPr>
            <w:r w:rsidRPr="0017405A">
              <w:t>Moderate, favours pembrolizumab. Using utility values from cetuximab March 2018 submission (PF 0.69, PD 0.52 (base case PF 0.787, PD 0.707)</w:t>
            </w:r>
            <w:r w:rsidR="00FC709F" w:rsidRPr="0017405A">
              <w:t xml:space="preserve"> </w:t>
            </w:r>
            <w:r w:rsidRPr="0017405A">
              <w:t>increases ICER by 27%.</w:t>
            </w:r>
          </w:p>
        </w:tc>
      </w:tr>
      <w:tr w:rsidR="00721FBC" w:rsidRPr="0017405A" w14:paraId="7DFE1AF8"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52C8CCD4" w14:textId="77777777" w:rsidR="00721FBC" w:rsidRPr="0017405A" w:rsidRDefault="00721FBC" w:rsidP="00465525">
            <w:pPr>
              <w:pStyle w:val="TableText"/>
              <w:keepNext/>
              <w:keepLines/>
              <w:widowControl/>
              <w:spacing w:before="0" w:after="0" w:line="240" w:lineRule="auto"/>
            </w:pPr>
            <w:r w:rsidRPr="0017405A">
              <w:t>Treatment duration of 2L nivolumab use in SoC treatment arm</w:t>
            </w:r>
          </w:p>
        </w:tc>
        <w:tc>
          <w:tcPr>
            <w:tcW w:w="1572" w:type="pct"/>
            <w:tcBorders>
              <w:top w:val="single" w:sz="4" w:space="0" w:color="auto"/>
              <w:left w:val="single" w:sz="4" w:space="0" w:color="auto"/>
              <w:bottom w:val="single" w:sz="4" w:space="0" w:color="auto"/>
              <w:right w:val="single" w:sz="4" w:space="0" w:color="auto"/>
            </w:tcBorders>
            <w:vAlign w:val="center"/>
          </w:tcPr>
          <w:p w14:paraId="7C66BC7F" w14:textId="77777777" w:rsidR="00721FBC" w:rsidRPr="0017405A" w:rsidRDefault="00721FBC" w:rsidP="00465525">
            <w:pPr>
              <w:pStyle w:val="TableText"/>
              <w:keepNext/>
              <w:keepLines/>
              <w:widowControl/>
              <w:spacing w:before="0" w:after="0" w:line="240" w:lineRule="auto"/>
            </w:pPr>
            <w:r w:rsidRPr="0017405A">
              <w:t>Assumed 5.56-5.62 months of 2L nivolumab treatment in SoC</w:t>
            </w:r>
          </w:p>
        </w:tc>
        <w:tc>
          <w:tcPr>
            <w:tcW w:w="2173" w:type="pct"/>
            <w:tcBorders>
              <w:top w:val="single" w:sz="4" w:space="0" w:color="auto"/>
              <w:left w:val="single" w:sz="4" w:space="0" w:color="auto"/>
              <w:bottom w:val="single" w:sz="4" w:space="0" w:color="auto"/>
              <w:right w:val="single" w:sz="4" w:space="0" w:color="auto"/>
            </w:tcBorders>
            <w:vAlign w:val="center"/>
          </w:tcPr>
          <w:p w14:paraId="0C5A4462" w14:textId="77777777" w:rsidR="00721FBC" w:rsidRPr="0017405A" w:rsidRDefault="00721FBC" w:rsidP="00465525">
            <w:pPr>
              <w:pStyle w:val="TableText"/>
              <w:keepNext/>
              <w:keepLines/>
              <w:widowControl/>
              <w:spacing w:before="0" w:after="0" w:line="240" w:lineRule="auto"/>
            </w:pPr>
            <w:r w:rsidRPr="0017405A">
              <w:t>Moderate, favours pembrolizumab. Halving duration of 2L nivolumab used increased ICER by 18%</w:t>
            </w:r>
            <w:r w:rsidR="00FC709F" w:rsidRPr="0017405A">
              <w:t>.</w:t>
            </w:r>
          </w:p>
        </w:tc>
      </w:tr>
      <w:tr w:rsidR="00721FBC" w:rsidRPr="0017405A" w14:paraId="39C6C4FF"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185DA537" w14:textId="77777777" w:rsidR="00721FBC" w:rsidRPr="0017405A" w:rsidRDefault="00721FBC" w:rsidP="00465525">
            <w:pPr>
              <w:pStyle w:val="TableText"/>
              <w:keepNext/>
              <w:keepLines/>
              <w:widowControl/>
              <w:spacing w:before="0" w:after="0" w:line="240" w:lineRule="auto"/>
            </w:pPr>
            <w:r w:rsidRPr="0017405A">
              <w:t>Proportion of patients using 2L nivolumab in SoC treatment arm</w:t>
            </w:r>
          </w:p>
        </w:tc>
        <w:tc>
          <w:tcPr>
            <w:tcW w:w="1572" w:type="pct"/>
            <w:tcBorders>
              <w:top w:val="single" w:sz="4" w:space="0" w:color="auto"/>
              <w:left w:val="single" w:sz="4" w:space="0" w:color="auto"/>
              <w:bottom w:val="single" w:sz="4" w:space="0" w:color="auto"/>
              <w:right w:val="single" w:sz="4" w:space="0" w:color="auto"/>
            </w:tcBorders>
            <w:vAlign w:val="center"/>
          </w:tcPr>
          <w:p w14:paraId="5B97F20A" w14:textId="77777777" w:rsidR="00721FBC" w:rsidRPr="0017405A" w:rsidRDefault="00721FBC" w:rsidP="00465525">
            <w:pPr>
              <w:pStyle w:val="TableText"/>
              <w:keepNext/>
              <w:keepLines/>
              <w:widowControl/>
              <w:spacing w:before="0" w:after="0" w:line="240" w:lineRule="auto"/>
            </w:pPr>
            <w:r w:rsidRPr="0017405A">
              <w:t>50% use of 2L nivolumab in SoC treatment arm calculated in resubmission.</w:t>
            </w:r>
          </w:p>
        </w:tc>
        <w:tc>
          <w:tcPr>
            <w:tcW w:w="2173" w:type="pct"/>
            <w:tcBorders>
              <w:top w:val="single" w:sz="4" w:space="0" w:color="auto"/>
              <w:left w:val="single" w:sz="4" w:space="0" w:color="auto"/>
              <w:bottom w:val="single" w:sz="4" w:space="0" w:color="auto"/>
              <w:right w:val="single" w:sz="4" w:space="0" w:color="auto"/>
            </w:tcBorders>
            <w:vAlign w:val="center"/>
          </w:tcPr>
          <w:p w14:paraId="6F2D5946" w14:textId="77777777" w:rsidR="00721FBC" w:rsidRPr="0017405A" w:rsidRDefault="00721FBC" w:rsidP="00465525">
            <w:pPr>
              <w:pStyle w:val="TableText"/>
              <w:keepNext/>
              <w:keepLines/>
              <w:widowControl/>
              <w:spacing w:before="0" w:after="0" w:line="240" w:lineRule="auto"/>
            </w:pPr>
            <w:r w:rsidRPr="0017405A">
              <w:t>Moderat</w:t>
            </w:r>
            <w:r w:rsidR="00B66FA0">
              <w:t>e</w:t>
            </w:r>
            <w:r w:rsidRPr="0017405A">
              <w:t>. Halving proportion using 2L nivolumab increases ICER by 10%.</w:t>
            </w:r>
          </w:p>
        </w:tc>
      </w:tr>
    </w:tbl>
    <w:p w14:paraId="19803A23" w14:textId="77777777" w:rsidR="00D7609F" w:rsidRPr="00A24A89" w:rsidRDefault="00D7609F" w:rsidP="00465525">
      <w:pPr>
        <w:pStyle w:val="TableFooter"/>
        <w:keepNext/>
        <w:keepLines/>
        <w:widowControl/>
      </w:pPr>
      <w:r w:rsidRPr="00A24A89">
        <w:t>2L = second line; EA = economic analysis; ICER = incremental cost effectiveness analysis; SoC = standard of care</w:t>
      </w:r>
    </w:p>
    <w:p w14:paraId="67431FD6" w14:textId="77777777" w:rsidR="00E3183E" w:rsidRPr="00E31F5B" w:rsidRDefault="0023171F">
      <w:pPr>
        <w:pStyle w:val="ListParagraph"/>
        <w:numPr>
          <w:ilvl w:val="4"/>
          <w:numId w:val="1"/>
        </w:numPr>
        <w:rPr>
          <w:iCs/>
        </w:rPr>
      </w:pPr>
      <w:bookmarkStart w:id="70" w:name="_Ref81940707"/>
      <w:bookmarkStart w:id="71" w:name="_Ref89157949"/>
      <w:r w:rsidRPr="0017405A">
        <w:rPr>
          <w:iCs/>
        </w:rPr>
        <w:t xml:space="preserve">Of all the extrapolations for OS and PFS in pembrolizumab </w:t>
      </w:r>
      <w:r w:rsidRPr="0017405A">
        <w:rPr>
          <w:rFonts w:cstheme="minorHAnsi"/>
          <w:iCs/>
        </w:rPr>
        <w:t xml:space="preserve">± chemotherapy, the model was most sensitive to changes in the OS extrapolation in the pembrolizumab </w:t>
      </w:r>
      <w:r w:rsidR="00463CFE">
        <w:rPr>
          <w:rFonts w:cstheme="minorHAnsi"/>
          <w:iCs/>
        </w:rPr>
        <w:t>plus</w:t>
      </w:r>
      <w:r w:rsidR="00463CFE" w:rsidRPr="0017405A">
        <w:rPr>
          <w:rFonts w:cstheme="minorHAnsi"/>
          <w:iCs/>
        </w:rPr>
        <w:t xml:space="preserve"> </w:t>
      </w:r>
      <w:r w:rsidRPr="0017405A">
        <w:rPr>
          <w:rFonts w:cstheme="minorHAnsi"/>
          <w:iCs/>
        </w:rPr>
        <w:t>chemotherapy arm in EA</w:t>
      </w:r>
      <w:r w:rsidR="00E3183E">
        <w:rPr>
          <w:rFonts w:cstheme="minorHAnsi"/>
          <w:iCs/>
        </w:rPr>
        <w:t>1</w:t>
      </w:r>
      <w:r w:rsidRPr="0017405A">
        <w:rPr>
          <w:rFonts w:cstheme="minorHAnsi"/>
          <w:iCs/>
        </w:rPr>
        <w:t xml:space="preserve">, which </w:t>
      </w:r>
      <w:proofErr w:type="gramStart"/>
      <w:r w:rsidRPr="0017405A">
        <w:rPr>
          <w:rFonts w:cstheme="minorHAnsi"/>
          <w:iCs/>
        </w:rPr>
        <w:t>was considered to be</w:t>
      </w:r>
      <w:proofErr w:type="gramEnd"/>
      <w:r w:rsidRPr="0017405A">
        <w:rPr>
          <w:rFonts w:cstheme="minorHAnsi"/>
          <w:iCs/>
        </w:rPr>
        <w:t xml:space="preserve"> more optimistic than the previous submission. </w:t>
      </w:r>
      <w:bookmarkStart w:id="72" w:name="_Hlk84858314"/>
      <w:r w:rsidRPr="0017405A">
        <w:rPr>
          <w:rFonts w:cstheme="minorHAnsi"/>
          <w:iCs/>
        </w:rPr>
        <w:t xml:space="preserve">All the parametric functions fitted to the OS curve for pembrolizumab + chemotherapy </w:t>
      </w:r>
      <w:proofErr w:type="gramStart"/>
      <w:r w:rsidR="00E3183E">
        <w:rPr>
          <w:rFonts w:cstheme="minorHAnsi"/>
          <w:iCs/>
        </w:rPr>
        <w:t>are</w:t>
      </w:r>
      <w:proofErr w:type="gramEnd"/>
      <w:r w:rsidRPr="0017405A">
        <w:rPr>
          <w:rFonts w:cstheme="minorHAnsi"/>
          <w:iCs/>
        </w:rPr>
        <w:t xml:space="preserve"> shown in </w:t>
      </w:r>
      <w:r w:rsidR="008D43ED" w:rsidRPr="008D43ED">
        <w:rPr>
          <w:iCs/>
        </w:rPr>
        <w:t>Figure 5</w:t>
      </w:r>
      <w:r w:rsidRPr="0017405A">
        <w:rPr>
          <w:rFonts w:cstheme="minorHAnsi"/>
          <w:iCs/>
        </w:rPr>
        <w:t xml:space="preserve">. </w:t>
      </w:r>
      <w:bookmarkEnd w:id="72"/>
      <w:r w:rsidRPr="0017405A">
        <w:rPr>
          <w:rFonts w:cstheme="minorHAnsi"/>
          <w:iCs/>
        </w:rPr>
        <w:t xml:space="preserve">The resubmission nominated the </w:t>
      </w:r>
      <w:proofErr w:type="spellStart"/>
      <w:r w:rsidRPr="0017405A">
        <w:rPr>
          <w:rFonts w:cstheme="minorHAnsi"/>
          <w:iCs/>
        </w:rPr>
        <w:t>Gompertz</w:t>
      </w:r>
      <w:proofErr w:type="spellEnd"/>
      <w:r w:rsidRPr="0017405A">
        <w:rPr>
          <w:rFonts w:cstheme="minorHAnsi"/>
          <w:iCs/>
        </w:rPr>
        <w:t xml:space="preserve"> function as the base case, which was the most optimistic extrapolation.</w:t>
      </w:r>
      <w:bookmarkEnd w:id="70"/>
      <w:r w:rsidRPr="0017405A">
        <w:rPr>
          <w:rFonts w:cstheme="minorHAnsi"/>
          <w:iCs/>
        </w:rPr>
        <w:t xml:space="preserve"> </w:t>
      </w:r>
      <w:r w:rsidR="007E6171" w:rsidRPr="00E31F5B">
        <w:rPr>
          <w:rFonts w:cstheme="minorHAnsi"/>
          <w:iCs/>
        </w:rPr>
        <w:t>The ESC</w:t>
      </w:r>
      <w:r w:rsidR="003824BB" w:rsidRPr="00E31F5B">
        <w:rPr>
          <w:rFonts w:cstheme="minorHAnsi"/>
          <w:iCs/>
        </w:rPr>
        <w:t>s</w:t>
      </w:r>
      <w:r w:rsidR="007E6171" w:rsidRPr="00E31F5B">
        <w:rPr>
          <w:rFonts w:cstheme="minorHAnsi"/>
          <w:iCs/>
        </w:rPr>
        <w:t xml:space="preserve"> noted that none of the tested extrapolations appeared to be a good visual fit to the Kaplan-Meier data and </w:t>
      </w:r>
      <w:r w:rsidR="007E6171" w:rsidRPr="00E31F5B">
        <w:rPr>
          <w:iCs/>
        </w:rPr>
        <w:t xml:space="preserve">all the extrapolations appear to overestimate OS to some degree up to around three years. The choice of the extrapolation function had a large impact on the ICER, with the exponential function estimating an ICER which was 29.5% higher than the base case. However, when the time horizon </w:t>
      </w:r>
      <w:r w:rsidR="005765ED">
        <w:rPr>
          <w:iCs/>
        </w:rPr>
        <w:t>wa</w:t>
      </w:r>
      <w:r w:rsidR="007E6171" w:rsidRPr="00E31F5B">
        <w:rPr>
          <w:iCs/>
        </w:rPr>
        <w:t xml:space="preserve">s reduced to five years this difference reduced to 4.3%, illustrating that the impact and uncertainty of the choice of extrapolation function was </w:t>
      </w:r>
      <w:r w:rsidR="006D69BA" w:rsidRPr="00E31F5B">
        <w:rPr>
          <w:iCs/>
        </w:rPr>
        <w:t xml:space="preserve">also influenced by </w:t>
      </w:r>
      <w:r w:rsidR="007E6171" w:rsidRPr="00E31F5B">
        <w:rPr>
          <w:iCs/>
        </w:rPr>
        <w:t>the time horizon.</w:t>
      </w:r>
      <w:r w:rsidR="005765ED">
        <w:rPr>
          <w:iCs/>
        </w:rPr>
        <w:t xml:space="preserve"> </w:t>
      </w:r>
      <w:r w:rsidR="00E3183E" w:rsidRPr="00E31F5B">
        <w:rPr>
          <w:iCs/>
        </w:rPr>
        <w:t>The impact of the extrapolation of the SoC arm was much smaller than the pembrolizumab plus chemotherapy arm (no more than 6.5% change in ICER).</w:t>
      </w:r>
      <w:r w:rsidR="005C0BDF" w:rsidRPr="00E31F5B">
        <w:rPr>
          <w:iCs/>
        </w:rPr>
        <w:t xml:space="preserve"> The ESCs also noted that the suitability of extrapolation functions for OS, PFS and </w:t>
      </w:r>
      <w:proofErr w:type="spellStart"/>
      <w:r w:rsidR="005C0BDF" w:rsidRPr="00E31F5B">
        <w:rPr>
          <w:iCs/>
        </w:rPr>
        <w:t>ToT</w:t>
      </w:r>
      <w:proofErr w:type="spellEnd"/>
      <w:r w:rsidR="005C0BDF" w:rsidRPr="00E31F5B">
        <w:rPr>
          <w:iCs/>
        </w:rPr>
        <w:t xml:space="preserve"> for the CPS </w:t>
      </w:r>
      <w:r w:rsidR="005C0BDF" w:rsidRPr="00E31F5B">
        <w:rPr>
          <w:rFonts w:cstheme="minorHAnsi"/>
          <w:iCs/>
        </w:rPr>
        <w:t>≥</w:t>
      </w:r>
      <w:r w:rsidR="005C0BDF" w:rsidRPr="00E31F5B">
        <w:rPr>
          <w:iCs/>
        </w:rPr>
        <w:t>20 population had not been assessed as these changes were proposed in the PSCR.</w:t>
      </w:r>
      <w:bookmarkEnd w:id="71"/>
    </w:p>
    <w:p w14:paraId="15294DC1" w14:textId="77777777" w:rsidR="0023171F" w:rsidRPr="00A24A89" w:rsidRDefault="00E31F5B" w:rsidP="00024DCD">
      <w:pPr>
        <w:pStyle w:val="Caption"/>
      </w:pPr>
      <w:bookmarkStart w:id="73" w:name="_Ref81940577"/>
      <w:r>
        <w:lastRenderedPageBreak/>
        <w:t xml:space="preserve">Figure </w:t>
      </w:r>
      <w:r w:rsidR="008D43ED">
        <w:rPr>
          <w:noProof/>
        </w:rPr>
        <w:t>5</w:t>
      </w:r>
      <w:bookmarkEnd w:id="73"/>
      <w:r w:rsidR="00024DCD">
        <w:rPr>
          <w:noProof/>
        </w:rPr>
        <w:t>:</w:t>
      </w:r>
      <w:r w:rsidR="0023171F" w:rsidRPr="00A24A89">
        <w:tab/>
        <w:t xml:space="preserve">All parametric extrapolations for OS in pembrolizumab plus chemotherapy in CPS </w:t>
      </w:r>
      <w:r w:rsidR="0023171F" w:rsidRPr="00A24A89">
        <w:rPr>
          <w:rFonts w:cstheme="minorHAnsi"/>
        </w:rPr>
        <w:t>≥</w:t>
      </w:r>
      <w:r w:rsidR="0023171F" w:rsidRPr="00A24A89">
        <w:t>1</w:t>
      </w:r>
    </w:p>
    <w:p w14:paraId="6C98A600" w14:textId="77777777" w:rsidR="007E6171" w:rsidRPr="00A24A89" w:rsidRDefault="0023171F">
      <w:pPr>
        <w:pStyle w:val="InstructionalText"/>
        <w:keepNext/>
        <w:keepLines/>
        <w:spacing w:before="0" w:after="0"/>
        <w:jc w:val="center"/>
        <w:rPr>
          <w:rFonts w:ascii="Arial Narrow" w:hAnsi="Arial Narrow"/>
          <w:color w:val="auto"/>
          <w:sz w:val="20"/>
          <w:szCs w:val="20"/>
        </w:rPr>
      </w:pPr>
      <w:r w:rsidRPr="00A24A89">
        <w:rPr>
          <w:noProof/>
          <w:lang w:eastAsia="en-AU"/>
        </w:rPr>
        <w:drawing>
          <wp:inline distT="0" distB="0" distL="0" distR="0" wp14:anchorId="3D6A406E" wp14:editId="6A80B580">
            <wp:extent cx="5000625" cy="3003041"/>
            <wp:effectExtent l="0" t="0" r="0" b="6985"/>
            <wp:docPr id="11" name="Picture 11" descr="Figure 5: All parametric extrapolations for OS in pembrolizumab plus chemotherapy in CP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5: All parametric extrapolations for OS in pembrolizumab plus chemotherapy in CP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0625" cy="3003041"/>
                    </a:xfrm>
                    <a:prstGeom prst="rect">
                      <a:avLst/>
                    </a:prstGeom>
                    <a:noFill/>
                  </pic:spPr>
                </pic:pic>
              </a:graphicData>
            </a:graphic>
          </wp:inline>
        </w:drawing>
      </w:r>
    </w:p>
    <w:p w14:paraId="37253361" w14:textId="77777777" w:rsidR="0023171F" w:rsidRPr="00A24A89" w:rsidRDefault="0023171F" w:rsidP="0023171F">
      <w:pPr>
        <w:pStyle w:val="TableFooter"/>
        <w:keepNext/>
        <w:keepLines/>
      </w:pPr>
      <w:r w:rsidRPr="00A24A89">
        <w:t xml:space="preserve">KM = Kaplan Meier; CPS = combined positive score; </w:t>
      </w:r>
      <w:proofErr w:type="spellStart"/>
      <w:r w:rsidRPr="00A24A89">
        <w:t>GGamma</w:t>
      </w:r>
      <w:proofErr w:type="spellEnd"/>
      <w:r w:rsidRPr="00A24A89">
        <w:t xml:space="preserve"> = generalised gamma function</w:t>
      </w:r>
    </w:p>
    <w:p w14:paraId="2930E0F0" w14:textId="77777777" w:rsidR="007E6171" w:rsidRPr="00A24A89" w:rsidRDefault="0023171F" w:rsidP="006D69BA">
      <w:pPr>
        <w:pStyle w:val="TableFooter"/>
      </w:pPr>
      <w:r w:rsidRPr="00A24A89">
        <w:t>Source: Figure 3.4-2, p219 of the resubmission</w:t>
      </w:r>
    </w:p>
    <w:p w14:paraId="533222B7" w14:textId="77777777" w:rsidR="00D7609F" w:rsidRPr="00A24A89" w:rsidRDefault="00D7609F" w:rsidP="006D69BA">
      <w:pPr>
        <w:pStyle w:val="ListParagraph"/>
        <w:numPr>
          <w:ilvl w:val="4"/>
          <w:numId w:val="1"/>
        </w:numPr>
        <w:rPr>
          <w:color w:val="auto"/>
        </w:rPr>
      </w:pPr>
      <w:r w:rsidRPr="00A24A89">
        <w:rPr>
          <w:color w:val="auto"/>
        </w:rPr>
        <w:t xml:space="preserve">The results of the adjusted base case of the economic evaluation for patients with R/M HNSCC and CPS </w:t>
      </w:r>
      <w:r w:rsidRPr="00A24A89">
        <w:rPr>
          <w:rFonts w:cstheme="minorHAnsi"/>
          <w:color w:val="auto"/>
        </w:rPr>
        <w:t>≥</w:t>
      </w:r>
      <w:r w:rsidRPr="00A24A89">
        <w:rPr>
          <w:color w:val="auto"/>
        </w:rPr>
        <w:t xml:space="preserve">1 </w:t>
      </w:r>
      <w:proofErr w:type="gramStart"/>
      <w:r w:rsidRPr="00A24A89">
        <w:rPr>
          <w:color w:val="auto"/>
        </w:rPr>
        <w:t>are</w:t>
      </w:r>
      <w:proofErr w:type="gramEnd"/>
      <w:r w:rsidRPr="00A24A89">
        <w:rPr>
          <w:color w:val="auto"/>
        </w:rPr>
        <w:t xml:space="preserve"> presented in</w:t>
      </w:r>
      <w:r w:rsidR="00F10FDB">
        <w:rPr>
          <w:color w:val="auto"/>
        </w:rPr>
        <w:t xml:space="preserve"> </w:t>
      </w:r>
      <w:r w:rsidR="008D43ED">
        <w:t xml:space="preserve">Table </w:t>
      </w:r>
      <w:r w:rsidR="008D43ED">
        <w:rPr>
          <w:noProof/>
        </w:rPr>
        <w:t>18</w:t>
      </w:r>
      <w:r w:rsidRPr="00A24A89">
        <w:rPr>
          <w:color w:val="auto"/>
        </w:rPr>
        <w:t>.</w:t>
      </w:r>
    </w:p>
    <w:p w14:paraId="456AA3EB" w14:textId="77777777" w:rsidR="00D7609F" w:rsidRPr="00A24A89" w:rsidRDefault="00E31F5B" w:rsidP="00024DCD">
      <w:pPr>
        <w:pStyle w:val="Caption"/>
      </w:pPr>
      <w:bookmarkStart w:id="74" w:name="_Ref80070338"/>
      <w:r>
        <w:lastRenderedPageBreak/>
        <w:t xml:space="preserve">Table </w:t>
      </w:r>
      <w:r w:rsidR="008D43ED">
        <w:rPr>
          <w:noProof/>
        </w:rPr>
        <w:t>18</w:t>
      </w:r>
      <w:bookmarkEnd w:id="74"/>
      <w:r w:rsidR="00024DCD">
        <w:rPr>
          <w:noProof/>
        </w:rPr>
        <w:t>:</w:t>
      </w:r>
      <w:r>
        <w:tab/>
      </w:r>
      <w:r w:rsidR="00D7609F" w:rsidRPr="00A24A89">
        <w:t xml:space="preserve"> Results of the partitioned survival cohort simulation in patients with </w:t>
      </w:r>
      <w:r w:rsidR="002B1C15" w:rsidRPr="00A24A89">
        <w:t>CPS ≥1</w:t>
      </w:r>
      <w:r w:rsidR="00D7609F" w:rsidRPr="00A24A89">
        <w:t xml:space="preserve"> (adjusted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8:  Results of the partitioned survival cohort simulation in patients with CPS ≥1 (adjusted base case)"/>
      </w:tblPr>
      <w:tblGrid>
        <w:gridCol w:w="2254"/>
        <w:gridCol w:w="2362"/>
        <w:gridCol w:w="2362"/>
        <w:gridCol w:w="2038"/>
      </w:tblGrid>
      <w:tr w:rsidR="00D7609F" w:rsidRPr="0017405A" w14:paraId="4BB7246D" w14:textId="77777777" w:rsidTr="006419CD">
        <w:tc>
          <w:tcPr>
            <w:tcW w:w="1250" w:type="pct"/>
            <w:vAlign w:val="center"/>
          </w:tcPr>
          <w:p w14:paraId="271F3541" w14:textId="77777777" w:rsidR="00D7609F" w:rsidRPr="0017405A" w:rsidRDefault="00D7609F" w:rsidP="00F10FDB">
            <w:pPr>
              <w:pStyle w:val="TableText"/>
              <w:keepNext/>
              <w:keepLines/>
              <w:widowControl/>
              <w:spacing w:before="0" w:after="0" w:line="240" w:lineRule="auto"/>
              <w:ind w:left="720"/>
              <w:rPr>
                <w:b/>
              </w:rPr>
            </w:pPr>
            <w:r w:rsidRPr="0017405A">
              <w:rPr>
                <w:b/>
              </w:rPr>
              <w:t>Component</w:t>
            </w:r>
          </w:p>
        </w:tc>
        <w:tc>
          <w:tcPr>
            <w:tcW w:w="1310" w:type="pct"/>
            <w:vAlign w:val="center"/>
          </w:tcPr>
          <w:p w14:paraId="734AD201" w14:textId="77777777" w:rsidR="00D7609F" w:rsidRPr="0017405A" w:rsidRDefault="00D7609F" w:rsidP="00F10FDB">
            <w:pPr>
              <w:pStyle w:val="TableText"/>
              <w:keepNext/>
              <w:keepLines/>
              <w:widowControl/>
              <w:spacing w:before="0" w:after="0" w:line="240" w:lineRule="auto"/>
              <w:jc w:val="center"/>
              <w:rPr>
                <w:b/>
              </w:rPr>
            </w:pPr>
            <w:r w:rsidRPr="0017405A">
              <w:rPr>
                <w:b/>
              </w:rPr>
              <w:t>Pembrolizumab ± chemotherapy</w:t>
            </w:r>
          </w:p>
        </w:tc>
        <w:tc>
          <w:tcPr>
            <w:tcW w:w="1310" w:type="pct"/>
            <w:vAlign w:val="center"/>
          </w:tcPr>
          <w:p w14:paraId="186776F0" w14:textId="77777777" w:rsidR="00D7609F" w:rsidRPr="0017405A" w:rsidRDefault="00D7609F" w:rsidP="00F10FDB">
            <w:pPr>
              <w:pStyle w:val="TableText"/>
              <w:keepNext/>
              <w:keepLines/>
              <w:widowControl/>
              <w:spacing w:before="0" w:after="0" w:line="240" w:lineRule="auto"/>
              <w:jc w:val="center"/>
              <w:rPr>
                <w:b/>
              </w:rPr>
            </w:pPr>
            <w:r w:rsidRPr="0017405A">
              <w:rPr>
                <w:b/>
              </w:rPr>
              <w:t>SoC</w:t>
            </w:r>
          </w:p>
        </w:tc>
        <w:tc>
          <w:tcPr>
            <w:tcW w:w="1130" w:type="pct"/>
            <w:vAlign w:val="center"/>
          </w:tcPr>
          <w:p w14:paraId="544A915B" w14:textId="77777777" w:rsidR="00D7609F" w:rsidRPr="0017405A" w:rsidRDefault="00D7609F" w:rsidP="00F10FDB">
            <w:pPr>
              <w:pStyle w:val="TableText"/>
              <w:keepNext/>
              <w:keepLines/>
              <w:widowControl/>
              <w:spacing w:before="0" w:after="0" w:line="240" w:lineRule="auto"/>
              <w:jc w:val="center"/>
              <w:rPr>
                <w:b/>
              </w:rPr>
            </w:pPr>
            <w:r w:rsidRPr="0017405A">
              <w:rPr>
                <w:b/>
              </w:rPr>
              <w:t>Increment</w:t>
            </w:r>
          </w:p>
        </w:tc>
      </w:tr>
      <w:tr w:rsidR="00D7609F" w:rsidRPr="0017405A" w14:paraId="51190E71" w14:textId="77777777" w:rsidTr="006419CD">
        <w:tc>
          <w:tcPr>
            <w:tcW w:w="5000" w:type="pct"/>
            <w:gridSpan w:val="4"/>
          </w:tcPr>
          <w:p w14:paraId="4BFD57AB" w14:textId="77777777" w:rsidR="00D7609F" w:rsidRPr="0017405A" w:rsidRDefault="00D7609F" w:rsidP="00F10FDB">
            <w:pPr>
              <w:pStyle w:val="TableNumber"/>
              <w:keepNext/>
              <w:keepLines/>
              <w:widowControl/>
              <w:tabs>
                <w:tab w:val="clear" w:pos="396"/>
                <w:tab w:val="decimal" w:pos="0"/>
              </w:tabs>
              <w:spacing w:before="0" w:after="0" w:line="240" w:lineRule="auto"/>
              <w:jc w:val="left"/>
            </w:pPr>
            <w:r w:rsidRPr="0017405A">
              <w:t>Pembrolizumab plus chemotherapy vs SoC (EA1)</w:t>
            </w:r>
          </w:p>
        </w:tc>
      </w:tr>
      <w:tr w:rsidR="00D7609F" w:rsidRPr="0017405A" w14:paraId="776F27C1" w14:textId="77777777" w:rsidTr="009A1388">
        <w:tc>
          <w:tcPr>
            <w:tcW w:w="1250" w:type="pct"/>
          </w:tcPr>
          <w:p w14:paraId="494BDE4A" w14:textId="77777777" w:rsidR="00D7609F" w:rsidRPr="0017405A" w:rsidRDefault="00D7609F" w:rsidP="00F10FDB">
            <w:pPr>
              <w:pStyle w:val="TableText"/>
              <w:keepNext/>
              <w:keepLines/>
              <w:widowControl/>
              <w:spacing w:before="0" w:after="0" w:line="240" w:lineRule="auto"/>
            </w:pPr>
            <w:r w:rsidRPr="0017405A">
              <w:t>Cost</w:t>
            </w:r>
          </w:p>
        </w:tc>
        <w:tc>
          <w:tcPr>
            <w:tcW w:w="1310" w:type="pct"/>
          </w:tcPr>
          <w:p w14:paraId="7E9BA388" w14:textId="7937C70A" w:rsidR="00D7609F" w:rsidRPr="0017405A" w:rsidRDefault="00D7609F" w:rsidP="00F10FDB">
            <w:pPr>
              <w:pStyle w:val="TableNumber"/>
              <w:keepNext/>
              <w:keepLines/>
              <w:widowControl/>
              <w:spacing w:before="0" w:after="0" w:line="240" w:lineRule="auto"/>
            </w:pPr>
            <w:r w:rsidRPr="004B7B85">
              <w:t>$</w:t>
            </w:r>
            <w:r w:rsidR="009A1388" w:rsidRPr="009A1388">
              <w:rPr>
                <w:noProof/>
                <w:color w:val="000000"/>
                <w:shd w:val="solid" w:color="000000" w:fill="000000"/>
                <w14:textFill>
                  <w14:solidFill>
                    <w14:srgbClr w14:val="000000">
                      <w14:alpha w14:val="100000"/>
                    </w14:srgbClr>
                  </w14:solidFill>
                </w14:textFill>
              </w:rPr>
              <w:t>|</w:t>
            </w:r>
          </w:p>
        </w:tc>
        <w:tc>
          <w:tcPr>
            <w:tcW w:w="1310" w:type="pct"/>
          </w:tcPr>
          <w:p w14:paraId="33DD92C4" w14:textId="77777777" w:rsidR="00D7609F" w:rsidRPr="0017405A" w:rsidRDefault="00D7609F" w:rsidP="00F10FDB">
            <w:pPr>
              <w:pStyle w:val="TableNumber"/>
              <w:keepNext/>
              <w:keepLines/>
              <w:widowControl/>
              <w:spacing w:before="0" w:after="0" w:line="240" w:lineRule="auto"/>
            </w:pPr>
            <w:r w:rsidRPr="0017405A">
              <w:t>$36,760.39</w:t>
            </w:r>
          </w:p>
        </w:tc>
        <w:tc>
          <w:tcPr>
            <w:tcW w:w="1130" w:type="pct"/>
            <w:shd w:val="solid" w:color="000000" w:fill="000000"/>
          </w:tcPr>
          <w:p w14:paraId="56543481" w14:textId="760E8A36" w:rsidR="00D7609F" w:rsidRPr="009A1388" w:rsidRDefault="009A1388" w:rsidP="00F10FDB">
            <w:pPr>
              <w:pStyle w:val="TableNumber"/>
              <w:keepNext/>
              <w:keepLines/>
              <w:widowControl/>
              <w:spacing w:before="0" w:after="0" w:line="240" w:lineRule="auto"/>
            </w:pPr>
            <w:r w:rsidRPr="009A1388">
              <w:rPr>
                <w:noProof/>
                <w:color w:val="000000"/>
                <w14:textFill>
                  <w14:solidFill>
                    <w14:srgbClr w14:val="000000">
                      <w14:alpha w14:val="100000"/>
                    </w14:srgbClr>
                  </w14:solidFill>
                </w14:textFill>
              </w:rPr>
              <w:t>|</w:t>
            </w:r>
          </w:p>
        </w:tc>
      </w:tr>
      <w:tr w:rsidR="00D7609F" w:rsidRPr="0017405A" w14:paraId="5516A099" w14:textId="77777777" w:rsidTr="006419CD">
        <w:tc>
          <w:tcPr>
            <w:tcW w:w="1250" w:type="pct"/>
          </w:tcPr>
          <w:p w14:paraId="7E5510B8" w14:textId="77777777" w:rsidR="00D7609F" w:rsidRPr="0017405A" w:rsidRDefault="00D7609F" w:rsidP="00F10FDB">
            <w:pPr>
              <w:pStyle w:val="TableText"/>
              <w:keepNext/>
              <w:keepLines/>
              <w:widowControl/>
              <w:spacing w:before="0" w:after="0" w:line="240" w:lineRule="auto"/>
              <w:rPr>
                <w:iCs/>
              </w:rPr>
            </w:pPr>
            <w:r w:rsidRPr="0017405A">
              <w:rPr>
                <w:iCs/>
              </w:rPr>
              <w:t>LY</w:t>
            </w:r>
          </w:p>
        </w:tc>
        <w:tc>
          <w:tcPr>
            <w:tcW w:w="1310" w:type="pct"/>
          </w:tcPr>
          <w:p w14:paraId="206F5B8E" w14:textId="77777777" w:rsidR="00D7609F" w:rsidRPr="0017405A" w:rsidRDefault="00D7609F" w:rsidP="00F10FDB">
            <w:pPr>
              <w:pStyle w:val="TableNumber"/>
              <w:keepNext/>
              <w:keepLines/>
              <w:widowControl/>
              <w:spacing w:before="0" w:after="0" w:line="240" w:lineRule="auto"/>
            </w:pPr>
            <w:r w:rsidRPr="0017405A">
              <w:t>2.0331</w:t>
            </w:r>
          </w:p>
        </w:tc>
        <w:tc>
          <w:tcPr>
            <w:tcW w:w="1310" w:type="pct"/>
          </w:tcPr>
          <w:p w14:paraId="6B182209" w14:textId="77777777" w:rsidR="00D7609F" w:rsidRPr="0017405A" w:rsidRDefault="00D7609F" w:rsidP="00F10FDB">
            <w:pPr>
              <w:pStyle w:val="TableNumber"/>
              <w:keepNext/>
              <w:keepLines/>
              <w:widowControl/>
              <w:spacing w:before="0" w:after="0" w:line="240" w:lineRule="auto"/>
            </w:pPr>
            <w:r w:rsidRPr="0017405A">
              <w:t>1.2153</w:t>
            </w:r>
          </w:p>
        </w:tc>
        <w:tc>
          <w:tcPr>
            <w:tcW w:w="1130" w:type="pct"/>
          </w:tcPr>
          <w:p w14:paraId="17DEB01A" w14:textId="77777777" w:rsidR="00D7609F" w:rsidRPr="0017405A" w:rsidRDefault="00D7609F" w:rsidP="00F10FDB">
            <w:pPr>
              <w:pStyle w:val="TableNumber"/>
              <w:keepNext/>
              <w:keepLines/>
              <w:widowControl/>
              <w:spacing w:before="0" w:after="0" w:line="240" w:lineRule="auto"/>
            </w:pPr>
            <w:r w:rsidRPr="0017405A">
              <w:t>0.8178</w:t>
            </w:r>
          </w:p>
        </w:tc>
      </w:tr>
      <w:tr w:rsidR="00D7609F" w:rsidRPr="0017405A" w14:paraId="0A689DEE" w14:textId="77777777" w:rsidTr="006419CD">
        <w:tc>
          <w:tcPr>
            <w:tcW w:w="1250" w:type="pct"/>
          </w:tcPr>
          <w:p w14:paraId="601BEE8A" w14:textId="77777777" w:rsidR="00D7609F" w:rsidRPr="0017405A" w:rsidRDefault="00D7609F" w:rsidP="00F10FDB">
            <w:pPr>
              <w:pStyle w:val="TableText"/>
              <w:keepNext/>
              <w:keepLines/>
              <w:widowControl/>
              <w:spacing w:before="0" w:after="0" w:line="240" w:lineRule="auto"/>
            </w:pPr>
            <w:r w:rsidRPr="0017405A">
              <w:t>QALY</w:t>
            </w:r>
          </w:p>
        </w:tc>
        <w:tc>
          <w:tcPr>
            <w:tcW w:w="1310" w:type="pct"/>
          </w:tcPr>
          <w:p w14:paraId="2A9AFF9F" w14:textId="77777777" w:rsidR="00D7609F" w:rsidRPr="0017405A" w:rsidRDefault="00D7609F" w:rsidP="00F10FDB">
            <w:pPr>
              <w:pStyle w:val="TableNumber"/>
              <w:keepNext/>
              <w:keepLines/>
              <w:widowControl/>
              <w:spacing w:before="0" w:after="0" w:line="240" w:lineRule="auto"/>
              <w:rPr>
                <w:rFonts w:eastAsia="Times New Roman" w:cs="Times New Roman"/>
                <w:iCs/>
              </w:rPr>
            </w:pPr>
            <w:r w:rsidRPr="0017405A">
              <w:rPr>
                <w:iCs/>
              </w:rPr>
              <w:t>1.5099</w:t>
            </w:r>
          </w:p>
        </w:tc>
        <w:tc>
          <w:tcPr>
            <w:tcW w:w="1310" w:type="pct"/>
          </w:tcPr>
          <w:p w14:paraId="174D4849" w14:textId="77777777" w:rsidR="00D7609F" w:rsidRPr="0017405A" w:rsidRDefault="00D7609F" w:rsidP="00F10FDB">
            <w:pPr>
              <w:pStyle w:val="TableNumber"/>
              <w:keepNext/>
              <w:keepLines/>
              <w:widowControl/>
              <w:spacing w:before="0" w:after="0" w:line="240" w:lineRule="auto"/>
              <w:rPr>
                <w:rFonts w:eastAsia="Times New Roman" w:cs="Times New Roman"/>
                <w:iCs/>
              </w:rPr>
            </w:pPr>
            <w:r w:rsidRPr="0017405A">
              <w:rPr>
                <w:iCs/>
              </w:rPr>
              <w:t>0.9111</w:t>
            </w:r>
          </w:p>
        </w:tc>
        <w:tc>
          <w:tcPr>
            <w:tcW w:w="1130" w:type="pct"/>
          </w:tcPr>
          <w:p w14:paraId="0ADAE3FA" w14:textId="77777777" w:rsidR="00D7609F" w:rsidRPr="0017405A" w:rsidRDefault="00D7609F" w:rsidP="00F10FDB">
            <w:pPr>
              <w:pStyle w:val="TableNumber"/>
              <w:keepNext/>
              <w:keepLines/>
              <w:widowControl/>
              <w:spacing w:before="0" w:after="0" w:line="240" w:lineRule="auto"/>
              <w:rPr>
                <w:rFonts w:eastAsia="Times New Roman" w:cs="Times New Roman"/>
                <w:iCs/>
              </w:rPr>
            </w:pPr>
            <w:r w:rsidRPr="0017405A">
              <w:rPr>
                <w:iCs/>
              </w:rPr>
              <w:t>0.5987</w:t>
            </w:r>
          </w:p>
        </w:tc>
      </w:tr>
      <w:tr w:rsidR="00D7609F" w:rsidRPr="0017405A" w14:paraId="3575A8F6" w14:textId="77777777" w:rsidTr="006419CD">
        <w:tc>
          <w:tcPr>
            <w:tcW w:w="3870" w:type="pct"/>
            <w:gridSpan w:val="3"/>
          </w:tcPr>
          <w:p w14:paraId="6A7F5819" w14:textId="77777777" w:rsidR="00D7609F" w:rsidRPr="0017405A" w:rsidRDefault="00D7609F" w:rsidP="00F10FDB">
            <w:pPr>
              <w:pStyle w:val="TableNumber"/>
              <w:keepNext/>
              <w:keepLines/>
              <w:widowControl/>
              <w:spacing w:before="0" w:after="0" w:line="240" w:lineRule="auto"/>
              <w:jc w:val="right"/>
            </w:pPr>
            <w:r w:rsidRPr="0017405A">
              <w:t>Incremental cost per LY gained</w:t>
            </w:r>
          </w:p>
        </w:tc>
        <w:tc>
          <w:tcPr>
            <w:tcW w:w="1130" w:type="pct"/>
          </w:tcPr>
          <w:p w14:paraId="3263B078" w14:textId="105E88CE" w:rsidR="00D7609F" w:rsidRPr="005D0EC4" w:rsidRDefault="009A1388" w:rsidP="00F10FDB">
            <w:pPr>
              <w:pStyle w:val="TableNumber"/>
              <w:keepNext/>
              <w:keepLines/>
              <w:widowControl/>
              <w:spacing w:before="0" w:after="0" w:line="240" w:lineRule="auto"/>
              <w:rPr>
                <w:rFonts w:cs="Calibri"/>
                <w:color w:val="000000"/>
                <w:szCs w:val="20"/>
              </w:rPr>
            </w:pPr>
            <w:r w:rsidRPr="009A1388">
              <w:rPr>
                <w:noProof/>
                <w:color w:val="000000"/>
                <w:shd w:val="solid" w:color="000000" w:fill="000000"/>
                <w14:textFill>
                  <w14:solidFill>
                    <w14:srgbClr w14:val="000000">
                      <w14:alpha w14:val="100000"/>
                    </w14:srgbClr>
                  </w14:solidFill>
                </w14:textFill>
              </w:rPr>
              <w:t>|</w:t>
            </w:r>
            <w:r w:rsidR="005D0EC4" w:rsidRPr="005D0EC4">
              <w:rPr>
                <w:vertAlign w:val="superscript"/>
              </w:rPr>
              <w:t>1</w:t>
            </w:r>
          </w:p>
        </w:tc>
      </w:tr>
      <w:tr w:rsidR="00D7609F" w:rsidRPr="0017405A" w14:paraId="6CEEC1CA" w14:textId="77777777" w:rsidTr="006419CD">
        <w:tc>
          <w:tcPr>
            <w:tcW w:w="3870" w:type="pct"/>
            <w:gridSpan w:val="3"/>
          </w:tcPr>
          <w:p w14:paraId="7DDFB623" w14:textId="77777777" w:rsidR="00D7609F" w:rsidRPr="0017405A" w:rsidRDefault="00D7609F" w:rsidP="00F10FDB">
            <w:pPr>
              <w:pStyle w:val="TableNumber"/>
              <w:keepNext/>
              <w:keepLines/>
              <w:widowControl/>
              <w:spacing w:before="0" w:after="0" w:line="240" w:lineRule="auto"/>
              <w:jc w:val="right"/>
              <w:rPr>
                <w:b/>
                <w:bCs/>
                <w:iCs/>
              </w:rPr>
            </w:pPr>
            <w:r w:rsidRPr="0017405A">
              <w:rPr>
                <w:b/>
                <w:bCs/>
                <w:iCs/>
              </w:rPr>
              <w:t>Incremental cost per QALY gained</w:t>
            </w:r>
          </w:p>
        </w:tc>
        <w:tc>
          <w:tcPr>
            <w:tcW w:w="1130" w:type="pct"/>
          </w:tcPr>
          <w:p w14:paraId="0A5B5594" w14:textId="532488DC" w:rsidR="00D7609F" w:rsidRPr="0017405A" w:rsidRDefault="009A1388" w:rsidP="00F10FDB">
            <w:pPr>
              <w:pStyle w:val="TableNumber"/>
              <w:keepNext/>
              <w:keepLines/>
              <w:widowControl/>
              <w:spacing w:before="0" w:after="0" w:line="240" w:lineRule="auto"/>
              <w:rPr>
                <w:b/>
                <w:bCs/>
              </w:rPr>
            </w:pPr>
            <w:r w:rsidRPr="009A1388">
              <w:rPr>
                <w:b/>
                <w:bCs/>
                <w:noProof/>
                <w:color w:val="000000"/>
                <w:shd w:val="solid" w:color="000000" w:fill="000000"/>
                <w14:textFill>
                  <w14:solidFill>
                    <w14:srgbClr w14:val="000000">
                      <w14:alpha w14:val="100000"/>
                    </w14:srgbClr>
                  </w14:solidFill>
                </w14:textFill>
              </w:rPr>
              <w:t>|</w:t>
            </w:r>
            <w:r w:rsidR="005D0EC4">
              <w:rPr>
                <w:vertAlign w:val="superscript"/>
              </w:rPr>
              <w:t>2</w:t>
            </w:r>
          </w:p>
        </w:tc>
      </w:tr>
      <w:tr w:rsidR="00D7609F" w:rsidRPr="0017405A" w14:paraId="2F4E5A36" w14:textId="77777777" w:rsidTr="006419CD">
        <w:tc>
          <w:tcPr>
            <w:tcW w:w="5000" w:type="pct"/>
            <w:gridSpan w:val="4"/>
          </w:tcPr>
          <w:p w14:paraId="1E8D56F9" w14:textId="77777777" w:rsidR="00D7609F" w:rsidRPr="0017405A" w:rsidRDefault="00D7609F" w:rsidP="00F10FDB">
            <w:pPr>
              <w:pStyle w:val="TableNumber"/>
              <w:keepNext/>
              <w:keepLines/>
              <w:widowControl/>
              <w:tabs>
                <w:tab w:val="clear" w:pos="396"/>
                <w:tab w:val="decimal" w:pos="0"/>
              </w:tabs>
              <w:spacing w:before="0" w:after="0" w:line="240" w:lineRule="auto"/>
              <w:jc w:val="left"/>
              <w:rPr>
                <w:bCs/>
                <w:iCs/>
              </w:rPr>
            </w:pPr>
            <w:r w:rsidRPr="0017405A">
              <w:rPr>
                <w:bCs/>
                <w:iCs/>
              </w:rPr>
              <w:t>Pembrolizumab monotherapy vs SoC (EA2)</w:t>
            </w:r>
          </w:p>
        </w:tc>
      </w:tr>
      <w:tr w:rsidR="00D7609F" w:rsidRPr="0017405A" w14:paraId="305F9AD8" w14:textId="77777777" w:rsidTr="009A1388">
        <w:tc>
          <w:tcPr>
            <w:tcW w:w="1250" w:type="pct"/>
          </w:tcPr>
          <w:p w14:paraId="6BE79598" w14:textId="77777777" w:rsidR="00D7609F" w:rsidRPr="0017405A" w:rsidRDefault="00D7609F" w:rsidP="00F10FDB">
            <w:pPr>
              <w:pStyle w:val="TableText"/>
              <w:keepNext/>
              <w:keepLines/>
              <w:widowControl/>
              <w:spacing w:before="0" w:after="0" w:line="240" w:lineRule="auto"/>
            </w:pPr>
            <w:r w:rsidRPr="0017405A">
              <w:t>Cost</w:t>
            </w:r>
          </w:p>
        </w:tc>
        <w:tc>
          <w:tcPr>
            <w:tcW w:w="1310" w:type="pct"/>
          </w:tcPr>
          <w:p w14:paraId="2E62C91A" w14:textId="7AB362E2" w:rsidR="00D7609F" w:rsidRPr="0017405A" w:rsidRDefault="00D7609F" w:rsidP="00F10FDB">
            <w:pPr>
              <w:pStyle w:val="TableNumber"/>
              <w:keepNext/>
              <w:keepLines/>
              <w:widowControl/>
              <w:spacing w:before="0" w:after="0" w:line="240" w:lineRule="auto"/>
            </w:pPr>
            <w:r w:rsidRPr="0017405A">
              <w:t>$</w:t>
            </w:r>
            <w:r w:rsidR="009A1388" w:rsidRPr="009A1388">
              <w:rPr>
                <w:noProof/>
                <w:color w:val="000000"/>
                <w:shd w:val="solid" w:color="000000" w:fill="000000"/>
                <w14:textFill>
                  <w14:solidFill>
                    <w14:srgbClr w14:val="000000">
                      <w14:alpha w14:val="100000"/>
                    </w14:srgbClr>
                  </w14:solidFill>
                </w14:textFill>
              </w:rPr>
              <w:t>|</w:t>
            </w:r>
          </w:p>
        </w:tc>
        <w:tc>
          <w:tcPr>
            <w:tcW w:w="1310" w:type="pct"/>
          </w:tcPr>
          <w:p w14:paraId="1EC9BF0B" w14:textId="77777777" w:rsidR="00D7609F" w:rsidRPr="0017405A" w:rsidRDefault="00D7609F" w:rsidP="00F10FDB">
            <w:pPr>
              <w:pStyle w:val="TableNumber"/>
              <w:keepNext/>
              <w:keepLines/>
              <w:widowControl/>
              <w:spacing w:before="0" w:after="0" w:line="240" w:lineRule="auto"/>
            </w:pPr>
            <w:r w:rsidRPr="0017405A">
              <w:t>$33,755.29</w:t>
            </w:r>
          </w:p>
        </w:tc>
        <w:tc>
          <w:tcPr>
            <w:tcW w:w="1130" w:type="pct"/>
            <w:shd w:val="solid" w:color="000000" w:fill="000000"/>
          </w:tcPr>
          <w:p w14:paraId="3CB2BF3F" w14:textId="45A92C28" w:rsidR="00D7609F" w:rsidRPr="009A1388" w:rsidRDefault="009A1388" w:rsidP="00F10FDB">
            <w:pPr>
              <w:pStyle w:val="TableNumber"/>
              <w:keepNext/>
              <w:keepLines/>
              <w:widowControl/>
              <w:spacing w:before="0" w:after="0" w:line="240" w:lineRule="auto"/>
              <w:rPr>
                <w:bCs/>
              </w:rPr>
            </w:pPr>
            <w:r w:rsidRPr="009A1388">
              <w:rPr>
                <w:bCs/>
                <w:noProof/>
                <w:color w:val="000000"/>
                <w14:textFill>
                  <w14:solidFill>
                    <w14:srgbClr w14:val="000000">
                      <w14:alpha w14:val="100000"/>
                    </w14:srgbClr>
                  </w14:solidFill>
                </w14:textFill>
              </w:rPr>
              <w:t>|</w:t>
            </w:r>
          </w:p>
        </w:tc>
      </w:tr>
      <w:tr w:rsidR="00D7609F" w:rsidRPr="0017405A" w14:paraId="734685C6" w14:textId="77777777" w:rsidTr="006419CD">
        <w:tc>
          <w:tcPr>
            <w:tcW w:w="1250" w:type="pct"/>
          </w:tcPr>
          <w:p w14:paraId="5EC42AD5" w14:textId="77777777" w:rsidR="00D7609F" w:rsidRPr="0017405A" w:rsidRDefault="00D7609F" w:rsidP="00F10FDB">
            <w:pPr>
              <w:pStyle w:val="TableText"/>
              <w:keepNext/>
              <w:keepLines/>
              <w:widowControl/>
              <w:spacing w:before="0" w:after="0" w:line="240" w:lineRule="auto"/>
              <w:rPr>
                <w:iCs/>
              </w:rPr>
            </w:pPr>
            <w:r w:rsidRPr="0017405A">
              <w:rPr>
                <w:iCs/>
              </w:rPr>
              <w:t>LY</w:t>
            </w:r>
          </w:p>
        </w:tc>
        <w:tc>
          <w:tcPr>
            <w:tcW w:w="1310" w:type="pct"/>
          </w:tcPr>
          <w:p w14:paraId="26AC0978" w14:textId="77777777" w:rsidR="00D7609F" w:rsidRPr="0017405A" w:rsidRDefault="00D7609F" w:rsidP="00F10FDB">
            <w:pPr>
              <w:pStyle w:val="TableNumber"/>
              <w:keepNext/>
              <w:keepLines/>
              <w:widowControl/>
              <w:spacing w:before="0" w:after="0" w:line="240" w:lineRule="auto"/>
            </w:pPr>
            <w:r w:rsidRPr="0017405A">
              <w:t>1.7935</w:t>
            </w:r>
          </w:p>
        </w:tc>
        <w:tc>
          <w:tcPr>
            <w:tcW w:w="1310" w:type="pct"/>
          </w:tcPr>
          <w:p w14:paraId="30F3FD23" w14:textId="77777777" w:rsidR="00D7609F" w:rsidRPr="0017405A" w:rsidRDefault="00D7609F" w:rsidP="00F10FDB">
            <w:pPr>
              <w:pStyle w:val="TableNumber"/>
              <w:keepNext/>
              <w:keepLines/>
              <w:widowControl/>
              <w:spacing w:before="0" w:after="0" w:line="240" w:lineRule="auto"/>
            </w:pPr>
            <w:r w:rsidRPr="0017405A">
              <w:t>1.3224</w:t>
            </w:r>
          </w:p>
        </w:tc>
        <w:tc>
          <w:tcPr>
            <w:tcW w:w="1130" w:type="pct"/>
          </w:tcPr>
          <w:p w14:paraId="1B42F891" w14:textId="77777777" w:rsidR="00D7609F" w:rsidRPr="0017405A" w:rsidRDefault="00D7609F" w:rsidP="00F10FDB">
            <w:pPr>
              <w:pStyle w:val="TableNumber"/>
              <w:keepNext/>
              <w:keepLines/>
              <w:widowControl/>
              <w:spacing w:before="0" w:after="0" w:line="240" w:lineRule="auto"/>
              <w:rPr>
                <w:bCs/>
              </w:rPr>
            </w:pPr>
            <w:r w:rsidRPr="0017405A">
              <w:rPr>
                <w:bCs/>
              </w:rPr>
              <w:t>0.4711</w:t>
            </w:r>
          </w:p>
        </w:tc>
      </w:tr>
      <w:tr w:rsidR="00D7609F" w:rsidRPr="0017405A" w14:paraId="7D4036AB" w14:textId="77777777" w:rsidTr="006419CD">
        <w:tc>
          <w:tcPr>
            <w:tcW w:w="1250" w:type="pct"/>
          </w:tcPr>
          <w:p w14:paraId="7386F87C" w14:textId="77777777" w:rsidR="00D7609F" w:rsidRPr="0017405A" w:rsidRDefault="00D7609F" w:rsidP="00F10FDB">
            <w:pPr>
              <w:pStyle w:val="TableText"/>
              <w:keepNext/>
              <w:keepLines/>
              <w:widowControl/>
              <w:spacing w:before="0" w:after="0" w:line="240" w:lineRule="auto"/>
            </w:pPr>
            <w:r w:rsidRPr="0017405A">
              <w:t>QALY</w:t>
            </w:r>
          </w:p>
        </w:tc>
        <w:tc>
          <w:tcPr>
            <w:tcW w:w="1310" w:type="pct"/>
          </w:tcPr>
          <w:p w14:paraId="1BF79B1E" w14:textId="77777777" w:rsidR="00D7609F" w:rsidRPr="0017405A" w:rsidRDefault="00D7609F" w:rsidP="00F10FDB">
            <w:pPr>
              <w:pStyle w:val="TableNumber"/>
              <w:keepNext/>
              <w:keepLines/>
              <w:widowControl/>
              <w:spacing w:before="0" w:after="0" w:line="240" w:lineRule="auto"/>
              <w:rPr>
                <w:iCs/>
              </w:rPr>
            </w:pPr>
            <w:r w:rsidRPr="0017405A">
              <w:rPr>
                <w:iCs/>
              </w:rPr>
              <w:t>1.3463</w:t>
            </w:r>
          </w:p>
        </w:tc>
        <w:tc>
          <w:tcPr>
            <w:tcW w:w="1310" w:type="pct"/>
          </w:tcPr>
          <w:p w14:paraId="0506A14C" w14:textId="77777777" w:rsidR="00D7609F" w:rsidRPr="0017405A" w:rsidRDefault="00D7609F" w:rsidP="00F10FDB">
            <w:pPr>
              <w:pStyle w:val="TableNumber"/>
              <w:keepNext/>
              <w:keepLines/>
              <w:widowControl/>
              <w:spacing w:before="0" w:after="0" w:line="240" w:lineRule="auto"/>
              <w:rPr>
                <w:iCs/>
              </w:rPr>
            </w:pPr>
            <w:r w:rsidRPr="0017405A">
              <w:rPr>
                <w:iCs/>
              </w:rPr>
              <w:t>0.9962</w:t>
            </w:r>
          </w:p>
        </w:tc>
        <w:tc>
          <w:tcPr>
            <w:tcW w:w="1130" w:type="pct"/>
          </w:tcPr>
          <w:p w14:paraId="6A669A74" w14:textId="77777777" w:rsidR="00D7609F" w:rsidRPr="0017405A" w:rsidRDefault="00D7609F" w:rsidP="00F10FDB">
            <w:pPr>
              <w:pStyle w:val="TableNumber"/>
              <w:keepNext/>
              <w:keepLines/>
              <w:widowControl/>
              <w:spacing w:before="0" w:after="0" w:line="240" w:lineRule="auto"/>
              <w:rPr>
                <w:bCs/>
                <w:iCs/>
              </w:rPr>
            </w:pPr>
            <w:r w:rsidRPr="0017405A">
              <w:rPr>
                <w:bCs/>
                <w:iCs/>
              </w:rPr>
              <w:t>0.3501</w:t>
            </w:r>
          </w:p>
        </w:tc>
      </w:tr>
      <w:tr w:rsidR="00D7609F" w:rsidRPr="0017405A" w14:paraId="14D550C5" w14:textId="77777777" w:rsidTr="006419CD">
        <w:tc>
          <w:tcPr>
            <w:tcW w:w="3870" w:type="pct"/>
            <w:gridSpan w:val="3"/>
          </w:tcPr>
          <w:p w14:paraId="237E38DB" w14:textId="77777777" w:rsidR="00D7609F" w:rsidRPr="0017405A" w:rsidRDefault="00D7609F" w:rsidP="00F10FDB">
            <w:pPr>
              <w:pStyle w:val="TableNumber"/>
              <w:keepNext/>
              <w:keepLines/>
              <w:widowControl/>
              <w:spacing w:before="0" w:after="0" w:line="240" w:lineRule="auto"/>
              <w:jc w:val="right"/>
            </w:pPr>
            <w:r w:rsidRPr="0017405A">
              <w:t>Incremental cost per LY gained</w:t>
            </w:r>
          </w:p>
        </w:tc>
        <w:tc>
          <w:tcPr>
            <w:tcW w:w="1130" w:type="pct"/>
          </w:tcPr>
          <w:p w14:paraId="3C57F16A" w14:textId="310C1D35" w:rsidR="00D7609F" w:rsidRPr="0017405A" w:rsidRDefault="009A1388" w:rsidP="00F10FDB">
            <w:pPr>
              <w:pStyle w:val="TableNumber"/>
              <w:keepNext/>
              <w:keepLines/>
              <w:widowControl/>
              <w:spacing w:before="0" w:after="0" w:line="240" w:lineRule="auto"/>
              <w:rPr>
                <w:rFonts w:cs="Calibri"/>
                <w:bCs/>
                <w:color w:val="000000"/>
                <w:szCs w:val="20"/>
              </w:rPr>
            </w:pPr>
            <w:r w:rsidRPr="009A1388">
              <w:rPr>
                <w:bCs/>
                <w:noProof/>
                <w:color w:val="000000"/>
                <w:shd w:val="solid" w:color="000000" w:fill="000000"/>
                <w14:textFill>
                  <w14:solidFill>
                    <w14:srgbClr w14:val="000000">
                      <w14:alpha w14:val="100000"/>
                    </w14:srgbClr>
                  </w14:solidFill>
                </w14:textFill>
              </w:rPr>
              <w:t>|</w:t>
            </w:r>
            <w:r w:rsidR="005D0EC4">
              <w:rPr>
                <w:vertAlign w:val="superscript"/>
              </w:rPr>
              <w:t>2</w:t>
            </w:r>
          </w:p>
        </w:tc>
      </w:tr>
      <w:tr w:rsidR="00D7609F" w:rsidRPr="0017405A" w14:paraId="4683366A" w14:textId="77777777" w:rsidTr="006419CD">
        <w:tc>
          <w:tcPr>
            <w:tcW w:w="3870" w:type="pct"/>
            <w:gridSpan w:val="3"/>
          </w:tcPr>
          <w:p w14:paraId="56884033" w14:textId="77777777" w:rsidR="00D7609F" w:rsidRPr="0017405A" w:rsidRDefault="00D7609F" w:rsidP="00F10FDB">
            <w:pPr>
              <w:pStyle w:val="TableNumber"/>
              <w:keepNext/>
              <w:keepLines/>
              <w:widowControl/>
              <w:spacing w:before="0" w:after="0" w:line="240" w:lineRule="auto"/>
              <w:jc w:val="right"/>
              <w:rPr>
                <w:b/>
                <w:bCs/>
                <w:iCs/>
              </w:rPr>
            </w:pPr>
            <w:r w:rsidRPr="0017405A">
              <w:rPr>
                <w:b/>
                <w:bCs/>
                <w:iCs/>
              </w:rPr>
              <w:t>Incremental cost per QALY gained</w:t>
            </w:r>
          </w:p>
        </w:tc>
        <w:tc>
          <w:tcPr>
            <w:tcW w:w="1130" w:type="pct"/>
          </w:tcPr>
          <w:p w14:paraId="4413CBEE" w14:textId="023F1DBF" w:rsidR="00D7609F" w:rsidRPr="0017405A" w:rsidRDefault="009A1388" w:rsidP="00F10FDB">
            <w:pPr>
              <w:pStyle w:val="TableNumber"/>
              <w:keepNext/>
              <w:keepLines/>
              <w:widowControl/>
              <w:spacing w:before="0" w:after="0" w:line="240" w:lineRule="auto"/>
              <w:rPr>
                <w:b/>
                <w:bCs/>
              </w:rPr>
            </w:pPr>
            <w:r w:rsidRPr="009A1388">
              <w:rPr>
                <w:b/>
                <w:bCs/>
                <w:noProof/>
                <w:color w:val="000000"/>
                <w:shd w:val="solid" w:color="000000" w:fill="000000"/>
                <w14:textFill>
                  <w14:solidFill>
                    <w14:srgbClr w14:val="000000">
                      <w14:alpha w14:val="100000"/>
                    </w14:srgbClr>
                  </w14:solidFill>
                </w14:textFill>
              </w:rPr>
              <w:t>|</w:t>
            </w:r>
            <w:r w:rsidR="00CD7621">
              <w:rPr>
                <w:vertAlign w:val="superscript"/>
              </w:rPr>
              <w:t>3</w:t>
            </w:r>
          </w:p>
        </w:tc>
      </w:tr>
      <w:tr w:rsidR="00D7609F" w:rsidRPr="0017405A" w14:paraId="3BB81823" w14:textId="77777777" w:rsidTr="006419CD">
        <w:tc>
          <w:tcPr>
            <w:tcW w:w="5000" w:type="pct"/>
            <w:gridSpan w:val="4"/>
          </w:tcPr>
          <w:p w14:paraId="32CB48E4" w14:textId="77777777" w:rsidR="00D7609F" w:rsidRPr="0017405A" w:rsidRDefault="00D7609F" w:rsidP="00F10FDB">
            <w:pPr>
              <w:pStyle w:val="TableNumber"/>
              <w:keepNext/>
              <w:keepLines/>
              <w:widowControl/>
              <w:tabs>
                <w:tab w:val="clear" w:pos="396"/>
                <w:tab w:val="decimal" w:pos="0"/>
              </w:tabs>
              <w:spacing w:before="0" w:after="0" w:line="240" w:lineRule="auto"/>
              <w:jc w:val="left"/>
              <w:rPr>
                <w:bCs/>
                <w:iCs/>
                <w:vertAlign w:val="superscript"/>
              </w:rPr>
            </w:pPr>
            <w:r w:rsidRPr="0017405A">
              <w:rPr>
                <w:bCs/>
                <w:iCs/>
              </w:rPr>
              <w:t>Weighted pembrolizumab monotherapy (60%) and pembrolizumab plus chemotherapy (40%)</w:t>
            </w:r>
          </w:p>
        </w:tc>
      </w:tr>
      <w:tr w:rsidR="00D7609F" w:rsidRPr="0017405A" w14:paraId="317146F3" w14:textId="77777777" w:rsidTr="009A1388">
        <w:tc>
          <w:tcPr>
            <w:tcW w:w="1250" w:type="pct"/>
          </w:tcPr>
          <w:p w14:paraId="2082D13B" w14:textId="77777777" w:rsidR="00D7609F" w:rsidRPr="0017405A" w:rsidRDefault="00D7609F" w:rsidP="00F10FDB">
            <w:pPr>
              <w:pStyle w:val="TableText"/>
              <w:keepNext/>
              <w:keepLines/>
              <w:widowControl/>
              <w:spacing w:before="0" w:after="0" w:line="240" w:lineRule="auto"/>
            </w:pPr>
            <w:r w:rsidRPr="0017405A">
              <w:t>Cost</w:t>
            </w:r>
          </w:p>
        </w:tc>
        <w:tc>
          <w:tcPr>
            <w:tcW w:w="1310" w:type="pct"/>
            <w:vAlign w:val="center"/>
          </w:tcPr>
          <w:p w14:paraId="55A18818" w14:textId="3315DA7D" w:rsidR="00D7609F" w:rsidRPr="0017405A" w:rsidRDefault="00D7609F" w:rsidP="00F10FDB">
            <w:pPr>
              <w:pStyle w:val="TableNumber"/>
              <w:keepNext/>
              <w:keepLines/>
              <w:widowControl/>
              <w:spacing w:before="0" w:after="0" w:line="240" w:lineRule="auto"/>
              <w:rPr>
                <w:iCs/>
              </w:rPr>
            </w:pPr>
            <w:r w:rsidRPr="0017405A">
              <w:rPr>
                <w:rFonts w:cs="Calibri"/>
                <w:iCs/>
                <w:szCs w:val="20"/>
              </w:rPr>
              <w:t>$</w:t>
            </w:r>
            <w:r w:rsidR="009A1388" w:rsidRPr="009A1388">
              <w:rPr>
                <w:rFonts w:cs="Calibri"/>
                <w:iCs/>
                <w:noProof/>
                <w:color w:val="000000"/>
                <w:szCs w:val="20"/>
                <w:shd w:val="solid" w:color="000000" w:fill="000000"/>
                <w14:textFill>
                  <w14:solidFill>
                    <w14:srgbClr w14:val="000000">
                      <w14:alpha w14:val="100000"/>
                    </w14:srgbClr>
                  </w14:solidFill>
                </w14:textFill>
              </w:rPr>
              <w:t>|</w:t>
            </w:r>
          </w:p>
        </w:tc>
        <w:tc>
          <w:tcPr>
            <w:tcW w:w="1310" w:type="pct"/>
            <w:vAlign w:val="center"/>
          </w:tcPr>
          <w:p w14:paraId="30EEDB62" w14:textId="77777777" w:rsidR="00D7609F" w:rsidRPr="0017405A" w:rsidRDefault="00D7609F" w:rsidP="00F10FDB">
            <w:pPr>
              <w:pStyle w:val="TableNumber"/>
              <w:keepNext/>
              <w:keepLines/>
              <w:widowControl/>
              <w:spacing w:before="0" w:after="0" w:line="240" w:lineRule="auto"/>
              <w:rPr>
                <w:iCs/>
              </w:rPr>
            </w:pPr>
            <w:r w:rsidRPr="0017405A">
              <w:rPr>
                <w:rFonts w:cs="Calibri"/>
                <w:iCs/>
                <w:szCs w:val="20"/>
              </w:rPr>
              <w:t>$34,957.33</w:t>
            </w:r>
          </w:p>
        </w:tc>
        <w:tc>
          <w:tcPr>
            <w:tcW w:w="1130" w:type="pct"/>
            <w:shd w:val="solid" w:color="000000" w:fill="000000"/>
            <w:vAlign w:val="bottom"/>
          </w:tcPr>
          <w:p w14:paraId="56631033" w14:textId="141C0817" w:rsidR="00D7609F" w:rsidRPr="009A1388" w:rsidRDefault="009A1388" w:rsidP="00F10FDB">
            <w:pPr>
              <w:pStyle w:val="TableNumber"/>
              <w:keepNext/>
              <w:keepLines/>
              <w:widowControl/>
              <w:spacing w:before="0" w:after="0" w:line="240" w:lineRule="auto"/>
              <w:rPr>
                <w:bCs/>
                <w:iCs/>
              </w:rPr>
            </w:pPr>
            <w:r w:rsidRPr="009A1388">
              <w:rPr>
                <w:rFonts w:cs="Calibri"/>
                <w:bCs/>
                <w:iCs/>
                <w:noProof/>
                <w:color w:val="000000"/>
                <w:szCs w:val="20"/>
                <w14:textFill>
                  <w14:solidFill>
                    <w14:srgbClr w14:val="000000">
                      <w14:alpha w14:val="100000"/>
                    </w14:srgbClr>
                  </w14:solidFill>
                </w14:textFill>
              </w:rPr>
              <w:t>|</w:t>
            </w:r>
          </w:p>
        </w:tc>
      </w:tr>
      <w:tr w:rsidR="00D7609F" w:rsidRPr="0017405A" w14:paraId="7B298A28" w14:textId="77777777" w:rsidTr="006419CD">
        <w:tc>
          <w:tcPr>
            <w:tcW w:w="1250" w:type="pct"/>
          </w:tcPr>
          <w:p w14:paraId="61BBAA9F" w14:textId="77777777" w:rsidR="00D7609F" w:rsidRPr="0017405A" w:rsidRDefault="00D7609F" w:rsidP="00F10FDB">
            <w:pPr>
              <w:pStyle w:val="TableText"/>
              <w:keepNext/>
              <w:keepLines/>
              <w:widowControl/>
              <w:spacing w:before="0" w:after="0" w:line="240" w:lineRule="auto"/>
              <w:rPr>
                <w:iCs/>
              </w:rPr>
            </w:pPr>
            <w:r w:rsidRPr="0017405A">
              <w:rPr>
                <w:iCs/>
              </w:rPr>
              <w:t>LY</w:t>
            </w:r>
          </w:p>
        </w:tc>
        <w:tc>
          <w:tcPr>
            <w:tcW w:w="1310" w:type="pct"/>
            <w:vAlign w:val="center"/>
          </w:tcPr>
          <w:p w14:paraId="778D8780" w14:textId="77777777" w:rsidR="00D7609F" w:rsidRPr="0017405A" w:rsidRDefault="00D7609F" w:rsidP="00F10FDB">
            <w:pPr>
              <w:pStyle w:val="TableNumber"/>
              <w:keepNext/>
              <w:keepLines/>
              <w:widowControl/>
              <w:spacing w:before="0" w:after="0" w:line="240" w:lineRule="auto"/>
              <w:rPr>
                <w:rFonts w:cs="Calibri"/>
                <w:iCs/>
                <w:szCs w:val="20"/>
              </w:rPr>
            </w:pPr>
            <w:r w:rsidRPr="0017405A">
              <w:rPr>
                <w:rFonts w:cs="Calibri"/>
                <w:iCs/>
                <w:szCs w:val="20"/>
              </w:rPr>
              <w:t>1.8893</w:t>
            </w:r>
          </w:p>
        </w:tc>
        <w:tc>
          <w:tcPr>
            <w:tcW w:w="1310" w:type="pct"/>
            <w:vAlign w:val="center"/>
          </w:tcPr>
          <w:p w14:paraId="0B942F5E" w14:textId="77777777" w:rsidR="00D7609F" w:rsidRPr="0017405A" w:rsidRDefault="00D7609F" w:rsidP="00F10FDB">
            <w:pPr>
              <w:pStyle w:val="TableNumber"/>
              <w:keepNext/>
              <w:keepLines/>
              <w:widowControl/>
              <w:spacing w:before="0" w:after="0" w:line="240" w:lineRule="auto"/>
              <w:rPr>
                <w:rFonts w:cs="Calibri"/>
                <w:iCs/>
                <w:szCs w:val="20"/>
              </w:rPr>
            </w:pPr>
            <w:r w:rsidRPr="0017405A">
              <w:rPr>
                <w:rFonts w:cs="Calibri"/>
                <w:iCs/>
                <w:szCs w:val="20"/>
              </w:rPr>
              <w:t>1.2796</w:t>
            </w:r>
          </w:p>
        </w:tc>
        <w:tc>
          <w:tcPr>
            <w:tcW w:w="1130" w:type="pct"/>
            <w:vAlign w:val="bottom"/>
          </w:tcPr>
          <w:p w14:paraId="4EE9D1FC" w14:textId="77777777" w:rsidR="00D7609F" w:rsidRPr="0017405A" w:rsidRDefault="00D7609F" w:rsidP="00F10FDB">
            <w:pPr>
              <w:pStyle w:val="TableNumber"/>
              <w:keepNext/>
              <w:keepLines/>
              <w:widowControl/>
              <w:spacing w:before="0" w:after="0" w:line="240" w:lineRule="auto"/>
              <w:rPr>
                <w:rFonts w:cs="Calibri"/>
                <w:bCs/>
                <w:iCs/>
                <w:szCs w:val="20"/>
              </w:rPr>
            </w:pPr>
            <w:r w:rsidRPr="0017405A">
              <w:rPr>
                <w:rFonts w:cs="Calibri"/>
                <w:bCs/>
                <w:iCs/>
                <w:szCs w:val="20"/>
              </w:rPr>
              <w:t>0.6098</w:t>
            </w:r>
          </w:p>
        </w:tc>
      </w:tr>
      <w:tr w:rsidR="00D7609F" w:rsidRPr="0017405A" w14:paraId="40D54E24" w14:textId="77777777" w:rsidTr="006419CD">
        <w:tc>
          <w:tcPr>
            <w:tcW w:w="1250" w:type="pct"/>
          </w:tcPr>
          <w:p w14:paraId="03A62A07" w14:textId="77777777" w:rsidR="00D7609F" w:rsidRPr="0017405A" w:rsidRDefault="00D7609F" w:rsidP="00F10FDB">
            <w:pPr>
              <w:pStyle w:val="TableText"/>
              <w:keepNext/>
              <w:keepLines/>
              <w:widowControl/>
              <w:spacing w:before="0" w:after="0" w:line="240" w:lineRule="auto"/>
            </w:pPr>
            <w:r w:rsidRPr="0017405A">
              <w:t>QALY</w:t>
            </w:r>
          </w:p>
        </w:tc>
        <w:tc>
          <w:tcPr>
            <w:tcW w:w="1310" w:type="pct"/>
            <w:vAlign w:val="center"/>
          </w:tcPr>
          <w:p w14:paraId="18A70E03" w14:textId="77777777" w:rsidR="00D7609F" w:rsidRPr="0017405A" w:rsidRDefault="00D7609F" w:rsidP="00F10FDB">
            <w:pPr>
              <w:pStyle w:val="TableNumber"/>
              <w:keepNext/>
              <w:keepLines/>
              <w:widowControl/>
              <w:spacing w:before="0" w:after="0" w:line="240" w:lineRule="auto"/>
            </w:pPr>
            <w:r w:rsidRPr="0017405A">
              <w:rPr>
                <w:rFonts w:cs="Calibri"/>
                <w:szCs w:val="20"/>
              </w:rPr>
              <w:t>1.4117</w:t>
            </w:r>
          </w:p>
        </w:tc>
        <w:tc>
          <w:tcPr>
            <w:tcW w:w="1310" w:type="pct"/>
            <w:vAlign w:val="center"/>
          </w:tcPr>
          <w:p w14:paraId="5BD136CB" w14:textId="77777777" w:rsidR="00D7609F" w:rsidRPr="0017405A" w:rsidRDefault="00D7609F" w:rsidP="00F10FDB">
            <w:pPr>
              <w:pStyle w:val="TableNumber"/>
              <w:keepNext/>
              <w:keepLines/>
              <w:widowControl/>
              <w:spacing w:before="0" w:after="0" w:line="240" w:lineRule="auto"/>
              <w:rPr>
                <w:rFonts w:cs="Calibri"/>
                <w:szCs w:val="20"/>
              </w:rPr>
            </w:pPr>
            <w:r w:rsidRPr="0017405A">
              <w:rPr>
                <w:rFonts w:cs="Calibri"/>
                <w:szCs w:val="20"/>
              </w:rPr>
              <w:t>0.9622</w:t>
            </w:r>
          </w:p>
        </w:tc>
        <w:tc>
          <w:tcPr>
            <w:tcW w:w="1130" w:type="pct"/>
            <w:vAlign w:val="bottom"/>
          </w:tcPr>
          <w:p w14:paraId="0430024F" w14:textId="77777777" w:rsidR="00D7609F" w:rsidRPr="0017405A" w:rsidRDefault="00D7609F" w:rsidP="00F10FDB">
            <w:pPr>
              <w:pStyle w:val="TableNumber"/>
              <w:keepNext/>
              <w:keepLines/>
              <w:widowControl/>
              <w:spacing w:before="0" w:after="0" w:line="240" w:lineRule="auto"/>
              <w:rPr>
                <w:rFonts w:cs="Calibri"/>
                <w:bCs/>
                <w:szCs w:val="20"/>
              </w:rPr>
            </w:pPr>
            <w:r w:rsidRPr="0017405A">
              <w:rPr>
                <w:rFonts w:cs="Calibri"/>
                <w:bCs/>
                <w:szCs w:val="20"/>
              </w:rPr>
              <w:t>0.4495</w:t>
            </w:r>
          </w:p>
        </w:tc>
      </w:tr>
      <w:tr w:rsidR="00D7609F" w:rsidRPr="0017405A" w14:paraId="3B576373" w14:textId="77777777" w:rsidTr="006419CD">
        <w:tc>
          <w:tcPr>
            <w:tcW w:w="3870" w:type="pct"/>
            <w:gridSpan w:val="3"/>
          </w:tcPr>
          <w:p w14:paraId="522392D2" w14:textId="77777777" w:rsidR="00D7609F" w:rsidRPr="0017405A" w:rsidRDefault="00D7609F" w:rsidP="00F10FDB">
            <w:pPr>
              <w:pStyle w:val="TableText"/>
              <w:keepNext/>
              <w:keepLines/>
              <w:widowControl/>
              <w:spacing w:before="0" w:after="0" w:line="240" w:lineRule="auto"/>
              <w:jc w:val="right"/>
            </w:pPr>
            <w:r w:rsidRPr="0017405A">
              <w:t>Weighted incremental cost per LY gained</w:t>
            </w:r>
          </w:p>
        </w:tc>
        <w:tc>
          <w:tcPr>
            <w:tcW w:w="1130" w:type="pct"/>
          </w:tcPr>
          <w:p w14:paraId="39C450AA" w14:textId="71B600B1" w:rsidR="00D7609F" w:rsidRPr="0017405A" w:rsidRDefault="009A1388" w:rsidP="00F10FDB">
            <w:pPr>
              <w:pStyle w:val="TableNumber"/>
              <w:keepNext/>
              <w:keepLines/>
              <w:widowControl/>
              <w:spacing w:before="0" w:after="0" w:line="240" w:lineRule="auto"/>
              <w:rPr>
                <w:bCs/>
                <w:iCs/>
              </w:rPr>
            </w:pPr>
            <w:r w:rsidRPr="009A1388">
              <w:rPr>
                <w:bCs/>
                <w:iCs/>
                <w:noProof/>
                <w:color w:val="000000"/>
                <w:shd w:val="solid" w:color="000000" w:fill="000000"/>
                <w14:textFill>
                  <w14:solidFill>
                    <w14:srgbClr w14:val="000000">
                      <w14:alpha w14:val="100000"/>
                    </w14:srgbClr>
                  </w14:solidFill>
                </w14:textFill>
              </w:rPr>
              <w:t>|</w:t>
            </w:r>
            <w:r w:rsidR="005D0EC4">
              <w:rPr>
                <w:vertAlign w:val="superscript"/>
              </w:rPr>
              <w:t>1</w:t>
            </w:r>
          </w:p>
        </w:tc>
      </w:tr>
      <w:tr w:rsidR="00D7609F" w:rsidRPr="0017405A" w14:paraId="01341530" w14:textId="77777777" w:rsidTr="006419CD">
        <w:tc>
          <w:tcPr>
            <w:tcW w:w="3870" w:type="pct"/>
            <w:gridSpan w:val="3"/>
          </w:tcPr>
          <w:p w14:paraId="228EF684" w14:textId="77777777" w:rsidR="00D7609F" w:rsidRPr="0017405A" w:rsidRDefault="00D7609F" w:rsidP="00F10FDB">
            <w:pPr>
              <w:pStyle w:val="TableText"/>
              <w:keepNext/>
              <w:keepLines/>
              <w:widowControl/>
              <w:spacing w:before="0" w:after="0" w:line="240" w:lineRule="auto"/>
              <w:jc w:val="right"/>
              <w:rPr>
                <w:b/>
                <w:bCs/>
              </w:rPr>
            </w:pPr>
            <w:r w:rsidRPr="0017405A">
              <w:rPr>
                <w:b/>
                <w:bCs/>
              </w:rPr>
              <w:t>Weighted incremental cost per QALY gained</w:t>
            </w:r>
          </w:p>
        </w:tc>
        <w:tc>
          <w:tcPr>
            <w:tcW w:w="1130" w:type="pct"/>
          </w:tcPr>
          <w:p w14:paraId="6193E138" w14:textId="1D25CE86" w:rsidR="00D7609F" w:rsidRPr="0017405A" w:rsidRDefault="009A1388" w:rsidP="00F10FDB">
            <w:pPr>
              <w:pStyle w:val="TableNumber"/>
              <w:keepNext/>
              <w:keepLines/>
              <w:widowControl/>
              <w:spacing w:before="0" w:after="0" w:line="240" w:lineRule="auto"/>
              <w:rPr>
                <w:b/>
                <w:bCs/>
                <w:iCs/>
              </w:rPr>
            </w:pPr>
            <w:r w:rsidRPr="009A1388">
              <w:rPr>
                <w:b/>
                <w:bCs/>
                <w:iCs/>
                <w:noProof/>
                <w:color w:val="000000"/>
                <w:shd w:val="solid" w:color="000000" w:fill="000000"/>
                <w14:textFill>
                  <w14:solidFill>
                    <w14:srgbClr w14:val="000000">
                      <w14:alpha w14:val="100000"/>
                    </w14:srgbClr>
                  </w14:solidFill>
                </w14:textFill>
              </w:rPr>
              <w:t>|</w:t>
            </w:r>
            <w:r w:rsidR="00E652B5">
              <w:rPr>
                <w:vertAlign w:val="superscript"/>
              </w:rPr>
              <w:t>2</w:t>
            </w:r>
          </w:p>
        </w:tc>
      </w:tr>
    </w:tbl>
    <w:p w14:paraId="461D7EDF" w14:textId="77777777" w:rsidR="00D7609F" w:rsidRPr="00A24A89" w:rsidRDefault="00D7609F" w:rsidP="00F10FDB">
      <w:pPr>
        <w:pStyle w:val="TableFooter"/>
        <w:keepNext/>
        <w:keepLines/>
        <w:widowControl/>
      </w:pPr>
      <w:r w:rsidRPr="00A24A89">
        <w:t>LY = life year, QALY = quality adjusted life year, SoC = standard of care</w:t>
      </w:r>
    </w:p>
    <w:p w14:paraId="7498FFD6" w14:textId="77777777" w:rsidR="00D7609F" w:rsidRPr="00A24A89" w:rsidRDefault="00D7609F" w:rsidP="00F10FDB">
      <w:pPr>
        <w:pStyle w:val="TableFooter"/>
        <w:keepNext/>
        <w:keepLines/>
        <w:widowControl/>
      </w:pPr>
      <w:r w:rsidRPr="00A24A89">
        <w:t xml:space="preserve">Text in italics indicate values calculated during the evaluation. </w:t>
      </w:r>
    </w:p>
    <w:p w14:paraId="2C9B9D58" w14:textId="77777777" w:rsidR="00D7609F" w:rsidRDefault="00D7609F" w:rsidP="00F10FDB">
      <w:pPr>
        <w:pStyle w:val="TableFooter"/>
        <w:keepNext/>
        <w:keepLines/>
      </w:pPr>
      <w:r w:rsidRPr="00A24A89">
        <w:t>Source: Constructed during evaluation</w:t>
      </w:r>
    </w:p>
    <w:p w14:paraId="68F00252" w14:textId="77777777" w:rsidR="004B7B85" w:rsidRPr="00E652B5" w:rsidRDefault="004B7B85" w:rsidP="004B7B85">
      <w:pPr>
        <w:pStyle w:val="TableFooter"/>
        <w:keepNext/>
        <w:keepLines/>
        <w:rPr>
          <w:i/>
        </w:rPr>
      </w:pPr>
      <w:r w:rsidRPr="00E652B5">
        <w:rPr>
          <w:i/>
        </w:rPr>
        <w:t>The redacted values correspond to the following ranges:</w:t>
      </w:r>
    </w:p>
    <w:p w14:paraId="5A95FD52" w14:textId="77777777" w:rsidR="004B7B85" w:rsidRPr="00E652B5" w:rsidRDefault="004B7B85" w:rsidP="004B7B85">
      <w:pPr>
        <w:pStyle w:val="TableFooter"/>
        <w:keepNext/>
        <w:keepLines/>
        <w:rPr>
          <w:i/>
        </w:rPr>
      </w:pPr>
      <w:r w:rsidRPr="00E652B5">
        <w:rPr>
          <w:i/>
          <w:vertAlign w:val="superscript"/>
        </w:rPr>
        <w:t>1</w:t>
      </w:r>
      <w:r>
        <w:rPr>
          <w:i/>
        </w:rPr>
        <w:t xml:space="preserve"> $45,000 to &lt; $55,000</w:t>
      </w:r>
    </w:p>
    <w:p w14:paraId="47242475" w14:textId="77777777" w:rsidR="004B7B85" w:rsidRPr="00E652B5" w:rsidRDefault="004B7B85" w:rsidP="004B7B85">
      <w:pPr>
        <w:pStyle w:val="TableFooter"/>
        <w:keepNext/>
        <w:keepLines/>
        <w:rPr>
          <w:i/>
        </w:rPr>
      </w:pPr>
      <w:r w:rsidRPr="00E652B5">
        <w:rPr>
          <w:i/>
          <w:vertAlign w:val="superscript"/>
        </w:rPr>
        <w:t>2</w:t>
      </w:r>
      <w:r w:rsidRPr="00E652B5">
        <w:rPr>
          <w:i/>
        </w:rPr>
        <w:t xml:space="preserve"> </w:t>
      </w:r>
      <w:r>
        <w:rPr>
          <w:i/>
        </w:rPr>
        <w:t>$55,000 to &lt; $75,000</w:t>
      </w:r>
    </w:p>
    <w:p w14:paraId="50976509" w14:textId="77777777" w:rsidR="004B7B85" w:rsidRPr="004B7B85" w:rsidRDefault="004B7B85" w:rsidP="00F10FDB">
      <w:pPr>
        <w:pStyle w:val="TableFooter"/>
        <w:keepNext/>
        <w:keepLines/>
        <w:rPr>
          <w:i/>
        </w:rPr>
      </w:pPr>
      <w:r>
        <w:rPr>
          <w:i/>
          <w:vertAlign w:val="superscript"/>
        </w:rPr>
        <w:t>3</w:t>
      </w:r>
      <w:r w:rsidRPr="00E652B5">
        <w:rPr>
          <w:i/>
        </w:rPr>
        <w:t xml:space="preserve"> </w:t>
      </w:r>
      <w:r>
        <w:rPr>
          <w:i/>
        </w:rPr>
        <w:t>$75,000 to &lt; $95,000</w:t>
      </w:r>
    </w:p>
    <w:p w14:paraId="5B0BDD83" w14:textId="77777777" w:rsidR="00F10FDB" w:rsidRPr="0017405A" w:rsidRDefault="00F10FDB" w:rsidP="006D69BA">
      <w:pPr>
        <w:pStyle w:val="ListParagraph"/>
        <w:numPr>
          <w:ilvl w:val="4"/>
          <w:numId w:val="1"/>
        </w:numPr>
        <w:rPr>
          <w:color w:val="auto"/>
        </w:rPr>
      </w:pPr>
      <w:r w:rsidRPr="00F10FDB">
        <w:rPr>
          <w:color w:val="auto"/>
        </w:rPr>
        <w:t>The incremental cost per QALY gained for EA1, EA2 and the weighted analysis was higher in the adjusted base case calculated in the commentary compared to the base case presented in the resubmission. The resubmission’s model reported that the base case ICERs were $</w:t>
      </w:r>
      <w:r w:rsidR="008210A8">
        <w:rPr>
          <w:color w:val="auto"/>
        </w:rPr>
        <w:t>55,000 to &lt; $75,000</w:t>
      </w:r>
      <w:r w:rsidR="00356E4B">
        <w:rPr>
          <w:color w:val="auto"/>
        </w:rPr>
        <w:t>/QALY gained</w:t>
      </w:r>
      <w:r w:rsidRPr="00F10FDB">
        <w:rPr>
          <w:color w:val="auto"/>
        </w:rPr>
        <w:t xml:space="preserve"> (EA1), $</w:t>
      </w:r>
      <w:r w:rsidR="008210A8">
        <w:rPr>
          <w:color w:val="auto"/>
        </w:rPr>
        <w:t>55,000 to &lt; $75,000</w:t>
      </w:r>
      <w:r w:rsidR="00356E4B">
        <w:rPr>
          <w:color w:val="auto"/>
        </w:rPr>
        <w:t>/QALY gained</w:t>
      </w:r>
      <w:r w:rsidRPr="00F10FDB">
        <w:rPr>
          <w:color w:val="auto"/>
        </w:rPr>
        <w:t xml:space="preserve"> (EA2) and $</w:t>
      </w:r>
      <w:r w:rsidR="008210A8">
        <w:rPr>
          <w:color w:val="auto"/>
        </w:rPr>
        <w:t>55,000 to &lt; $75,000</w:t>
      </w:r>
      <w:r w:rsidR="00356E4B">
        <w:rPr>
          <w:color w:val="auto"/>
        </w:rPr>
        <w:t>/QALY gained</w:t>
      </w:r>
      <w:r w:rsidRPr="00F10FDB">
        <w:rPr>
          <w:color w:val="auto"/>
        </w:rPr>
        <w:t xml:space="preserve"> (weighted ICER)</w:t>
      </w:r>
      <w:r>
        <w:rPr>
          <w:color w:val="auto"/>
        </w:rPr>
        <w:t>.</w:t>
      </w:r>
      <w:r w:rsidRPr="00F10FDB">
        <w:t xml:space="preserve"> </w:t>
      </w:r>
    </w:p>
    <w:p w14:paraId="713DE339" w14:textId="77777777" w:rsidR="00835D6A" w:rsidRPr="00835D6A" w:rsidRDefault="00835D6A" w:rsidP="006D69BA">
      <w:pPr>
        <w:pStyle w:val="ListParagraph"/>
        <w:numPr>
          <w:ilvl w:val="4"/>
          <w:numId w:val="1"/>
        </w:numPr>
        <w:rPr>
          <w:iCs/>
          <w:color w:val="auto"/>
        </w:rPr>
      </w:pPr>
      <w:bookmarkStart w:id="75" w:name="_Ref80071563"/>
      <w:r>
        <w:rPr>
          <w:bCs/>
        </w:rPr>
        <w:t>The ICERs were uncertain due to u</w:t>
      </w:r>
      <w:r w:rsidRPr="00E31F5B">
        <w:rPr>
          <w:bCs/>
        </w:rPr>
        <w:t>ncertainty in the magnitude of OS benefit for pembrolizumab ± chemotherapy compared with chemotherapy</w:t>
      </w:r>
      <w:r w:rsidRPr="00835D6A">
        <w:rPr>
          <w:iCs/>
        </w:rPr>
        <w:t xml:space="preserve"> </w:t>
      </w:r>
      <w:r>
        <w:rPr>
          <w:iCs/>
        </w:rPr>
        <w:t>because</w:t>
      </w:r>
      <w:r w:rsidRPr="000B142A">
        <w:rPr>
          <w:iCs/>
        </w:rPr>
        <w:t xml:space="preserve"> </w:t>
      </w:r>
      <w:proofErr w:type="spellStart"/>
      <w:r w:rsidRPr="000B142A">
        <w:rPr>
          <w:iCs/>
        </w:rPr>
        <w:t>i</w:t>
      </w:r>
      <w:proofErr w:type="spellEnd"/>
      <w:r w:rsidRPr="000B142A">
        <w:rPr>
          <w:iCs/>
        </w:rPr>
        <w:t xml:space="preserve">) 1L cetuximab plus chemotherapy was used as a proxy for 1L </w:t>
      </w:r>
      <w:r w:rsidR="00CA24C6">
        <w:rPr>
          <w:iCs/>
        </w:rPr>
        <w:t xml:space="preserve">chemotherapy alone </w:t>
      </w:r>
      <w:r w:rsidRPr="000B142A">
        <w:rPr>
          <w:iCs/>
        </w:rPr>
        <w:t>which may underestimate the incremental efficacy of pembrolizumab plus chemotherapy but ii) the efficacy of 2L nivolumab was likely underestimated compared to the literature and iii) the efficacy of pembrolizumab plus chemotherapy was likely overestimated as no adjustment for 2L EGFR treatment was considered.</w:t>
      </w:r>
    </w:p>
    <w:p w14:paraId="6E42EC7A" w14:textId="77777777" w:rsidR="00D7609F" w:rsidRPr="0017405A" w:rsidRDefault="00F10FDB" w:rsidP="006D69BA">
      <w:pPr>
        <w:pStyle w:val="ListParagraph"/>
        <w:numPr>
          <w:ilvl w:val="4"/>
          <w:numId w:val="1"/>
        </w:numPr>
        <w:rPr>
          <w:iCs/>
          <w:color w:val="auto"/>
        </w:rPr>
      </w:pPr>
      <w:bookmarkStart w:id="76" w:name="_Ref89157952"/>
      <w:r w:rsidRPr="0017405A">
        <w:rPr>
          <w:iCs/>
          <w:color w:val="auto"/>
        </w:rPr>
        <w:t>T</w:t>
      </w:r>
      <w:r w:rsidR="00D7609F" w:rsidRPr="0017405A">
        <w:rPr>
          <w:iCs/>
          <w:color w:val="auto"/>
        </w:rPr>
        <w:t xml:space="preserve">he </w:t>
      </w:r>
      <w:r w:rsidR="0026605D">
        <w:rPr>
          <w:iCs/>
          <w:color w:val="auto"/>
        </w:rPr>
        <w:t xml:space="preserve">commentary </w:t>
      </w:r>
      <w:r w:rsidRPr="0017405A">
        <w:rPr>
          <w:iCs/>
          <w:color w:val="auto"/>
        </w:rPr>
        <w:t xml:space="preserve">modified base case </w:t>
      </w:r>
      <w:r w:rsidR="00D7609F" w:rsidRPr="0017405A">
        <w:rPr>
          <w:iCs/>
          <w:color w:val="auto"/>
        </w:rPr>
        <w:t>ICER was likely to be underestimated due to:</w:t>
      </w:r>
      <w:bookmarkEnd w:id="75"/>
      <w:bookmarkEnd w:id="76"/>
    </w:p>
    <w:p w14:paraId="1876FE62" w14:textId="77777777" w:rsidR="00D7609F" w:rsidRPr="00835D6A" w:rsidRDefault="00D7609F" w:rsidP="00835D6A">
      <w:pPr>
        <w:pStyle w:val="ListParagraph"/>
        <w:numPr>
          <w:ilvl w:val="0"/>
          <w:numId w:val="19"/>
        </w:numPr>
        <w:ind w:left="993" w:hanging="284"/>
      </w:pPr>
      <w:r w:rsidRPr="00835D6A">
        <w:t>Assumption of no convergence of OS curves</w:t>
      </w:r>
      <w:r w:rsidR="00A176D6" w:rsidRPr="00835D6A">
        <w:t>. The ESCs noted that the extrapolations chosen assumed a significant proportion of patients had a sustained complete response. The ESCs considered that this may be clinically plausible, though relatively few patients remained at risk in the later parts of the Kaplan-Meier curves from KN048</w:t>
      </w:r>
      <w:r w:rsidR="00431F30" w:rsidRPr="00835D6A">
        <w:t>.</w:t>
      </w:r>
      <w:r w:rsidR="00431F30" w:rsidRPr="00835D6A">
        <w:rPr>
          <w:bCs/>
        </w:rPr>
        <w:t xml:space="preserve"> The ESCs noted that none of the tested extrapolations appeared to be a good visual fit to the Kaplan-Meier data and all the extrapolations appear to </w:t>
      </w:r>
      <w:r w:rsidR="00431F30" w:rsidRPr="00835D6A">
        <w:rPr>
          <w:bCs/>
        </w:rPr>
        <w:lastRenderedPageBreak/>
        <w:t>overestimate OS to some degree</w:t>
      </w:r>
      <w:r w:rsidR="00835D6A">
        <w:rPr>
          <w:bCs/>
        </w:rPr>
        <w:t xml:space="preserve">. The PBAC noted that uncertainty in the extrapolations was somewhat mitigated by the use of a </w:t>
      </w:r>
      <w:proofErr w:type="gramStart"/>
      <w:r w:rsidR="00835D6A">
        <w:rPr>
          <w:bCs/>
        </w:rPr>
        <w:t>5 year</w:t>
      </w:r>
      <w:proofErr w:type="gramEnd"/>
      <w:r w:rsidR="00835D6A">
        <w:rPr>
          <w:bCs/>
        </w:rPr>
        <w:t xml:space="preserve"> time horizon</w:t>
      </w:r>
      <w:r w:rsidR="00A176D6" w:rsidRPr="00835D6A">
        <w:t>;</w:t>
      </w:r>
    </w:p>
    <w:p w14:paraId="2809A508" w14:textId="77777777" w:rsidR="00F10FDB" w:rsidRPr="0017405A" w:rsidRDefault="00D7609F" w:rsidP="00DD3D4A">
      <w:pPr>
        <w:pStyle w:val="ListParagraph"/>
        <w:numPr>
          <w:ilvl w:val="0"/>
          <w:numId w:val="19"/>
        </w:numPr>
        <w:ind w:left="993" w:hanging="284"/>
        <w:rPr>
          <w:color w:val="auto"/>
        </w:rPr>
      </w:pPr>
      <w:r w:rsidRPr="0017405A">
        <w:rPr>
          <w:color w:val="auto"/>
        </w:rPr>
        <w:t xml:space="preserve">The inconsistent QALY gain from SoC arm in EA1 and EA2 may have led to an overestimate </w:t>
      </w:r>
      <w:r w:rsidR="006D1C43" w:rsidRPr="0017405A">
        <w:rPr>
          <w:color w:val="auto"/>
        </w:rPr>
        <w:t xml:space="preserve">of the incremental benefit for pembrolizumab plus chemotherapy. </w:t>
      </w:r>
      <w:r w:rsidR="00835D6A">
        <w:t>T</w:t>
      </w:r>
      <w:r w:rsidR="00F10FDB" w:rsidRPr="0017405A">
        <w:rPr>
          <w:color w:val="auto"/>
        </w:rPr>
        <w:t xml:space="preserve">he QALY gain in the SoC arm in EA2 (with all CPS ≥1 </w:t>
      </w:r>
      <w:proofErr w:type="gramStart"/>
      <w:r w:rsidR="00F10FDB" w:rsidRPr="0017405A">
        <w:rPr>
          <w:color w:val="auto"/>
        </w:rPr>
        <w:t>patients</w:t>
      </w:r>
      <w:proofErr w:type="gramEnd"/>
      <w:r w:rsidR="00F10FDB" w:rsidRPr="0017405A">
        <w:rPr>
          <w:color w:val="auto"/>
        </w:rPr>
        <w:t xml:space="preserve"> included) was higher than the SoC arm in EA1</w:t>
      </w:r>
      <w:r w:rsidR="006D1C43" w:rsidRPr="0017405A">
        <w:rPr>
          <w:color w:val="auto"/>
        </w:rPr>
        <w:t>; and</w:t>
      </w:r>
    </w:p>
    <w:p w14:paraId="150CFCED" w14:textId="77777777" w:rsidR="00D7609F" w:rsidRDefault="00D7609F" w:rsidP="00DD3D4A">
      <w:pPr>
        <w:pStyle w:val="ListParagraph"/>
        <w:numPr>
          <w:ilvl w:val="0"/>
          <w:numId w:val="19"/>
        </w:numPr>
        <w:ind w:left="993" w:hanging="284"/>
        <w:rPr>
          <w:color w:val="auto"/>
        </w:rPr>
      </w:pPr>
      <w:r w:rsidRPr="0017405A">
        <w:rPr>
          <w:color w:val="auto"/>
        </w:rPr>
        <w:t xml:space="preserve">The assumption of 100% sensitivity and specificity of CPS </w:t>
      </w:r>
      <w:r w:rsidRPr="0017405A">
        <w:rPr>
          <w:rFonts w:cstheme="minorHAnsi"/>
          <w:color w:val="auto"/>
        </w:rPr>
        <w:t>≥</w:t>
      </w:r>
      <w:r w:rsidRPr="0017405A">
        <w:rPr>
          <w:color w:val="auto"/>
        </w:rPr>
        <w:t>1 test in the base case appears optimistic and not supported by available evidence</w:t>
      </w:r>
      <w:r w:rsidR="006D1C43" w:rsidRPr="0017405A">
        <w:rPr>
          <w:color w:val="auto"/>
        </w:rPr>
        <w:t>.</w:t>
      </w:r>
    </w:p>
    <w:p w14:paraId="2E4FBB7C" w14:textId="77777777" w:rsidR="00C82011" w:rsidRPr="00E31F5B" w:rsidRDefault="00C82011" w:rsidP="00DD3D4A">
      <w:pPr>
        <w:pStyle w:val="ListParagraph"/>
        <w:numPr>
          <w:ilvl w:val="0"/>
          <w:numId w:val="19"/>
        </w:numPr>
        <w:ind w:left="993" w:hanging="284"/>
        <w:rPr>
          <w:color w:val="auto"/>
        </w:rPr>
      </w:pPr>
      <w:r w:rsidRPr="00E31F5B">
        <w:rPr>
          <w:color w:val="auto"/>
        </w:rPr>
        <w:t>The ESC</w:t>
      </w:r>
      <w:r w:rsidR="003824BB" w:rsidRPr="00E31F5B">
        <w:rPr>
          <w:color w:val="auto"/>
        </w:rPr>
        <w:t>s</w:t>
      </w:r>
      <w:r w:rsidRPr="00E31F5B">
        <w:rPr>
          <w:color w:val="auto"/>
        </w:rPr>
        <w:t xml:space="preserve"> also noted that assuming 60% monotherapy use in the resubmission may have underestimated the weighted ICER.</w:t>
      </w:r>
    </w:p>
    <w:p w14:paraId="43D83E0B" w14:textId="77777777" w:rsidR="00AE5E44" w:rsidRPr="00E31F5B" w:rsidRDefault="00AE5E44" w:rsidP="00B82316">
      <w:pPr>
        <w:pStyle w:val="ListParagraph"/>
        <w:numPr>
          <w:ilvl w:val="4"/>
          <w:numId w:val="1"/>
        </w:numPr>
      </w:pPr>
      <w:r w:rsidRPr="00E31F5B">
        <w:t xml:space="preserve">The upscaling of the OS HR used in the model from an increase in 2L nivolumab usage (50%) compared to in KN048 (26.38%) may have underestimated the benefit of 2L nivolumab though this may have been compensated by using 1L cetuximab plus chemotherapy as a proxy for 1L chemotherapy (which applied to the whole population). </w:t>
      </w:r>
      <w:r w:rsidRPr="00E31F5B">
        <w:rPr>
          <w:color w:val="auto"/>
        </w:rPr>
        <w:t>T</w:t>
      </w:r>
      <w:r w:rsidRPr="00E31F5B">
        <w:t xml:space="preserve">he ESCs considered </w:t>
      </w:r>
      <w:r w:rsidR="00B82316" w:rsidRPr="00E31F5B">
        <w:t xml:space="preserve">that the incremental </w:t>
      </w:r>
      <w:r w:rsidRPr="00E31F5B">
        <w:t xml:space="preserve">OS </w:t>
      </w:r>
      <w:r w:rsidRPr="00E31F5B">
        <w:rPr>
          <w:color w:val="auto"/>
        </w:rPr>
        <w:t>benefit</w:t>
      </w:r>
      <w:r w:rsidRPr="00E31F5B">
        <w:t xml:space="preserve"> </w:t>
      </w:r>
      <w:r w:rsidRPr="00E31F5B">
        <w:rPr>
          <w:color w:val="auto"/>
        </w:rPr>
        <w:t>remained</w:t>
      </w:r>
      <w:r w:rsidRPr="00E31F5B">
        <w:t xml:space="preserve"> uncertain due to these factors.</w:t>
      </w:r>
      <w:r w:rsidR="00463CFE">
        <w:t xml:space="preserve"> </w:t>
      </w:r>
    </w:p>
    <w:p w14:paraId="59D0F619" w14:textId="77777777" w:rsidR="00463CFE" w:rsidRPr="0017405A" w:rsidRDefault="00463CFE" w:rsidP="00B82316">
      <w:pPr>
        <w:pStyle w:val="ListParagraph"/>
        <w:numPr>
          <w:ilvl w:val="4"/>
          <w:numId w:val="1"/>
        </w:numPr>
        <w:rPr>
          <w:color w:val="auto"/>
        </w:rPr>
      </w:pPr>
      <w:bookmarkStart w:id="77" w:name="_Ref89158110"/>
      <w:r>
        <w:t xml:space="preserve">As described in paragraph </w:t>
      </w:r>
      <w:r w:rsidR="008D43ED">
        <w:t>5.6</w:t>
      </w:r>
      <w:r>
        <w:t>, the PBAC considered that the basis for the resubmission’s estimated proportion of patients receiving 2L nivolumab was unreliable. The PBAC considered that it was likely that closer to 80% of patients would be expected to receive 2L nivolumab in clinical practice. The PBAC noted that this further underestimated the benefit from 2L nivolumab, but also underestimated the cost for 2L nivolumab in the model.</w:t>
      </w:r>
      <w:bookmarkEnd w:id="77"/>
    </w:p>
    <w:p w14:paraId="407E0F93" w14:textId="4ED7DC93" w:rsidR="00846BA8" w:rsidRPr="0017405A" w:rsidRDefault="00463CFE" w:rsidP="00B82316">
      <w:pPr>
        <w:pStyle w:val="ListParagraph"/>
        <w:numPr>
          <w:ilvl w:val="4"/>
          <w:numId w:val="1"/>
        </w:numPr>
        <w:rPr>
          <w:iCs/>
          <w:color w:val="auto"/>
        </w:rPr>
      </w:pPr>
      <w:r>
        <w:rPr>
          <w:iCs/>
          <w:color w:val="auto"/>
        </w:rPr>
        <w:t>Compared with the previous submission t</w:t>
      </w:r>
      <w:r w:rsidR="00846BA8" w:rsidRPr="0017405A">
        <w:rPr>
          <w:iCs/>
          <w:color w:val="auto"/>
        </w:rPr>
        <w:t xml:space="preserve">he requested price for pembrolizumab as monotherapy </w:t>
      </w:r>
      <w:r>
        <w:rPr>
          <w:iCs/>
          <w:color w:val="auto"/>
        </w:rPr>
        <w:t>was lower</w:t>
      </w:r>
      <w:r w:rsidR="00846BA8" w:rsidRPr="0017405A">
        <w:rPr>
          <w:iCs/>
          <w:color w:val="auto"/>
        </w:rPr>
        <w:t xml:space="preserve"> (from $</w:t>
      </w:r>
      <w:r w:rsidR="009A1388" w:rsidRPr="008B464E">
        <w:rPr>
          <w:iCs/>
          <w:noProof/>
          <w:color w:val="000000"/>
          <w:w w:val="15"/>
          <w:shd w:val="solid" w:color="000000" w:fill="000000"/>
          <w:fitText w:val="-20" w:id="-1500867314"/>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314"/>
          <w14:textFill>
            <w14:solidFill>
              <w14:srgbClr w14:val="000000">
                <w14:alpha w14:val="100000"/>
              </w14:srgbClr>
            </w14:solidFill>
          </w14:textFill>
        </w:rPr>
        <w:t>|</w:t>
      </w:r>
      <w:r w:rsidR="00846BA8" w:rsidRPr="0017405A">
        <w:rPr>
          <w:iCs/>
          <w:color w:val="auto"/>
        </w:rPr>
        <w:t>/100</w:t>
      </w:r>
      <w:r w:rsidR="005C0BDF">
        <w:rPr>
          <w:iCs/>
          <w:color w:val="auto"/>
        </w:rPr>
        <w:t xml:space="preserve"> </w:t>
      </w:r>
      <w:r w:rsidR="00846BA8" w:rsidRPr="0017405A">
        <w:rPr>
          <w:iCs/>
          <w:color w:val="auto"/>
        </w:rPr>
        <w:t>mg to $</w:t>
      </w:r>
      <w:r w:rsidR="009A1388" w:rsidRPr="008B464E">
        <w:rPr>
          <w:iCs/>
          <w:noProof/>
          <w:color w:val="000000"/>
          <w:w w:val="15"/>
          <w:shd w:val="solid" w:color="000000" w:fill="000000"/>
          <w:fitText w:val="-20" w:id="-1500867313"/>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313"/>
          <w14:textFill>
            <w14:solidFill>
              <w14:srgbClr w14:val="000000">
                <w14:alpha w14:val="100000"/>
              </w14:srgbClr>
            </w14:solidFill>
          </w14:textFill>
        </w:rPr>
        <w:t>|</w:t>
      </w:r>
      <w:r w:rsidR="00846BA8" w:rsidRPr="0017405A">
        <w:rPr>
          <w:iCs/>
          <w:color w:val="auto"/>
        </w:rPr>
        <w:t>/100</w:t>
      </w:r>
      <w:r w:rsidR="005C0BDF">
        <w:rPr>
          <w:iCs/>
          <w:color w:val="auto"/>
        </w:rPr>
        <w:t xml:space="preserve"> </w:t>
      </w:r>
      <w:r w:rsidR="00846BA8" w:rsidRPr="0017405A">
        <w:rPr>
          <w:iCs/>
          <w:color w:val="auto"/>
        </w:rPr>
        <w:t xml:space="preserve">mg). Given the inclusion of the efficacy of 2L nivolumab in the SoC arm and the subsequently smaller incremental benefit compared to the previous submission, the lower price was consistent with the result that reported an ICER which was </w:t>
      </w:r>
      <w:proofErr w:type="gramStart"/>
      <w:r w:rsidR="00846BA8" w:rsidRPr="0017405A">
        <w:rPr>
          <w:iCs/>
          <w:color w:val="auto"/>
        </w:rPr>
        <w:t>similar to</w:t>
      </w:r>
      <w:proofErr w:type="gramEnd"/>
      <w:r w:rsidR="00846BA8" w:rsidRPr="0017405A">
        <w:rPr>
          <w:iCs/>
          <w:color w:val="auto"/>
        </w:rPr>
        <w:t xml:space="preserve"> the previous submission. However, the price for pembrolizumab when used in combination with chemotherapy increased from the previous submission (from $</w:t>
      </w:r>
      <w:r w:rsidR="009A1388" w:rsidRPr="008B464E">
        <w:rPr>
          <w:iCs/>
          <w:noProof/>
          <w:color w:val="000000"/>
          <w:w w:val="15"/>
          <w:shd w:val="solid" w:color="000000" w:fill="000000"/>
          <w:fitText w:val="-20" w:id="-1500867312"/>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312"/>
          <w14:textFill>
            <w14:solidFill>
              <w14:srgbClr w14:val="000000">
                <w14:alpha w14:val="100000"/>
              </w14:srgbClr>
            </w14:solidFill>
          </w14:textFill>
        </w:rPr>
        <w:t>|</w:t>
      </w:r>
      <w:r w:rsidR="00846BA8" w:rsidRPr="0017405A">
        <w:rPr>
          <w:iCs/>
          <w:color w:val="auto"/>
        </w:rPr>
        <w:t>/100</w:t>
      </w:r>
      <w:r w:rsidR="005C0BDF">
        <w:rPr>
          <w:iCs/>
          <w:color w:val="auto"/>
        </w:rPr>
        <w:t xml:space="preserve"> </w:t>
      </w:r>
      <w:r w:rsidR="00846BA8" w:rsidRPr="0017405A">
        <w:rPr>
          <w:iCs/>
          <w:color w:val="auto"/>
        </w:rPr>
        <w:t>mg to $</w:t>
      </w:r>
      <w:r w:rsidR="009A1388" w:rsidRPr="008B464E">
        <w:rPr>
          <w:iCs/>
          <w:noProof/>
          <w:color w:val="000000"/>
          <w:w w:val="15"/>
          <w:shd w:val="solid" w:color="000000" w:fill="000000"/>
          <w:fitText w:val="-20" w:id="-1500867328"/>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328"/>
          <w14:textFill>
            <w14:solidFill>
              <w14:srgbClr w14:val="000000">
                <w14:alpha w14:val="100000"/>
              </w14:srgbClr>
            </w14:solidFill>
          </w14:textFill>
        </w:rPr>
        <w:t>|</w:t>
      </w:r>
      <w:r w:rsidR="00846BA8" w:rsidRPr="0017405A">
        <w:rPr>
          <w:iCs/>
          <w:color w:val="auto"/>
        </w:rPr>
        <w:t>/100</w:t>
      </w:r>
      <w:r w:rsidR="005C0BDF">
        <w:rPr>
          <w:iCs/>
          <w:color w:val="auto"/>
        </w:rPr>
        <w:t xml:space="preserve"> </w:t>
      </w:r>
      <w:r w:rsidR="00846BA8" w:rsidRPr="0017405A">
        <w:rPr>
          <w:iCs/>
          <w:color w:val="auto"/>
        </w:rPr>
        <w:t xml:space="preserve">mg) despite the inclusion of the efficacy of 2L nivolumab in the SoC arm, with a less favourable OS HR relative to SoC (0.658 in current resubmission compared to 0.54 in the previous submission). This </w:t>
      </w:r>
      <w:r>
        <w:rPr>
          <w:iCs/>
          <w:color w:val="auto"/>
        </w:rPr>
        <w:t>reflected</w:t>
      </w:r>
      <w:r w:rsidR="00846BA8" w:rsidRPr="0017405A">
        <w:rPr>
          <w:iCs/>
          <w:color w:val="auto"/>
        </w:rPr>
        <w:t xml:space="preserve"> the more favourable extrapolation assumed in the current submission for pembrolizumab plus chemotherapy. </w:t>
      </w:r>
      <w:r>
        <w:rPr>
          <w:iCs/>
          <w:color w:val="auto"/>
        </w:rPr>
        <w:t>T</w:t>
      </w:r>
      <w:r w:rsidR="00846BA8" w:rsidRPr="0017405A">
        <w:rPr>
          <w:iCs/>
          <w:color w:val="auto"/>
        </w:rPr>
        <w:t>he increase in QALY</w:t>
      </w:r>
      <w:r w:rsidR="005C0BDF">
        <w:rPr>
          <w:iCs/>
          <w:color w:val="auto"/>
        </w:rPr>
        <w:t>s</w:t>
      </w:r>
      <w:r w:rsidR="00846BA8" w:rsidRPr="0017405A">
        <w:rPr>
          <w:iCs/>
          <w:color w:val="auto"/>
        </w:rPr>
        <w:t xml:space="preserve"> from the previous submission for pembrolizumab plus chemotherapy (0.0848) due to the updated data and extrapolation was around half of the gain in the SoC arm ostensibly from the inclusion of 2L nivolumab (0.1713).</w:t>
      </w:r>
    </w:p>
    <w:p w14:paraId="3F2842DC" w14:textId="77777777" w:rsidR="00D7609F" w:rsidRPr="00A24A89" w:rsidRDefault="00D7609F" w:rsidP="00B82316">
      <w:pPr>
        <w:pStyle w:val="ListParagraph"/>
        <w:numPr>
          <w:ilvl w:val="4"/>
          <w:numId w:val="1"/>
        </w:numPr>
        <w:rPr>
          <w:color w:val="auto"/>
        </w:rPr>
      </w:pPr>
      <w:r w:rsidRPr="00A24A89">
        <w:rPr>
          <w:color w:val="auto"/>
        </w:rPr>
        <w:t xml:space="preserve">The results of </w:t>
      </w:r>
      <w:r w:rsidR="006D1C43">
        <w:rPr>
          <w:color w:val="auto"/>
        </w:rPr>
        <w:t xml:space="preserve">SA1 (CEA </w:t>
      </w:r>
      <w:r w:rsidR="00631FD7">
        <w:rPr>
          <w:color w:val="auto"/>
        </w:rPr>
        <w:t xml:space="preserve">conducted </w:t>
      </w:r>
      <w:r w:rsidR="006D1C43">
        <w:rPr>
          <w:color w:val="auto"/>
        </w:rPr>
        <w:t xml:space="preserve">in </w:t>
      </w:r>
      <w:r w:rsidRPr="00A24A89">
        <w:rPr>
          <w:color w:val="auto"/>
        </w:rPr>
        <w:t xml:space="preserve">all patients </w:t>
      </w:r>
      <w:r w:rsidR="00631FD7">
        <w:rPr>
          <w:color w:val="auto"/>
        </w:rPr>
        <w:t xml:space="preserve">enrolled in KN048 </w:t>
      </w:r>
      <w:r w:rsidR="006D1C43">
        <w:rPr>
          <w:color w:val="auto"/>
        </w:rPr>
        <w:t xml:space="preserve">irrespective of CPS) </w:t>
      </w:r>
      <w:r w:rsidRPr="00A24A89">
        <w:rPr>
          <w:color w:val="auto"/>
        </w:rPr>
        <w:t xml:space="preserve">are presented in </w:t>
      </w:r>
      <w:r w:rsidR="008D43ED">
        <w:t xml:space="preserve">Table </w:t>
      </w:r>
      <w:r w:rsidR="008D43ED">
        <w:rPr>
          <w:noProof/>
        </w:rPr>
        <w:t>19</w:t>
      </w:r>
      <w:r w:rsidR="006D1C43">
        <w:rPr>
          <w:color w:val="auto"/>
        </w:rPr>
        <w:t>.</w:t>
      </w:r>
    </w:p>
    <w:p w14:paraId="0699BE34" w14:textId="77777777" w:rsidR="00D7609F" w:rsidRPr="00A24A89" w:rsidRDefault="00E31F5B" w:rsidP="00024DCD">
      <w:pPr>
        <w:pStyle w:val="Caption"/>
      </w:pPr>
      <w:bookmarkStart w:id="78" w:name="_Ref80070942"/>
      <w:r>
        <w:lastRenderedPageBreak/>
        <w:t xml:space="preserve">Table </w:t>
      </w:r>
      <w:r w:rsidR="008D43ED">
        <w:rPr>
          <w:noProof/>
        </w:rPr>
        <w:t>19</w:t>
      </w:r>
      <w:bookmarkEnd w:id="78"/>
      <w:r w:rsidR="00024DCD">
        <w:rPr>
          <w:noProof/>
        </w:rPr>
        <w:t xml:space="preserve">: </w:t>
      </w:r>
      <w:r w:rsidR="00D7609F" w:rsidRPr="00A24A89">
        <w:t>Results of scenario analysis 1, economic evaluation in all patients (adjusted base case, as calculated in the commentary)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Results of scenario analysis 1, economic evaluation in all patients (adjusted base case, as calculated in the commentary)"/>
      </w:tblPr>
      <w:tblGrid>
        <w:gridCol w:w="2241"/>
        <w:gridCol w:w="2403"/>
        <w:gridCol w:w="2117"/>
        <w:gridCol w:w="2255"/>
      </w:tblGrid>
      <w:tr w:rsidR="00D7609F" w:rsidRPr="0017405A" w14:paraId="3CA05E56" w14:textId="77777777" w:rsidTr="003208F0">
        <w:trPr>
          <w:trHeight w:val="116"/>
        </w:trPr>
        <w:tc>
          <w:tcPr>
            <w:tcW w:w="2256" w:type="dxa"/>
            <w:shd w:val="clear" w:color="auto" w:fill="auto"/>
            <w:vAlign w:val="center"/>
            <w:hideMark/>
          </w:tcPr>
          <w:p w14:paraId="532280EB"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p>
        </w:tc>
        <w:tc>
          <w:tcPr>
            <w:tcW w:w="2412" w:type="dxa"/>
            <w:shd w:val="clear" w:color="auto" w:fill="auto"/>
            <w:vAlign w:val="center"/>
            <w:hideMark/>
          </w:tcPr>
          <w:p w14:paraId="6DB8A1C4"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Pembrolizumab ± chemotherapy</w:t>
            </w:r>
          </w:p>
        </w:tc>
        <w:tc>
          <w:tcPr>
            <w:tcW w:w="2127" w:type="dxa"/>
            <w:shd w:val="clear" w:color="auto" w:fill="auto"/>
            <w:vAlign w:val="center"/>
            <w:hideMark/>
          </w:tcPr>
          <w:p w14:paraId="5F22D9B5"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SoC</w:t>
            </w:r>
          </w:p>
        </w:tc>
        <w:tc>
          <w:tcPr>
            <w:tcW w:w="2267" w:type="dxa"/>
            <w:shd w:val="clear" w:color="auto" w:fill="auto"/>
            <w:vAlign w:val="center"/>
            <w:hideMark/>
          </w:tcPr>
          <w:p w14:paraId="5706D82F"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w:t>
            </w:r>
          </w:p>
        </w:tc>
      </w:tr>
      <w:tr w:rsidR="00D7609F" w:rsidRPr="0017405A" w14:paraId="68261E85" w14:textId="77777777" w:rsidTr="003208F0">
        <w:trPr>
          <w:trHeight w:val="67"/>
        </w:trPr>
        <w:tc>
          <w:tcPr>
            <w:tcW w:w="9062" w:type="dxa"/>
            <w:gridSpan w:val="4"/>
            <w:shd w:val="clear" w:color="auto" w:fill="auto"/>
            <w:vAlign w:val="center"/>
            <w:hideMark/>
          </w:tcPr>
          <w:p w14:paraId="6F4FEC38"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Pembrolizumab plus chemotherapy vs SoC (EA1)</w:t>
            </w:r>
          </w:p>
        </w:tc>
      </w:tr>
      <w:tr w:rsidR="00D7609F" w:rsidRPr="0017405A" w14:paraId="50EDD824" w14:textId="77777777" w:rsidTr="003208F0">
        <w:trPr>
          <w:trHeight w:val="67"/>
        </w:trPr>
        <w:tc>
          <w:tcPr>
            <w:tcW w:w="2256" w:type="dxa"/>
            <w:shd w:val="clear" w:color="auto" w:fill="auto"/>
            <w:vAlign w:val="center"/>
            <w:hideMark/>
          </w:tcPr>
          <w:p w14:paraId="196DD007"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Cost</w:t>
            </w:r>
          </w:p>
        </w:tc>
        <w:tc>
          <w:tcPr>
            <w:tcW w:w="2412" w:type="dxa"/>
            <w:shd w:val="clear" w:color="auto" w:fill="auto"/>
            <w:vAlign w:val="center"/>
            <w:hideMark/>
          </w:tcPr>
          <w:p w14:paraId="24D24BC0" w14:textId="02822B69"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p>
        </w:tc>
        <w:tc>
          <w:tcPr>
            <w:tcW w:w="2127" w:type="dxa"/>
            <w:shd w:val="clear" w:color="auto" w:fill="auto"/>
            <w:vAlign w:val="center"/>
            <w:hideMark/>
          </w:tcPr>
          <w:p w14:paraId="32B0C8DC"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$37,060.01</w:t>
            </w:r>
          </w:p>
        </w:tc>
        <w:tc>
          <w:tcPr>
            <w:tcW w:w="2267" w:type="dxa"/>
            <w:shd w:val="clear" w:color="auto" w:fill="auto"/>
            <w:vAlign w:val="center"/>
            <w:hideMark/>
          </w:tcPr>
          <w:p w14:paraId="43167E08" w14:textId="4BFB7E89"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p>
        </w:tc>
      </w:tr>
      <w:tr w:rsidR="00D7609F" w:rsidRPr="0017405A" w14:paraId="09E12519" w14:textId="77777777" w:rsidTr="003208F0">
        <w:trPr>
          <w:trHeight w:val="132"/>
        </w:trPr>
        <w:tc>
          <w:tcPr>
            <w:tcW w:w="2256" w:type="dxa"/>
            <w:shd w:val="clear" w:color="auto" w:fill="auto"/>
            <w:vAlign w:val="center"/>
            <w:hideMark/>
          </w:tcPr>
          <w:p w14:paraId="4F89B1BF" w14:textId="77777777" w:rsidR="00D7609F" w:rsidRPr="0017405A" w:rsidRDefault="00D7609F" w:rsidP="00846BA8">
            <w:pPr>
              <w:keepNext/>
              <w:keepLines/>
              <w:spacing w:before="0" w:after="0"/>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LY</w:t>
            </w:r>
          </w:p>
        </w:tc>
        <w:tc>
          <w:tcPr>
            <w:tcW w:w="2412" w:type="dxa"/>
            <w:shd w:val="clear" w:color="auto" w:fill="auto"/>
            <w:vAlign w:val="center"/>
            <w:hideMark/>
          </w:tcPr>
          <w:p w14:paraId="7074CFF7"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1.8736</w:t>
            </w:r>
          </w:p>
        </w:tc>
        <w:tc>
          <w:tcPr>
            <w:tcW w:w="2127" w:type="dxa"/>
            <w:shd w:val="clear" w:color="auto" w:fill="auto"/>
            <w:vAlign w:val="center"/>
            <w:hideMark/>
          </w:tcPr>
          <w:p w14:paraId="4C5B1FEE"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1.3281</w:t>
            </w:r>
          </w:p>
        </w:tc>
        <w:tc>
          <w:tcPr>
            <w:tcW w:w="2267" w:type="dxa"/>
            <w:shd w:val="clear" w:color="auto" w:fill="auto"/>
            <w:vAlign w:val="center"/>
            <w:hideMark/>
          </w:tcPr>
          <w:p w14:paraId="5EE4C833"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0.5455</w:t>
            </w:r>
          </w:p>
        </w:tc>
      </w:tr>
      <w:tr w:rsidR="00D7609F" w:rsidRPr="0017405A" w14:paraId="7E15F07C" w14:textId="77777777" w:rsidTr="003208F0">
        <w:trPr>
          <w:trHeight w:val="164"/>
        </w:trPr>
        <w:tc>
          <w:tcPr>
            <w:tcW w:w="2256" w:type="dxa"/>
            <w:shd w:val="clear" w:color="auto" w:fill="auto"/>
            <w:vAlign w:val="center"/>
            <w:hideMark/>
          </w:tcPr>
          <w:p w14:paraId="1D58D805"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QALY</w:t>
            </w:r>
          </w:p>
        </w:tc>
        <w:tc>
          <w:tcPr>
            <w:tcW w:w="2412" w:type="dxa"/>
            <w:shd w:val="clear" w:color="auto" w:fill="auto"/>
            <w:vAlign w:val="center"/>
            <w:hideMark/>
          </w:tcPr>
          <w:p w14:paraId="74640A89"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1.3901</w:t>
            </w:r>
          </w:p>
        </w:tc>
        <w:tc>
          <w:tcPr>
            <w:tcW w:w="2127" w:type="dxa"/>
            <w:shd w:val="clear" w:color="auto" w:fill="auto"/>
            <w:vAlign w:val="center"/>
            <w:hideMark/>
          </w:tcPr>
          <w:p w14:paraId="3CF517FD"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0.9899</w:t>
            </w:r>
          </w:p>
        </w:tc>
        <w:tc>
          <w:tcPr>
            <w:tcW w:w="2267" w:type="dxa"/>
            <w:shd w:val="clear" w:color="auto" w:fill="auto"/>
            <w:vAlign w:val="center"/>
            <w:hideMark/>
          </w:tcPr>
          <w:p w14:paraId="21A6263F"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0.4002</w:t>
            </w:r>
          </w:p>
        </w:tc>
      </w:tr>
      <w:tr w:rsidR="00D7609F" w:rsidRPr="0017405A" w14:paraId="3E29AA38" w14:textId="77777777" w:rsidTr="003208F0">
        <w:trPr>
          <w:trHeight w:val="67"/>
        </w:trPr>
        <w:tc>
          <w:tcPr>
            <w:tcW w:w="6795" w:type="dxa"/>
            <w:gridSpan w:val="3"/>
            <w:shd w:val="clear" w:color="auto" w:fill="auto"/>
            <w:vAlign w:val="center"/>
          </w:tcPr>
          <w:p w14:paraId="2AB7CEB1" w14:textId="77777777" w:rsidR="00D7609F" w:rsidRPr="0017405A" w:rsidRDefault="00D7609F" w:rsidP="00846BA8">
            <w:pPr>
              <w:keepNext/>
              <w:keepLines/>
              <w:spacing w:before="0" w:after="0"/>
              <w:jc w:val="right"/>
              <w:rPr>
                <w:rFonts w:ascii="Arial Narrow" w:eastAsia="Times New Roman" w:hAnsi="Arial Narrow" w:cs="Calibri"/>
                <w:iCs/>
                <w:color w:val="000000"/>
                <w:sz w:val="20"/>
                <w:szCs w:val="20"/>
                <w:lang w:eastAsia="en-AU"/>
              </w:rPr>
            </w:pPr>
            <w:r w:rsidRPr="0017405A">
              <w:rPr>
                <w:rFonts w:ascii="Arial Narrow" w:eastAsia="Times New Roman" w:hAnsi="Arial Narrow" w:cs="Calibri"/>
                <w:color w:val="000000"/>
                <w:sz w:val="20"/>
                <w:szCs w:val="20"/>
                <w:lang w:eastAsia="en-AU"/>
              </w:rPr>
              <w:t>Weighted incremental cost per LY gained</w:t>
            </w:r>
          </w:p>
        </w:tc>
        <w:tc>
          <w:tcPr>
            <w:tcW w:w="2267" w:type="dxa"/>
            <w:shd w:val="clear" w:color="auto" w:fill="auto"/>
            <w:vAlign w:val="center"/>
          </w:tcPr>
          <w:p w14:paraId="688129B3" w14:textId="795E451F" w:rsidR="00D7609F" w:rsidRPr="006B2B32" w:rsidRDefault="00D7609F" w:rsidP="00846BA8">
            <w:pPr>
              <w:keepNext/>
              <w:keepLines/>
              <w:spacing w:before="0" w:after="0"/>
              <w:jc w:val="center"/>
              <w:rPr>
                <w:rFonts w:ascii="Arial Narrow" w:eastAsia="Times New Roman" w:hAnsi="Arial Narrow" w:cs="Calibri"/>
                <w:iCs/>
                <w:color w:val="000000"/>
                <w:sz w:val="20"/>
                <w:szCs w:val="20"/>
                <w:vertAlign w:val="superscript"/>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6B2B32" w:rsidRPr="006B2B32">
              <w:rPr>
                <w:rFonts w:ascii="Arial Narrow" w:eastAsia="Times New Roman" w:hAnsi="Arial Narrow" w:cs="Calibri"/>
                <w:iCs/>
                <w:color w:val="000000"/>
                <w:sz w:val="20"/>
                <w:szCs w:val="20"/>
                <w:vertAlign w:val="superscript"/>
                <w:lang w:eastAsia="en-AU"/>
              </w:rPr>
              <w:t>1</w:t>
            </w:r>
          </w:p>
        </w:tc>
      </w:tr>
      <w:tr w:rsidR="00D7609F" w:rsidRPr="0017405A" w14:paraId="58CE56D5" w14:textId="77777777" w:rsidTr="003208F0">
        <w:trPr>
          <w:trHeight w:val="67"/>
        </w:trPr>
        <w:tc>
          <w:tcPr>
            <w:tcW w:w="6795" w:type="dxa"/>
            <w:gridSpan w:val="3"/>
            <w:shd w:val="clear" w:color="auto" w:fill="auto"/>
            <w:vAlign w:val="center"/>
          </w:tcPr>
          <w:p w14:paraId="5F73F94A" w14:textId="77777777" w:rsidR="00D7609F" w:rsidRPr="0017405A" w:rsidRDefault="00D7609F" w:rsidP="00846BA8">
            <w:pPr>
              <w:keepNext/>
              <w:keepLines/>
              <w:spacing w:before="0" w:after="0"/>
              <w:jc w:val="right"/>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color w:val="000000"/>
                <w:sz w:val="20"/>
                <w:szCs w:val="20"/>
                <w:lang w:eastAsia="en-AU"/>
              </w:rPr>
              <w:t>Weighted incremental cost per QALY gained</w:t>
            </w:r>
          </w:p>
        </w:tc>
        <w:tc>
          <w:tcPr>
            <w:tcW w:w="2267" w:type="dxa"/>
            <w:shd w:val="clear" w:color="auto" w:fill="auto"/>
            <w:vAlign w:val="center"/>
          </w:tcPr>
          <w:p w14:paraId="7F2F68A4" w14:textId="1149A592" w:rsidR="00D7609F" w:rsidRPr="0017405A" w:rsidRDefault="00D7609F" w:rsidP="00846BA8">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r w:rsidR="009A1388"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6B2B32">
              <w:rPr>
                <w:rFonts w:ascii="Arial Narrow" w:eastAsia="Times New Roman" w:hAnsi="Arial Narrow" w:cs="Calibri"/>
                <w:iCs/>
                <w:color w:val="000000"/>
                <w:sz w:val="20"/>
                <w:szCs w:val="20"/>
                <w:vertAlign w:val="superscript"/>
                <w:lang w:eastAsia="en-AU"/>
              </w:rPr>
              <w:t>2</w:t>
            </w:r>
          </w:p>
        </w:tc>
      </w:tr>
      <w:tr w:rsidR="00D7609F" w:rsidRPr="0017405A" w14:paraId="5DB0D7FE" w14:textId="77777777" w:rsidTr="003208F0">
        <w:trPr>
          <w:trHeight w:val="67"/>
        </w:trPr>
        <w:tc>
          <w:tcPr>
            <w:tcW w:w="9062" w:type="dxa"/>
            <w:gridSpan w:val="4"/>
            <w:shd w:val="clear" w:color="auto" w:fill="auto"/>
            <w:vAlign w:val="center"/>
            <w:hideMark/>
          </w:tcPr>
          <w:p w14:paraId="7EE621EF"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iCs/>
                <w:color w:val="000000"/>
                <w:sz w:val="20"/>
                <w:szCs w:val="20"/>
                <w:lang w:eastAsia="en-AU"/>
              </w:rPr>
              <w:t>Pembrolizumab monotherapy vs SoC (EA2)</w:t>
            </w:r>
          </w:p>
        </w:tc>
      </w:tr>
      <w:tr w:rsidR="00D7609F" w:rsidRPr="0017405A" w14:paraId="5E3A980A" w14:textId="77777777" w:rsidTr="003208F0">
        <w:trPr>
          <w:trHeight w:val="67"/>
        </w:trPr>
        <w:tc>
          <w:tcPr>
            <w:tcW w:w="2256" w:type="dxa"/>
            <w:shd w:val="clear" w:color="auto" w:fill="auto"/>
            <w:vAlign w:val="center"/>
            <w:hideMark/>
          </w:tcPr>
          <w:p w14:paraId="645B0303"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Cost</w:t>
            </w:r>
          </w:p>
        </w:tc>
        <w:tc>
          <w:tcPr>
            <w:tcW w:w="2412" w:type="dxa"/>
            <w:shd w:val="clear" w:color="auto" w:fill="auto"/>
            <w:vAlign w:val="center"/>
            <w:hideMark/>
          </w:tcPr>
          <w:p w14:paraId="128F7ED5" w14:textId="2709A829"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p>
        </w:tc>
        <w:tc>
          <w:tcPr>
            <w:tcW w:w="2127" w:type="dxa"/>
            <w:shd w:val="clear" w:color="auto" w:fill="auto"/>
            <w:vAlign w:val="center"/>
            <w:hideMark/>
          </w:tcPr>
          <w:p w14:paraId="260164B5"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$33,877.88</w:t>
            </w:r>
          </w:p>
        </w:tc>
        <w:tc>
          <w:tcPr>
            <w:tcW w:w="2267" w:type="dxa"/>
            <w:shd w:val="clear" w:color="auto" w:fill="auto"/>
            <w:vAlign w:val="center"/>
            <w:hideMark/>
          </w:tcPr>
          <w:p w14:paraId="1E81377E" w14:textId="671776A6"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p>
        </w:tc>
      </w:tr>
      <w:tr w:rsidR="00D7609F" w:rsidRPr="0017405A" w14:paraId="508DAE86" w14:textId="77777777" w:rsidTr="003208F0">
        <w:trPr>
          <w:trHeight w:val="67"/>
        </w:trPr>
        <w:tc>
          <w:tcPr>
            <w:tcW w:w="2256" w:type="dxa"/>
            <w:shd w:val="clear" w:color="auto" w:fill="auto"/>
            <w:vAlign w:val="center"/>
            <w:hideMark/>
          </w:tcPr>
          <w:p w14:paraId="08E7AB7A"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LY</w:t>
            </w:r>
          </w:p>
        </w:tc>
        <w:tc>
          <w:tcPr>
            <w:tcW w:w="2412" w:type="dxa"/>
            <w:shd w:val="clear" w:color="auto" w:fill="auto"/>
            <w:vAlign w:val="center"/>
            <w:hideMark/>
          </w:tcPr>
          <w:p w14:paraId="3AAA13C1"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1.7028</w:t>
            </w:r>
          </w:p>
        </w:tc>
        <w:tc>
          <w:tcPr>
            <w:tcW w:w="2127" w:type="dxa"/>
            <w:shd w:val="clear" w:color="auto" w:fill="auto"/>
            <w:vAlign w:val="center"/>
            <w:hideMark/>
          </w:tcPr>
          <w:p w14:paraId="29C4A1F1"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1.37</w:t>
            </w:r>
          </w:p>
        </w:tc>
        <w:tc>
          <w:tcPr>
            <w:tcW w:w="2267" w:type="dxa"/>
            <w:shd w:val="clear" w:color="auto" w:fill="auto"/>
            <w:vAlign w:val="center"/>
            <w:hideMark/>
          </w:tcPr>
          <w:p w14:paraId="77855152"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0.3328</w:t>
            </w:r>
          </w:p>
        </w:tc>
      </w:tr>
      <w:tr w:rsidR="00D7609F" w:rsidRPr="0017405A" w14:paraId="79B30C76" w14:textId="77777777" w:rsidTr="003208F0">
        <w:trPr>
          <w:trHeight w:val="67"/>
        </w:trPr>
        <w:tc>
          <w:tcPr>
            <w:tcW w:w="2256" w:type="dxa"/>
            <w:shd w:val="clear" w:color="auto" w:fill="auto"/>
            <w:vAlign w:val="center"/>
            <w:hideMark/>
          </w:tcPr>
          <w:p w14:paraId="666D2EB5"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QALY</w:t>
            </w:r>
          </w:p>
        </w:tc>
        <w:tc>
          <w:tcPr>
            <w:tcW w:w="2412" w:type="dxa"/>
            <w:shd w:val="clear" w:color="auto" w:fill="auto"/>
            <w:vAlign w:val="center"/>
            <w:hideMark/>
          </w:tcPr>
          <w:p w14:paraId="05A5C267"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1.2628</w:t>
            </w:r>
          </w:p>
        </w:tc>
        <w:tc>
          <w:tcPr>
            <w:tcW w:w="2127" w:type="dxa"/>
            <w:shd w:val="clear" w:color="auto" w:fill="auto"/>
            <w:vAlign w:val="center"/>
            <w:hideMark/>
          </w:tcPr>
          <w:p w14:paraId="431FAB6E"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1.0226</w:t>
            </w:r>
          </w:p>
        </w:tc>
        <w:tc>
          <w:tcPr>
            <w:tcW w:w="2267" w:type="dxa"/>
            <w:shd w:val="clear" w:color="auto" w:fill="auto"/>
            <w:vAlign w:val="center"/>
            <w:hideMark/>
          </w:tcPr>
          <w:p w14:paraId="310075C6"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0.2402</w:t>
            </w:r>
          </w:p>
        </w:tc>
      </w:tr>
      <w:tr w:rsidR="00D7609F" w:rsidRPr="0017405A" w14:paraId="5F02D499" w14:textId="77777777" w:rsidTr="003208F0">
        <w:trPr>
          <w:trHeight w:val="67"/>
        </w:trPr>
        <w:tc>
          <w:tcPr>
            <w:tcW w:w="6795" w:type="dxa"/>
            <w:gridSpan w:val="3"/>
            <w:shd w:val="clear" w:color="auto" w:fill="auto"/>
            <w:vAlign w:val="center"/>
          </w:tcPr>
          <w:p w14:paraId="64F1FB68" w14:textId="77777777" w:rsidR="00D7609F" w:rsidRPr="0017405A" w:rsidRDefault="00D7609F" w:rsidP="00846BA8">
            <w:pPr>
              <w:keepNext/>
              <w:keepLines/>
              <w:spacing w:before="0" w:after="0"/>
              <w:jc w:val="right"/>
              <w:rPr>
                <w:rFonts w:ascii="Arial Narrow" w:eastAsia="Times New Roman" w:hAnsi="Arial Narrow" w:cs="Calibri"/>
                <w:iCs/>
                <w:color w:val="000000"/>
                <w:sz w:val="20"/>
                <w:szCs w:val="20"/>
                <w:lang w:eastAsia="en-AU"/>
              </w:rPr>
            </w:pPr>
            <w:r w:rsidRPr="0017405A">
              <w:rPr>
                <w:rFonts w:ascii="Arial Narrow" w:eastAsia="Times New Roman" w:hAnsi="Arial Narrow" w:cs="Calibri"/>
                <w:color w:val="000000"/>
                <w:sz w:val="20"/>
                <w:szCs w:val="20"/>
                <w:lang w:eastAsia="en-AU"/>
              </w:rPr>
              <w:t>Weighted incremental cost per LY gained</w:t>
            </w:r>
          </w:p>
        </w:tc>
        <w:tc>
          <w:tcPr>
            <w:tcW w:w="2267" w:type="dxa"/>
            <w:shd w:val="clear" w:color="auto" w:fill="auto"/>
            <w:vAlign w:val="center"/>
          </w:tcPr>
          <w:p w14:paraId="3246BE64" w14:textId="452E7AAD"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6B2B32" w:rsidRPr="006B2B32">
              <w:rPr>
                <w:rFonts w:ascii="Arial Narrow" w:eastAsia="Times New Roman" w:hAnsi="Arial Narrow" w:cs="Calibri"/>
                <w:iCs/>
                <w:color w:val="000000"/>
                <w:sz w:val="20"/>
                <w:szCs w:val="20"/>
                <w:vertAlign w:val="superscript"/>
                <w:lang w:eastAsia="en-AU"/>
              </w:rPr>
              <w:t>1</w:t>
            </w:r>
          </w:p>
        </w:tc>
      </w:tr>
      <w:tr w:rsidR="00D7609F" w:rsidRPr="0017405A" w14:paraId="1B927BF7" w14:textId="77777777" w:rsidTr="003208F0">
        <w:trPr>
          <w:trHeight w:val="67"/>
        </w:trPr>
        <w:tc>
          <w:tcPr>
            <w:tcW w:w="6795" w:type="dxa"/>
            <w:gridSpan w:val="3"/>
            <w:shd w:val="clear" w:color="auto" w:fill="auto"/>
            <w:vAlign w:val="center"/>
          </w:tcPr>
          <w:p w14:paraId="0AA2DC5C" w14:textId="77777777" w:rsidR="00D7609F" w:rsidRPr="0017405A" w:rsidRDefault="00D7609F" w:rsidP="00846BA8">
            <w:pPr>
              <w:keepNext/>
              <w:keepLines/>
              <w:spacing w:before="0" w:after="0"/>
              <w:jc w:val="right"/>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color w:val="000000"/>
                <w:sz w:val="20"/>
                <w:szCs w:val="20"/>
                <w:lang w:eastAsia="en-AU"/>
              </w:rPr>
              <w:t>Weighted incremental cost per QALY gained</w:t>
            </w:r>
          </w:p>
        </w:tc>
        <w:tc>
          <w:tcPr>
            <w:tcW w:w="2267" w:type="dxa"/>
            <w:shd w:val="clear" w:color="auto" w:fill="auto"/>
            <w:vAlign w:val="center"/>
          </w:tcPr>
          <w:p w14:paraId="24EC62AE" w14:textId="5D47217F" w:rsidR="00D7609F" w:rsidRPr="0017405A" w:rsidRDefault="00D7609F" w:rsidP="00846BA8">
            <w:pPr>
              <w:keepNext/>
              <w:keepLines/>
              <w:spacing w:before="0" w:after="0"/>
              <w:jc w:val="center"/>
              <w:rPr>
                <w:rFonts w:ascii="Arial Narrow" w:eastAsia="Times New Roman" w:hAnsi="Arial Narrow" w:cs="Calibri"/>
                <w:b/>
                <w:bCs/>
                <w:iCs/>
                <w:color w:val="000000"/>
                <w:sz w:val="20"/>
                <w:szCs w:val="20"/>
                <w:highlight w:val="yellow"/>
                <w:lang w:eastAsia="en-AU"/>
              </w:rPr>
            </w:pPr>
            <w:r w:rsidRPr="0017405A">
              <w:rPr>
                <w:rFonts w:ascii="Arial Narrow" w:eastAsia="Times New Roman" w:hAnsi="Arial Narrow" w:cs="Calibri"/>
                <w:b/>
                <w:bCs/>
                <w:iCs/>
                <w:color w:val="000000"/>
                <w:sz w:val="20"/>
                <w:szCs w:val="20"/>
                <w:lang w:eastAsia="en-AU"/>
              </w:rPr>
              <w:t>$</w:t>
            </w:r>
            <w:r w:rsidR="009A1388"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6B2B32">
              <w:rPr>
                <w:rFonts w:ascii="Arial Narrow" w:eastAsia="Times New Roman" w:hAnsi="Arial Narrow" w:cs="Calibri"/>
                <w:iCs/>
                <w:color w:val="000000"/>
                <w:sz w:val="20"/>
                <w:szCs w:val="20"/>
                <w:vertAlign w:val="superscript"/>
                <w:lang w:eastAsia="en-AU"/>
              </w:rPr>
              <w:t>3</w:t>
            </w:r>
          </w:p>
        </w:tc>
      </w:tr>
      <w:tr w:rsidR="00D7609F" w:rsidRPr="0017405A" w14:paraId="6C92F743" w14:textId="77777777" w:rsidTr="003208F0">
        <w:trPr>
          <w:trHeight w:val="67"/>
        </w:trPr>
        <w:tc>
          <w:tcPr>
            <w:tcW w:w="9062" w:type="dxa"/>
            <w:gridSpan w:val="4"/>
            <w:shd w:val="clear" w:color="auto" w:fill="auto"/>
            <w:vAlign w:val="center"/>
            <w:hideMark/>
          </w:tcPr>
          <w:p w14:paraId="5DAA6289"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iCs/>
                <w:color w:val="000000"/>
                <w:sz w:val="20"/>
                <w:szCs w:val="20"/>
                <w:lang w:eastAsia="en-AU"/>
              </w:rPr>
              <w:t xml:space="preserve">Weighted pembrolizumab monotherapy (60%) and pembrolizumab plus chemotherapy (40%) </w:t>
            </w:r>
            <w:r w:rsidRPr="0017405A">
              <w:rPr>
                <w:rFonts w:ascii="Arial Narrow" w:eastAsia="Times New Roman" w:hAnsi="Arial Narrow" w:cs="Calibri"/>
                <w:color w:val="000000"/>
                <w:sz w:val="20"/>
                <w:szCs w:val="20"/>
                <w:vertAlign w:val="superscript"/>
                <w:lang w:eastAsia="en-AU"/>
              </w:rPr>
              <w:t>b</w:t>
            </w:r>
          </w:p>
        </w:tc>
      </w:tr>
      <w:tr w:rsidR="00D7609F" w:rsidRPr="0017405A" w14:paraId="0B124BDB" w14:textId="77777777" w:rsidTr="003208F0">
        <w:trPr>
          <w:trHeight w:val="67"/>
        </w:trPr>
        <w:tc>
          <w:tcPr>
            <w:tcW w:w="2256" w:type="dxa"/>
            <w:shd w:val="clear" w:color="auto" w:fill="auto"/>
            <w:vAlign w:val="center"/>
            <w:hideMark/>
          </w:tcPr>
          <w:p w14:paraId="5D24A8D8"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Cost</w:t>
            </w:r>
          </w:p>
        </w:tc>
        <w:tc>
          <w:tcPr>
            <w:tcW w:w="2412" w:type="dxa"/>
            <w:shd w:val="clear" w:color="auto" w:fill="auto"/>
            <w:vAlign w:val="center"/>
            <w:hideMark/>
          </w:tcPr>
          <w:p w14:paraId="626E48B3" w14:textId="049DE2BC"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p>
        </w:tc>
        <w:tc>
          <w:tcPr>
            <w:tcW w:w="2127" w:type="dxa"/>
            <w:shd w:val="clear" w:color="auto" w:fill="auto"/>
            <w:vAlign w:val="center"/>
            <w:hideMark/>
          </w:tcPr>
          <w:p w14:paraId="3BE7D9E3"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$35,150.73</w:t>
            </w:r>
          </w:p>
        </w:tc>
        <w:tc>
          <w:tcPr>
            <w:tcW w:w="2267" w:type="dxa"/>
            <w:shd w:val="clear" w:color="auto" w:fill="auto"/>
            <w:vAlign w:val="center"/>
            <w:hideMark/>
          </w:tcPr>
          <w:p w14:paraId="489EB1A8" w14:textId="093F58CA"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p>
        </w:tc>
      </w:tr>
      <w:tr w:rsidR="00D7609F" w:rsidRPr="0017405A" w14:paraId="70BF6776" w14:textId="77777777" w:rsidTr="003208F0">
        <w:trPr>
          <w:trHeight w:val="67"/>
        </w:trPr>
        <w:tc>
          <w:tcPr>
            <w:tcW w:w="2256" w:type="dxa"/>
            <w:shd w:val="clear" w:color="auto" w:fill="auto"/>
            <w:vAlign w:val="center"/>
            <w:hideMark/>
          </w:tcPr>
          <w:p w14:paraId="57F4D185"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LY</w:t>
            </w:r>
          </w:p>
        </w:tc>
        <w:tc>
          <w:tcPr>
            <w:tcW w:w="2412" w:type="dxa"/>
            <w:shd w:val="clear" w:color="auto" w:fill="auto"/>
            <w:vAlign w:val="center"/>
            <w:hideMark/>
          </w:tcPr>
          <w:p w14:paraId="6616C7A9"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1.7711</w:t>
            </w:r>
          </w:p>
        </w:tc>
        <w:tc>
          <w:tcPr>
            <w:tcW w:w="2127" w:type="dxa"/>
            <w:shd w:val="clear" w:color="auto" w:fill="auto"/>
            <w:vAlign w:val="center"/>
            <w:hideMark/>
          </w:tcPr>
          <w:p w14:paraId="12F69143"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1.3532</w:t>
            </w:r>
          </w:p>
        </w:tc>
        <w:tc>
          <w:tcPr>
            <w:tcW w:w="2267" w:type="dxa"/>
            <w:shd w:val="clear" w:color="auto" w:fill="auto"/>
            <w:vAlign w:val="center"/>
            <w:hideMark/>
          </w:tcPr>
          <w:p w14:paraId="182F7C47"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0.4179</w:t>
            </w:r>
          </w:p>
        </w:tc>
      </w:tr>
      <w:tr w:rsidR="00D7609F" w:rsidRPr="0017405A" w14:paraId="149534F2" w14:textId="77777777" w:rsidTr="003208F0">
        <w:trPr>
          <w:trHeight w:val="67"/>
        </w:trPr>
        <w:tc>
          <w:tcPr>
            <w:tcW w:w="2256" w:type="dxa"/>
            <w:shd w:val="clear" w:color="auto" w:fill="auto"/>
            <w:vAlign w:val="center"/>
            <w:hideMark/>
          </w:tcPr>
          <w:p w14:paraId="79F1187E"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QALY</w:t>
            </w:r>
          </w:p>
        </w:tc>
        <w:tc>
          <w:tcPr>
            <w:tcW w:w="2412" w:type="dxa"/>
            <w:shd w:val="clear" w:color="auto" w:fill="auto"/>
            <w:vAlign w:val="center"/>
            <w:hideMark/>
          </w:tcPr>
          <w:p w14:paraId="31459914"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1.3137</w:t>
            </w:r>
          </w:p>
        </w:tc>
        <w:tc>
          <w:tcPr>
            <w:tcW w:w="2127" w:type="dxa"/>
            <w:shd w:val="clear" w:color="auto" w:fill="auto"/>
            <w:vAlign w:val="center"/>
            <w:hideMark/>
          </w:tcPr>
          <w:p w14:paraId="560E5F1E"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1.0095</w:t>
            </w:r>
          </w:p>
        </w:tc>
        <w:tc>
          <w:tcPr>
            <w:tcW w:w="2267" w:type="dxa"/>
            <w:shd w:val="clear" w:color="auto" w:fill="auto"/>
            <w:vAlign w:val="center"/>
            <w:hideMark/>
          </w:tcPr>
          <w:p w14:paraId="0063ED5A"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0.3042</w:t>
            </w:r>
          </w:p>
        </w:tc>
      </w:tr>
      <w:tr w:rsidR="00D7609F" w:rsidRPr="0017405A" w14:paraId="4530A1EF" w14:textId="77777777" w:rsidTr="003208F0">
        <w:trPr>
          <w:trHeight w:val="67"/>
        </w:trPr>
        <w:tc>
          <w:tcPr>
            <w:tcW w:w="6795" w:type="dxa"/>
            <w:gridSpan w:val="3"/>
            <w:shd w:val="clear" w:color="auto" w:fill="auto"/>
            <w:vAlign w:val="center"/>
          </w:tcPr>
          <w:p w14:paraId="3B1CD194" w14:textId="77777777" w:rsidR="00D7609F" w:rsidRPr="0017405A" w:rsidRDefault="00D7609F" w:rsidP="00846BA8">
            <w:pPr>
              <w:keepNext/>
              <w:keepLines/>
              <w:spacing w:before="0" w:after="0"/>
              <w:jc w:val="right"/>
              <w:rPr>
                <w:rFonts w:ascii="Arial Narrow" w:eastAsia="Times New Roman" w:hAnsi="Arial Narrow" w:cs="Calibri"/>
                <w:iCs/>
                <w:color w:val="000000"/>
                <w:sz w:val="20"/>
                <w:szCs w:val="20"/>
                <w:lang w:eastAsia="en-AU"/>
              </w:rPr>
            </w:pPr>
            <w:r w:rsidRPr="0017405A">
              <w:rPr>
                <w:rFonts w:ascii="Arial Narrow" w:eastAsia="Times New Roman" w:hAnsi="Arial Narrow" w:cs="Calibri"/>
                <w:color w:val="000000"/>
                <w:sz w:val="20"/>
                <w:szCs w:val="20"/>
                <w:lang w:eastAsia="en-AU"/>
              </w:rPr>
              <w:t>Weighted incremental cost per LY gained</w:t>
            </w:r>
          </w:p>
        </w:tc>
        <w:tc>
          <w:tcPr>
            <w:tcW w:w="2267" w:type="dxa"/>
            <w:shd w:val="clear" w:color="auto" w:fill="auto"/>
            <w:vAlign w:val="center"/>
          </w:tcPr>
          <w:p w14:paraId="5BA0DC4F" w14:textId="2CC1A3DD"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9A1388"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6B2B32" w:rsidRPr="006B2B32">
              <w:rPr>
                <w:rFonts w:ascii="Arial Narrow" w:eastAsia="Times New Roman" w:hAnsi="Arial Narrow" w:cs="Calibri"/>
                <w:iCs/>
                <w:color w:val="000000"/>
                <w:sz w:val="20"/>
                <w:szCs w:val="20"/>
                <w:vertAlign w:val="superscript"/>
                <w:lang w:eastAsia="en-AU"/>
              </w:rPr>
              <w:t>1</w:t>
            </w:r>
          </w:p>
        </w:tc>
      </w:tr>
      <w:tr w:rsidR="00D7609F" w:rsidRPr="0017405A" w14:paraId="15A0A8F9" w14:textId="77777777" w:rsidTr="003208F0">
        <w:trPr>
          <w:trHeight w:val="67"/>
        </w:trPr>
        <w:tc>
          <w:tcPr>
            <w:tcW w:w="6795" w:type="dxa"/>
            <w:gridSpan w:val="3"/>
            <w:shd w:val="clear" w:color="auto" w:fill="auto"/>
            <w:vAlign w:val="center"/>
          </w:tcPr>
          <w:p w14:paraId="75C1227D" w14:textId="77777777" w:rsidR="00D7609F" w:rsidRPr="0017405A" w:rsidRDefault="00D7609F" w:rsidP="00846BA8">
            <w:pPr>
              <w:keepNext/>
              <w:keepLines/>
              <w:spacing w:before="0" w:after="0"/>
              <w:jc w:val="right"/>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color w:val="000000"/>
                <w:sz w:val="20"/>
                <w:szCs w:val="20"/>
                <w:lang w:eastAsia="en-AU"/>
              </w:rPr>
              <w:t>Weighted incremental cost per QALY gained</w:t>
            </w:r>
          </w:p>
        </w:tc>
        <w:tc>
          <w:tcPr>
            <w:tcW w:w="2267" w:type="dxa"/>
            <w:shd w:val="clear" w:color="auto" w:fill="auto"/>
            <w:vAlign w:val="center"/>
          </w:tcPr>
          <w:p w14:paraId="0D551F5B" w14:textId="65F94B7C" w:rsidR="00D7609F" w:rsidRPr="0017405A" w:rsidRDefault="00D7609F" w:rsidP="00846BA8">
            <w:pPr>
              <w:keepNext/>
              <w:keepLines/>
              <w:spacing w:before="0" w:after="0"/>
              <w:jc w:val="center"/>
              <w:rPr>
                <w:rFonts w:ascii="Arial Narrow" w:eastAsia="Times New Roman" w:hAnsi="Arial Narrow" w:cs="Calibri"/>
                <w:b/>
                <w:bCs/>
                <w:iCs/>
                <w:color w:val="000000"/>
                <w:sz w:val="20"/>
                <w:szCs w:val="20"/>
                <w:highlight w:val="yellow"/>
                <w:lang w:eastAsia="en-AU"/>
              </w:rPr>
            </w:pPr>
            <w:r w:rsidRPr="0017405A">
              <w:rPr>
                <w:rFonts w:ascii="Arial Narrow" w:eastAsia="Times New Roman" w:hAnsi="Arial Narrow" w:cs="Calibri"/>
                <w:b/>
                <w:bCs/>
                <w:iCs/>
                <w:color w:val="000000"/>
                <w:sz w:val="20"/>
                <w:szCs w:val="20"/>
                <w:lang w:eastAsia="en-AU"/>
              </w:rPr>
              <w:t>$</w:t>
            </w:r>
            <w:r w:rsidR="009A1388"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6B2B32">
              <w:rPr>
                <w:rFonts w:ascii="Arial Narrow" w:eastAsia="Times New Roman" w:hAnsi="Arial Narrow" w:cs="Calibri"/>
                <w:iCs/>
                <w:color w:val="000000"/>
                <w:sz w:val="20"/>
                <w:szCs w:val="20"/>
                <w:vertAlign w:val="superscript"/>
                <w:lang w:eastAsia="en-AU"/>
              </w:rPr>
              <w:t>2</w:t>
            </w:r>
          </w:p>
        </w:tc>
      </w:tr>
    </w:tbl>
    <w:p w14:paraId="4F7F13CD" w14:textId="77777777" w:rsidR="00D7609F" w:rsidRPr="00A24A89" w:rsidRDefault="00D7609F" w:rsidP="00846BA8">
      <w:pPr>
        <w:pStyle w:val="TableFooter"/>
        <w:keepNext/>
        <w:keepLines/>
        <w:widowControl/>
      </w:pPr>
      <w:r w:rsidRPr="00A24A89">
        <w:t xml:space="preserve">LY = life year, QALY = quality adjusted life year </w:t>
      </w:r>
    </w:p>
    <w:p w14:paraId="592773EA" w14:textId="77777777" w:rsidR="00D7609F" w:rsidRPr="00A24A89" w:rsidRDefault="00D7609F" w:rsidP="00846BA8">
      <w:pPr>
        <w:pStyle w:val="TableFooter"/>
        <w:keepNext/>
        <w:keepLines/>
        <w:widowControl/>
      </w:pPr>
      <w:r w:rsidRPr="00A24A89">
        <w:t xml:space="preserve">Text in italics indicate values calculated during the evaluation. </w:t>
      </w:r>
    </w:p>
    <w:p w14:paraId="5996CD0B" w14:textId="77777777" w:rsidR="00D7609F" w:rsidRDefault="00D7609F" w:rsidP="00846BA8">
      <w:pPr>
        <w:pStyle w:val="TableFooter"/>
        <w:keepNext/>
        <w:keepLines/>
        <w:widowControl/>
      </w:pPr>
      <w:r w:rsidRPr="00A24A89">
        <w:t>Source: Source: Constructed during evaluation</w:t>
      </w:r>
    </w:p>
    <w:p w14:paraId="09451490" w14:textId="77777777" w:rsidR="006D566E" w:rsidRPr="006B2B32" w:rsidRDefault="006D566E" w:rsidP="00846BA8">
      <w:pPr>
        <w:pStyle w:val="TableFooter"/>
        <w:keepNext/>
        <w:keepLines/>
        <w:widowControl/>
        <w:rPr>
          <w:i/>
        </w:rPr>
      </w:pPr>
      <w:r w:rsidRPr="006B2B32">
        <w:rPr>
          <w:i/>
        </w:rPr>
        <w:t>The redacted values correspond to the following ranges:</w:t>
      </w:r>
    </w:p>
    <w:p w14:paraId="3A328B90" w14:textId="77777777" w:rsidR="006D566E" w:rsidRPr="006B2B32" w:rsidRDefault="006D566E" w:rsidP="00846BA8">
      <w:pPr>
        <w:pStyle w:val="TableFooter"/>
        <w:keepNext/>
        <w:keepLines/>
        <w:widowControl/>
        <w:rPr>
          <w:i/>
        </w:rPr>
      </w:pPr>
      <w:r w:rsidRPr="006B2B32">
        <w:rPr>
          <w:i/>
          <w:vertAlign w:val="superscript"/>
        </w:rPr>
        <w:t>1</w:t>
      </w:r>
      <w:r w:rsidRPr="006B2B32">
        <w:rPr>
          <w:i/>
        </w:rPr>
        <w:t xml:space="preserve"> $55,000 to &lt; $75,000</w:t>
      </w:r>
    </w:p>
    <w:p w14:paraId="4020F671" w14:textId="77777777" w:rsidR="006B2B32" w:rsidRPr="006B2B32" w:rsidRDefault="006B2B32" w:rsidP="00846BA8">
      <w:pPr>
        <w:pStyle w:val="TableFooter"/>
        <w:keepNext/>
        <w:keepLines/>
        <w:widowControl/>
        <w:rPr>
          <w:i/>
        </w:rPr>
      </w:pPr>
      <w:r w:rsidRPr="006B2B32">
        <w:rPr>
          <w:i/>
          <w:vertAlign w:val="superscript"/>
        </w:rPr>
        <w:t>2</w:t>
      </w:r>
      <w:r w:rsidRPr="006B2B32">
        <w:rPr>
          <w:i/>
        </w:rPr>
        <w:t xml:space="preserve"> $75,000 to &lt; $95,000</w:t>
      </w:r>
    </w:p>
    <w:p w14:paraId="4B9B32CE" w14:textId="77777777" w:rsidR="006B2B32" w:rsidRPr="006B2B32" w:rsidRDefault="006B2B32" w:rsidP="00846BA8">
      <w:pPr>
        <w:pStyle w:val="TableFooter"/>
        <w:keepNext/>
        <w:keepLines/>
        <w:widowControl/>
        <w:rPr>
          <w:i/>
        </w:rPr>
      </w:pPr>
      <w:r w:rsidRPr="006B2B32">
        <w:rPr>
          <w:i/>
          <w:vertAlign w:val="superscript"/>
        </w:rPr>
        <w:t>3</w:t>
      </w:r>
      <w:r w:rsidRPr="006B2B32">
        <w:rPr>
          <w:i/>
        </w:rPr>
        <w:t xml:space="preserve"> $95,000 to &lt; $115,000</w:t>
      </w:r>
    </w:p>
    <w:p w14:paraId="1BF8D5F1" w14:textId="77777777" w:rsidR="00D7609F" w:rsidRPr="004224C5" w:rsidRDefault="00D7609F" w:rsidP="004224C5">
      <w:pPr>
        <w:pStyle w:val="ListParagraph"/>
        <w:numPr>
          <w:ilvl w:val="4"/>
          <w:numId w:val="1"/>
        </w:numPr>
      </w:pPr>
      <w:r w:rsidRPr="00A24A89">
        <w:rPr>
          <w:color w:val="auto"/>
        </w:rPr>
        <w:t xml:space="preserve">In </w:t>
      </w:r>
      <w:r w:rsidR="006D1C43">
        <w:rPr>
          <w:color w:val="auto"/>
        </w:rPr>
        <w:t>SA</w:t>
      </w:r>
      <w:r w:rsidRPr="00A24A89">
        <w:rPr>
          <w:color w:val="auto"/>
        </w:rPr>
        <w:t>2</w:t>
      </w:r>
      <w:r w:rsidR="006D1C43">
        <w:rPr>
          <w:color w:val="auto"/>
        </w:rPr>
        <w:t>,</w:t>
      </w:r>
      <w:r w:rsidRPr="00A24A89">
        <w:rPr>
          <w:color w:val="auto"/>
        </w:rPr>
        <w:t xml:space="preserve"> the economic model results were modified to capture the likely discordance between the diagnostic test used in the pivotal trial and the test employed in Australia for the </w:t>
      </w:r>
      <w:r w:rsidR="002B1C15" w:rsidRPr="00A24A89">
        <w:rPr>
          <w:color w:val="auto"/>
        </w:rPr>
        <w:t>CPS ≥1</w:t>
      </w:r>
      <w:r w:rsidRPr="00A24A89">
        <w:rPr>
          <w:color w:val="auto"/>
        </w:rPr>
        <w:t xml:space="preserve"> measure. The resubmission assumed </w:t>
      </w:r>
      <w:r w:rsidR="006D1C43">
        <w:rPr>
          <w:color w:val="auto"/>
        </w:rPr>
        <w:t xml:space="preserve">96% sensitivity and specificity for the </w:t>
      </w:r>
      <w:r w:rsidR="002B1C15" w:rsidRPr="00A24A89">
        <w:rPr>
          <w:color w:val="auto"/>
        </w:rPr>
        <w:t xml:space="preserve">CPS </w:t>
      </w:r>
      <w:r w:rsidR="006D1C43">
        <w:rPr>
          <w:color w:val="auto"/>
        </w:rPr>
        <w:t xml:space="preserve">test based on results from </w:t>
      </w:r>
      <w:r w:rsidRPr="00A24A89">
        <w:rPr>
          <w:color w:val="auto"/>
        </w:rPr>
        <w:t xml:space="preserve">Vainer 2019. </w:t>
      </w:r>
      <w:r w:rsidR="00515806" w:rsidRPr="00E31F5B">
        <w:rPr>
          <w:rFonts w:cstheme="minorHAnsi"/>
          <w:iCs/>
          <w:color w:val="auto"/>
          <w:szCs w:val="24"/>
        </w:rPr>
        <w:t xml:space="preserve">The PSCR noted that the trial data already captures false positives and false negatives that occur using the 22C3 </w:t>
      </w:r>
      <w:proofErr w:type="spellStart"/>
      <w:r w:rsidR="00515806" w:rsidRPr="00E31F5B">
        <w:rPr>
          <w:rFonts w:cstheme="minorHAnsi"/>
          <w:iCs/>
          <w:color w:val="auto"/>
          <w:szCs w:val="24"/>
        </w:rPr>
        <w:t>PharmDx</w:t>
      </w:r>
      <w:proofErr w:type="spellEnd"/>
      <w:r w:rsidR="00515806" w:rsidRPr="00E31F5B">
        <w:rPr>
          <w:rFonts w:cstheme="minorHAnsi"/>
          <w:iCs/>
          <w:color w:val="auto"/>
          <w:szCs w:val="24"/>
        </w:rPr>
        <w:t xml:space="preserve"> kit employed in the trial and the sensitivity analysis using 96% reflects potential discordance between the </w:t>
      </w:r>
      <w:r w:rsidR="00515806" w:rsidRPr="00E31F5B">
        <w:rPr>
          <w:rFonts w:cstheme="minorHAnsi"/>
          <w:iCs/>
          <w:color w:val="auto"/>
          <w:szCs w:val="24"/>
          <w:lang w:val="en-US"/>
        </w:rPr>
        <w:t>22C3 Pharm Dx Kit and the 22C3 lab developed test likely to be used in Australia</w:t>
      </w:r>
      <w:r w:rsidR="00515806" w:rsidRPr="00E31F5B">
        <w:rPr>
          <w:rFonts w:cstheme="minorHAnsi"/>
          <w:iCs/>
          <w:color w:val="auto"/>
          <w:szCs w:val="24"/>
        </w:rPr>
        <w:t xml:space="preserve">. The ESCs noted that the sensitivity and specificity for the CPS ≥20 would be different but noted that the sensitivity analyses indicated that the sensitivity and specificity of the test appeared to have a </w:t>
      </w:r>
      <w:proofErr w:type="gramStart"/>
      <w:r w:rsidR="00515806" w:rsidRPr="00E31F5B">
        <w:rPr>
          <w:rFonts w:cstheme="minorHAnsi"/>
          <w:iCs/>
          <w:color w:val="auto"/>
          <w:szCs w:val="24"/>
        </w:rPr>
        <w:t>fairly minimal</w:t>
      </w:r>
      <w:proofErr w:type="gramEnd"/>
      <w:r w:rsidR="00515806" w:rsidRPr="00E31F5B">
        <w:rPr>
          <w:rFonts w:cstheme="minorHAnsi"/>
          <w:iCs/>
          <w:color w:val="auto"/>
          <w:szCs w:val="24"/>
        </w:rPr>
        <w:t xml:space="preserve"> impact on the ICER (4.2% increase when sensitivity and specificity decreased from 96% to 85%</w:t>
      </w:r>
      <w:r w:rsidR="00463CFE">
        <w:rPr>
          <w:rFonts w:cstheme="minorHAnsi"/>
          <w:iCs/>
          <w:color w:val="auto"/>
          <w:szCs w:val="24"/>
        </w:rPr>
        <w:t>)</w:t>
      </w:r>
      <w:r w:rsidR="00515806" w:rsidRPr="00E31F5B">
        <w:rPr>
          <w:rFonts w:cstheme="minorHAnsi"/>
          <w:iCs/>
          <w:color w:val="auto"/>
          <w:szCs w:val="24"/>
        </w:rPr>
        <w:t>.</w:t>
      </w:r>
      <w:r w:rsidR="004224C5">
        <w:rPr>
          <w:rFonts w:cstheme="minorHAnsi"/>
          <w:iCs/>
          <w:color w:val="auto"/>
          <w:szCs w:val="24"/>
        </w:rPr>
        <w:t xml:space="preserve"> </w:t>
      </w:r>
      <w:r w:rsidR="004224C5" w:rsidRPr="0017405A">
        <w:rPr>
          <w:iCs/>
        </w:rPr>
        <w:t xml:space="preserve">In SA2, the resubmission assumed that any QALY decrement in patients misclassified as false positives would be offset (on a </w:t>
      </w:r>
      <w:proofErr w:type="gramStart"/>
      <w:r w:rsidR="004224C5" w:rsidRPr="0017405A">
        <w:rPr>
          <w:iCs/>
        </w:rPr>
        <w:t>one to one</w:t>
      </w:r>
      <w:proofErr w:type="gramEnd"/>
      <w:r w:rsidR="004224C5" w:rsidRPr="0017405A">
        <w:rPr>
          <w:iCs/>
        </w:rPr>
        <w:t xml:space="preserve"> ratio) by any QALY gain in patients correctly identified as CPS &gt;1 and treated with pembrolizumab. This may not be appropriate.</w:t>
      </w:r>
    </w:p>
    <w:p w14:paraId="34342E82" w14:textId="77777777" w:rsidR="00D7609F" w:rsidRPr="00A24A89" w:rsidRDefault="00D7609F" w:rsidP="00B82316">
      <w:pPr>
        <w:pStyle w:val="ListParagraph"/>
        <w:numPr>
          <w:ilvl w:val="4"/>
          <w:numId w:val="1"/>
        </w:numPr>
      </w:pPr>
      <w:r w:rsidRPr="00A24A89">
        <w:t>The results of key</w:t>
      </w:r>
      <w:r w:rsidR="00277A42">
        <w:t xml:space="preserve"> additional</w:t>
      </w:r>
      <w:r w:rsidRPr="00A24A89">
        <w:t xml:space="preserve"> sensitivity analyses conducted in the commentary for the adjusted model are presented in </w:t>
      </w:r>
      <w:r w:rsidR="008D43ED">
        <w:t xml:space="preserve">Table </w:t>
      </w:r>
      <w:r w:rsidR="008D43ED">
        <w:rPr>
          <w:noProof/>
        </w:rPr>
        <w:t>20</w:t>
      </w:r>
      <w:r w:rsidRPr="00A24A89">
        <w:t>.</w:t>
      </w:r>
    </w:p>
    <w:p w14:paraId="50E8EE4B" w14:textId="77777777" w:rsidR="00D7609F" w:rsidRPr="00A24A89" w:rsidRDefault="00E31F5B" w:rsidP="00024DCD">
      <w:pPr>
        <w:pStyle w:val="Caption"/>
      </w:pPr>
      <w:bookmarkStart w:id="79" w:name="_Ref80071254"/>
      <w:r>
        <w:lastRenderedPageBreak/>
        <w:t xml:space="preserve">Table </w:t>
      </w:r>
      <w:r w:rsidR="008D43ED">
        <w:rPr>
          <w:noProof/>
        </w:rPr>
        <w:t>20</w:t>
      </w:r>
      <w:bookmarkEnd w:id="79"/>
      <w:r w:rsidR="00024DCD">
        <w:t xml:space="preserve">: </w:t>
      </w:r>
      <w:r w:rsidR="00D7609F" w:rsidRPr="00A24A89">
        <w:t>Key sensitivity analyses conducted during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0: Key sensitivity analyses conducted during evaluation"/>
      </w:tblPr>
      <w:tblGrid>
        <w:gridCol w:w="2674"/>
        <w:gridCol w:w="1149"/>
        <w:gridCol w:w="1147"/>
        <w:gridCol w:w="1262"/>
        <w:gridCol w:w="1701"/>
        <w:gridCol w:w="1083"/>
      </w:tblGrid>
      <w:tr w:rsidR="00D7609F" w:rsidRPr="0017405A" w14:paraId="7FBB5C37" w14:textId="77777777" w:rsidTr="009A1388">
        <w:trPr>
          <w:trHeight w:val="20"/>
        </w:trPr>
        <w:tc>
          <w:tcPr>
            <w:tcW w:w="2674" w:type="dxa"/>
            <w:shd w:val="clear" w:color="auto" w:fill="auto"/>
            <w:vAlign w:val="center"/>
            <w:hideMark/>
          </w:tcPr>
          <w:p w14:paraId="130A8E83"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Univariate analyses</w:t>
            </w:r>
          </w:p>
        </w:tc>
        <w:tc>
          <w:tcPr>
            <w:tcW w:w="1149" w:type="dxa"/>
            <w:shd w:val="clear" w:color="auto" w:fill="auto"/>
            <w:vAlign w:val="center"/>
            <w:hideMark/>
          </w:tcPr>
          <w:p w14:paraId="1709F436"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Model/ comparison</w:t>
            </w:r>
          </w:p>
        </w:tc>
        <w:tc>
          <w:tcPr>
            <w:tcW w:w="1147" w:type="dxa"/>
            <w:tcBorders>
              <w:bottom w:val="single" w:sz="4" w:space="0" w:color="auto"/>
            </w:tcBorders>
            <w:shd w:val="clear" w:color="auto" w:fill="auto"/>
            <w:vAlign w:val="center"/>
            <w:hideMark/>
          </w:tcPr>
          <w:p w14:paraId="73EA6D11"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Incremental costs</w:t>
            </w:r>
            <w:r w:rsidR="008D2A5A">
              <w:rPr>
                <w:rFonts w:ascii="Arial Narrow" w:eastAsia="Times New Roman" w:hAnsi="Arial Narrow" w:cs="Calibri"/>
                <w:b/>
                <w:bCs/>
                <w:color w:val="000000"/>
                <w:sz w:val="20"/>
                <w:szCs w:val="20"/>
                <w:lang w:eastAsia="en-AU"/>
              </w:rPr>
              <w:t xml:space="preserve"> ($)</w:t>
            </w:r>
          </w:p>
        </w:tc>
        <w:tc>
          <w:tcPr>
            <w:tcW w:w="1262" w:type="dxa"/>
            <w:shd w:val="clear" w:color="auto" w:fill="auto"/>
            <w:vAlign w:val="center"/>
            <w:hideMark/>
          </w:tcPr>
          <w:p w14:paraId="036720E3"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Incremental effectiveness (QALY)</w:t>
            </w:r>
          </w:p>
        </w:tc>
        <w:tc>
          <w:tcPr>
            <w:tcW w:w="1701" w:type="dxa"/>
            <w:shd w:val="clear" w:color="auto" w:fill="auto"/>
            <w:vAlign w:val="center"/>
            <w:hideMark/>
          </w:tcPr>
          <w:p w14:paraId="266553BF"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Incremental cost-effectiveness ($/QALY)</w:t>
            </w:r>
          </w:p>
        </w:tc>
        <w:tc>
          <w:tcPr>
            <w:tcW w:w="1083" w:type="dxa"/>
            <w:shd w:val="clear" w:color="auto" w:fill="auto"/>
            <w:vAlign w:val="center"/>
            <w:hideMark/>
          </w:tcPr>
          <w:p w14:paraId="184A9178"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 change from base case</w:t>
            </w:r>
          </w:p>
        </w:tc>
      </w:tr>
      <w:tr w:rsidR="00D7609F" w:rsidRPr="0017405A" w14:paraId="151E0C9F" w14:textId="77777777" w:rsidTr="009A1388">
        <w:trPr>
          <w:trHeight w:val="20"/>
        </w:trPr>
        <w:tc>
          <w:tcPr>
            <w:tcW w:w="2674" w:type="dxa"/>
            <w:vMerge w:val="restart"/>
            <w:shd w:val="clear" w:color="auto" w:fill="F2F2F2" w:themeFill="background1" w:themeFillShade="F2"/>
            <w:vAlign w:val="center"/>
            <w:hideMark/>
          </w:tcPr>
          <w:p w14:paraId="51CDAFF4"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Base case</w:t>
            </w:r>
          </w:p>
        </w:tc>
        <w:tc>
          <w:tcPr>
            <w:tcW w:w="1149" w:type="dxa"/>
            <w:shd w:val="clear" w:color="auto" w:fill="F2F2F2" w:themeFill="background1" w:themeFillShade="F2"/>
            <w:vAlign w:val="center"/>
            <w:hideMark/>
          </w:tcPr>
          <w:p w14:paraId="5AE3F4C9"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EA1</w:t>
            </w:r>
          </w:p>
        </w:tc>
        <w:tc>
          <w:tcPr>
            <w:tcW w:w="1147" w:type="dxa"/>
            <w:tcBorders>
              <w:bottom w:val="single" w:sz="4" w:space="0" w:color="auto"/>
            </w:tcBorders>
            <w:shd w:val="solid" w:color="000000" w:fill="000000"/>
            <w:noWrap/>
            <w:vAlign w:val="center"/>
            <w:hideMark/>
          </w:tcPr>
          <w:p w14:paraId="7632B85B" w14:textId="10EF07F5" w:rsidR="00D7609F" w:rsidRPr="009A1388"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hint="eastAsia"/>
                <w:b/>
                <w:bCs/>
                <w:iCs/>
                <w:noProof/>
                <w:color w:val="000000"/>
                <w:w w:val="26"/>
                <w:sz w:val="20"/>
                <w:szCs w:val="20"/>
                <w:fitText w:val="120" w:id="-1500867327"/>
                <w:lang w:eastAsia="en-AU"/>
                <w14:textFill>
                  <w14:solidFill>
                    <w14:srgbClr w14:val="000000">
                      <w14:alpha w14:val="100000"/>
                    </w14:srgbClr>
                  </w14:solidFill>
                </w14:textFill>
              </w:rPr>
              <w:t xml:space="preserve">　</w:t>
            </w:r>
            <w:r w:rsidRPr="009A1388">
              <w:rPr>
                <w:rFonts w:ascii="Arial Narrow" w:eastAsia="Times New Roman" w:hAnsi="Arial Narrow" w:cs="Calibri"/>
                <w:b/>
                <w:bCs/>
                <w:iCs/>
                <w:noProof/>
                <w:color w:val="000000"/>
                <w:w w:val="26"/>
                <w:sz w:val="20"/>
                <w:szCs w:val="20"/>
                <w:fitText w:val="120" w:id="-1500867327"/>
                <w:lang w:eastAsia="en-AU"/>
                <w14:textFill>
                  <w14:solidFill>
                    <w14:srgbClr w14:val="000000">
                      <w14:alpha w14:val="100000"/>
                    </w14:srgbClr>
                  </w14:solidFill>
                </w14:textFill>
              </w:rPr>
              <w:t>|</w:t>
            </w:r>
            <w:r w:rsidRPr="009A1388">
              <w:rPr>
                <w:rFonts w:ascii="Arial Narrow" w:eastAsia="Times New Roman" w:hAnsi="Arial Narrow" w:cs="Calibri" w:hint="eastAsia"/>
                <w:b/>
                <w:bCs/>
                <w:iCs/>
                <w:noProof/>
                <w:color w:val="000000"/>
                <w:w w:val="26"/>
                <w:sz w:val="20"/>
                <w:szCs w:val="20"/>
                <w:fitText w:val="120" w:id="-1500867327"/>
                <w:lang w:eastAsia="en-AU"/>
                <w14:textFill>
                  <w14:solidFill>
                    <w14:srgbClr w14:val="000000">
                      <w14:alpha w14:val="100000"/>
                    </w14:srgbClr>
                  </w14:solidFill>
                </w14:textFill>
              </w:rPr>
              <w:t xml:space="preserve">　</w:t>
            </w:r>
          </w:p>
        </w:tc>
        <w:tc>
          <w:tcPr>
            <w:tcW w:w="1262" w:type="dxa"/>
            <w:shd w:val="clear" w:color="auto" w:fill="F2F2F2" w:themeFill="background1" w:themeFillShade="F2"/>
            <w:noWrap/>
            <w:vAlign w:val="center"/>
            <w:hideMark/>
          </w:tcPr>
          <w:p w14:paraId="12D76622"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0.5987</w:t>
            </w:r>
          </w:p>
        </w:tc>
        <w:tc>
          <w:tcPr>
            <w:tcW w:w="1701" w:type="dxa"/>
            <w:shd w:val="clear" w:color="auto" w:fill="F2F2F2" w:themeFill="background1" w:themeFillShade="F2"/>
            <w:noWrap/>
            <w:vAlign w:val="center"/>
            <w:hideMark/>
          </w:tcPr>
          <w:p w14:paraId="6C75EF8E" w14:textId="58C27C78" w:rsidR="00D7609F" w:rsidRPr="00A703C1"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F2F2F2" w:themeFill="background1" w:themeFillShade="F2"/>
            <w:vAlign w:val="center"/>
            <w:hideMark/>
          </w:tcPr>
          <w:p w14:paraId="03740630"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p>
        </w:tc>
      </w:tr>
      <w:tr w:rsidR="00D7609F" w:rsidRPr="0017405A" w14:paraId="2B193310" w14:textId="77777777" w:rsidTr="009A1388">
        <w:trPr>
          <w:trHeight w:val="20"/>
        </w:trPr>
        <w:tc>
          <w:tcPr>
            <w:tcW w:w="2674" w:type="dxa"/>
            <w:vMerge/>
            <w:shd w:val="clear" w:color="auto" w:fill="F2F2F2" w:themeFill="background1" w:themeFillShade="F2"/>
            <w:vAlign w:val="center"/>
            <w:hideMark/>
          </w:tcPr>
          <w:p w14:paraId="3CD6F78B"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F2F2F2" w:themeFill="background1" w:themeFillShade="F2"/>
            <w:vAlign w:val="center"/>
            <w:hideMark/>
          </w:tcPr>
          <w:p w14:paraId="1DE369C9"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EA2</w:t>
            </w:r>
          </w:p>
        </w:tc>
        <w:tc>
          <w:tcPr>
            <w:tcW w:w="1147" w:type="dxa"/>
            <w:shd w:val="solid" w:color="000000" w:fill="000000"/>
            <w:noWrap/>
            <w:vAlign w:val="center"/>
            <w:hideMark/>
          </w:tcPr>
          <w:p w14:paraId="385E1924" w14:textId="076F094F" w:rsidR="00D7609F" w:rsidRPr="009A1388"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hint="eastAsia"/>
                <w:b/>
                <w:bCs/>
                <w:iCs/>
                <w:noProof/>
                <w:color w:val="000000"/>
                <w:w w:val="26"/>
                <w:sz w:val="20"/>
                <w:szCs w:val="20"/>
                <w:fitText w:val="120" w:id="-1500867326"/>
                <w:lang w:eastAsia="en-AU"/>
                <w14:textFill>
                  <w14:solidFill>
                    <w14:srgbClr w14:val="000000">
                      <w14:alpha w14:val="100000"/>
                    </w14:srgbClr>
                  </w14:solidFill>
                </w14:textFill>
              </w:rPr>
              <w:t xml:space="preserve">　</w:t>
            </w:r>
            <w:r w:rsidRPr="009A1388">
              <w:rPr>
                <w:rFonts w:ascii="Arial Narrow" w:eastAsia="Times New Roman" w:hAnsi="Arial Narrow" w:cs="Calibri"/>
                <w:b/>
                <w:bCs/>
                <w:iCs/>
                <w:noProof/>
                <w:color w:val="000000"/>
                <w:w w:val="26"/>
                <w:sz w:val="20"/>
                <w:szCs w:val="20"/>
                <w:fitText w:val="120" w:id="-1500867326"/>
                <w:lang w:eastAsia="en-AU"/>
                <w14:textFill>
                  <w14:solidFill>
                    <w14:srgbClr w14:val="000000">
                      <w14:alpha w14:val="100000"/>
                    </w14:srgbClr>
                  </w14:solidFill>
                </w14:textFill>
              </w:rPr>
              <w:t>|</w:t>
            </w:r>
            <w:r w:rsidRPr="009A1388">
              <w:rPr>
                <w:rFonts w:ascii="Arial Narrow" w:eastAsia="Times New Roman" w:hAnsi="Arial Narrow" w:cs="Calibri" w:hint="eastAsia"/>
                <w:b/>
                <w:bCs/>
                <w:iCs/>
                <w:noProof/>
                <w:color w:val="000000"/>
                <w:w w:val="26"/>
                <w:sz w:val="20"/>
                <w:szCs w:val="20"/>
                <w:fitText w:val="120" w:id="-1500867326"/>
                <w:lang w:eastAsia="en-AU"/>
                <w14:textFill>
                  <w14:solidFill>
                    <w14:srgbClr w14:val="000000">
                      <w14:alpha w14:val="100000"/>
                    </w14:srgbClr>
                  </w14:solidFill>
                </w14:textFill>
              </w:rPr>
              <w:t xml:space="preserve">　</w:t>
            </w:r>
          </w:p>
        </w:tc>
        <w:tc>
          <w:tcPr>
            <w:tcW w:w="1262" w:type="dxa"/>
            <w:shd w:val="clear" w:color="auto" w:fill="F2F2F2" w:themeFill="background1" w:themeFillShade="F2"/>
            <w:noWrap/>
            <w:vAlign w:val="center"/>
            <w:hideMark/>
          </w:tcPr>
          <w:p w14:paraId="0CF73ABF"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0.3501</w:t>
            </w:r>
          </w:p>
        </w:tc>
        <w:tc>
          <w:tcPr>
            <w:tcW w:w="1701" w:type="dxa"/>
            <w:shd w:val="clear" w:color="auto" w:fill="F2F2F2" w:themeFill="background1" w:themeFillShade="F2"/>
            <w:noWrap/>
            <w:vAlign w:val="center"/>
            <w:hideMark/>
          </w:tcPr>
          <w:p w14:paraId="03955B80" w14:textId="06376492" w:rsidR="00D7609F" w:rsidRPr="00A703C1"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F2F2F2" w:themeFill="background1" w:themeFillShade="F2"/>
            <w:vAlign w:val="center"/>
            <w:hideMark/>
          </w:tcPr>
          <w:p w14:paraId="13E3F420"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p>
        </w:tc>
      </w:tr>
      <w:tr w:rsidR="00D7609F" w:rsidRPr="0017405A" w14:paraId="52FED76A" w14:textId="77777777" w:rsidTr="009A1388">
        <w:trPr>
          <w:trHeight w:val="20"/>
        </w:trPr>
        <w:tc>
          <w:tcPr>
            <w:tcW w:w="2674" w:type="dxa"/>
            <w:vMerge/>
            <w:shd w:val="clear" w:color="auto" w:fill="F2F2F2" w:themeFill="background1" w:themeFillShade="F2"/>
            <w:vAlign w:val="center"/>
            <w:hideMark/>
          </w:tcPr>
          <w:p w14:paraId="00C8B293"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F2F2F2" w:themeFill="background1" w:themeFillShade="F2"/>
            <w:vAlign w:val="center"/>
            <w:hideMark/>
          </w:tcPr>
          <w:p w14:paraId="2E776900"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Weighted</w:t>
            </w:r>
          </w:p>
        </w:tc>
        <w:tc>
          <w:tcPr>
            <w:tcW w:w="1147" w:type="dxa"/>
            <w:tcBorders>
              <w:bottom w:val="single" w:sz="4" w:space="0" w:color="auto"/>
            </w:tcBorders>
            <w:shd w:val="clear" w:color="auto" w:fill="F2F2F2" w:themeFill="background1" w:themeFillShade="F2"/>
            <w:noWrap/>
            <w:vAlign w:val="center"/>
            <w:hideMark/>
          </w:tcPr>
          <w:p w14:paraId="3603F64D"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 </w:t>
            </w:r>
          </w:p>
        </w:tc>
        <w:tc>
          <w:tcPr>
            <w:tcW w:w="1262" w:type="dxa"/>
            <w:shd w:val="clear" w:color="auto" w:fill="F2F2F2" w:themeFill="background1" w:themeFillShade="F2"/>
            <w:noWrap/>
            <w:vAlign w:val="center"/>
            <w:hideMark/>
          </w:tcPr>
          <w:p w14:paraId="510CAA05"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 </w:t>
            </w:r>
          </w:p>
        </w:tc>
        <w:tc>
          <w:tcPr>
            <w:tcW w:w="1701" w:type="dxa"/>
            <w:shd w:val="clear" w:color="auto" w:fill="F2F2F2" w:themeFill="background1" w:themeFillShade="F2"/>
            <w:noWrap/>
            <w:vAlign w:val="center"/>
            <w:hideMark/>
          </w:tcPr>
          <w:p w14:paraId="6DE37341" w14:textId="2A162E50" w:rsidR="00D7609F" w:rsidRPr="0017405A"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F2F2F2" w:themeFill="background1" w:themeFillShade="F2"/>
            <w:vAlign w:val="center"/>
            <w:hideMark/>
          </w:tcPr>
          <w:p w14:paraId="49C984F7"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p>
        </w:tc>
      </w:tr>
      <w:tr w:rsidR="00D7609F" w:rsidRPr="0017405A" w14:paraId="5BE2BCCA" w14:textId="77777777" w:rsidTr="009A1388">
        <w:trPr>
          <w:trHeight w:val="20"/>
        </w:trPr>
        <w:tc>
          <w:tcPr>
            <w:tcW w:w="2674" w:type="dxa"/>
            <w:vMerge w:val="restart"/>
            <w:shd w:val="clear" w:color="auto" w:fill="auto"/>
            <w:vAlign w:val="center"/>
            <w:hideMark/>
          </w:tcPr>
          <w:p w14:paraId="159AD5A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 xml:space="preserve">Time </w:t>
            </w:r>
            <w:proofErr w:type="gramStart"/>
            <w:r w:rsidRPr="0017405A">
              <w:rPr>
                <w:rFonts w:ascii="Arial Narrow" w:eastAsia="Times New Roman" w:hAnsi="Arial Narrow" w:cs="Calibri"/>
                <w:color w:val="000000"/>
                <w:sz w:val="20"/>
                <w:szCs w:val="20"/>
                <w:lang w:eastAsia="en-AU"/>
              </w:rPr>
              <w:t>horizon</w:t>
            </w:r>
            <w:proofErr w:type="gramEnd"/>
            <w:r w:rsidRPr="0017405A">
              <w:rPr>
                <w:rFonts w:ascii="Arial Narrow" w:eastAsia="Times New Roman" w:hAnsi="Arial Narrow" w:cs="Calibri"/>
                <w:color w:val="000000"/>
                <w:sz w:val="20"/>
                <w:szCs w:val="20"/>
                <w:lang w:eastAsia="en-AU"/>
              </w:rPr>
              <w:t xml:space="preserve"> decrease to 5 years (base case 7.5 years)</w:t>
            </w:r>
          </w:p>
        </w:tc>
        <w:tc>
          <w:tcPr>
            <w:tcW w:w="1149" w:type="dxa"/>
            <w:shd w:val="clear" w:color="auto" w:fill="auto"/>
            <w:vAlign w:val="center"/>
            <w:hideMark/>
          </w:tcPr>
          <w:p w14:paraId="700225F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hideMark/>
          </w:tcPr>
          <w:p w14:paraId="1D77D345" w14:textId="1AF68E97"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25"/>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25"/>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25"/>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18F0C3D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0.3901</w:t>
            </w:r>
          </w:p>
        </w:tc>
        <w:tc>
          <w:tcPr>
            <w:tcW w:w="1701" w:type="dxa"/>
            <w:shd w:val="clear" w:color="auto" w:fill="auto"/>
            <w:noWrap/>
            <w:vAlign w:val="center"/>
            <w:hideMark/>
          </w:tcPr>
          <w:p w14:paraId="6795539C" w14:textId="65B01901"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66B57F5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+46.97%</w:t>
            </w:r>
          </w:p>
        </w:tc>
      </w:tr>
      <w:tr w:rsidR="00D7609F" w:rsidRPr="0017405A" w14:paraId="345BE37F" w14:textId="77777777" w:rsidTr="009A1388">
        <w:trPr>
          <w:trHeight w:val="20"/>
        </w:trPr>
        <w:tc>
          <w:tcPr>
            <w:tcW w:w="2674" w:type="dxa"/>
            <w:vMerge/>
            <w:vAlign w:val="center"/>
            <w:hideMark/>
          </w:tcPr>
          <w:p w14:paraId="24717437"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F842BDC"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hideMark/>
          </w:tcPr>
          <w:p w14:paraId="7C937481" w14:textId="742D0E0E"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24"/>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24"/>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24"/>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3FE9740C"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0.2587</w:t>
            </w:r>
          </w:p>
        </w:tc>
        <w:tc>
          <w:tcPr>
            <w:tcW w:w="1701" w:type="dxa"/>
            <w:shd w:val="clear" w:color="auto" w:fill="auto"/>
            <w:noWrap/>
            <w:vAlign w:val="center"/>
            <w:hideMark/>
          </w:tcPr>
          <w:p w14:paraId="7A15BB82" w14:textId="321FDF14" w:rsidR="00D7609F" w:rsidRPr="00A703C1"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iCs/>
                <w:color w:val="000000"/>
                <w:sz w:val="20"/>
                <w:szCs w:val="20"/>
                <w:vertAlign w:val="superscript"/>
                <w:lang w:eastAsia="en-AU"/>
              </w:rPr>
              <w:t>3</w:t>
            </w:r>
          </w:p>
        </w:tc>
        <w:tc>
          <w:tcPr>
            <w:tcW w:w="1083" w:type="dxa"/>
            <w:shd w:val="clear" w:color="auto" w:fill="auto"/>
            <w:vAlign w:val="center"/>
            <w:hideMark/>
          </w:tcPr>
          <w:p w14:paraId="2EC7718C"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+30.55%</w:t>
            </w:r>
          </w:p>
        </w:tc>
      </w:tr>
      <w:tr w:rsidR="00D7609F" w:rsidRPr="0017405A" w14:paraId="4C8920AD" w14:textId="77777777" w:rsidTr="009A1388">
        <w:trPr>
          <w:trHeight w:val="20"/>
        </w:trPr>
        <w:tc>
          <w:tcPr>
            <w:tcW w:w="2674" w:type="dxa"/>
            <w:vMerge/>
            <w:vAlign w:val="center"/>
            <w:hideMark/>
          </w:tcPr>
          <w:p w14:paraId="44335E98"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01C0D6CC"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tcBorders>
              <w:bottom w:val="single" w:sz="4" w:space="0" w:color="auto"/>
            </w:tcBorders>
            <w:shd w:val="clear" w:color="auto" w:fill="auto"/>
            <w:noWrap/>
            <w:vAlign w:val="center"/>
            <w:hideMark/>
          </w:tcPr>
          <w:p w14:paraId="5DFD00F6"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4E1AC7B1"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746BB879" w14:textId="7D85825F"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iCs/>
                <w:color w:val="000000"/>
                <w:sz w:val="20"/>
                <w:szCs w:val="20"/>
                <w:vertAlign w:val="superscript"/>
                <w:lang w:eastAsia="en-AU"/>
              </w:rPr>
              <w:t>3</w:t>
            </w:r>
          </w:p>
        </w:tc>
        <w:tc>
          <w:tcPr>
            <w:tcW w:w="1083" w:type="dxa"/>
            <w:shd w:val="clear" w:color="auto" w:fill="auto"/>
            <w:vAlign w:val="center"/>
            <w:hideMark/>
          </w:tcPr>
          <w:p w14:paraId="6390FEBA"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+38.83%</w:t>
            </w:r>
          </w:p>
        </w:tc>
      </w:tr>
      <w:tr w:rsidR="00D7609F" w:rsidRPr="0017405A" w14:paraId="1CAE71E1" w14:textId="77777777" w:rsidTr="009A1388">
        <w:trPr>
          <w:trHeight w:val="20"/>
        </w:trPr>
        <w:tc>
          <w:tcPr>
            <w:tcW w:w="2674" w:type="dxa"/>
            <w:vMerge w:val="restart"/>
            <w:shd w:val="clear" w:color="auto" w:fill="auto"/>
            <w:vAlign w:val="center"/>
            <w:hideMark/>
          </w:tcPr>
          <w:p w14:paraId="43B77765"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vertAlign w:val="superscript"/>
                <w:lang w:eastAsia="en-AU"/>
              </w:rPr>
            </w:pPr>
            <w:r w:rsidRPr="0017405A">
              <w:rPr>
                <w:rFonts w:ascii="Arial Narrow" w:eastAsia="Times New Roman" w:hAnsi="Arial Narrow" w:cs="Calibri"/>
                <w:color w:val="000000"/>
                <w:sz w:val="20"/>
                <w:szCs w:val="20"/>
                <w:lang w:eastAsia="en-AU"/>
              </w:rPr>
              <w:t xml:space="preserve">Apply SoC QALY from EA2 (n=255, QALY = 0.9962) to SoC in EA1 (n=235, QALY = </w:t>
            </w:r>
            <w:proofErr w:type="gramStart"/>
            <w:r w:rsidRPr="0017405A">
              <w:rPr>
                <w:rFonts w:ascii="Arial Narrow" w:eastAsia="Times New Roman" w:hAnsi="Arial Narrow" w:cs="Calibri"/>
                <w:color w:val="000000"/>
                <w:sz w:val="20"/>
                <w:szCs w:val="20"/>
                <w:lang w:eastAsia="en-AU"/>
              </w:rPr>
              <w:t>0.9111)</w:t>
            </w:r>
            <w:r w:rsidRPr="0017405A">
              <w:rPr>
                <w:rFonts w:ascii="Arial Narrow" w:eastAsia="Times New Roman" w:hAnsi="Arial Narrow" w:cs="Calibri"/>
                <w:color w:val="000000"/>
                <w:sz w:val="20"/>
                <w:szCs w:val="20"/>
                <w:vertAlign w:val="superscript"/>
                <w:lang w:eastAsia="en-AU"/>
              </w:rPr>
              <w:t>a</w:t>
            </w:r>
            <w:proofErr w:type="gramEnd"/>
          </w:p>
        </w:tc>
        <w:tc>
          <w:tcPr>
            <w:tcW w:w="1149" w:type="dxa"/>
            <w:shd w:val="clear" w:color="auto" w:fill="auto"/>
            <w:vAlign w:val="center"/>
            <w:hideMark/>
          </w:tcPr>
          <w:p w14:paraId="706C42C4"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hideMark/>
          </w:tcPr>
          <w:p w14:paraId="044A5AAF" w14:textId="2A12663D"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23"/>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23"/>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23"/>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33859A41"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0.5136</w:t>
            </w:r>
          </w:p>
        </w:tc>
        <w:tc>
          <w:tcPr>
            <w:tcW w:w="1701" w:type="dxa"/>
            <w:shd w:val="clear" w:color="auto" w:fill="auto"/>
            <w:noWrap/>
            <w:vAlign w:val="center"/>
          </w:tcPr>
          <w:p w14:paraId="277B8FAC" w14:textId="1812E334"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4A438E1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+16.57%</w:t>
            </w:r>
          </w:p>
        </w:tc>
      </w:tr>
      <w:tr w:rsidR="00D7609F" w:rsidRPr="0017405A" w14:paraId="4121069B" w14:textId="77777777" w:rsidTr="009A1388">
        <w:trPr>
          <w:trHeight w:val="20"/>
        </w:trPr>
        <w:tc>
          <w:tcPr>
            <w:tcW w:w="2674" w:type="dxa"/>
            <w:vMerge/>
            <w:vAlign w:val="center"/>
            <w:hideMark/>
          </w:tcPr>
          <w:p w14:paraId="6B538BB1"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7F230606"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hideMark/>
          </w:tcPr>
          <w:p w14:paraId="7DAB16C7" w14:textId="6157BF66"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22"/>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22"/>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22"/>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2795C136"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0.3501</w:t>
            </w:r>
          </w:p>
        </w:tc>
        <w:tc>
          <w:tcPr>
            <w:tcW w:w="1701" w:type="dxa"/>
            <w:shd w:val="clear" w:color="auto" w:fill="auto"/>
            <w:noWrap/>
            <w:vAlign w:val="center"/>
          </w:tcPr>
          <w:p w14:paraId="37220444" w14:textId="24DD28C5"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2F0A81C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p>
        </w:tc>
      </w:tr>
      <w:tr w:rsidR="00D7609F" w:rsidRPr="0017405A" w14:paraId="379DA50A" w14:textId="77777777" w:rsidTr="009A1388">
        <w:trPr>
          <w:trHeight w:val="20"/>
        </w:trPr>
        <w:tc>
          <w:tcPr>
            <w:tcW w:w="2674" w:type="dxa"/>
            <w:vMerge/>
            <w:vAlign w:val="center"/>
            <w:hideMark/>
          </w:tcPr>
          <w:p w14:paraId="2B07505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52A0C508"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tcBorders>
              <w:bottom w:val="single" w:sz="4" w:space="0" w:color="auto"/>
            </w:tcBorders>
            <w:shd w:val="clear" w:color="auto" w:fill="auto"/>
            <w:noWrap/>
            <w:vAlign w:val="center"/>
            <w:hideMark/>
          </w:tcPr>
          <w:p w14:paraId="7CB3B80B"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15A86CAB"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tcPr>
          <w:p w14:paraId="795D9A88" w14:textId="7FC0281E"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16FE5F60"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+8.19%</w:t>
            </w:r>
          </w:p>
        </w:tc>
      </w:tr>
      <w:tr w:rsidR="00D7609F" w:rsidRPr="0017405A" w14:paraId="60BDE7CB" w14:textId="77777777" w:rsidTr="009A1388">
        <w:trPr>
          <w:trHeight w:val="20"/>
        </w:trPr>
        <w:tc>
          <w:tcPr>
            <w:tcW w:w="2674" w:type="dxa"/>
            <w:vMerge w:val="restart"/>
            <w:shd w:val="clear" w:color="auto" w:fill="auto"/>
            <w:vAlign w:val="center"/>
            <w:hideMark/>
          </w:tcPr>
          <w:p w14:paraId="35D14F31"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Use utilities from cetuximab March 2018 submission, PF 0.69, PD 0.52 (base case PF 0.787, PD 0.707)</w:t>
            </w:r>
          </w:p>
        </w:tc>
        <w:tc>
          <w:tcPr>
            <w:tcW w:w="1149" w:type="dxa"/>
            <w:shd w:val="clear" w:color="auto" w:fill="auto"/>
            <w:vAlign w:val="center"/>
            <w:hideMark/>
          </w:tcPr>
          <w:p w14:paraId="39D7ED7B"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hideMark/>
          </w:tcPr>
          <w:p w14:paraId="2BBE69FE" w14:textId="6B21CB4D"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21"/>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21"/>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21"/>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42F4F4BD"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0.4694</w:t>
            </w:r>
          </w:p>
        </w:tc>
        <w:tc>
          <w:tcPr>
            <w:tcW w:w="1701" w:type="dxa"/>
            <w:shd w:val="clear" w:color="auto" w:fill="auto"/>
            <w:noWrap/>
            <w:vAlign w:val="center"/>
            <w:hideMark/>
          </w:tcPr>
          <w:p w14:paraId="4A5DCABB" w14:textId="5AC60099"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0B373A22"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+27.55%</w:t>
            </w:r>
          </w:p>
        </w:tc>
      </w:tr>
      <w:tr w:rsidR="00D7609F" w:rsidRPr="0017405A" w14:paraId="4B613141" w14:textId="77777777" w:rsidTr="009A1388">
        <w:trPr>
          <w:trHeight w:val="20"/>
        </w:trPr>
        <w:tc>
          <w:tcPr>
            <w:tcW w:w="2674" w:type="dxa"/>
            <w:vMerge/>
            <w:vAlign w:val="center"/>
            <w:hideMark/>
          </w:tcPr>
          <w:p w14:paraId="70722E7C"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676E3FC8"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hideMark/>
          </w:tcPr>
          <w:p w14:paraId="0B91DBDD" w14:textId="72EF352C"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20"/>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20"/>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20"/>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75AC5897"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0.2750</w:t>
            </w:r>
          </w:p>
        </w:tc>
        <w:tc>
          <w:tcPr>
            <w:tcW w:w="1701" w:type="dxa"/>
            <w:shd w:val="clear" w:color="auto" w:fill="auto"/>
            <w:noWrap/>
            <w:vAlign w:val="center"/>
            <w:hideMark/>
          </w:tcPr>
          <w:p w14:paraId="6FCF989B" w14:textId="0307AFB8"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iCs/>
                <w:color w:val="000000"/>
                <w:sz w:val="20"/>
                <w:szCs w:val="20"/>
                <w:vertAlign w:val="superscript"/>
                <w:lang w:eastAsia="en-AU"/>
              </w:rPr>
              <w:t>3</w:t>
            </w:r>
          </w:p>
        </w:tc>
        <w:tc>
          <w:tcPr>
            <w:tcW w:w="1083" w:type="dxa"/>
            <w:shd w:val="clear" w:color="auto" w:fill="auto"/>
            <w:vAlign w:val="center"/>
            <w:hideMark/>
          </w:tcPr>
          <w:p w14:paraId="0A1E66FA"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+27.28%</w:t>
            </w:r>
          </w:p>
        </w:tc>
      </w:tr>
      <w:tr w:rsidR="00D7609F" w:rsidRPr="0017405A" w14:paraId="4B87C0DE" w14:textId="77777777" w:rsidTr="009A1388">
        <w:trPr>
          <w:trHeight w:val="20"/>
        </w:trPr>
        <w:tc>
          <w:tcPr>
            <w:tcW w:w="2674" w:type="dxa"/>
            <w:vMerge/>
            <w:vAlign w:val="center"/>
            <w:hideMark/>
          </w:tcPr>
          <w:p w14:paraId="6AAB597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4A92FAD3"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tcBorders>
              <w:bottom w:val="single" w:sz="4" w:space="0" w:color="auto"/>
            </w:tcBorders>
            <w:shd w:val="clear" w:color="auto" w:fill="auto"/>
            <w:noWrap/>
            <w:vAlign w:val="center"/>
            <w:hideMark/>
          </w:tcPr>
          <w:p w14:paraId="03AD4207"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28CAC410"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05D0522A" w14:textId="7396F162"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23ECB927"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+27.42%</w:t>
            </w:r>
          </w:p>
        </w:tc>
      </w:tr>
      <w:tr w:rsidR="00D7609F" w:rsidRPr="0017405A" w14:paraId="6DC1C07D" w14:textId="77777777" w:rsidTr="009A1388">
        <w:trPr>
          <w:trHeight w:val="20"/>
        </w:trPr>
        <w:tc>
          <w:tcPr>
            <w:tcW w:w="2674" w:type="dxa"/>
            <w:vMerge w:val="restart"/>
            <w:shd w:val="clear" w:color="auto" w:fill="auto"/>
            <w:vAlign w:val="center"/>
            <w:hideMark/>
          </w:tcPr>
          <w:p w14:paraId="31FEEB3A"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Assume 25% 2L nivolumab use in SoC (base case 50%)</w:t>
            </w:r>
          </w:p>
        </w:tc>
        <w:tc>
          <w:tcPr>
            <w:tcW w:w="1149" w:type="dxa"/>
            <w:shd w:val="clear" w:color="auto" w:fill="auto"/>
            <w:vAlign w:val="center"/>
            <w:hideMark/>
          </w:tcPr>
          <w:p w14:paraId="1B92DD19"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hideMark/>
          </w:tcPr>
          <w:p w14:paraId="6C38D76E" w14:textId="66EC9427"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19"/>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19"/>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19"/>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5BAD7E83"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0.6207</w:t>
            </w:r>
          </w:p>
        </w:tc>
        <w:tc>
          <w:tcPr>
            <w:tcW w:w="1701" w:type="dxa"/>
            <w:shd w:val="clear" w:color="auto" w:fill="auto"/>
            <w:noWrap/>
            <w:vAlign w:val="center"/>
            <w:hideMark/>
          </w:tcPr>
          <w:p w14:paraId="29DB42A1" w14:textId="65773B36"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hideMark/>
          </w:tcPr>
          <w:p w14:paraId="5B97E890"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+10.42%</w:t>
            </w:r>
          </w:p>
        </w:tc>
      </w:tr>
      <w:tr w:rsidR="00D7609F" w:rsidRPr="0017405A" w14:paraId="6AFD5F11" w14:textId="77777777" w:rsidTr="009A1388">
        <w:trPr>
          <w:trHeight w:val="20"/>
        </w:trPr>
        <w:tc>
          <w:tcPr>
            <w:tcW w:w="2674" w:type="dxa"/>
            <w:vMerge/>
            <w:vAlign w:val="center"/>
            <w:hideMark/>
          </w:tcPr>
          <w:p w14:paraId="3D0275FE"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2757169"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hideMark/>
          </w:tcPr>
          <w:p w14:paraId="0E8C7E59" w14:textId="10D32166"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18"/>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18"/>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18"/>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3ED7CE76"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0.3854</w:t>
            </w:r>
          </w:p>
        </w:tc>
        <w:tc>
          <w:tcPr>
            <w:tcW w:w="1701" w:type="dxa"/>
            <w:shd w:val="clear" w:color="auto" w:fill="auto"/>
            <w:noWrap/>
            <w:vAlign w:val="center"/>
            <w:hideMark/>
          </w:tcPr>
          <w:p w14:paraId="78184C32" w14:textId="680879DF"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5730175E"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+9.79%</w:t>
            </w:r>
          </w:p>
        </w:tc>
      </w:tr>
      <w:tr w:rsidR="00D7609F" w:rsidRPr="0017405A" w14:paraId="61D75E41" w14:textId="77777777" w:rsidTr="009A1388">
        <w:trPr>
          <w:trHeight w:val="20"/>
        </w:trPr>
        <w:tc>
          <w:tcPr>
            <w:tcW w:w="2674" w:type="dxa"/>
            <w:vMerge/>
            <w:vAlign w:val="center"/>
            <w:hideMark/>
          </w:tcPr>
          <w:p w14:paraId="1534FAED"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C8B115E"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tcBorders>
              <w:bottom w:val="single" w:sz="4" w:space="0" w:color="auto"/>
            </w:tcBorders>
            <w:shd w:val="clear" w:color="auto" w:fill="auto"/>
            <w:noWrap/>
            <w:vAlign w:val="center"/>
            <w:hideMark/>
          </w:tcPr>
          <w:p w14:paraId="6E26109F"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45589CEC"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7388D8A2" w14:textId="519F8FF7"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63EBA2F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+10.36%</w:t>
            </w:r>
          </w:p>
        </w:tc>
      </w:tr>
      <w:tr w:rsidR="00D7609F" w:rsidRPr="0017405A" w14:paraId="1C4B1E0C" w14:textId="77777777" w:rsidTr="009A1388">
        <w:trPr>
          <w:trHeight w:val="20"/>
        </w:trPr>
        <w:tc>
          <w:tcPr>
            <w:tcW w:w="2674" w:type="dxa"/>
            <w:vMerge w:val="restart"/>
            <w:shd w:val="clear" w:color="auto" w:fill="auto"/>
            <w:vAlign w:val="center"/>
            <w:hideMark/>
          </w:tcPr>
          <w:p w14:paraId="1E47C7DF"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Halve treatment duration of 2L nivolumab use in SoC</w:t>
            </w:r>
          </w:p>
        </w:tc>
        <w:tc>
          <w:tcPr>
            <w:tcW w:w="1149" w:type="dxa"/>
            <w:shd w:val="clear" w:color="auto" w:fill="auto"/>
            <w:vAlign w:val="center"/>
            <w:hideMark/>
          </w:tcPr>
          <w:p w14:paraId="42CB6AD6"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hideMark/>
          </w:tcPr>
          <w:p w14:paraId="10CE6FC2" w14:textId="25F9CD87"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17"/>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17"/>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17"/>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5AA21B0D"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0.5987</w:t>
            </w:r>
          </w:p>
        </w:tc>
        <w:tc>
          <w:tcPr>
            <w:tcW w:w="1701" w:type="dxa"/>
            <w:shd w:val="clear" w:color="auto" w:fill="auto"/>
            <w:noWrap/>
            <w:vAlign w:val="center"/>
            <w:hideMark/>
          </w:tcPr>
          <w:p w14:paraId="17F496B2" w14:textId="374F628F"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hideMark/>
          </w:tcPr>
          <w:p w14:paraId="1D45DD6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+14.55%</w:t>
            </w:r>
          </w:p>
        </w:tc>
      </w:tr>
      <w:tr w:rsidR="00D7609F" w:rsidRPr="0017405A" w14:paraId="6D4CDF16" w14:textId="77777777" w:rsidTr="009A1388">
        <w:trPr>
          <w:trHeight w:val="20"/>
        </w:trPr>
        <w:tc>
          <w:tcPr>
            <w:tcW w:w="2674" w:type="dxa"/>
            <w:vMerge/>
            <w:vAlign w:val="center"/>
            <w:hideMark/>
          </w:tcPr>
          <w:p w14:paraId="08CC683D"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4C79047"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hideMark/>
          </w:tcPr>
          <w:p w14:paraId="16F6BC67" w14:textId="08837196"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16"/>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16"/>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16"/>
                <w:lang w:eastAsia="en-AU"/>
                <w14:textFill>
                  <w14:solidFill>
                    <w14:srgbClr w14:val="000000">
                      <w14:alpha w14:val="100000"/>
                    </w14:srgbClr>
                  </w14:solidFill>
                </w14:textFill>
              </w:rPr>
              <w:t xml:space="preserve">　</w:t>
            </w:r>
          </w:p>
        </w:tc>
        <w:tc>
          <w:tcPr>
            <w:tcW w:w="1262" w:type="dxa"/>
            <w:shd w:val="clear" w:color="auto" w:fill="auto"/>
            <w:noWrap/>
            <w:vAlign w:val="center"/>
            <w:hideMark/>
          </w:tcPr>
          <w:p w14:paraId="12A66F4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0.3501</w:t>
            </w:r>
          </w:p>
        </w:tc>
        <w:tc>
          <w:tcPr>
            <w:tcW w:w="1701" w:type="dxa"/>
            <w:shd w:val="clear" w:color="auto" w:fill="auto"/>
            <w:noWrap/>
            <w:vAlign w:val="center"/>
            <w:hideMark/>
          </w:tcPr>
          <w:p w14:paraId="16077838" w14:textId="492CBD74"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379BC121"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+20.82%</w:t>
            </w:r>
          </w:p>
        </w:tc>
      </w:tr>
      <w:tr w:rsidR="00D7609F" w:rsidRPr="0017405A" w14:paraId="4D22E2CB" w14:textId="77777777" w:rsidTr="009A1388">
        <w:trPr>
          <w:trHeight w:val="20"/>
        </w:trPr>
        <w:tc>
          <w:tcPr>
            <w:tcW w:w="2674" w:type="dxa"/>
            <w:vMerge/>
            <w:vAlign w:val="center"/>
            <w:hideMark/>
          </w:tcPr>
          <w:p w14:paraId="39172F8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4986198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tcBorders>
              <w:bottom w:val="single" w:sz="4" w:space="0" w:color="auto"/>
            </w:tcBorders>
            <w:shd w:val="clear" w:color="auto" w:fill="auto"/>
            <w:noWrap/>
            <w:vAlign w:val="center"/>
            <w:hideMark/>
          </w:tcPr>
          <w:p w14:paraId="388EAD62"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549E51CE"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58B5376F" w14:textId="76F20053" w:rsidR="00D7609F" w:rsidRPr="0017405A"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3B1C70DF"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+17.75%</w:t>
            </w:r>
          </w:p>
        </w:tc>
      </w:tr>
      <w:tr w:rsidR="00631FD7" w:rsidRPr="0017405A" w14:paraId="249BBED3" w14:textId="77777777" w:rsidTr="009A1388">
        <w:trPr>
          <w:trHeight w:val="20"/>
        </w:trPr>
        <w:tc>
          <w:tcPr>
            <w:tcW w:w="2674" w:type="dxa"/>
            <w:vMerge w:val="restart"/>
            <w:shd w:val="clear" w:color="auto" w:fill="auto"/>
            <w:vAlign w:val="center"/>
          </w:tcPr>
          <w:p w14:paraId="4E636009" w14:textId="77777777" w:rsidR="00631FD7" w:rsidRPr="0017405A" w:rsidRDefault="00631FD7" w:rsidP="00024651">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Discount rate, 0%</w:t>
            </w:r>
          </w:p>
        </w:tc>
        <w:tc>
          <w:tcPr>
            <w:tcW w:w="1149" w:type="dxa"/>
            <w:shd w:val="clear" w:color="auto" w:fill="auto"/>
            <w:vAlign w:val="center"/>
          </w:tcPr>
          <w:p w14:paraId="55680E63" w14:textId="77777777" w:rsidR="00631FD7" w:rsidRPr="0017405A" w:rsidRDefault="00631FD7"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tcPr>
          <w:p w14:paraId="13FCD2FF" w14:textId="56F12966" w:rsidR="00631FD7" w:rsidRPr="009A1388"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315"/>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315"/>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315"/>
                <w:lang w:eastAsia="en-AU"/>
                <w14:textFill>
                  <w14:solidFill>
                    <w14:srgbClr w14:val="000000">
                      <w14:alpha w14:val="100000"/>
                    </w14:srgbClr>
                  </w14:solidFill>
                </w14:textFill>
              </w:rPr>
              <w:t xml:space="preserve">　</w:t>
            </w:r>
          </w:p>
        </w:tc>
        <w:tc>
          <w:tcPr>
            <w:tcW w:w="1262" w:type="dxa"/>
            <w:shd w:val="clear" w:color="auto" w:fill="auto"/>
            <w:noWrap/>
            <w:vAlign w:val="center"/>
          </w:tcPr>
          <w:p w14:paraId="65372ABF"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0.7180</w:t>
            </w:r>
          </w:p>
        </w:tc>
        <w:tc>
          <w:tcPr>
            <w:tcW w:w="1701" w:type="dxa"/>
            <w:shd w:val="clear" w:color="auto" w:fill="auto"/>
            <w:noWrap/>
            <w:vAlign w:val="center"/>
          </w:tcPr>
          <w:p w14:paraId="106FBE60" w14:textId="101E1FAD" w:rsidR="00631FD7"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29E72C50"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-14.04%</w:t>
            </w:r>
          </w:p>
        </w:tc>
      </w:tr>
      <w:tr w:rsidR="00631FD7" w:rsidRPr="0017405A" w14:paraId="3D2B25DB" w14:textId="77777777" w:rsidTr="009A1388">
        <w:trPr>
          <w:trHeight w:val="20"/>
        </w:trPr>
        <w:tc>
          <w:tcPr>
            <w:tcW w:w="2674" w:type="dxa"/>
            <w:vMerge/>
            <w:shd w:val="clear" w:color="auto" w:fill="auto"/>
            <w:vAlign w:val="center"/>
          </w:tcPr>
          <w:p w14:paraId="05F45C41" w14:textId="77777777" w:rsidR="00631FD7" w:rsidRPr="0017405A" w:rsidRDefault="00631FD7"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0A83D48D" w14:textId="77777777" w:rsidR="00631FD7" w:rsidRPr="0017405A" w:rsidRDefault="00631FD7"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tcPr>
          <w:p w14:paraId="7E7DDBC4" w14:textId="0AE8DC5D" w:rsidR="00631FD7" w:rsidRPr="009A1388"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072"/>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072"/>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072"/>
                <w:lang w:eastAsia="en-AU"/>
                <w14:textFill>
                  <w14:solidFill>
                    <w14:srgbClr w14:val="000000">
                      <w14:alpha w14:val="100000"/>
                    </w14:srgbClr>
                  </w14:solidFill>
                </w14:textFill>
              </w:rPr>
              <w:t xml:space="preserve">　</w:t>
            </w:r>
          </w:p>
        </w:tc>
        <w:tc>
          <w:tcPr>
            <w:tcW w:w="1262" w:type="dxa"/>
            <w:shd w:val="clear" w:color="auto" w:fill="auto"/>
            <w:noWrap/>
            <w:vAlign w:val="center"/>
          </w:tcPr>
          <w:p w14:paraId="3D64F766"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0.4134</w:t>
            </w:r>
          </w:p>
        </w:tc>
        <w:tc>
          <w:tcPr>
            <w:tcW w:w="1701" w:type="dxa"/>
            <w:shd w:val="clear" w:color="auto" w:fill="auto"/>
            <w:noWrap/>
            <w:vAlign w:val="center"/>
          </w:tcPr>
          <w:p w14:paraId="6573CE02" w14:textId="60906166" w:rsidR="00631FD7"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26B30748"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-11.87%</w:t>
            </w:r>
          </w:p>
        </w:tc>
      </w:tr>
      <w:tr w:rsidR="00AB176D" w:rsidRPr="0017405A" w14:paraId="430350B5" w14:textId="77777777" w:rsidTr="009A1388">
        <w:trPr>
          <w:trHeight w:val="20"/>
        </w:trPr>
        <w:tc>
          <w:tcPr>
            <w:tcW w:w="2674" w:type="dxa"/>
            <w:vMerge/>
            <w:shd w:val="clear" w:color="auto" w:fill="auto"/>
            <w:vAlign w:val="center"/>
          </w:tcPr>
          <w:p w14:paraId="3B580E16" w14:textId="77777777" w:rsidR="00AB176D" w:rsidRPr="0017405A" w:rsidRDefault="00AB176D" w:rsidP="00AB176D">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3C213F6E" w14:textId="77777777" w:rsidR="00AB176D" w:rsidRPr="0017405A" w:rsidRDefault="00AB176D" w:rsidP="00AB176D">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tcBorders>
              <w:bottom w:val="single" w:sz="4" w:space="0" w:color="auto"/>
            </w:tcBorders>
            <w:shd w:val="clear" w:color="auto" w:fill="auto"/>
            <w:noWrap/>
            <w:vAlign w:val="center"/>
          </w:tcPr>
          <w:p w14:paraId="628B25D7" w14:textId="77777777" w:rsidR="00AB176D" w:rsidRPr="0017405A" w:rsidRDefault="00AB176D" w:rsidP="00AB176D">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0F37A2DE" w14:textId="77777777" w:rsidR="00AB176D" w:rsidRPr="0017405A" w:rsidRDefault="00AB176D" w:rsidP="00AB176D">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646FD87E" w14:textId="44BFD151" w:rsidR="00AB176D" w:rsidRPr="0017405A" w:rsidRDefault="009A1388" w:rsidP="00AB176D">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hAnsi="Arial Narrow" w:cs="Calibri"/>
                <w:iCs/>
                <w:noProof/>
                <w:color w:val="000000"/>
                <w:sz w:val="20"/>
                <w:szCs w:val="20"/>
                <w:shd w:val="solid" w:color="000000" w:fill="000000"/>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31D13C4E" w14:textId="77777777" w:rsidR="00AB176D" w:rsidRPr="0017405A" w:rsidRDefault="00AB176D" w:rsidP="00AB176D">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hAnsi="Arial Narrow" w:cs="Calibri"/>
                <w:iCs/>
                <w:color w:val="000000"/>
                <w:sz w:val="20"/>
                <w:szCs w:val="20"/>
              </w:rPr>
              <w:t>-10.70%</w:t>
            </w:r>
          </w:p>
        </w:tc>
      </w:tr>
      <w:tr w:rsidR="004A7C5D" w:rsidRPr="0017405A" w14:paraId="2162A67F" w14:textId="77777777" w:rsidTr="009A1388">
        <w:trPr>
          <w:trHeight w:val="20"/>
        </w:trPr>
        <w:tc>
          <w:tcPr>
            <w:tcW w:w="2674" w:type="dxa"/>
            <w:vMerge w:val="restart"/>
            <w:shd w:val="clear" w:color="auto" w:fill="auto"/>
            <w:vAlign w:val="center"/>
          </w:tcPr>
          <w:p w14:paraId="713BF775" w14:textId="77777777" w:rsidR="004A7C5D" w:rsidRPr="0017405A" w:rsidRDefault="004A7C5D" w:rsidP="00024651">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Discount rate, 3.5%</w:t>
            </w:r>
          </w:p>
        </w:tc>
        <w:tc>
          <w:tcPr>
            <w:tcW w:w="1149" w:type="dxa"/>
            <w:shd w:val="clear" w:color="auto" w:fill="auto"/>
            <w:vAlign w:val="center"/>
          </w:tcPr>
          <w:p w14:paraId="24913D30" w14:textId="77777777" w:rsidR="004A7C5D" w:rsidRPr="0017405A" w:rsidRDefault="004A7C5D"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tcPr>
          <w:p w14:paraId="72E533AD" w14:textId="601A1685" w:rsidR="004A7C5D" w:rsidRPr="009A1388"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071"/>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071"/>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071"/>
                <w:lang w:eastAsia="en-AU"/>
                <w14:textFill>
                  <w14:solidFill>
                    <w14:srgbClr w14:val="000000">
                      <w14:alpha w14:val="100000"/>
                    </w14:srgbClr>
                  </w14:solidFill>
                </w14:textFill>
              </w:rPr>
              <w:t xml:space="preserve">　</w:t>
            </w:r>
          </w:p>
        </w:tc>
        <w:tc>
          <w:tcPr>
            <w:tcW w:w="1262" w:type="dxa"/>
            <w:shd w:val="clear" w:color="auto" w:fill="auto"/>
            <w:noWrap/>
            <w:vAlign w:val="center"/>
          </w:tcPr>
          <w:p w14:paraId="5DFC5A7F"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0.6311</w:t>
            </w:r>
          </w:p>
        </w:tc>
        <w:tc>
          <w:tcPr>
            <w:tcW w:w="1701" w:type="dxa"/>
            <w:shd w:val="clear" w:color="auto" w:fill="auto"/>
            <w:noWrap/>
            <w:vAlign w:val="center"/>
          </w:tcPr>
          <w:p w14:paraId="3528B4A5" w14:textId="245D846F" w:rsidR="004A7C5D"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75A6F71A"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-4.32%</w:t>
            </w:r>
          </w:p>
        </w:tc>
      </w:tr>
      <w:tr w:rsidR="004A7C5D" w:rsidRPr="0017405A" w14:paraId="4976052E" w14:textId="77777777" w:rsidTr="009A1388">
        <w:trPr>
          <w:trHeight w:val="20"/>
        </w:trPr>
        <w:tc>
          <w:tcPr>
            <w:tcW w:w="2674" w:type="dxa"/>
            <w:vMerge/>
            <w:shd w:val="clear" w:color="auto" w:fill="auto"/>
            <w:vAlign w:val="center"/>
          </w:tcPr>
          <w:p w14:paraId="609A07F6" w14:textId="77777777" w:rsidR="004A7C5D" w:rsidRPr="0017405A" w:rsidRDefault="004A7C5D"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1030608E" w14:textId="77777777" w:rsidR="004A7C5D" w:rsidRPr="0017405A" w:rsidRDefault="004A7C5D"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tcPr>
          <w:p w14:paraId="2AF4E88D" w14:textId="599A966D" w:rsidR="004A7C5D" w:rsidRPr="009A1388"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070"/>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070"/>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070"/>
                <w:lang w:eastAsia="en-AU"/>
                <w14:textFill>
                  <w14:solidFill>
                    <w14:srgbClr w14:val="000000">
                      <w14:alpha w14:val="100000"/>
                    </w14:srgbClr>
                  </w14:solidFill>
                </w14:textFill>
              </w:rPr>
              <w:t xml:space="preserve">　</w:t>
            </w:r>
          </w:p>
        </w:tc>
        <w:tc>
          <w:tcPr>
            <w:tcW w:w="1262" w:type="dxa"/>
            <w:shd w:val="clear" w:color="auto" w:fill="auto"/>
            <w:noWrap/>
            <w:vAlign w:val="center"/>
          </w:tcPr>
          <w:p w14:paraId="108A2F35"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0.3674</w:t>
            </w:r>
          </w:p>
        </w:tc>
        <w:tc>
          <w:tcPr>
            <w:tcW w:w="1701" w:type="dxa"/>
            <w:shd w:val="clear" w:color="auto" w:fill="auto"/>
            <w:noWrap/>
            <w:vAlign w:val="center"/>
          </w:tcPr>
          <w:p w14:paraId="2041D0C2" w14:textId="752A5CDB" w:rsidR="004A7C5D"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17F2676A"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-3.63%</w:t>
            </w:r>
          </w:p>
        </w:tc>
      </w:tr>
      <w:tr w:rsidR="004A7C5D" w:rsidRPr="0017405A" w14:paraId="1059D9C6" w14:textId="77777777" w:rsidTr="009A1388">
        <w:trPr>
          <w:trHeight w:val="20"/>
        </w:trPr>
        <w:tc>
          <w:tcPr>
            <w:tcW w:w="2674" w:type="dxa"/>
            <w:vMerge/>
            <w:shd w:val="clear" w:color="auto" w:fill="auto"/>
            <w:vAlign w:val="center"/>
          </w:tcPr>
          <w:p w14:paraId="4FB18DFA" w14:textId="77777777" w:rsidR="004A7C5D" w:rsidRPr="0017405A" w:rsidRDefault="004A7C5D"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69A0889C" w14:textId="77777777" w:rsidR="004A7C5D" w:rsidRPr="0017405A" w:rsidRDefault="004A7C5D"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tcBorders>
              <w:bottom w:val="single" w:sz="4" w:space="0" w:color="auto"/>
            </w:tcBorders>
            <w:shd w:val="clear" w:color="auto" w:fill="auto"/>
            <w:noWrap/>
            <w:vAlign w:val="center"/>
          </w:tcPr>
          <w:p w14:paraId="4EA5ABE0"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44BF9D19"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05FA9111" w14:textId="4022C98E" w:rsidR="004A7C5D"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hAnsi="Arial Narrow" w:cs="Calibri"/>
                <w:iCs/>
                <w:noProof/>
                <w:color w:val="000000"/>
                <w:sz w:val="20"/>
                <w:szCs w:val="20"/>
                <w:shd w:val="solid" w:color="000000" w:fill="000000"/>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789BE980"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hAnsi="Arial Narrow" w:cs="Calibri"/>
                <w:iCs/>
                <w:color w:val="000000"/>
                <w:sz w:val="20"/>
                <w:szCs w:val="20"/>
              </w:rPr>
              <w:t>-1.74%</w:t>
            </w:r>
          </w:p>
        </w:tc>
      </w:tr>
      <w:tr w:rsidR="007533BC" w:rsidRPr="0017405A" w14:paraId="5798CE17" w14:textId="77777777" w:rsidTr="009A1388">
        <w:trPr>
          <w:trHeight w:val="20"/>
        </w:trPr>
        <w:tc>
          <w:tcPr>
            <w:tcW w:w="2674" w:type="dxa"/>
            <w:vMerge w:val="restart"/>
            <w:shd w:val="clear" w:color="auto" w:fill="auto"/>
            <w:vAlign w:val="center"/>
          </w:tcPr>
          <w:p w14:paraId="62044796" w14:textId="77777777" w:rsidR="007533BC" w:rsidRPr="0017405A" w:rsidRDefault="007533BC" w:rsidP="00024651">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Use next best fit for parametric distribution for extrapolation</w:t>
            </w:r>
          </w:p>
        </w:tc>
        <w:tc>
          <w:tcPr>
            <w:tcW w:w="1149" w:type="dxa"/>
            <w:shd w:val="clear" w:color="auto" w:fill="auto"/>
            <w:vAlign w:val="center"/>
          </w:tcPr>
          <w:p w14:paraId="593B2A58" w14:textId="77777777" w:rsidR="007533BC" w:rsidRPr="0017405A" w:rsidRDefault="007533BC"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 xml:space="preserve">EA1 </w:t>
            </w:r>
            <w:r w:rsidRPr="0017405A">
              <w:rPr>
                <w:rFonts w:ascii="Arial Narrow" w:eastAsia="Times New Roman" w:hAnsi="Arial Narrow" w:cs="Calibri"/>
                <w:color w:val="000000"/>
                <w:sz w:val="20"/>
                <w:szCs w:val="20"/>
                <w:vertAlign w:val="superscript"/>
                <w:lang w:eastAsia="en-AU"/>
              </w:rPr>
              <w:t>b</w:t>
            </w:r>
          </w:p>
        </w:tc>
        <w:tc>
          <w:tcPr>
            <w:tcW w:w="1147" w:type="dxa"/>
            <w:tcBorders>
              <w:bottom w:val="single" w:sz="4" w:space="0" w:color="auto"/>
            </w:tcBorders>
            <w:shd w:val="solid" w:color="000000" w:fill="000000"/>
            <w:noWrap/>
            <w:vAlign w:val="center"/>
          </w:tcPr>
          <w:p w14:paraId="4DD45E8A" w14:textId="5349DC45" w:rsidR="007533BC" w:rsidRPr="009A1388"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069"/>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069"/>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069"/>
                <w:lang w:eastAsia="en-AU"/>
                <w14:textFill>
                  <w14:solidFill>
                    <w14:srgbClr w14:val="000000">
                      <w14:alpha w14:val="100000"/>
                    </w14:srgbClr>
                  </w14:solidFill>
                </w14:textFill>
              </w:rPr>
              <w:t xml:space="preserve">　</w:t>
            </w:r>
          </w:p>
        </w:tc>
        <w:tc>
          <w:tcPr>
            <w:tcW w:w="1262" w:type="dxa"/>
            <w:shd w:val="clear" w:color="auto" w:fill="auto"/>
            <w:noWrap/>
            <w:vAlign w:val="center"/>
          </w:tcPr>
          <w:p w14:paraId="673BB58A"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0.5596</w:t>
            </w:r>
          </w:p>
        </w:tc>
        <w:tc>
          <w:tcPr>
            <w:tcW w:w="1701" w:type="dxa"/>
            <w:shd w:val="clear" w:color="auto" w:fill="auto"/>
            <w:noWrap/>
            <w:vAlign w:val="center"/>
          </w:tcPr>
          <w:p w14:paraId="78B04E10" w14:textId="5EA8DD7E" w:rsidR="007533BC"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1EAFC156"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+6.83%</w:t>
            </w:r>
          </w:p>
        </w:tc>
      </w:tr>
      <w:tr w:rsidR="007533BC" w:rsidRPr="0017405A" w14:paraId="327A786F" w14:textId="77777777" w:rsidTr="009A1388">
        <w:trPr>
          <w:trHeight w:val="20"/>
        </w:trPr>
        <w:tc>
          <w:tcPr>
            <w:tcW w:w="2674" w:type="dxa"/>
            <w:vMerge/>
            <w:shd w:val="clear" w:color="auto" w:fill="auto"/>
            <w:vAlign w:val="center"/>
          </w:tcPr>
          <w:p w14:paraId="1C273DFF" w14:textId="77777777" w:rsidR="007533BC" w:rsidRPr="0017405A" w:rsidRDefault="007533BC"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288219DC" w14:textId="77777777" w:rsidR="007533BC" w:rsidRPr="0017405A" w:rsidRDefault="007533BC"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 xml:space="preserve">EA2 </w:t>
            </w:r>
            <w:r w:rsidRPr="0017405A">
              <w:rPr>
                <w:rFonts w:ascii="Arial Narrow" w:eastAsia="Times New Roman" w:hAnsi="Arial Narrow" w:cs="Calibri"/>
                <w:color w:val="000000"/>
                <w:sz w:val="20"/>
                <w:szCs w:val="20"/>
                <w:vertAlign w:val="superscript"/>
                <w:lang w:eastAsia="en-AU"/>
              </w:rPr>
              <w:t>c</w:t>
            </w:r>
          </w:p>
        </w:tc>
        <w:tc>
          <w:tcPr>
            <w:tcW w:w="1147" w:type="dxa"/>
            <w:shd w:val="solid" w:color="000000" w:fill="000000"/>
            <w:noWrap/>
            <w:vAlign w:val="center"/>
          </w:tcPr>
          <w:p w14:paraId="2226C592" w14:textId="0C2E10AF" w:rsidR="007533BC" w:rsidRPr="009A1388"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068"/>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068"/>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068"/>
                <w:lang w:eastAsia="en-AU"/>
                <w14:textFill>
                  <w14:solidFill>
                    <w14:srgbClr w14:val="000000">
                      <w14:alpha w14:val="100000"/>
                    </w14:srgbClr>
                  </w14:solidFill>
                </w14:textFill>
              </w:rPr>
              <w:t xml:space="preserve">　</w:t>
            </w:r>
          </w:p>
        </w:tc>
        <w:tc>
          <w:tcPr>
            <w:tcW w:w="1262" w:type="dxa"/>
            <w:shd w:val="clear" w:color="auto" w:fill="auto"/>
            <w:noWrap/>
            <w:vAlign w:val="center"/>
          </w:tcPr>
          <w:p w14:paraId="447631CE"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0.3454</w:t>
            </w:r>
          </w:p>
        </w:tc>
        <w:tc>
          <w:tcPr>
            <w:tcW w:w="1701" w:type="dxa"/>
            <w:shd w:val="clear" w:color="auto" w:fill="auto"/>
            <w:noWrap/>
            <w:vAlign w:val="center"/>
          </w:tcPr>
          <w:p w14:paraId="0561756B" w14:textId="6EA09A44" w:rsidR="007533BC"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06E24B96"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-1.34</w:t>
            </w:r>
            <w:r w:rsidR="00CA24C6">
              <w:rPr>
                <w:rFonts w:ascii="Arial Narrow" w:eastAsia="Times New Roman" w:hAnsi="Arial Narrow" w:cs="Calibri"/>
                <w:iCs/>
                <w:color w:val="000000"/>
                <w:sz w:val="20"/>
                <w:szCs w:val="20"/>
                <w:lang w:eastAsia="en-AU"/>
              </w:rPr>
              <w:t>%</w:t>
            </w:r>
          </w:p>
        </w:tc>
      </w:tr>
      <w:tr w:rsidR="007533BC" w:rsidRPr="0017405A" w14:paraId="55F9FEFC" w14:textId="77777777" w:rsidTr="00B82316">
        <w:trPr>
          <w:trHeight w:val="20"/>
        </w:trPr>
        <w:tc>
          <w:tcPr>
            <w:tcW w:w="2674" w:type="dxa"/>
            <w:vMerge/>
            <w:shd w:val="clear" w:color="auto" w:fill="auto"/>
            <w:vAlign w:val="center"/>
          </w:tcPr>
          <w:p w14:paraId="1F6B03FB" w14:textId="77777777" w:rsidR="007533BC" w:rsidRPr="0017405A" w:rsidRDefault="007533BC"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67847CDD" w14:textId="77777777" w:rsidR="007533BC" w:rsidRPr="0017405A" w:rsidRDefault="007533BC"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tcPr>
          <w:p w14:paraId="60B70B77"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693FC49F"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4E66F349" w14:textId="52B21D3E" w:rsidR="007533BC" w:rsidRPr="0017405A" w:rsidRDefault="009A1388" w:rsidP="00024651">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5E900418"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+5.62%</w:t>
            </w:r>
          </w:p>
        </w:tc>
      </w:tr>
      <w:tr w:rsidR="00D7609F" w:rsidRPr="0017405A" w14:paraId="139DFE83" w14:textId="77777777" w:rsidTr="00B82316">
        <w:trPr>
          <w:trHeight w:val="20"/>
        </w:trPr>
        <w:tc>
          <w:tcPr>
            <w:tcW w:w="9016" w:type="dxa"/>
            <w:gridSpan w:val="6"/>
            <w:vAlign w:val="center"/>
          </w:tcPr>
          <w:p w14:paraId="72B7E375" w14:textId="77777777" w:rsidR="00D7609F" w:rsidRPr="0017405A" w:rsidRDefault="00D7609F" w:rsidP="006D1C43">
            <w:pPr>
              <w:keepNext/>
              <w:keepLines/>
              <w:spacing w:before="0" w:after="0"/>
              <w:rPr>
                <w:rFonts w:ascii="Arial Narrow" w:hAnsi="Arial Narrow" w:cs="Calibri"/>
                <w:b/>
                <w:bCs/>
                <w:color w:val="000000"/>
                <w:sz w:val="20"/>
                <w:szCs w:val="20"/>
              </w:rPr>
            </w:pPr>
            <w:r w:rsidRPr="0017405A">
              <w:rPr>
                <w:rFonts w:ascii="Arial Narrow" w:hAnsi="Arial Narrow" w:cs="Calibri"/>
                <w:b/>
                <w:bCs/>
                <w:color w:val="000000"/>
                <w:sz w:val="20"/>
                <w:szCs w:val="20"/>
              </w:rPr>
              <w:t xml:space="preserve">Scenario </w:t>
            </w:r>
            <w:r w:rsidR="00B82316" w:rsidRPr="0017405A">
              <w:rPr>
                <w:rFonts w:ascii="Arial Narrow" w:hAnsi="Arial Narrow" w:cs="Calibri"/>
                <w:b/>
                <w:bCs/>
                <w:color w:val="000000"/>
                <w:sz w:val="20"/>
                <w:szCs w:val="20"/>
              </w:rPr>
              <w:t>a</w:t>
            </w:r>
            <w:r w:rsidRPr="0017405A">
              <w:rPr>
                <w:rFonts w:ascii="Arial Narrow" w:hAnsi="Arial Narrow" w:cs="Calibri"/>
                <w:b/>
                <w:bCs/>
                <w:color w:val="000000"/>
                <w:sz w:val="20"/>
                <w:szCs w:val="20"/>
              </w:rPr>
              <w:t>nalysis 2 (including PD-L1 test accuracy)</w:t>
            </w:r>
          </w:p>
        </w:tc>
      </w:tr>
      <w:tr w:rsidR="00D7609F" w:rsidRPr="0017405A" w14:paraId="5968F3A3" w14:textId="77777777" w:rsidTr="009A1388">
        <w:trPr>
          <w:trHeight w:val="20"/>
        </w:trPr>
        <w:tc>
          <w:tcPr>
            <w:tcW w:w="2674" w:type="dxa"/>
            <w:vMerge w:val="restart"/>
            <w:shd w:val="clear" w:color="auto" w:fill="E7E6E6" w:themeFill="background2"/>
            <w:vAlign w:val="center"/>
          </w:tcPr>
          <w:p w14:paraId="2F399692"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Base case</w:t>
            </w:r>
          </w:p>
        </w:tc>
        <w:tc>
          <w:tcPr>
            <w:tcW w:w="1149" w:type="dxa"/>
            <w:shd w:val="clear" w:color="auto" w:fill="E7E6E6" w:themeFill="background2"/>
            <w:vAlign w:val="center"/>
          </w:tcPr>
          <w:p w14:paraId="4F52349B"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EA1</w:t>
            </w:r>
          </w:p>
        </w:tc>
        <w:tc>
          <w:tcPr>
            <w:tcW w:w="1147" w:type="dxa"/>
            <w:tcBorders>
              <w:bottom w:val="single" w:sz="4" w:space="0" w:color="auto"/>
            </w:tcBorders>
            <w:shd w:val="solid" w:color="000000" w:fill="000000"/>
            <w:noWrap/>
          </w:tcPr>
          <w:p w14:paraId="1FB908C9" w14:textId="358E5035" w:rsidR="00D7609F" w:rsidRPr="009A1388"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hint="eastAsia"/>
                <w:b/>
                <w:bCs/>
                <w:iCs/>
                <w:noProof/>
                <w:color w:val="000000"/>
                <w:w w:val="26"/>
                <w:sz w:val="20"/>
                <w:szCs w:val="20"/>
                <w:fitText w:val="120" w:id="-1500867067"/>
                <w:lang w:eastAsia="en-AU"/>
                <w14:textFill>
                  <w14:solidFill>
                    <w14:srgbClr w14:val="000000">
                      <w14:alpha w14:val="100000"/>
                    </w14:srgbClr>
                  </w14:solidFill>
                </w14:textFill>
              </w:rPr>
              <w:t xml:space="preserve">　</w:t>
            </w:r>
            <w:r w:rsidRPr="009A1388">
              <w:rPr>
                <w:rFonts w:ascii="Arial Narrow" w:eastAsia="Times New Roman" w:hAnsi="Arial Narrow" w:cs="Calibri"/>
                <w:b/>
                <w:bCs/>
                <w:iCs/>
                <w:noProof/>
                <w:color w:val="000000"/>
                <w:w w:val="26"/>
                <w:sz w:val="20"/>
                <w:szCs w:val="20"/>
                <w:fitText w:val="120" w:id="-1500867067"/>
                <w:lang w:eastAsia="en-AU"/>
                <w14:textFill>
                  <w14:solidFill>
                    <w14:srgbClr w14:val="000000">
                      <w14:alpha w14:val="100000"/>
                    </w14:srgbClr>
                  </w14:solidFill>
                </w14:textFill>
              </w:rPr>
              <w:t>|</w:t>
            </w:r>
            <w:r w:rsidRPr="009A1388">
              <w:rPr>
                <w:rFonts w:ascii="Arial Narrow" w:eastAsia="Times New Roman" w:hAnsi="Arial Narrow" w:cs="Calibri" w:hint="eastAsia"/>
                <w:b/>
                <w:bCs/>
                <w:iCs/>
                <w:noProof/>
                <w:color w:val="000000"/>
                <w:w w:val="26"/>
                <w:sz w:val="20"/>
                <w:szCs w:val="20"/>
                <w:fitText w:val="120" w:id="-1500867067"/>
                <w:lang w:eastAsia="en-AU"/>
                <w14:textFill>
                  <w14:solidFill>
                    <w14:srgbClr w14:val="000000">
                      <w14:alpha w14:val="100000"/>
                    </w14:srgbClr>
                  </w14:solidFill>
                </w14:textFill>
              </w:rPr>
              <w:t xml:space="preserve">　</w:t>
            </w:r>
          </w:p>
        </w:tc>
        <w:tc>
          <w:tcPr>
            <w:tcW w:w="1262" w:type="dxa"/>
            <w:shd w:val="clear" w:color="auto" w:fill="E7E6E6" w:themeFill="background2"/>
            <w:noWrap/>
          </w:tcPr>
          <w:p w14:paraId="1892BEC5"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0.457</w:t>
            </w:r>
          </w:p>
        </w:tc>
        <w:tc>
          <w:tcPr>
            <w:tcW w:w="1701" w:type="dxa"/>
            <w:shd w:val="clear" w:color="auto" w:fill="E7E6E6" w:themeFill="background2"/>
            <w:noWrap/>
          </w:tcPr>
          <w:p w14:paraId="50AD4470" w14:textId="218ABC9D" w:rsidR="00D7609F" w:rsidRPr="0017405A"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E7E6E6" w:themeFill="background2"/>
            <w:vAlign w:val="center"/>
          </w:tcPr>
          <w:p w14:paraId="2227515C"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t>
            </w:r>
          </w:p>
        </w:tc>
      </w:tr>
      <w:tr w:rsidR="00D7609F" w:rsidRPr="0017405A" w14:paraId="7D4D876B" w14:textId="77777777" w:rsidTr="009A1388">
        <w:trPr>
          <w:trHeight w:val="20"/>
        </w:trPr>
        <w:tc>
          <w:tcPr>
            <w:tcW w:w="2674" w:type="dxa"/>
            <w:vMerge/>
            <w:shd w:val="clear" w:color="auto" w:fill="E7E6E6" w:themeFill="background2"/>
            <w:vAlign w:val="center"/>
          </w:tcPr>
          <w:p w14:paraId="2A579D6A"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E7E6E6" w:themeFill="background2"/>
            <w:vAlign w:val="center"/>
          </w:tcPr>
          <w:p w14:paraId="7E3EC63E"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EA2</w:t>
            </w:r>
          </w:p>
        </w:tc>
        <w:tc>
          <w:tcPr>
            <w:tcW w:w="1147" w:type="dxa"/>
            <w:shd w:val="solid" w:color="000000" w:fill="000000"/>
            <w:noWrap/>
          </w:tcPr>
          <w:p w14:paraId="49483774" w14:textId="4F6D18B2" w:rsidR="00D7609F" w:rsidRPr="009A1388"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hint="eastAsia"/>
                <w:b/>
                <w:bCs/>
                <w:iCs/>
                <w:noProof/>
                <w:color w:val="000000"/>
                <w:w w:val="26"/>
                <w:sz w:val="20"/>
                <w:szCs w:val="20"/>
                <w:fitText w:val="120" w:id="-1500867066"/>
                <w:lang w:eastAsia="en-AU"/>
                <w14:textFill>
                  <w14:solidFill>
                    <w14:srgbClr w14:val="000000">
                      <w14:alpha w14:val="100000"/>
                    </w14:srgbClr>
                  </w14:solidFill>
                </w14:textFill>
              </w:rPr>
              <w:t xml:space="preserve">　</w:t>
            </w:r>
            <w:r w:rsidRPr="009A1388">
              <w:rPr>
                <w:rFonts w:ascii="Arial Narrow" w:eastAsia="Times New Roman" w:hAnsi="Arial Narrow" w:cs="Calibri"/>
                <w:b/>
                <w:bCs/>
                <w:iCs/>
                <w:noProof/>
                <w:color w:val="000000"/>
                <w:w w:val="26"/>
                <w:sz w:val="20"/>
                <w:szCs w:val="20"/>
                <w:fitText w:val="120" w:id="-1500867066"/>
                <w:lang w:eastAsia="en-AU"/>
                <w14:textFill>
                  <w14:solidFill>
                    <w14:srgbClr w14:val="000000">
                      <w14:alpha w14:val="100000"/>
                    </w14:srgbClr>
                  </w14:solidFill>
                </w14:textFill>
              </w:rPr>
              <w:t>|</w:t>
            </w:r>
            <w:r w:rsidRPr="009A1388">
              <w:rPr>
                <w:rFonts w:ascii="Arial Narrow" w:eastAsia="Times New Roman" w:hAnsi="Arial Narrow" w:cs="Calibri" w:hint="eastAsia"/>
                <w:b/>
                <w:bCs/>
                <w:iCs/>
                <w:noProof/>
                <w:color w:val="000000"/>
                <w:w w:val="26"/>
                <w:sz w:val="20"/>
                <w:szCs w:val="20"/>
                <w:fitText w:val="120" w:id="-1500867066"/>
                <w:lang w:eastAsia="en-AU"/>
                <w14:textFill>
                  <w14:solidFill>
                    <w14:srgbClr w14:val="000000">
                      <w14:alpha w14:val="100000"/>
                    </w14:srgbClr>
                  </w14:solidFill>
                </w14:textFill>
              </w:rPr>
              <w:t xml:space="preserve">　</w:t>
            </w:r>
          </w:p>
        </w:tc>
        <w:tc>
          <w:tcPr>
            <w:tcW w:w="1262" w:type="dxa"/>
            <w:shd w:val="clear" w:color="auto" w:fill="E7E6E6" w:themeFill="background2"/>
            <w:noWrap/>
          </w:tcPr>
          <w:p w14:paraId="72842B96"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0.267</w:t>
            </w:r>
          </w:p>
        </w:tc>
        <w:tc>
          <w:tcPr>
            <w:tcW w:w="1701" w:type="dxa"/>
            <w:shd w:val="clear" w:color="auto" w:fill="E7E6E6" w:themeFill="background2"/>
            <w:noWrap/>
          </w:tcPr>
          <w:p w14:paraId="53892083" w14:textId="48FCED96" w:rsidR="00D7609F" w:rsidRPr="0017405A"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E7E6E6" w:themeFill="background2"/>
            <w:vAlign w:val="center"/>
          </w:tcPr>
          <w:p w14:paraId="4EB127B7"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t>
            </w:r>
          </w:p>
        </w:tc>
      </w:tr>
      <w:tr w:rsidR="00D7609F" w:rsidRPr="0017405A" w14:paraId="19B94E5B" w14:textId="77777777" w:rsidTr="009A1388">
        <w:trPr>
          <w:trHeight w:val="20"/>
        </w:trPr>
        <w:tc>
          <w:tcPr>
            <w:tcW w:w="2674" w:type="dxa"/>
            <w:vMerge/>
            <w:shd w:val="clear" w:color="auto" w:fill="E7E6E6" w:themeFill="background2"/>
            <w:vAlign w:val="center"/>
          </w:tcPr>
          <w:p w14:paraId="22512250"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E7E6E6" w:themeFill="background2"/>
            <w:vAlign w:val="center"/>
          </w:tcPr>
          <w:p w14:paraId="1D9E1614"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Weighted</w:t>
            </w:r>
          </w:p>
        </w:tc>
        <w:tc>
          <w:tcPr>
            <w:tcW w:w="1147" w:type="dxa"/>
            <w:tcBorders>
              <w:bottom w:val="single" w:sz="4" w:space="0" w:color="auto"/>
            </w:tcBorders>
            <w:shd w:val="clear" w:color="auto" w:fill="E7E6E6" w:themeFill="background2"/>
            <w:noWrap/>
            <w:vAlign w:val="center"/>
          </w:tcPr>
          <w:p w14:paraId="54C1CDE3"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p>
        </w:tc>
        <w:tc>
          <w:tcPr>
            <w:tcW w:w="1262" w:type="dxa"/>
            <w:shd w:val="clear" w:color="auto" w:fill="E7E6E6" w:themeFill="background2"/>
            <w:noWrap/>
            <w:vAlign w:val="center"/>
          </w:tcPr>
          <w:p w14:paraId="2A046864"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p>
        </w:tc>
        <w:tc>
          <w:tcPr>
            <w:tcW w:w="1701" w:type="dxa"/>
            <w:shd w:val="clear" w:color="auto" w:fill="E7E6E6" w:themeFill="background2"/>
            <w:noWrap/>
          </w:tcPr>
          <w:p w14:paraId="06257F86" w14:textId="0B27465C" w:rsidR="00D7609F" w:rsidRPr="0017405A" w:rsidRDefault="009A1388" w:rsidP="006D1C43">
            <w:pPr>
              <w:keepNext/>
              <w:keepLines/>
              <w:spacing w:before="0" w:after="0"/>
              <w:jc w:val="center"/>
              <w:rPr>
                <w:rFonts w:ascii="Arial Narrow" w:eastAsia="Times New Roman" w:hAnsi="Arial Narrow" w:cs="Calibri"/>
                <w:b/>
                <w:bCs/>
                <w:iCs/>
                <w:color w:val="000000"/>
                <w:sz w:val="20"/>
                <w:szCs w:val="20"/>
                <w:lang w:eastAsia="en-AU"/>
              </w:rPr>
            </w:pPr>
            <w:r w:rsidRPr="009A1388">
              <w:rPr>
                <w:rFonts w:ascii="Arial Narrow" w:eastAsia="Times New Roman" w:hAnsi="Arial Narrow" w:cs="Calibri"/>
                <w:b/>
                <w:bCs/>
                <w:iCs/>
                <w:noProof/>
                <w:color w:val="000000"/>
                <w:sz w:val="20"/>
                <w:szCs w:val="20"/>
                <w:shd w:val="solid" w:color="000000" w:fill="000000"/>
                <w:lang w:eastAsia="en-AU"/>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E7E6E6" w:themeFill="background2"/>
            <w:vAlign w:val="center"/>
          </w:tcPr>
          <w:p w14:paraId="6799FE2F"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t>
            </w:r>
          </w:p>
        </w:tc>
      </w:tr>
      <w:tr w:rsidR="00D7609F" w:rsidRPr="0017405A" w14:paraId="2323EBC0" w14:textId="77777777" w:rsidTr="009A1388">
        <w:trPr>
          <w:trHeight w:val="20"/>
        </w:trPr>
        <w:tc>
          <w:tcPr>
            <w:tcW w:w="2674" w:type="dxa"/>
            <w:vMerge w:val="restart"/>
            <w:vAlign w:val="center"/>
          </w:tcPr>
          <w:p w14:paraId="74FFC781"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 xml:space="preserve">Decrease test sensitivity and specificity to 85% (base case 96%) </w:t>
            </w:r>
            <w:r w:rsidR="004A7C5D" w:rsidRPr="0017405A">
              <w:rPr>
                <w:rFonts w:ascii="Arial Narrow" w:eastAsia="Times New Roman" w:hAnsi="Arial Narrow" w:cs="Calibri"/>
                <w:color w:val="000000"/>
                <w:sz w:val="20"/>
                <w:szCs w:val="20"/>
                <w:vertAlign w:val="superscript"/>
                <w:lang w:eastAsia="en-AU"/>
              </w:rPr>
              <w:t>d</w:t>
            </w:r>
          </w:p>
        </w:tc>
        <w:tc>
          <w:tcPr>
            <w:tcW w:w="1149" w:type="dxa"/>
            <w:shd w:val="clear" w:color="auto" w:fill="auto"/>
            <w:vAlign w:val="center"/>
          </w:tcPr>
          <w:p w14:paraId="1395A6E3"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tcBorders>
              <w:bottom w:val="single" w:sz="4" w:space="0" w:color="auto"/>
            </w:tcBorders>
            <w:shd w:val="solid" w:color="000000" w:fill="000000"/>
            <w:noWrap/>
            <w:vAlign w:val="center"/>
          </w:tcPr>
          <w:p w14:paraId="6F30123A" w14:textId="796365D2"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065"/>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065"/>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065"/>
                <w:lang w:eastAsia="en-AU"/>
                <w14:textFill>
                  <w14:solidFill>
                    <w14:srgbClr w14:val="000000">
                      <w14:alpha w14:val="100000"/>
                    </w14:srgbClr>
                  </w14:solidFill>
                </w14:textFill>
              </w:rPr>
              <w:t xml:space="preserve">　</w:t>
            </w:r>
          </w:p>
        </w:tc>
        <w:tc>
          <w:tcPr>
            <w:tcW w:w="1262" w:type="dxa"/>
            <w:shd w:val="clear" w:color="auto" w:fill="auto"/>
            <w:noWrap/>
            <w:vAlign w:val="center"/>
          </w:tcPr>
          <w:p w14:paraId="22382B0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0.395</w:t>
            </w:r>
          </w:p>
        </w:tc>
        <w:tc>
          <w:tcPr>
            <w:tcW w:w="1701" w:type="dxa"/>
            <w:shd w:val="clear" w:color="auto" w:fill="auto"/>
            <w:noWrap/>
            <w:vAlign w:val="center"/>
          </w:tcPr>
          <w:p w14:paraId="5FD6FA50" w14:textId="0F898B48" w:rsidR="00D7609F" w:rsidRPr="0017405A" w:rsidRDefault="009A1388" w:rsidP="006D1C43">
            <w:pPr>
              <w:keepNext/>
              <w:keepLines/>
              <w:spacing w:before="0" w:after="0"/>
              <w:jc w:val="center"/>
              <w:rPr>
                <w:rFonts w:ascii="Arial Narrow" w:hAnsi="Arial Narrow" w:cs="Calibri"/>
                <w:iCs/>
                <w:color w:val="000000"/>
                <w:sz w:val="20"/>
                <w:szCs w:val="20"/>
              </w:rPr>
            </w:pPr>
            <w:r w:rsidRPr="009A1388">
              <w:rPr>
                <w:rFonts w:ascii="Arial Narrow" w:hAnsi="Arial Narrow" w:cs="Calibri"/>
                <w:iCs/>
                <w:noProof/>
                <w:color w:val="000000"/>
                <w:sz w:val="20"/>
                <w:szCs w:val="20"/>
                <w:shd w:val="solid" w:color="000000" w:fill="000000"/>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554DC24D" w14:textId="77777777" w:rsidR="00D7609F" w:rsidRPr="0017405A" w:rsidRDefault="00D7609F" w:rsidP="006D1C43">
            <w:pPr>
              <w:keepNext/>
              <w:keepLines/>
              <w:spacing w:before="0" w:after="0"/>
              <w:jc w:val="center"/>
              <w:rPr>
                <w:rFonts w:ascii="Arial Narrow" w:hAnsi="Arial Narrow" w:cs="Calibri"/>
                <w:iCs/>
                <w:color w:val="000000"/>
                <w:sz w:val="20"/>
                <w:szCs w:val="20"/>
              </w:rPr>
            </w:pPr>
            <w:r w:rsidRPr="0017405A">
              <w:rPr>
                <w:rFonts w:ascii="Arial Narrow" w:hAnsi="Arial Narrow" w:cs="Calibri"/>
                <w:iCs/>
                <w:color w:val="000000"/>
                <w:sz w:val="20"/>
                <w:szCs w:val="20"/>
              </w:rPr>
              <w:t>+4.7%</w:t>
            </w:r>
          </w:p>
        </w:tc>
      </w:tr>
      <w:tr w:rsidR="00D7609F" w:rsidRPr="0017405A" w14:paraId="122AAB77" w14:textId="77777777" w:rsidTr="009A1388">
        <w:trPr>
          <w:trHeight w:val="20"/>
        </w:trPr>
        <w:tc>
          <w:tcPr>
            <w:tcW w:w="2674" w:type="dxa"/>
            <w:vMerge/>
            <w:vAlign w:val="center"/>
          </w:tcPr>
          <w:p w14:paraId="3417EE2E"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151934D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solid" w:color="000000" w:fill="000000"/>
            <w:noWrap/>
            <w:vAlign w:val="center"/>
          </w:tcPr>
          <w:p w14:paraId="030D5662" w14:textId="3C317B77" w:rsidR="00D7609F" w:rsidRPr="009A1388" w:rsidRDefault="009A1388" w:rsidP="006D1C43">
            <w:pPr>
              <w:keepNext/>
              <w:keepLines/>
              <w:spacing w:before="0" w:after="0"/>
              <w:jc w:val="center"/>
              <w:rPr>
                <w:rFonts w:ascii="Arial Narrow" w:eastAsia="Times New Roman" w:hAnsi="Arial Narrow" w:cs="Calibri"/>
                <w:iCs/>
                <w:color w:val="000000"/>
                <w:sz w:val="20"/>
                <w:szCs w:val="20"/>
                <w:lang w:eastAsia="en-AU"/>
              </w:rPr>
            </w:pPr>
            <w:r w:rsidRPr="009A1388">
              <w:rPr>
                <w:rFonts w:ascii="Arial Narrow" w:eastAsia="Times New Roman" w:hAnsi="Arial Narrow" w:cs="Calibri" w:hint="eastAsia"/>
                <w:iCs/>
                <w:noProof/>
                <w:color w:val="000000"/>
                <w:w w:val="15"/>
                <w:sz w:val="20"/>
                <w:szCs w:val="20"/>
                <w:fitText w:val="70" w:id="-1500867064"/>
                <w:lang w:eastAsia="en-AU"/>
                <w14:textFill>
                  <w14:solidFill>
                    <w14:srgbClr w14:val="000000">
                      <w14:alpha w14:val="100000"/>
                    </w14:srgbClr>
                  </w14:solidFill>
                </w14:textFill>
              </w:rPr>
              <w:t xml:space="preserve">　</w:t>
            </w:r>
            <w:r w:rsidRPr="009A1388">
              <w:rPr>
                <w:rFonts w:ascii="Arial Narrow" w:eastAsia="Times New Roman" w:hAnsi="Arial Narrow" w:cs="Calibri"/>
                <w:iCs/>
                <w:noProof/>
                <w:color w:val="000000"/>
                <w:w w:val="15"/>
                <w:sz w:val="20"/>
                <w:szCs w:val="20"/>
                <w:fitText w:val="70" w:id="-1500867064"/>
                <w:lang w:eastAsia="en-AU"/>
                <w14:textFill>
                  <w14:solidFill>
                    <w14:srgbClr w14:val="000000">
                      <w14:alpha w14:val="100000"/>
                    </w14:srgbClr>
                  </w14:solidFill>
                </w14:textFill>
              </w:rPr>
              <w:t>|</w:t>
            </w:r>
            <w:r w:rsidRPr="009A1388">
              <w:rPr>
                <w:rFonts w:ascii="Arial Narrow" w:eastAsia="Times New Roman" w:hAnsi="Arial Narrow" w:cs="Calibri" w:hint="eastAsia"/>
                <w:iCs/>
                <w:noProof/>
                <w:color w:val="000000"/>
                <w:w w:val="15"/>
                <w:sz w:val="20"/>
                <w:szCs w:val="20"/>
                <w:fitText w:val="70" w:id="-1500867064"/>
                <w:lang w:eastAsia="en-AU"/>
                <w14:textFill>
                  <w14:solidFill>
                    <w14:srgbClr w14:val="000000">
                      <w14:alpha w14:val="100000"/>
                    </w14:srgbClr>
                  </w14:solidFill>
                </w14:textFill>
              </w:rPr>
              <w:t xml:space="preserve">　</w:t>
            </w:r>
          </w:p>
        </w:tc>
        <w:tc>
          <w:tcPr>
            <w:tcW w:w="1262" w:type="dxa"/>
            <w:shd w:val="clear" w:color="auto" w:fill="auto"/>
            <w:noWrap/>
            <w:vAlign w:val="center"/>
          </w:tcPr>
          <w:p w14:paraId="31B7902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0.232</w:t>
            </w:r>
          </w:p>
        </w:tc>
        <w:tc>
          <w:tcPr>
            <w:tcW w:w="1701" w:type="dxa"/>
            <w:shd w:val="clear" w:color="auto" w:fill="auto"/>
            <w:noWrap/>
            <w:vAlign w:val="center"/>
          </w:tcPr>
          <w:p w14:paraId="6A21AB2A" w14:textId="3FBBD52F" w:rsidR="00D7609F" w:rsidRPr="0017405A" w:rsidRDefault="009A1388" w:rsidP="006D1C43">
            <w:pPr>
              <w:keepNext/>
              <w:keepLines/>
              <w:spacing w:before="0" w:after="0"/>
              <w:jc w:val="center"/>
              <w:rPr>
                <w:rFonts w:ascii="Arial Narrow" w:hAnsi="Arial Narrow" w:cs="Calibri"/>
                <w:iCs/>
                <w:color w:val="000000"/>
                <w:sz w:val="20"/>
                <w:szCs w:val="20"/>
              </w:rPr>
            </w:pPr>
            <w:r w:rsidRPr="009A1388">
              <w:rPr>
                <w:rFonts w:ascii="Arial Narrow" w:hAnsi="Arial Narrow" w:cs="Calibri"/>
                <w:iCs/>
                <w:noProof/>
                <w:color w:val="000000"/>
                <w:sz w:val="20"/>
                <w:szCs w:val="20"/>
                <w:shd w:val="solid" w:color="000000" w:fill="000000"/>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28B0654B" w14:textId="77777777" w:rsidR="00D7609F" w:rsidRPr="0017405A" w:rsidRDefault="00D7609F" w:rsidP="006D1C43">
            <w:pPr>
              <w:keepNext/>
              <w:keepLines/>
              <w:spacing w:before="0" w:after="0"/>
              <w:jc w:val="center"/>
              <w:rPr>
                <w:rFonts w:ascii="Arial Narrow" w:hAnsi="Arial Narrow" w:cs="Calibri"/>
                <w:iCs/>
                <w:color w:val="000000"/>
                <w:sz w:val="20"/>
                <w:szCs w:val="20"/>
              </w:rPr>
            </w:pPr>
            <w:r w:rsidRPr="0017405A">
              <w:rPr>
                <w:rFonts w:ascii="Arial Narrow" w:hAnsi="Arial Narrow" w:cs="Calibri"/>
                <w:iCs/>
                <w:color w:val="000000"/>
                <w:sz w:val="20"/>
                <w:szCs w:val="20"/>
              </w:rPr>
              <w:t>+3.7%</w:t>
            </w:r>
          </w:p>
        </w:tc>
      </w:tr>
      <w:tr w:rsidR="00D7609F" w:rsidRPr="0017405A" w14:paraId="1ACD5896" w14:textId="77777777" w:rsidTr="00B82316">
        <w:trPr>
          <w:trHeight w:val="20"/>
        </w:trPr>
        <w:tc>
          <w:tcPr>
            <w:tcW w:w="2674" w:type="dxa"/>
            <w:vMerge/>
            <w:vAlign w:val="center"/>
          </w:tcPr>
          <w:p w14:paraId="0A00B712"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587BE1E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tcPr>
          <w:p w14:paraId="2396A693"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658123B3"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2643831D" w14:textId="0D6ECA04" w:rsidR="00D7609F" w:rsidRPr="0017405A" w:rsidRDefault="009A1388" w:rsidP="006D1C43">
            <w:pPr>
              <w:keepNext/>
              <w:keepLines/>
              <w:spacing w:before="0" w:after="0"/>
              <w:jc w:val="center"/>
              <w:rPr>
                <w:rFonts w:ascii="Arial Narrow" w:hAnsi="Arial Narrow" w:cs="Calibri"/>
                <w:iCs/>
                <w:color w:val="000000"/>
                <w:sz w:val="20"/>
                <w:szCs w:val="20"/>
              </w:rPr>
            </w:pPr>
            <w:r w:rsidRPr="009A1388">
              <w:rPr>
                <w:rFonts w:ascii="Arial Narrow" w:hAnsi="Arial Narrow" w:cs="Calibri"/>
                <w:iCs/>
                <w:noProof/>
                <w:color w:val="000000"/>
                <w:sz w:val="20"/>
                <w:szCs w:val="20"/>
                <w:shd w:val="solid" w:color="000000" w:fill="000000"/>
                <w14:textFill>
                  <w14:solidFill>
                    <w14:srgbClr w14:val="000000">
                      <w14:alpha w14:val="100000"/>
                    </w14:srgbClr>
                  </w14:solidFill>
                </w14:textFill>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0709B765" w14:textId="77777777" w:rsidR="00D7609F" w:rsidRPr="0017405A" w:rsidRDefault="00D7609F" w:rsidP="006D1C43">
            <w:pPr>
              <w:keepNext/>
              <w:keepLines/>
              <w:spacing w:before="0" w:after="0"/>
              <w:jc w:val="center"/>
              <w:rPr>
                <w:rFonts w:ascii="Arial Narrow" w:hAnsi="Arial Narrow" w:cs="Calibri"/>
                <w:iCs/>
                <w:color w:val="000000"/>
                <w:sz w:val="20"/>
                <w:szCs w:val="20"/>
              </w:rPr>
            </w:pPr>
            <w:r w:rsidRPr="0017405A">
              <w:rPr>
                <w:rFonts w:ascii="Arial Narrow" w:hAnsi="Arial Narrow" w:cs="Calibri"/>
                <w:iCs/>
                <w:color w:val="000000"/>
                <w:sz w:val="20"/>
                <w:szCs w:val="20"/>
              </w:rPr>
              <w:t>+4.2%</w:t>
            </w:r>
          </w:p>
        </w:tc>
      </w:tr>
    </w:tbl>
    <w:p w14:paraId="52CC437D" w14:textId="77777777" w:rsidR="00D7609F" w:rsidRPr="00A24A89" w:rsidRDefault="00D7609F" w:rsidP="006D1C43">
      <w:pPr>
        <w:pStyle w:val="TableFooter"/>
        <w:keepNext/>
        <w:keepLines/>
        <w:widowControl/>
      </w:pPr>
      <w:r w:rsidRPr="00A24A89">
        <w:t>CPS = combined positive score; EA = economic analysis; PF = progression free; PD = progressed disease; QALY = quality adjusted life year; SoC = standard of care</w:t>
      </w:r>
    </w:p>
    <w:p w14:paraId="0145F9D1" w14:textId="77777777" w:rsidR="00D7609F" w:rsidRPr="00A24A89" w:rsidRDefault="00D7609F" w:rsidP="006D1C43">
      <w:pPr>
        <w:pStyle w:val="TableFooter"/>
        <w:keepNext/>
        <w:keepLines/>
        <w:widowControl/>
        <w:ind w:left="142" w:hanging="142"/>
      </w:pPr>
      <w:r w:rsidRPr="00A24A89">
        <w:rPr>
          <w:vertAlign w:val="superscript"/>
        </w:rPr>
        <w:t>a</w:t>
      </w:r>
      <w:r w:rsidRPr="00A24A89">
        <w:tab/>
        <w:t>Due to enrolment interruption, some SoC patients were excluded in the comparison with pembr</w:t>
      </w:r>
      <w:r w:rsidR="006D1C43">
        <w:t>o</w:t>
      </w:r>
      <w:r w:rsidRPr="00A24A89">
        <w:t xml:space="preserve">lizumab </w:t>
      </w:r>
      <w:r w:rsidR="006D1C43">
        <w:t>plus</w:t>
      </w:r>
      <w:r w:rsidRPr="00A24A89">
        <w:t xml:space="preserve"> chemotherapy whereas the whole SoC cohort was included in the pembrolizumab monotherapy comparison. Costs from SoC in EA2 not applie</w:t>
      </w:r>
      <w:r w:rsidR="006D1C43">
        <w:t>d</w:t>
      </w:r>
      <w:r w:rsidRPr="00A24A89">
        <w:t xml:space="preserve"> to EA1 as the estimation of adverse event costs differed between EA1 and EA2 in the modified base case.</w:t>
      </w:r>
    </w:p>
    <w:p w14:paraId="748D6D83" w14:textId="77777777" w:rsidR="004A7C5D" w:rsidRDefault="00D7609F" w:rsidP="004A7C5D">
      <w:pPr>
        <w:pStyle w:val="TableFooter"/>
        <w:keepNext/>
        <w:keepLines/>
        <w:widowControl/>
        <w:ind w:left="142" w:hanging="142"/>
      </w:pPr>
      <w:r w:rsidRPr="00A24A89">
        <w:rPr>
          <w:vertAlign w:val="superscript"/>
        </w:rPr>
        <w:t>b</w:t>
      </w:r>
      <w:r w:rsidRPr="00A24A89">
        <w:tab/>
      </w:r>
      <w:r w:rsidR="004A7C5D">
        <w:t>For EA1</w:t>
      </w:r>
      <w:r w:rsidR="008A6C7D">
        <w:t>,</w:t>
      </w:r>
      <w:r w:rsidR="004A7C5D">
        <w:t xml:space="preserve"> the </w:t>
      </w:r>
      <w:proofErr w:type="spellStart"/>
      <w:r w:rsidR="008A6C7D">
        <w:t>Gompertz</w:t>
      </w:r>
      <w:proofErr w:type="spellEnd"/>
      <w:r w:rsidR="008A6C7D">
        <w:t xml:space="preserve"> </w:t>
      </w:r>
      <w:r w:rsidR="004A7C5D">
        <w:t>distribution</w:t>
      </w:r>
      <w:r w:rsidR="008A6C7D">
        <w:t xml:space="preserve"> was</w:t>
      </w:r>
      <w:r w:rsidR="004A7C5D">
        <w:t xml:space="preserve"> used </w:t>
      </w:r>
      <w:r w:rsidR="008A6C7D">
        <w:t>to extrapolate the</w:t>
      </w:r>
      <w:r w:rsidR="006169CE">
        <w:t xml:space="preserve"> pembrolizumab + chemotherapy </w:t>
      </w:r>
      <w:r w:rsidR="008A6C7D">
        <w:t xml:space="preserve">curve </w:t>
      </w:r>
      <w:r w:rsidR="004A7C5D">
        <w:t>in the base case. The distribution with the next lowest average AIC BIC</w:t>
      </w:r>
      <w:r w:rsidR="008A6C7D">
        <w:t xml:space="preserve">, </w:t>
      </w:r>
      <w:r w:rsidR="004A7C5D">
        <w:t>used as the</w:t>
      </w:r>
      <w:r w:rsidR="008A6C7D">
        <w:t xml:space="preserve"> parametric function of</w:t>
      </w:r>
      <w:r w:rsidR="004A7C5D">
        <w:t xml:space="preserve"> next best fit </w:t>
      </w:r>
      <w:r w:rsidR="006169CE">
        <w:t xml:space="preserve">was </w:t>
      </w:r>
      <w:r w:rsidR="004A7C5D">
        <w:t>log logistic</w:t>
      </w:r>
      <w:r w:rsidR="006169CE">
        <w:t>.</w:t>
      </w:r>
    </w:p>
    <w:p w14:paraId="70AF2955" w14:textId="77777777" w:rsidR="008A6C7D" w:rsidRDefault="004A7C5D" w:rsidP="008A6C7D">
      <w:pPr>
        <w:pStyle w:val="TableFooter"/>
        <w:keepNext/>
        <w:keepLines/>
        <w:widowControl/>
        <w:ind w:left="142" w:hanging="142"/>
      </w:pPr>
      <w:r>
        <w:rPr>
          <w:vertAlign w:val="superscript"/>
        </w:rPr>
        <w:t>c</w:t>
      </w:r>
      <w:r>
        <w:tab/>
      </w:r>
      <w:r w:rsidR="008A6C7D">
        <w:t>For EA2, the log logistic distribution was used to extrapolate the pembrolizumab monotherapy curve in the base case. The distribution with the next lowest average AIC BIC, used as the parametric function of next best fit was log normal.</w:t>
      </w:r>
    </w:p>
    <w:p w14:paraId="0AD19918" w14:textId="77777777" w:rsidR="00D7609F" w:rsidRPr="00A24A89" w:rsidRDefault="004A7C5D" w:rsidP="006D1C43">
      <w:pPr>
        <w:pStyle w:val="TableFooter"/>
        <w:keepNext/>
        <w:keepLines/>
        <w:widowControl/>
        <w:ind w:left="142" w:hanging="142"/>
      </w:pPr>
      <w:r w:rsidRPr="004A7C5D">
        <w:rPr>
          <w:vertAlign w:val="superscript"/>
        </w:rPr>
        <w:t>d</w:t>
      </w:r>
      <w:r>
        <w:tab/>
      </w:r>
      <w:r w:rsidR="00D7609F" w:rsidRPr="00A24A89">
        <w:t xml:space="preserve">85% used as this was the pass mark for the concordance of the Australian pathologists training </w:t>
      </w:r>
    </w:p>
    <w:p w14:paraId="25EAE0E6" w14:textId="77777777" w:rsidR="00D7609F" w:rsidRDefault="00D7609F" w:rsidP="00A952CC">
      <w:pPr>
        <w:pStyle w:val="TableFooter"/>
        <w:widowControl/>
      </w:pPr>
      <w:r w:rsidRPr="00A24A89">
        <w:t xml:space="preserve">Source: Constructed during evaluation using Section 3 </w:t>
      </w:r>
      <w:proofErr w:type="spellStart"/>
      <w:proofErr w:type="gramStart"/>
      <w:r w:rsidRPr="00A24A89">
        <w:t>workbook.xslm</w:t>
      </w:r>
      <w:proofErr w:type="spellEnd"/>
      <w:proofErr w:type="gramEnd"/>
    </w:p>
    <w:p w14:paraId="3EC28D5B" w14:textId="77777777" w:rsidR="00A703C1" w:rsidRPr="00A703C1" w:rsidRDefault="00A703C1" w:rsidP="00A952CC">
      <w:pPr>
        <w:pStyle w:val="TableFooter"/>
        <w:widowControl/>
        <w:rPr>
          <w:i/>
        </w:rPr>
      </w:pPr>
      <w:r w:rsidRPr="00A703C1">
        <w:rPr>
          <w:i/>
        </w:rPr>
        <w:t>The redacted values correspond to the following ranges:</w:t>
      </w:r>
    </w:p>
    <w:p w14:paraId="48B59F92" w14:textId="77777777" w:rsidR="00A703C1" w:rsidRPr="00A703C1" w:rsidRDefault="00A703C1" w:rsidP="00A952CC">
      <w:pPr>
        <w:pStyle w:val="TableFooter"/>
        <w:widowControl/>
        <w:rPr>
          <w:i/>
        </w:rPr>
      </w:pPr>
      <w:r w:rsidRPr="00A703C1">
        <w:rPr>
          <w:i/>
          <w:vertAlign w:val="superscript"/>
        </w:rPr>
        <w:t>1</w:t>
      </w:r>
      <w:r w:rsidRPr="00A703C1">
        <w:rPr>
          <w:i/>
        </w:rPr>
        <w:t xml:space="preserve"> $55,000 to &lt; $75,000</w:t>
      </w:r>
    </w:p>
    <w:p w14:paraId="7AB770C3" w14:textId="77777777" w:rsidR="00A703C1" w:rsidRPr="00A703C1" w:rsidRDefault="00A703C1" w:rsidP="00A952CC">
      <w:pPr>
        <w:pStyle w:val="TableFooter"/>
        <w:widowControl/>
        <w:rPr>
          <w:i/>
        </w:rPr>
      </w:pPr>
      <w:r w:rsidRPr="00A703C1">
        <w:rPr>
          <w:i/>
          <w:vertAlign w:val="superscript"/>
        </w:rPr>
        <w:t>2</w:t>
      </w:r>
      <w:r w:rsidRPr="00A703C1">
        <w:rPr>
          <w:i/>
        </w:rPr>
        <w:t xml:space="preserve"> $75,000 to &lt; $95,000</w:t>
      </w:r>
    </w:p>
    <w:p w14:paraId="6A6DE90A" w14:textId="77777777" w:rsidR="00A703C1" w:rsidRPr="00A703C1" w:rsidRDefault="00A703C1" w:rsidP="00A952CC">
      <w:pPr>
        <w:pStyle w:val="TableFooter"/>
        <w:widowControl/>
        <w:rPr>
          <w:i/>
        </w:rPr>
      </w:pPr>
      <w:r w:rsidRPr="00A703C1">
        <w:rPr>
          <w:i/>
          <w:vertAlign w:val="superscript"/>
        </w:rPr>
        <w:t>3</w:t>
      </w:r>
      <w:r w:rsidRPr="00A703C1">
        <w:rPr>
          <w:i/>
        </w:rPr>
        <w:t xml:space="preserve"> $95,000 to &lt; $115,000</w:t>
      </w:r>
    </w:p>
    <w:p w14:paraId="15921CBF" w14:textId="77777777" w:rsidR="00D7609F" w:rsidRPr="0017405A" w:rsidRDefault="00D7609F" w:rsidP="00A952CC">
      <w:pPr>
        <w:pStyle w:val="ListParagraph"/>
        <w:numPr>
          <w:ilvl w:val="4"/>
          <w:numId w:val="1"/>
        </w:numPr>
        <w:rPr>
          <w:iCs/>
        </w:rPr>
      </w:pPr>
      <w:r w:rsidRPr="00A24A89">
        <w:lastRenderedPageBreak/>
        <w:t xml:space="preserve">Additional univariate sensitivity analyses around the extrapolation of OS for EA1 and EA2 were conducted. </w:t>
      </w:r>
      <w:r w:rsidRPr="0017405A">
        <w:rPr>
          <w:iCs/>
        </w:rPr>
        <w:t xml:space="preserve">In EA1, the extrapolation for OS chosen in the base case was the most favourable for </w:t>
      </w:r>
      <w:r w:rsidR="00A15BE8" w:rsidRPr="0017405A">
        <w:rPr>
          <w:iCs/>
        </w:rPr>
        <w:t>pembrolizumab plus</w:t>
      </w:r>
      <w:r w:rsidRPr="0017405A">
        <w:rPr>
          <w:iCs/>
        </w:rPr>
        <w:t xml:space="preserve"> chemotherapy. The impact of varying the extrapolation of </w:t>
      </w:r>
      <w:r w:rsidR="00A15BE8" w:rsidRPr="0017405A">
        <w:rPr>
          <w:iCs/>
        </w:rPr>
        <w:t>pembrolizumab plus</w:t>
      </w:r>
      <w:r w:rsidRPr="0017405A">
        <w:rPr>
          <w:iCs/>
        </w:rPr>
        <w:t xml:space="preserve"> chemotherapy (range +2.5% to +33.8%) was higher than SoC (range +13.2% to +20.7%). In EA2, using exponential and Weibull functions for the extrapolation of pembrolizumab monotherapy led to an increase in </w:t>
      </w:r>
      <w:r w:rsidR="002D344E">
        <w:rPr>
          <w:iCs/>
        </w:rPr>
        <w:t xml:space="preserve">the </w:t>
      </w:r>
      <w:r w:rsidRPr="0017405A">
        <w:rPr>
          <w:iCs/>
        </w:rPr>
        <w:t xml:space="preserve">ICER, but all other functional forms led to decreases in </w:t>
      </w:r>
      <w:r w:rsidR="002D344E">
        <w:rPr>
          <w:iCs/>
        </w:rPr>
        <w:t xml:space="preserve">the </w:t>
      </w:r>
      <w:r w:rsidRPr="0017405A">
        <w:rPr>
          <w:iCs/>
        </w:rPr>
        <w:t xml:space="preserve">ICER. As with EA1, the extrapolation of pembrolizumab monotherapy </w:t>
      </w:r>
      <w:r w:rsidR="002D344E">
        <w:rPr>
          <w:iCs/>
        </w:rPr>
        <w:t>had a greater impact</w:t>
      </w:r>
      <w:r w:rsidRPr="0017405A">
        <w:rPr>
          <w:iCs/>
        </w:rPr>
        <w:t xml:space="preserve"> (-9.4% to +19.2%) compared to SoC (-1.7% to + 8.5%). </w:t>
      </w:r>
    </w:p>
    <w:p w14:paraId="21658562" w14:textId="6D833D10" w:rsidR="006D1C43" w:rsidRDefault="006D1C43" w:rsidP="00E3183E">
      <w:pPr>
        <w:pStyle w:val="ListParagraph"/>
        <w:numPr>
          <w:ilvl w:val="4"/>
          <w:numId w:val="1"/>
        </w:numPr>
        <w:rPr>
          <w:iCs/>
        </w:rPr>
      </w:pPr>
      <w:r w:rsidRPr="0017405A">
        <w:rPr>
          <w:iCs/>
        </w:rPr>
        <w:t xml:space="preserve">A multivariate sensitivity analysis assuming </w:t>
      </w:r>
      <w:r w:rsidR="00846BA8" w:rsidRPr="0017405A">
        <w:rPr>
          <w:iCs/>
        </w:rPr>
        <w:t xml:space="preserve">a scenario with </w:t>
      </w:r>
      <w:r w:rsidRPr="0017405A">
        <w:rPr>
          <w:iCs/>
        </w:rPr>
        <w:t xml:space="preserve">85% test sensitivity/specificity (based on minimum concordance for pathologist training), using SoC QALY from EA2 for EA1 (see paragraph </w:t>
      </w:r>
      <w:r w:rsidR="008D43ED">
        <w:rPr>
          <w:iCs/>
        </w:rPr>
        <w:t>6.65</w:t>
      </w:r>
      <w:r w:rsidRPr="0017405A">
        <w:rPr>
          <w:iCs/>
        </w:rPr>
        <w:t>), assum</w:t>
      </w:r>
      <w:r w:rsidR="00080D9A">
        <w:rPr>
          <w:iCs/>
        </w:rPr>
        <w:t>ing</w:t>
      </w:r>
      <w:r w:rsidRPr="0017405A">
        <w:rPr>
          <w:iCs/>
        </w:rPr>
        <w:t xml:space="preserve"> 42% 2L nivolumab use (see </w:t>
      </w:r>
      <w:r w:rsidR="008D43ED" w:rsidRPr="008D43ED">
        <w:rPr>
          <w:iCs/>
        </w:rPr>
        <w:t>Table 3</w:t>
      </w:r>
      <w:r w:rsidRPr="0017405A">
        <w:rPr>
          <w:iCs/>
        </w:rPr>
        <w:t>) for 4.06 months and 60% use of pembrolizumab plus chemotherapy (assumption)</w:t>
      </w:r>
      <w:r w:rsidR="00846BA8" w:rsidRPr="0017405A">
        <w:rPr>
          <w:iCs/>
        </w:rPr>
        <w:t xml:space="preserve"> was tested during evaluation. The ICER for EA1, EA2 and the weighted ICER was $</w:t>
      </w:r>
      <w:r w:rsidR="00A703C1">
        <w:rPr>
          <w:iCs/>
        </w:rPr>
        <w:t>75,000 to &lt; $95,000/QALY gained</w:t>
      </w:r>
      <w:r w:rsidR="00846BA8" w:rsidRPr="0017405A">
        <w:rPr>
          <w:iCs/>
        </w:rPr>
        <w:t xml:space="preserve"> (+31.6%), $</w:t>
      </w:r>
      <w:r w:rsidR="00A703C1">
        <w:rPr>
          <w:iCs/>
        </w:rPr>
        <w:t>75,000 to &lt; $95,000/QALY gained</w:t>
      </w:r>
      <w:r w:rsidR="00846BA8" w:rsidRPr="0017405A">
        <w:rPr>
          <w:iCs/>
        </w:rPr>
        <w:t xml:space="preserve"> (+16.4%) and $</w:t>
      </w:r>
      <w:r w:rsidR="00A703C1">
        <w:rPr>
          <w:iCs/>
        </w:rPr>
        <w:t>75,000 to &lt; $95,000/QALY gained</w:t>
      </w:r>
      <w:r w:rsidR="00846BA8" w:rsidRPr="0017405A">
        <w:rPr>
          <w:iCs/>
        </w:rPr>
        <w:t xml:space="preserve"> (+23.1%), respectively. </w:t>
      </w:r>
    </w:p>
    <w:p w14:paraId="4EBACAB4" w14:textId="77777777" w:rsidR="002671C9" w:rsidRPr="00E31F5B" w:rsidRDefault="002671C9" w:rsidP="00A952CC">
      <w:pPr>
        <w:pStyle w:val="ListParagraph"/>
        <w:numPr>
          <w:ilvl w:val="4"/>
          <w:numId w:val="1"/>
        </w:numPr>
        <w:rPr>
          <w:rFonts w:cstheme="minorHAnsi"/>
          <w:bCs/>
          <w:iCs/>
          <w:color w:val="auto"/>
          <w:szCs w:val="24"/>
        </w:rPr>
      </w:pPr>
      <w:r w:rsidRPr="00E31F5B">
        <w:rPr>
          <w:rFonts w:cstheme="minorHAnsi"/>
          <w:bCs/>
          <w:iCs/>
          <w:color w:val="auto"/>
          <w:szCs w:val="24"/>
        </w:rPr>
        <w:t xml:space="preserve">The </w:t>
      </w:r>
      <w:r w:rsidR="00080D9A">
        <w:rPr>
          <w:rFonts w:cstheme="minorHAnsi"/>
          <w:bCs/>
          <w:iCs/>
          <w:color w:val="auto"/>
          <w:szCs w:val="24"/>
        </w:rPr>
        <w:t xml:space="preserve">PSCR provided a </w:t>
      </w:r>
      <w:r w:rsidRPr="00E31F5B">
        <w:rPr>
          <w:rFonts w:cstheme="minorHAnsi"/>
          <w:bCs/>
          <w:iCs/>
          <w:color w:val="auto"/>
          <w:szCs w:val="24"/>
        </w:rPr>
        <w:t xml:space="preserve">revised economic model </w:t>
      </w:r>
      <w:r w:rsidR="00080D9A">
        <w:rPr>
          <w:rFonts w:cstheme="minorHAnsi"/>
          <w:bCs/>
          <w:iCs/>
          <w:color w:val="auto"/>
          <w:szCs w:val="24"/>
        </w:rPr>
        <w:t>which</w:t>
      </w:r>
      <w:r w:rsidRPr="00E31F5B">
        <w:rPr>
          <w:rFonts w:cstheme="minorHAnsi"/>
          <w:bCs/>
          <w:iCs/>
          <w:color w:val="auto"/>
          <w:szCs w:val="24"/>
        </w:rPr>
        <w:t xml:space="preserve"> reflected changes in the proposed CPS cut-off (≥20), </w:t>
      </w:r>
      <w:proofErr w:type="gramStart"/>
      <w:r w:rsidR="005765ED">
        <w:rPr>
          <w:rFonts w:cstheme="minorHAnsi"/>
          <w:bCs/>
          <w:iCs/>
          <w:color w:val="auto"/>
          <w:szCs w:val="24"/>
        </w:rPr>
        <w:t>and</w:t>
      </w:r>
      <w:r w:rsidRPr="00E31F5B">
        <w:rPr>
          <w:rFonts w:cstheme="minorHAnsi"/>
          <w:bCs/>
          <w:iCs/>
          <w:color w:val="auto"/>
          <w:szCs w:val="24"/>
        </w:rPr>
        <w:t xml:space="preserve"> also</w:t>
      </w:r>
      <w:proofErr w:type="gramEnd"/>
      <w:r w:rsidRPr="00E31F5B">
        <w:rPr>
          <w:rFonts w:cstheme="minorHAnsi"/>
          <w:bCs/>
          <w:iCs/>
          <w:color w:val="auto"/>
          <w:szCs w:val="24"/>
        </w:rPr>
        <w:t xml:space="preserve"> incorporated the following additional changes:</w:t>
      </w:r>
    </w:p>
    <w:p w14:paraId="6EFF4DE1" w14:textId="77777777" w:rsidR="002671C9" w:rsidRPr="00E31F5B" w:rsidRDefault="002671C9" w:rsidP="00080D9A">
      <w:pPr>
        <w:pStyle w:val="ListParagraph"/>
        <w:numPr>
          <w:ilvl w:val="0"/>
          <w:numId w:val="19"/>
        </w:numPr>
        <w:spacing w:before="0" w:after="0"/>
        <w:ind w:left="993" w:hanging="284"/>
        <w:rPr>
          <w:iCs/>
        </w:rPr>
      </w:pPr>
      <w:r w:rsidRPr="00E31F5B">
        <w:rPr>
          <w:iCs/>
        </w:rPr>
        <w:t>The AE assignment to SoC such that</w:t>
      </w:r>
      <w:r w:rsidR="00677059" w:rsidRPr="00E31F5B">
        <w:rPr>
          <w:iCs/>
        </w:rPr>
        <w:t xml:space="preserve"> </w:t>
      </w:r>
      <w:r w:rsidRPr="00E31F5B">
        <w:rPr>
          <w:iCs/>
        </w:rPr>
        <w:t>AE</w:t>
      </w:r>
      <w:r w:rsidR="00677059" w:rsidRPr="00E31F5B">
        <w:rPr>
          <w:iCs/>
        </w:rPr>
        <w:t>s</w:t>
      </w:r>
      <w:r w:rsidRPr="00E31F5B">
        <w:rPr>
          <w:iCs/>
        </w:rPr>
        <w:t xml:space="preserve"> were limited to the </w:t>
      </w:r>
      <w:proofErr w:type="gramStart"/>
      <w:r w:rsidRPr="00E31F5B">
        <w:rPr>
          <w:iCs/>
        </w:rPr>
        <w:t>18 week</w:t>
      </w:r>
      <w:proofErr w:type="gramEnd"/>
      <w:r w:rsidRPr="00E31F5B">
        <w:rPr>
          <w:iCs/>
        </w:rPr>
        <w:t xml:space="preserve"> duration of chemotherapy;</w:t>
      </w:r>
    </w:p>
    <w:p w14:paraId="535B9F8E" w14:textId="77777777" w:rsidR="002671C9" w:rsidRPr="00E31F5B" w:rsidRDefault="002671C9" w:rsidP="00080D9A">
      <w:pPr>
        <w:pStyle w:val="ListParagraph"/>
        <w:numPr>
          <w:ilvl w:val="0"/>
          <w:numId w:val="19"/>
        </w:numPr>
        <w:spacing w:before="0" w:after="0"/>
        <w:ind w:left="993" w:hanging="284"/>
        <w:rPr>
          <w:iCs/>
          <w:color w:val="auto"/>
        </w:rPr>
      </w:pPr>
      <w:r w:rsidRPr="00E31F5B">
        <w:rPr>
          <w:iCs/>
        </w:rPr>
        <w:t xml:space="preserve">A </w:t>
      </w:r>
      <w:r w:rsidRPr="00E31F5B">
        <w:rPr>
          <w:iCs/>
          <w:color w:val="auto"/>
        </w:rPr>
        <w:t>reduction</w:t>
      </w:r>
      <w:r w:rsidRPr="00E31F5B">
        <w:rPr>
          <w:iCs/>
        </w:rPr>
        <w:t xml:space="preserve"> of 2L nivolumab use from 50% to 43.7%.</w:t>
      </w:r>
    </w:p>
    <w:p w14:paraId="7D04FD4C" w14:textId="2B68B60C" w:rsidR="002671C9" w:rsidRPr="00E31F5B" w:rsidRDefault="002671C9" w:rsidP="00080D9A">
      <w:pPr>
        <w:pStyle w:val="ListParagraph"/>
        <w:numPr>
          <w:ilvl w:val="0"/>
          <w:numId w:val="19"/>
        </w:numPr>
        <w:spacing w:before="0"/>
        <w:ind w:left="993" w:hanging="284"/>
        <w:rPr>
          <w:rFonts w:ascii="Calibri" w:hAnsi="Calibri"/>
          <w:iCs/>
          <w:color w:val="auto"/>
        </w:rPr>
      </w:pPr>
      <w:r w:rsidRPr="00E31F5B">
        <w:rPr>
          <w:rFonts w:ascii="Calibri" w:hAnsi="Calibri"/>
          <w:iCs/>
        </w:rPr>
        <w:t>The effective price of pembrolizumab was revised to $</w:t>
      </w:r>
      <w:r w:rsidR="009A1388" w:rsidRPr="008B464E">
        <w:rPr>
          <w:rFonts w:ascii="Calibri" w:hAnsi="Calibri"/>
          <w:iCs/>
          <w:noProof/>
          <w:color w:val="000000"/>
          <w:w w:val="15"/>
          <w:shd w:val="solid" w:color="000000" w:fill="000000"/>
          <w:fitText w:val="-20" w:id="-1500867063"/>
          <w14:textFill>
            <w14:solidFill>
              <w14:srgbClr w14:val="000000">
                <w14:alpha w14:val="100000"/>
              </w14:srgbClr>
            </w14:solidFill>
          </w14:textFill>
        </w:rPr>
        <w:t xml:space="preserve">|  </w:t>
      </w:r>
      <w:r w:rsidR="009A1388" w:rsidRPr="008B464E">
        <w:rPr>
          <w:rFonts w:ascii="Calibri" w:hAnsi="Calibri"/>
          <w:iCs/>
          <w:noProof/>
          <w:color w:val="000000"/>
          <w:spacing w:val="-69"/>
          <w:w w:val="15"/>
          <w:shd w:val="solid" w:color="000000" w:fill="000000"/>
          <w:fitText w:val="-20" w:id="-1500867063"/>
          <w14:textFill>
            <w14:solidFill>
              <w14:srgbClr w14:val="000000">
                <w14:alpha w14:val="100000"/>
              </w14:srgbClr>
            </w14:solidFill>
          </w14:textFill>
        </w:rPr>
        <w:t>|</w:t>
      </w:r>
      <w:r w:rsidRPr="00E31F5B">
        <w:rPr>
          <w:rFonts w:ascii="Calibri" w:hAnsi="Calibri"/>
          <w:iCs/>
        </w:rPr>
        <w:t xml:space="preserve"> (combination) and $</w:t>
      </w:r>
      <w:r w:rsidR="009A1388" w:rsidRPr="008B464E">
        <w:rPr>
          <w:rFonts w:ascii="Calibri" w:hAnsi="Calibri"/>
          <w:iCs/>
          <w:noProof/>
          <w:color w:val="000000"/>
          <w:w w:val="15"/>
          <w:shd w:val="solid" w:color="000000" w:fill="000000"/>
          <w:fitText w:val="-20" w:id="-1500867062"/>
          <w14:textFill>
            <w14:solidFill>
              <w14:srgbClr w14:val="000000">
                <w14:alpha w14:val="100000"/>
              </w14:srgbClr>
            </w14:solidFill>
          </w14:textFill>
        </w:rPr>
        <w:t xml:space="preserve">|  </w:t>
      </w:r>
      <w:r w:rsidR="009A1388" w:rsidRPr="008B464E">
        <w:rPr>
          <w:rFonts w:ascii="Calibri" w:hAnsi="Calibri"/>
          <w:iCs/>
          <w:noProof/>
          <w:color w:val="000000"/>
          <w:spacing w:val="-69"/>
          <w:w w:val="15"/>
          <w:shd w:val="solid" w:color="000000" w:fill="000000"/>
          <w:fitText w:val="-20" w:id="-1500867062"/>
          <w14:textFill>
            <w14:solidFill>
              <w14:srgbClr w14:val="000000">
                <w14:alpha w14:val="100000"/>
              </w14:srgbClr>
            </w14:solidFill>
          </w14:textFill>
        </w:rPr>
        <w:t>|</w:t>
      </w:r>
      <w:r w:rsidRPr="00E31F5B">
        <w:rPr>
          <w:rFonts w:ascii="Calibri" w:hAnsi="Calibri"/>
          <w:iCs/>
        </w:rPr>
        <w:t xml:space="preserve"> (monotherapy) per 100 mg vial</w:t>
      </w:r>
      <w:r w:rsidR="002D344E">
        <w:rPr>
          <w:rFonts w:ascii="Calibri" w:hAnsi="Calibri"/>
          <w:iCs/>
        </w:rPr>
        <w:t xml:space="preserve"> resulting in a weighted ICER of $</w:t>
      </w:r>
      <w:r w:rsidR="00734A3B">
        <w:rPr>
          <w:rFonts w:ascii="Calibri" w:hAnsi="Calibri"/>
          <w:iCs/>
        </w:rPr>
        <w:t>55,000 to &lt; $75,000/QALY gained</w:t>
      </w:r>
      <w:r w:rsidRPr="00E31F5B">
        <w:rPr>
          <w:rFonts w:ascii="Calibri" w:hAnsi="Calibri"/>
          <w:iCs/>
        </w:rPr>
        <w:t>.</w:t>
      </w:r>
    </w:p>
    <w:p w14:paraId="43765055" w14:textId="77777777" w:rsidR="00E7485C" w:rsidRPr="00E31F5B" w:rsidRDefault="002671C9" w:rsidP="00A952CC">
      <w:pPr>
        <w:pStyle w:val="ListParagraph"/>
        <w:numPr>
          <w:ilvl w:val="4"/>
          <w:numId w:val="1"/>
        </w:numPr>
        <w:rPr>
          <w:rFonts w:cstheme="minorHAnsi"/>
          <w:bCs/>
          <w:iCs/>
          <w:color w:val="auto"/>
          <w:szCs w:val="24"/>
        </w:rPr>
      </w:pPr>
      <w:r w:rsidRPr="00E31F5B">
        <w:rPr>
          <w:rFonts w:cstheme="minorHAnsi"/>
          <w:bCs/>
          <w:iCs/>
          <w:color w:val="auto"/>
          <w:szCs w:val="24"/>
        </w:rPr>
        <w:t>The results of the PSCR economic model (CPS ≥20 for monotherapy), the Commentary respecified base case model (correcting AE costs) with the resubmission prices and PSCR revised prices are shown in</w:t>
      </w:r>
      <w:r w:rsidR="00E31F5B">
        <w:rPr>
          <w:rFonts w:cstheme="minorHAnsi"/>
          <w:bCs/>
          <w:iCs/>
          <w:color w:val="auto"/>
          <w:szCs w:val="24"/>
        </w:rPr>
        <w:t xml:space="preserve"> </w:t>
      </w:r>
      <w:r w:rsidR="008D43ED">
        <w:t xml:space="preserve">Table </w:t>
      </w:r>
      <w:r w:rsidR="008D43ED">
        <w:rPr>
          <w:noProof/>
        </w:rPr>
        <w:t>21</w:t>
      </w:r>
      <w:r w:rsidR="001213D5" w:rsidRPr="00E31F5B">
        <w:rPr>
          <w:rFonts w:cstheme="minorHAnsi"/>
          <w:bCs/>
          <w:iCs/>
          <w:color w:val="auto"/>
          <w:szCs w:val="24"/>
        </w:rPr>
        <w:t>.</w:t>
      </w:r>
    </w:p>
    <w:p w14:paraId="2CF4B34F" w14:textId="77777777" w:rsidR="002671C9" w:rsidRPr="003415E1" w:rsidRDefault="00E31F5B" w:rsidP="00024DCD">
      <w:pPr>
        <w:pStyle w:val="Caption"/>
      </w:pPr>
      <w:bookmarkStart w:id="80" w:name="_Ref86738612"/>
      <w:r>
        <w:lastRenderedPageBreak/>
        <w:t xml:space="preserve">Table </w:t>
      </w:r>
      <w:r w:rsidR="008D43ED">
        <w:rPr>
          <w:noProof/>
        </w:rPr>
        <w:t>21</w:t>
      </w:r>
      <w:bookmarkEnd w:id="80"/>
      <w:r w:rsidR="00024DCD">
        <w:t xml:space="preserve">: </w:t>
      </w:r>
      <w:r w:rsidR="001213D5" w:rsidRPr="003415E1">
        <w:t>Comparison of results of economic model across PSCR and resubmission using new and previous price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1: Comparison of results of economic model across PSCR and resubmission using new and previous price"/>
      </w:tblPr>
      <w:tblGrid>
        <w:gridCol w:w="2513"/>
        <w:gridCol w:w="2125"/>
        <w:gridCol w:w="2132"/>
        <w:gridCol w:w="2133"/>
      </w:tblGrid>
      <w:tr w:rsidR="001213D5" w:rsidRPr="00E31F5B" w14:paraId="327555A2" w14:textId="77777777" w:rsidTr="001213D5">
        <w:tc>
          <w:tcPr>
            <w:tcW w:w="2547" w:type="dxa"/>
            <w:tcBorders>
              <w:top w:val="single" w:sz="4" w:space="0" w:color="auto"/>
              <w:left w:val="single" w:sz="4" w:space="0" w:color="auto"/>
              <w:bottom w:val="single" w:sz="4" w:space="0" w:color="auto"/>
              <w:right w:val="single" w:sz="4" w:space="0" w:color="auto"/>
            </w:tcBorders>
            <w:vAlign w:val="center"/>
            <w:hideMark/>
          </w:tcPr>
          <w:p w14:paraId="428F9CCA" w14:textId="77777777" w:rsidR="001213D5" w:rsidRPr="00E31F5B" w:rsidRDefault="001213D5" w:rsidP="001213D5">
            <w:pPr>
              <w:keepNext/>
              <w:keepLines/>
              <w:spacing w:before="0" w:after="0"/>
              <w:jc w:val="left"/>
              <w:rPr>
                <w:rFonts w:ascii="Arial Narrow" w:eastAsia="Times New Roman" w:hAnsi="Arial Narrow" w:cs="Times New Roman"/>
                <w:b/>
                <w:bCs/>
                <w:iCs/>
                <w:sz w:val="20"/>
                <w:szCs w:val="20"/>
                <w:lang w:eastAsia="en-AU"/>
              </w:rPr>
            </w:pPr>
            <w:r w:rsidRPr="00E31F5B">
              <w:rPr>
                <w:rFonts w:ascii="Arial Narrow" w:eastAsia="Times New Roman" w:hAnsi="Arial Narrow" w:cs="Times New Roman"/>
                <w:b/>
                <w:bCs/>
                <w:iCs/>
                <w:sz w:val="20"/>
                <w:szCs w:val="20"/>
                <w:lang w:eastAsia="en-AU"/>
              </w:rPr>
              <w:t>Incremental component</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A7EC8FA"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b/>
                <w:iCs/>
                <w:sz w:val="20"/>
                <w:szCs w:val="20"/>
                <w:lang w:eastAsia="en-AU"/>
              </w:rPr>
              <w:t>PSCR model with new price and updated model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F0DF43"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b/>
                <w:iCs/>
                <w:sz w:val="20"/>
                <w:szCs w:val="20"/>
                <w:lang w:eastAsia="en-AU"/>
              </w:rPr>
              <w:t>Respecified base case constructed during evaluation using new price</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FB1C8E9"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vertAlign w:val="superscript"/>
                <w:lang w:eastAsia="en-AU"/>
              </w:rPr>
            </w:pPr>
            <w:r w:rsidRPr="00E31F5B">
              <w:rPr>
                <w:rFonts w:ascii="Arial Narrow" w:eastAsia="Times New Roman" w:hAnsi="Arial Narrow" w:cs="Times New Roman"/>
                <w:b/>
                <w:iCs/>
                <w:sz w:val="20"/>
                <w:szCs w:val="20"/>
                <w:lang w:eastAsia="en-AU"/>
              </w:rPr>
              <w:t xml:space="preserve">Respecified base case constructed during evaluation using previous price </w:t>
            </w:r>
            <w:r w:rsidRPr="00E31F5B">
              <w:rPr>
                <w:rFonts w:ascii="Arial Narrow" w:eastAsia="Times New Roman" w:hAnsi="Arial Narrow" w:cs="Times New Roman"/>
                <w:b/>
                <w:iCs/>
                <w:sz w:val="20"/>
                <w:szCs w:val="20"/>
                <w:vertAlign w:val="superscript"/>
                <w:lang w:eastAsia="en-AU"/>
              </w:rPr>
              <w:t>a</w:t>
            </w:r>
          </w:p>
        </w:tc>
      </w:tr>
      <w:tr w:rsidR="001213D5" w:rsidRPr="00E31F5B" w14:paraId="1FBE1D95" w14:textId="77777777" w:rsidTr="001213D5">
        <w:tc>
          <w:tcPr>
            <w:tcW w:w="9016" w:type="dxa"/>
            <w:gridSpan w:val="4"/>
            <w:tcBorders>
              <w:top w:val="single" w:sz="4" w:space="0" w:color="auto"/>
              <w:left w:val="single" w:sz="4" w:space="0" w:color="auto"/>
              <w:bottom w:val="single" w:sz="4" w:space="0" w:color="auto"/>
              <w:right w:val="single" w:sz="4" w:space="0" w:color="auto"/>
            </w:tcBorders>
            <w:hideMark/>
          </w:tcPr>
          <w:p w14:paraId="5A62EA29"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 xml:space="preserve">Pembrolizumab plus chemotherapy vs SoC, </w:t>
            </w:r>
            <w:r w:rsidRPr="00E31F5B">
              <w:rPr>
                <w:rFonts w:ascii="Arial Narrow" w:eastAsia="Times New Roman" w:hAnsi="Arial Narrow" w:cs="Times New Roman"/>
                <w:b/>
                <w:bCs/>
                <w:iCs/>
                <w:sz w:val="20"/>
                <w:szCs w:val="20"/>
                <w:u w:val="single"/>
                <w:lang w:eastAsia="en-AU"/>
              </w:rPr>
              <w:t>CPS ≥1</w:t>
            </w:r>
            <w:r w:rsidR="00E7485C" w:rsidRPr="00E31F5B">
              <w:rPr>
                <w:rFonts w:ascii="Arial Narrow" w:eastAsia="Times New Roman" w:hAnsi="Arial Narrow" w:cs="Times New Roman"/>
                <w:b/>
                <w:bCs/>
                <w:iCs/>
                <w:sz w:val="20"/>
                <w:szCs w:val="20"/>
                <w:u w:val="single"/>
                <w:lang w:eastAsia="en-AU"/>
              </w:rPr>
              <w:t xml:space="preserve"> (EA1)</w:t>
            </w:r>
          </w:p>
        </w:tc>
      </w:tr>
      <w:tr w:rsidR="001213D5" w:rsidRPr="00E31F5B" w14:paraId="665F5207" w14:textId="77777777" w:rsidTr="009A1388">
        <w:tc>
          <w:tcPr>
            <w:tcW w:w="2547" w:type="dxa"/>
            <w:tcBorders>
              <w:top w:val="single" w:sz="4" w:space="0" w:color="auto"/>
              <w:left w:val="single" w:sz="4" w:space="0" w:color="auto"/>
              <w:bottom w:val="single" w:sz="4" w:space="0" w:color="auto"/>
              <w:right w:val="single" w:sz="4" w:space="0" w:color="auto"/>
            </w:tcBorders>
            <w:hideMark/>
          </w:tcPr>
          <w:p w14:paraId="5B81AC2D"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w:t>
            </w:r>
            <w:r w:rsidR="00FA2014">
              <w:rPr>
                <w:rFonts w:ascii="Arial Narrow" w:eastAsia="Times New Roman" w:hAnsi="Arial Narrow" w:cs="Times New Roman"/>
                <w:iCs/>
                <w:sz w:val="20"/>
                <w:szCs w:val="20"/>
                <w:lang w:eastAsia="en-AU"/>
              </w:rPr>
              <w:t xml:space="preserve"> ($)</w:t>
            </w:r>
          </w:p>
        </w:tc>
        <w:tc>
          <w:tcPr>
            <w:tcW w:w="2156"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18B72C64" w14:textId="7ADD8261" w:rsidR="001213D5" w:rsidRPr="009A1388"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lang w:eastAsia="en-AU"/>
                <w14:textFill>
                  <w14:solidFill>
                    <w14:srgbClr w14:val="000000">
                      <w14:alpha w14:val="100000"/>
                    </w14:srgbClr>
                  </w14:solidFill>
                </w14:textFill>
              </w:rPr>
              <w:t>|</w:t>
            </w:r>
          </w:p>
        </w:tc>
        <w:tc>
          <w:tcPr>
            <w:tcW w:w="2156"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462EBD56" w14:textId="7F0355BF" w:rsidR="001213D5" w:rsidRPr="009A1388"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lang w:eastAsia="en-AU"/>
                <w14:textFill>
                  <w14:solidFill>
                    <w14:srgbClr w14:val="000000">
                      <w14:alpha w14:val="100000"/>
                    </w14:srgbClr>
                  </w14:solidFill>
                </w14:textFill>
              </w:rPr>
              <w:t>|</w:t>
            </w:r>
          </w:p>
        </w:tc>
        <w:tc>
          <w:tcPr>
            <w:tcW w:w="2157"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0A227140" w14:textId="030B901B" w:rsidR="001213D5" w:rsidRPr="009A1388"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lang w:eastAsia="en-AU"/>
                <w14:textFill>
                  <w14:solidFill>
                    <w14:srgbClr w14:val="000000">
                      <w14:alpha w14:val="100000"/>
                    </w14:srgbClr>
                  </w14:solidFill>
                </w14:textFill>
              </w:rPr>
              <w:t>|</w:t>
            </w:r>
          </w:p>
        </w:tc>
      </w:tr>
      <w:tr w:rsidR="001213D5" w:rsidRPr="00E31F5B" w14:paraId="72663112"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71DAD611"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535038"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0.8258</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3972E5"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0.8178</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CF9B373"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0.8178</w:t>
            </w:r>
          </w:p>
        </w:tc>
      </w:tr>
      <w:tr w:rsidR="001213D5" w:rsidRPr="00E31F5B" w14:paraId="0CA624F1"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557567C3"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QALY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41A9728"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0.6043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B25A1E9"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0.5987</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DC15351"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0.5987</w:t>
            </w:r>
          </w:p>
        </w:tc>
      </w:tr>
      <w:tr w:rsidR="001213D5" w:rsidRPr="00E31F5B" w14:paraId="0B9DD21F"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5CE3F536"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042F348" w14:textId="1904E432" w:rsidR="001213D5" w:rsidRPr="00567EB3"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sidRPr="00567EB3">
              <w:rPr>
                <w:rFonts w:ascii="Arial Narrow" w:eastAsia="Times New Roman" w:hAnsi="Arial Narrow" w:cs="Times New Roman"/>
                <w:iCs/>
                <w:sz w:val="20"/>
                <w:szCs w:val="20"/>
                <w:vertAlign w:val="superscript"/>
                <w:lang w:eastAsia="en-AU"/>
              </w:rPr>
              <w:t>1</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7BE2C2" w14:textId="4FAAE948"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sidRPr="00567EB3">
              <w:rPr>
                <w:rFonts w:ascii="Arial Narrow" w:eastAsia="Times New Roman" w:hAnsi="Arial Narrow" w:cs="Times New Roman"/>
                <w:iCs/>
                <w:sz w:val="20"/>
                <w:szCs w:val="20"/>
                <w:vertAlign w:val="superscript"/>
                <w:lang w:eastAsia="en-AU"/>
              </w:rPr>
              <w:t>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2B6D88A" w14:textId="52094C43"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2</w:t>
            </w:r>
          </w:p>
        </w:tc>
      </w:tr>
      <w:tr w:rsidR="001213D5" w:rsidRPr="00E31F5B" w14:paraId="4662D7C8"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40929447"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QALY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24F374B" w14:textId="509532ED"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409075F" w14:textId="354F9A2B"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3</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96C9A29" w14:textId="202E602C"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3</w:t>
            </w:r>
          </w:p>
        </w:tc>
      </w:tr>
      <w:tr w:rsidR="001213D5" w:rsidRPr="00E31F5B" w14:paraId="7BEA9EE4" w14:textId="77777777" w:rsidTr="001213D5">
        <w:tc>
          <w:tcPr>
            <w:tcW w:w="9016" w:type="dxa"/>
            <w:gridSpan w:val="4"/>
            <w:tcBorders>
              <w:top w:val="single" w:sz="4" w:space="0" w:color="auto"/>
              <w:left w:val="single" w:sz="4" w:space="0" w:color="auto"/>
              <w:bottom w:val="single" w:sz="4" w:space="0" w:color="auto"/>
              <w:right w:val="single" w:sz="4" w:space="0" w:color="auto"/>
            </w:tcBorders>
            <w:hideMark/>
          </w:tcPr>
          <w:p w14:paraId="58FCF908" w14:textId="77777777" w:rsidR="001213D5" w:rsidRPr="00E31F5B" w:rsidRDefault="001213D5" w:rsidP="001213D5">
            <w:pPr>
              <w:keepNext/>
              <w:keepLines/>
              <w:spacing w:before="0" w:after="0"/>
              <w:jc w:val="left"/>
              <w:rPr>
                <w:rFonts w:ascii="Arial Narrow" w:eastAsia="Times New Roman" w:hAnsi="Arial Narrow" w:cs="Times New Roman"/>
                <w:b/>
                <w:bCs/>
                <w:iCs/>
                <w:sz w:val="20"/>
                <w:szCs w:val="20"/>
                <w:lang w:eastAsia="en-AU"/>
              </w:rPr>
            </w:pPr>
            <w:r w:rsidRPr="00E31F5B">
              <w:rPr>
                <w:rFonts w:ascii="Arial Narrow" w:eastAsia="Times New Roman" w:hAnsi="Arial Narrow" w:cs="Times New Roman"/>
                <w:iCs/>
                <w:sz w:val="20"/>
                <w:szCs w:val="20"/>
                <w:lang w:eastAsia="en-AU"/>
              </w:rPr>
              <w:t xml:space="preserve">Pembrolizumab monotherapy vs SoC, </w:t>
            </w:r>
            <w:r w:rsidRPr="00E31F5B">
              <w:rPr>
                <w:rFonts w:ascii="Arial Narrow" w:eastAsia="Times New Roman" w:hAnsi="Arial Narrow" w:cs="Times New Roman"/>
                <w:b/>
                <w:bCs/>
                <w:iCs/>
                <w:sz w:val="20"/>
                <w:szCs w:val="20"/>
                <w:u w:val="single"/>
                <w:lang w:eastAsia="en-AU"/>
              </w:rPr>
              <w:t>CPS ≥20</w:t>
            </w:r>
            <w:r w:rsidR="00E7485C" w:rsidRPr="00E31F5B">
              <w:rPr>
                <w:rFonts w:ascii="Arial Narrow" w:eastAsia="Times New Roman" w:hAnsi="Arial Narrow" w:cs="Times New Roman"/>
                <w:b/>
                <w:bCs/>
                <w:iCs/>
                <w:sz w:val="20"/>
                <w:szCs w:val="20"/>
                <w:u w:val="single"/>
                <w:lang w:eastAsia="en-AU"/>
              </w:rPr>
              <w:t xml:space="preserve"> (EA2)</w:t>
            </w:r>
          </w:p>
        </w:tc>
      </w:tr>
      <w:tr w:rsidR="001213D5" w:rsidRPr="00E31F5B" w14:paraId="7086BB86" w14:textId="77777777" w:rsidTr="009A1388">
        <w:tc>
          <w:tcPr>
            <w:tcW w:w="2547" w:type="dxa"/>
            <w:tcBorders>
              <w:top w:val="single" w:sz="4" w:space="0" w:color="auto"/>
              <w:left w:val="single" w:sz="4" w:space="0" w:color="auto"/>
              <w:bottom w:val="single" w:sz="4" w:space="0" w:color="auto"/>
              <w:right w:val="single" w:sz="4" w:space="0" w:color="auto"/>
            </w:tcBorders>
            <w:hideMark/>
          </w:tcPr>
          <w:p w14:paraId="72DE7BBF"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w:t>
            </w:r>
            <w:r w:rsidR="00FA2014">
              <w:rPr>
                <w:rFonts w:ascii="Arial Narrow" w:eastAsia="Times New Roman" w:hAnsi="Arial Narrow" w:cs="Times New Roman"/>
                <w:iCs/>
                <w:sz w:val="20"/>
                <w:szCs w:val="20"/>
                <w:lang w:eastAsia="en-AU"/>
              </w:rPr>
              <w:t xml:space="preserve"> ($)</w:t>
            </w:r>
          </w:p>
        </w:tc>
        <w:tc>
          <w:tcPr>
            <w:tcW w:w="2156"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5C3E5661" w14:textId="29C56E3A" w:rsidR="001213D5" w:rsidRPr="009A1388"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lang w:eastAsia="en-AU"/>
                <w14:textFill>
                  <w14:solidFill>
                    <w14:srgbClr w14:val="000000">
                      <w14:alpha w14:val="100000"/>
                    </w14:srgbClr>
                  </w14:solidFill>
                </w14:textFill>
              </w:rPr>
              <w:t>|</w:t>
            </w:r>
          </w:p>
        </w:tc>
        <w:tc>
          <w:tcPr>
            <w:tcW w:w="2156"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5E84BB27" w14:textId="209D8000" w:rsidR="001213D5" w:rsidRPr="009A1388" w:rsidRDefault="009A1388" w:rsidP="001213D5">
            <w:pPr>
              <w:keepNext/>
              <w:keepLines/>
              <w:spacing w:before="0" w:after="0"/>
              <w:jc w:val="center"/>
              <w:rPr>
                <w:rFonts w:ascii="Arial Narrow" w:eastAsia="Times New Roman" w:hAnsi="Arial Narrow" w:cs="Times New Roman"/>
                <w:bCs/>
                <w:iCs/>
                <w:sz w:val="20"/>
                <w:szCs w:val="20"/>
                <w:lang w:eastAsia="en-AU"/>
              </w:rPr>
            </w:pPr>
            <w:r w:rsidRPr="009A1388">
              <w:rPr>
                <w:rFonts w:ascii="Arial Narrow" w:eastAsia="Times New Roman" w:hAnsi="Arial Narrow" w:cs="Times New Roman"/>
                <w:bCs/>
                <w:iCs/>
                <w:noProof/>
                <w:color w:val="000000"/>
                <w:sz w:val="20"/>
                <w:szCs w:val="20"/>
                <w:lang w:eastAsia="en-AU"/>
                <w14:textFill>
                  <w14:solidFill>
                    <w14:srgbClr w14:val="000000">
                      <w14:alpha w14:val="100000"/>
                    </w14:srgbClr>
                  </w14:solidFill>
                </w14:textFill>
              </w:rPr>
              <w:t>|</w:t>
            </w:r>
          </w:p>
        </w:tc>
        <w:tc>
          <w:tcPr>
            <w:tcW w:w="2157"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250CA0EF" w14:textId="27D3A383" w:rsidR="001213D5" w:rsidRPr="009A1388" w:rsidRDefault="009A1388" w:rsidP="001213D5">
            <w:pPr>
              <w:keepNext/>
              <w:keepLines/>
              <w:spacing w:before="0" w:after="0"/>
              <w:jc w:val="center"/>
              <w:rPr>
                <w:rFonts w:ascii="Arial Narrow" w:eastAsia="Times New Roman" w:hAnsi="Arial Narrow" w:cs="Times New Roman"/>
                <w:bCs/>
                <w:iCs/>
                <w:sz w:val="20"/>
                <w:szCs w:val="20"/>
                <w:lang w:eastAsia="en-AU"/>
              </w:rPr>
            </w:pPr>
            <w:r w:rsidRPr="009A1388">
              <w:rPr>
                <w:rFonts w:ascii="Arial Narrow" w:eastAsia="Times New Roman" w:hAnsi="Arial Narrow" w:cs="Times New Roman"/>
                <w:bCs/>
                <w:iCs/>
                <w:noProof/>
                <w:color w:val="000000"/>
                <w:sz w:val="20"/>
                <w:szCs w:val="20"/>
                <w:lang w:eastAsia="en-AU"/>
                <w14:textFill>
                  <w14:solidFill>
                    <w14:srgbClr w14:val="000000">
                      <w14:alpha w14:val="100000"/>
                    </w14:srgbClr>
                  </w14:solidFill>
                </w14:textFill>
              </w:rPr>
              <w:t>|</w:t>
            </w:r>
          </w:p>
        </w:tc>
      </w:tr>
      <w:tr w:rsidR="001213D5" w:rsidRPr="00E31F5B" w14:paraId="3E1C0B2D"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7BD5078D"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68FA070"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0.6856</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F0AB809"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0.6716</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94318D3"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0.6716</w:t>
            </w:r>
          </w:p>
        </w:tc>
      </w:tr>
      <w:tr w:rsidR="001213D5" w:rsidRPr="00E31F5B" w14:paraId="2DC73A3F"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54E5A3D9"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QALY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8CBA842"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0.5163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8029916"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0.5063</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6B7A1CE"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0.5063</w:t>
            </w:r>
          </w:p>
        </w:tc>
      </w:tr>
      <w:tr w:rsidR="001213D5" w:rsidRPr="00E31F5B" w14:paraId="3327A375"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4F1257A1"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DB8A60A" w14:textId="5F2BEA8F"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2</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FC68C58" w14:textId="0D007697" w:rsidR="001213D5" w:rsidRPr="00E31F5B" w:rsidRDefault="009A1388" w:rsidP="001213D5">
            <w:pPr>
              <w:keepNext/>
              <w:keepLines/>
              <w:spacing w:before="0" w:after="0"/>
              <w:jc w:val="center"/>
              <w:rPr>
                <w:rFonts w:ascii="Arial Narrow" w:eastAsia="Times New Roman" w:hAnsi="Arial Narrow" w:cs="Times New Roman"/>
                <w:bCs/>
                <w:iCs/>
                <w:sz w:val="20"/>
                <w:szCs w:val="20"/>
                <w:lang w:eastAsia="en-AU"/>
              </w:rPr>
            </w:pPr>
            <w:r w:rsidRPr="009A1388">
              <w:rPr>
                <w:rFonts w:ascii="Arial Narrow" w:eastAsia="Times New Roman" w:hAnsi="Arial Narrow" w:cs="Calibri"/>
                <w:bCs/>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2</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F030D71" w14:textId="2B63D95A" w:rsidR="001213D5" w:rsidRPr="00E31F5B" w:rsidRDefault="009A1388" w:rsidP="001213D5">
            <w:pPr>
              <w:keepNext/>
              <w:keepLines/>
              <w:spacing w:before="0" w:after="0"/>
              <w:jc w:val="center"/>
              <w:rPr>
                <w:rFonts w:ascii="Arial Narrow" w:eastAsia="Times New Roman" w:hAnsi="Arial Narrow" w:cs="Times New Roman"/>
                <w:bCs/>
                <w:iCs/>
                <w:sz w:val="20"/>
                <w:szCs w:val="20"/>
                <w:lang w:eastAsia="en-AU"/>
              </w:rPr>
            </w:pPr>
            <w:r w:rsidRPr="009A1388">
              <w:rPr>
                <w:rFonts w:ascii="Arial Narrow" w:eastAsia="Times New Roman" w:hAnsi="Arial Narrow" w:cs="Times New Roman"/>
                <w:bCs/>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2</w:t>
            </w:r>
          </w:p>
        </w:tc>
      </w:tr>
      <w:tr w:rsidR="001213D5" w:rsidRPr="00E31F5B" w14:paraId="22E0A98B"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12B69FA4"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QALY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3170BC8" w14:textId="56929F25"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62BA9C9" w14:textId="2401428A"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3</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41D4B5A" w14:textId="34220D62" w:rsidR="001213D5" w:rsidRPr="00E31F5B" w:rsidRDefault="009A1388" w:rsidP="001213D5">
            <w:pPr>
              <w:keepNext/>
              <w:keepLines/>
              <w:spacing w:before="0" w:after="0"/>
              <w:jc w:val="center"/>
              <w:rPr>
                <w:rFonts w:ascii="Arial Narrow" w:eastAsia="Times New Roman" w:hAnsi="Arial Narrow" w:cs="Times New Roman"/>
                <w:iCs/>
                <w:sz w:val="20"/>
                <w:szCs w:val="20"/>
                <w:lang w:eastAsia="en-AU"/>
              </w:rPr>
            </w:pPr>
            <w:r w:rsidRPr="009A1388">
              <w:rPr>
                <w:rFonts w:ascii="Arial Narrow" w:eastAsia="Times New Roman" w:hAnsi="Arial Narrow" w:cs="Times New Roman"/>
                <w:iCs/>
                <w:noProof/>
                <w:color w:val="000000"/>
                <w:sz w:val="20"/>
                <w:szCs w:val="20"/>
                <w:shd w:val="solid" w:color="000000" w:fill="000000"/>
                <w:lang w:eastAsia="en-AU"/>
                <w14:textFill>
                  <w14:solidFill>
                    <w14:srgbClr w14:val="000000">
                      <w14:alpha w14:val="100000"/>
                    </w14:srgbClr>
                  </w14:solidFill>
                </w14:textFill>
              </w:rPr>
              <w:t>|</w:t>
            </w:r>
            <w:r w:rsidR="00567EB3">
              <w:rPr>
                <w:rFonts w:ascii="Arial Narrow" w:eastAsia="Times New Roman" w:hAnsi="Arial Narrow" w:cs="Times New Roman"/>
                <w:iCs/>
                <w:sz w:val="20"/>
                <w:szCs w:val="20"/>
                <w:vertAlign w:val="superscript"/>
                <w:lang w:eastAsia="en-AU"/>
              </w:rPr>
              <w:t>3</w:t>
            </w:r>
          </w:p>
        </w:tc>
      </w:tr>
    </w:tbl>
    <w:p w14:paraId="1FD4F810" w14:textId="77777777" w:rsidR="001213D5" w:rsidRPr="00E31F5B" w:rsidRDefault="001213D5" w:rsidP="001213D5">
      <w:pPr>
        <w:keepNext/>
        <w:keepLines/>
        <w:snapToGrid w:val="0"/>
        <w:spacing w:before="0" w:after="240"/>
        <w:contextualSpacing/>
        <w:rPr>
          <w:rFonts w:ascii="Arial Narrow" w:eastAsia="Calibri" w:hAnsi="Arial Narrow" w:cs="Arial"/>
          <w:iCs/>
          <w:sz w:val="18"/>
          <w:szCs w:val="20"/>
        </w:rPr>
      </w:pPr>
      <w:r w:rsidRPr="00E31F5B">
        <w:rPr>
          <w:rFonts w:ascii="Arial Narrow" w:eastAsia="Calibri" w:hAnsi="Arial Narrow" w:cs="Arial"/>
          <w:iCs/>
          <w:sz w:val="18"/>
          <w:szCs w:val="18"/>
          <w:lang w:val="en-US"/>
        </w:rPr>
        <w:t>CPS = combined positive score;</w:t>
      </w:r>
      <w:r w:rsidRPr="00E31F5B">
        <w:rPr>
          <w:rFonts w:ascii="Arial Narrow" w:eastAsia="Calibri" w:hAnsi="Arial Narrow" w:cs="Arial"/>
          <w:iCs/>
          <w:sz w:val="18"/>
          <w:lang w:val="en-US"/>
        </w:rPr>
        <w:t xml:space="preserve"> </w:t>
      </w:r>
      <w:r w:rsidRPr="00E31F5B">
        <w:rPr>
          <w:rFonts w:ascii="Arial Narrow" w:eastAsia="Calibri" w:hAnsi="Arial Narrow" w:cs="Arial"/>
          <w:iCs/>
          <w:sz w:val="18"/>
        </w:rPr>
        <w:t>LY = life year, QALY = quality adjusted life year, SoC = standard of care</w:t>
      </w:r>
    </w:p>
    <w:p w14:paraId="483D4AFD" w14:textId="77777777" w:rsidR="001213D5" w:rsidRPr="00E31F5B" w:rsidRDefault="001213D5" w:rsidP="001213D5">
      <w:pPr>
        <w:keepNext/>
        <w:keepLines/>
        <w:snapToGrid w:val="0"/>
        <w:spacing w:before="0" w:after="240"/>
        <w:contextualSpacing/>
        <w:rPr>
          <w:rFonts w:ascii="Arial Narrow" w:eastAsia="Calibri" w:hAnsi="Arial Narrow" w:cs="Arial"/>
          <w:iCs/>
          <w:sz w:val="18"/>
        </w:rPr>
      </w:pPr>
      <w:r w:rsidRPr="00E31F5B">
        <w:rPr>
          <w:rFonts w:ascii="Arial Narrow" w:eastAsia="Calibri" w:hAnsi="Arial Narrow" w:cs="Arial"/>
          <w:iCs/>
          <w:sz w:val="18"/>
          <w:vertAlign w:val="superscript"/>
        </w:rPr>
        <w:t>a</w:t>
      </w:r>
      <w:r w:rsidRPr="00E31F5B">
        <w:rPr>
          <w:rFonts w:ascii="Arial Narrow" w:eastAsia="Calibri" w:hAnsi="Arial Narrow" w:cs="Arial"/>
          <w:iCs/>
          <w:sz w:val="18"/>
        </w:rPr>
        <w:t xml:space="preserve"> Results for the pembrolizumab monotherapy model were not presented in the Commentary as model results from the CPS≥20 subgroup </w:t>
      </w:r>
      <w:proofErr w:type="gramStart"/>
      <w:r w:rsidRPr="00E31F5B">
        <w:rPr>
          <w:rFonts w:ascii="Arial Narrow" w:eastAsia="Calibri" w:hAnsi="Arial Narrow" w:cs="Arial"/>
          <w:iCs/>
          <w:sz w:val="18"/>
        </w:rPr>
        <w:t>were</w:t>
      </w:r>
      <w:proofErr w:type="gramEnd"/>
      <w:r w:rsidRPr="00E31F5B">
        <w:rPr>
          <w:rFonts w:ascii="Arial Narrow" w:eastAsia="Calibri" w:hAnsi="Arial Narrow" w:cs="Arial"/>
          <w:iCs/>
          <w:sz w:val="18"/>
        </w:rPr>
        <w:t xml:space="preserve"> not considered.</w:t>
      </w:r>
    </w:p>
    <w:p w14:paraId="7272A931" w14:textId="77777777" w:rsidR="001213D5" w:rsidRDefault="001213D5" w:rsidP="00A952CC">
      <w:pPr>
        <w:snapToGrid w:val="0"/>
        <w:spacing w:before="0" w:after="240"/>
        <w:contextualSpacing/>
        <w:rPr>
          <w:rFonts w:ascii="Arial Narrow" w:eastAsia="Calibri" w:hAnsi="Arial Narrow" w:cs="Arial"/>
          <w:iCs/>
          <w:sz w:val="18"/>
        </w:rPr>
      </w:pPr>
      <w:r w:rsidRPr="00E31F5B">
        <w:rPr>
          <w:rFonts w:ascii="Arial Narrow" w:eastAsia="Calibri" w:hAnsi="Arial Narrow" w:cs="Arial"/>
          <w:iCs/>
          <w:sz w:val="18"/>
        </w:rPr>
        <w:t>Source: Constructed for ESC.</w:t>
      </w:r>
    </w:p>
    <w:p w14:paraId="33D1C279"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rPr>
        <w:t>The redacted values correspond to the following ranges:</w:t>
      </w:r>
    </w:p>
    <w:p w14:paraId="111E7799"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vertAlign w:val="superscript"/>
        </w:rPr>
        <w:t>1</w:t>
      </w:r>
      <w:r w:rsidRPr="00567EB3">
        <w:rPr>
          <w:rFonts w:ascii="Arial Narrow" w:eastAsia="Calibri" w:hAnsi="Arial Narrow" w:cs="Arial"/>
          <w:i/>
          <w:iCs/>
          <w:sz w:val="18"/>
        </w:rPr>
        <w:t xml:space="preserve"> $35,000 to &lt; $45,000</w:t>
      </w:r>
    </w:p>
    <w:p w14:paraId="58DEE1AD"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vertAlign w:val="superscript"/>
        </w:rPr>
        <w:t>2</w:t>
      </w:r>
      <w:r w:rsidRPr="00567EB3">
        <w:rPr>
          <w:rFonts w:ascii="Arial Narrow" w:eastAsia="Calibri" w:hAnsi="Arial Narrow" w:cs="Arial"/>
          <w:i/>
          <w:iCs/>
          <w:sz w:val="18"/>
        </w:rPr>
        <w:t xml:space="preserve"> $45,000 to &lt; $55,000</w:t>
      </w:r>
    </w:p>
    <w:p w14:paraId="7984936B"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vertAlign w:val="superscript"/>
        </w:rPr>
        <w:t>3</w:t>
      </w:r>
      <w:r w:rsidRPr="00567EB3">
        <w:rPr>
          <w:rFonts w:ascii="Arial Narrow" w:eastAsia="Calibri" w:hAnsi="Arial Narrow" w:cs="Arial"/>
          <w:i/>
          <w:iCs/>
          <w:sz w:val="18"/>
        </w:rPr>
        <w:t xml:space="preserve"> $55,000 to &lt; $75,000</w:t>
      </w:r>
    </w:p>
    <w:p w14:paraId="6E186D73" w14:textId="77777777" w:rsidR="00567EB3" w:rsidRPr="00567EB3" w:rsidRDefault="00567EB3" w:rsidP="00A952CC">
      <w:pPr>
        <w:snapToGrid w:val="0"/>
        <w:spacing w:before="0" w:after="240"/>
        <w:contextualSpacing/>
        <w:rPr>
          <w:rFonts w:ascii="Arial Narrow" w:eastAsia="Calibri" w:hAnsi="Arial Narrow" w:cs="Arial"/>
          <w:iCs/>
          <w:sz w:val="18"/>
        </w:rPr>
      </w:pPr>
    </w:p>
    <w:p w14:paraId="3A2BBF1A" w14:textId="77777777" w:rsidR="00E7485C" w:rsidRPr="00E31F5B" w:rsidRDefault="00E7485C" w:rsidP="00E7485C">
      <w:pPr>
        <w:pStyle w:val="ListParagraph"/>
        <w:numPr>
          <w:ilvl w:val="4"/>
          <w:numId w:val="1"/>
        </w:numPr>
        <w:rPr>
          <w:rFonts w:cstheme="minorHAnsi"/>
          <w:bCs/>
          <w:iCs/>
          <w:color w:val="auto"/>
          <w:szCs w:val="24"/>
        </w:rPr>
      </w:pPr>
      <w:r w:rsidRPr="00E31F5B">
        <w:rPr>
          <w:rFonts w:cstheme="minorHAnsi"/>
          <w:bCs/>
          <w:iCs/>
          <w:color w:val="auto"/>
          <w:szCs w:val="24"/>
        </w:rPr>
        <w:t xml:space="preserve">The ESCs noted that the revised model had not been </w:t>
      </w:r>
      <w:r w:rsidR="005765ED">
        <w:rPr>
          <w:rFonts w:cstheme="minorHAnsi"/>
          <w:bCs/>
          <w:iCs/>
          <w:color w:val="auto"/>
          <w:szCs w:val="24"/>
        </w:rPr>
        <w:t xml:space="preserve">fully </w:t>
      </w:r>
      <w:r w:rsidRPr="00E31F5B">
        <w:rPr>
          <w:rFonts w:cstheme="minorHAnsi"/>
          <w:bCs/>
          <w:iCs/>
          <w:color w:val="auto"/>
          <w:szCs w:val="24"/>
        </w:rPr>
        <w:t>evaluated as it was provided with the PSCR</w:t>
      </w:r>
      <w:r w:rsidR="00080D9A">
        <w:rPr>
          <w:rFonts w:cstheme="minorHAnsi"/>
          <w:bCs/>
          <w:iCs/>
          <w:color w:val="auto"/>
          <w:szCs w:val="24"/>
        </w:rPr>
        <w:t xml:space="preserve">. </w:t>
      </w:r>
      <w:r w:rsidR="004E0D02">
        <w:rPr>
          <w:rFonts w:cstheme="minorHAnsi"/>
          <w:bCs/>
          <w:iCs/>
          <w:color w:val="auto"/>
          <w:szCs w:val="24"/>
        </w:rPr>
        <w:t xml:space="preserve">The </w:t>
      </w:r>
      <w:r w:rsidRPr="00E31F5B">
        <w:rPr>
          <w:rFonts w:cstheme="minorHAnsi"/>
          <w:bCs/>
          <w:iCs/>
          <w:color w:val="auto"/>
          <w:szCs w:val="24"/>
        </w:rPr>
        <w:t>ESC</w:t>
      </w:r>
      <w:r w:rsidR="003824BB" w:rsidRPr="00E31F5B">
        <w:rPr>
          <w:rFonts w:cstheme="minorHAnsi"/>
          <w:bCs/>
          <w:iCs/>
          <w:color w:val="auto"/>
          <w:szCs w:val="24"/>
        </w:rPr>
        <w:t>s</w:t>
      </w:r>
      <w:r w:rsidRPr="00E31F5B">
        <w:rPr>
          <w:rFonts w:cstheme="minorHAnsi"/>
          <w:bCs/>
          <w:iCs/>
          <w:color w:val="auto"/>
          <w:szCs w:val="24"/>
        </w:rPr>
        <w:t xml:space="preserve"> observed the following regarding the changes to the economic model</w:t>
      </w:r>
      <w:r w:rsidR="00FF61C2" w:rsidRPr="00E31F5B">
        <w:rPr>
          <w:rFonts w:cstheme="minorHAnsi"/>
          <w:bCs/>
          <w:iCs/>
          <w:color w:val="auto"/>
          <w:szCs w:val="24"/>
        </w:rPr>
        <w:t xml:space="preserve"> </w:t>
      </w:r>
      <w:r w:rsidR="005765ED">
        <w:rPr>
          <w:rFonts w:cstheme="minorHAnsi"/>
          <w:bCs/>
          <w:iCs/>
          <w:color w:val="auto"/>
          <w:szCs w:val="24"/>
        </w:rPr>
        <w:t>as provided</w:t>
      </w:r>
      <w:r w:rsidR="002D344E">
        <w:rPr>
          <w:rFonts w:cstheme="minorHAnsi"/>
          <w:bCs/>
          <w:iCs/>
          <w:color w:val="auto"/>
          <w:szCs w:val="24"/>
        </w:rPr>
        <w:t xml:space="preserve"> </w:t>
      </w:r>
      <w:r w:rsidR="005765ED">
        <w:rPr>
          <w:rFonts w:cstheme="minorHAnsi"/>
          <w:bCs/>
          <w:iCs/>
          <w:color w:val="auto"/>
          <w:szCs w:val="24"/>
        </w:rPr>
        <w:t>with</w:t>
      </w:r>
      <w:r w:rsidR="00FF61C2" w:rsidRPr="00E31F5B">
        <w:rPr>
          <w:rFonts w:cstheme="minorHAnsi"/>
          <w:bCs/>
          <w:iCs/>
          <w:color w:val="auto"/>
          <w:szCs w:val="24"/>
        </w:rPr>
        <w:t xml:space="preserve"> the PSCR</w:t>
      </w:r>
      <w:r w:rsidRPr="00E31F5B">
        <w:rPr>
          <w:rFonts w:cstheme="minorHAnsi"/>
          <w:bCs/>
          <w:iCs/>
          <w:color w:val="auto"/>
          <w:szCs w:val="24"/>
        </w:rPr>
        <w:t>:</w:t>
      </w:r>
    </w:p>
    <w:p w14:paraId="3B4F18B2" w14:textId="77777777" w:rsidR="00E7485C" w:rsidRPr="00E31F5B" w:rsidRDefault="00E7485C" w:rsidP="00DD3D4A">
      <w:pPr>
        <w:pStyle w:val="ListParagraph"/>
        <w:numPr>
          <w:ilvl w:val="0"/>
          <w:numId w:val="19"/>
        </w:numPr>
        <w:ind w:left="993" w:hanging="284"/>
        <w:rPr>
          <w:iCs/>
        </w:rPr>
      </w:pPr>
      <w:r w:rsidRPr="00E31F5B">
        <w:rPr>
          <w:iCs/>
        </w:rPr>
        <w:t>The revised OS</w:t>
      </w:r>
      <w:r w:rsidR="003415E1" w:rsidRPr="00E31F5B">
        <w:rPr>
          <w:iCs/>
        </w:rPr>
        <w:t xml:space="preserve"> and</w:t>
      </w:r>
      <w:r w:rsidRPr="00E31F5B">
        <w:rPr>
          <w:iCs/>
        </w:rPr>
        <w:t xml:space="preserve"> PFS values would be expected to reduce the ICER, based on more favourable results in the CPS ≥20 subgroup for monotherapy. Incremental QALYs in EA 2 were increased from 0.3501 in the resubmission to 0.</w:t>
      </w:r>
      <w:r w:rsidR="006A1BDD" w:rsidRPr="00E31F5B">
        <w:rPr>
          <w:iCs/>
        </w:rPr>
        <w:t xml:space="preserve">5063 </w:t>
      </w:r>
      <w:proofErr w:type="gramStart"/>
      <w:r w:rsidR="006A1BDD" w:rsidRPr="00E31F5B">
        <w:rPr>
          <w:iCs/>
        </w:rPr>
        <w:t>as a result of</w:t>
      </w:r>
      <w:proofErr w:type="gramEnd"/>
      <w:r w:rsidR="006A1BDD" w:rsidRPr="00E31F5B">
        <w:rPr>
          <w:iCs/>
        </w:rPr>
        <w:t xml:space="preserve"> the change in CPS cut-off (based on the respecified base case constructed during the evaluation</w:t>
      </w:r>
      <w:r w:rsidR="003415E1" w:rsidRPr="00E31F5B">
        <w:rPr>
          <w:iCs/>
        </w:rPr>
        <w:t>).</w:t>
      </w:r>
    </w:p>
    <w:p w14:paraId="64732CBE" w14:textId="154B64A9" w:rsidR="00AC469A" w:rsidRPr="00E31F5B" w:rsidRDefault="006A1BDD" w:rsidP="00DD3D4A">
      <w:pPr>
        <w:pStyle w:val="ListParagraph"/>
        <w:numPr>
          <w:ilvl w:val="0"/>
          <w:numId w:val="19"/>
        </w:numPr>
        <w:ind w:left="993" w:hanging="284"/>
        <w:rPr>
          <w:iCs/>
        </w:rPr>
      </w:pPr>
      <w:r w:rsidRPr="00E31F5B">
        <w:rPr>
          <w:iCs/>
        </w:rPr>
        <w:t xml:space="preserve">The revised </w:t>
      </w:r>
      <w:proofErr w:type="spellStart"/>
      <w:r w:rsidR="00AC469A" w:rsidRPr="00E31F5B">
        <w:rPr>
          <w:iCs/>
        </w:rPr>
        <w:t>ToT</w:t>
      </w:r>
      <w:proofErr w:type="spellEnd"/>
      <w:r w:rsidRPr="00E31F5B">
        <w:rPr>
          <w:iCs/>
        </w:rPr>
        <w:t xml:space="preserve"> resulted in increased incremental costs for pembrolizumab (from </w:t>
      </w:r>
      <w:r w:rsidRPr="00E31F5B">
        <w:rPr>
          <w:rFonts w:ascii="Calibri" w:hAnsi="Calibri"/>
          <w:iCs/>
          <w:color w:val="auto"/>
        </w:rPr>
        <w:t>$</w:t>
      </w:r>
      <w:r w:rsidR="009A1388" w:rsidRPr="008B464E">
        <w:rPr>
          <w:rFonts w:ascii="Calibri" w:hAnsi="Calibri"/>
          <w:iCs/>
          <w:noProof/>
          <w:color w:val="000000"/>
          <w:w w:val="15"/>
          <w:shd w:val="solid" w:color="000000" w:fill="000000"/>
          <w:fitText w:val="-20" w:id="-1500867061"/>
          <w14:textFill>
            <w14:solidFill>
              <w14:srgbClr w14:val="000000">
                <w14:alpha w14:val="100000"/>
              </w14:srgbClr>
            </w14:solidFill>
          </w14:textFill>
        </w:rPr>
        <w:t xml:space="preserve">|  </w:t>
      </w:r>
      <w:r w:rsidR="009A1388" w:rsidRPr="008B464E">
        <w:rPr>
          <w:rFonts w:ascii="Calibri" w:hAnsi="Calibri"/>
          <w:iCs/>
          <w:noProof/>
          <w:color w:val="000000"/>
          <w:spacing w:val="-69"/>
          <w:w w:val="15"/>
          <w:shd w:val="solid" w:color="000000" w:fill="000000"/>
          <w:fitText w:val="-20" w:id="-1500867061"/>
          <w14:textFill>
            <w14:solidFill>
              <w14:srgbClr w14:val="000000">
                <w14:alpha w14:val="100000"/>
              </w14:srgbClr>
            </w14:solidFill>
          </w14:textFill>
        </w:rPr>
        <w:t>|</w:t>
      </w:r>
      <w:r w:rsidRPr="00E31F5B">
        <w:rPr>
          <w:rFonts w:ascii="Calibri" w:hAnsi="Calibri"/>
          <w:iCs/>
          <w:color w:val="auto"/>
        </w:rPr>
        <w:t xml:space="preserve"> </w:t>
      </w:r>
      <w:r w:rsidRPr="00E31F5B">
        <w:rPr>
          <w:iCs/>
        </w:rPr>
        <w:t>to $</w:t>
      </w:r>
      <w:r w:rsidR="009A1388" w:rsidRPr="008B464E">
        <w:rPr>
          <w:iCs/>
          <w:noProof/>
          <w:color w:val="000000"/>
          <w:w w:val="15"/>
          <w:shd w:val="solid" w:color="000000" w:fill="000000"/>
          <w:fitText w:val="-20" w:id="-1500867060"/>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060"/>
          <w14:textFill>
            <w14:solidFill>
              <w14:srgbClr w14:val="000000">
                <w14:alpha w14:val="100000"/>
              </w14:srgbClr>
            </w14:solidFill>
          </w14:textFill>
        </w:rPr>
        <w:t>|</w:t>
      </w:r>
      <w:r w:rsidRPr="00E31F5B">
        <w:rPr>
          <w:iCs/>
        </w:rPr>
        <w:t xml:space="preserve">) as patients in the CPS </w:t>
      </w:r>
      <w:r w:rsidRPr="00E31F5B">
        <w:rPr>
          <w:rFonts w:cs="Calibri"/>
          <w:iCs/>
        </w:rPr>
        <w:t>≥20 subgroup stayed on treatment longer.</w:t>
      </w:r>
    </w:p>
    <w:p w14:paraId="31886B30" w14:textId="77777777" w:rsidR="00CA2A57" w:rsidRDefault="004D4377" w:rsidP="00CA2A57">
      <w:pPr>
        <w:pStyle w:val="ListParagraph"/>
        <w:numPr>
          <w:ilvl w:val="0"/>
          <w:numId w:val="19"/>
        </w:numPr>
        <w:ind w:left="993" w:hanging="284"/>
        <w:rPr>
          <w:iCs/>
        </w:rPr>
      </w:pPr>
      <w:r w:rsidRPr="00E31F5B">
        <w:rPr>
          <w:iCs/>
        </w:rPr>
        <w:t>The reduction in 2L nivolumab from 50% to 43.7% would be expected to reduce costs in the comparator arm and result in a very small reduction in LY/QALY in the comparator arm as the adjustment to the HR for 2L nivolumab was very small.</w:t>
      </w:r>
      <w:r w:rsidR="00CA2A57" w:rsidRPr="00CA2A57">
        <w:rPr>
          <w:iCs/>
        </w:rPr>
        <w:t xml:space="preserve"> </w:t>
      </w:r>
    </w:p>
    <w:p w14:paraId="5984D512" w14:textId="77777777" w:rsidR="00E7485C" w:rsidRPr="00EC43D4" w:rsidRDefault="00CA2A57" w:rsidP="00EC43D4">
      <w:pPr>
        <w:pStyle w:val="ListParagraph"/>
        <w:numPr>
          <w:ilvl w:val="0"/>
          <w:numId w:val="19"/>
        </w:numPr>
        <w:ind w:left="993" w:hanging="284"/>
        <w:rPr>
          <w:iCs/>
        </w:rPr>
      </w:pPr>
      <w:r>
        <w:rPr>
          <w:iCs/>
        </w:rPr>
        <w:t>Overall, t</w:t>
      </w:r>
      <w:r w:rsidRPr="00E31F5B">
        <w:rPr>
          <w:iCs/>
        </w:rPr>
        <w:t>he reduction in price proposed in the PSCR had a relatively small impact on the ICER.</w:t>
      </w:r>
    </w:p>
    <w:p w14:paraId="57EEFC10" w14:textId="77777777" w:rsidR="004E0D02" w:rsidRDefault="00CA2A57" w:rsidP="002D344E">
      <w:pPr>
        <w:pStyle w:val="ListParagraph"/>
        <w:numPr>
          <w:ilvl w:val="4"/>
          <w:numId w:val="1"/>
        </w:numPr>
        <w:rPr>
          <w:rFonts w:cstheme="minorHAnsi"/>
          <w:bCs/>
          <w:iCs/>
          <w:color w:val="auto"/>
          <w:szCs w:val="24"/>
        </w:rPr>
      </w:pPr>
      <w:r>
        <w:t xml:space="preserve">Although the PSCR model wasn’t evaluated, the PBAC considered it reliable for decision-making </w:t>
      </w:r>
      <w:proofErr w:type="gramStart"/>
      <w:r>
        <w:t>on the basis of</w:t>
      </w:r>
      <w:proofErr w:type="gramEnd"/>
      <w:r>
        <w:t xml:space="preserve"> a comparison of the results for the revised and evaluated models. </w:t>
      </w:r>
      <w:r>
        <w:rPr>
          <w:rFonts w:cstheme="minorHAnsi"/>
          <w:bCs/>
          <w:iCs/>
          <w:color w:val="auto"/>
          <w:szCs w:val="24"/>
        </w:rPr>
        <w:t>T</w:t>
      </w:r>
      <w:r w:rsidR="004E0D02">
        <w:rPr>
          <w:rFonts w:cstheme="minorHAnsi"/>
          <w:bCs/>
          <w:iCs/>
          <w:color w:val="auto"/>
          <w:szCs w:val="24"/>
        </w:rPr>
        <w:t xml:space="preserve">aking into consideration the effectiveness in the </w:t>
      </w:r>
      <w:r>
        <w:rPr>
          <w:rFonts w:cstheme="minorHAnsi"/>
          <w:bCs/>
          <w:iCs/>
          <w:color w:val="auto"/>
          <w:szCs w:val="24"/>
        </w:rPr>
        <w:t>CPS </w:t>
      </w:r>
      <w:r w:rsidR="004E0D02">
        <w:rPr>
          <w:rFonts w:cstheme="minorHAnsi"/>
          <w:bCs/>
          <w:iCs/>
          <w:color w:val="auto"/>
          <w:szCs w:val="24"/>
        </w:rPr>
        <w:t xml:space="preserve">≥20 population and the safety advantage for monotherapy, the PBAC considered that it is </w:t>
      </w:r>
      <w:r w:rsidR="004E0D02">
        <w:rPr>
          <w:rFonts w:cstheme="minorHAnsi"/>
          <w:bCs/>
          <w:iCs/>
          <w:color w:val="auto"/>
          <w:szCs w:val="24"/>
        </w:rPr>
        <w:lastRenderedPageBreak/>
        <w:t>likely that when used as monotherapy for patients with high CPS (≥20) pembrolizumab provides a similar level of cost</w:t>
      </w:r>
      <w:r w:rsidR="004E0D02">
        <w:rPr>
          <w:rFonts w:cstheme="minorHAnsi"/>
          <w:bCs/>
          <w:iCs/>
          <w:color w:val="auto"/>
          <w:szCs w:val="24"/>
        </w:rPr>
        <w:noBreakHyphen/>
        <w:t xml:space="preserve">effectiveness as when used in combination with chemotherapy in the broader population. </w:t>
      </w:r>
    </w:p>
    <w:p w14:paraId="0648DA91" w14:textId="77777777" w:rsidR="002D344E" w:rsidRDefault="002D344E" w:rsidP="002D344E">
      <w:pPr>
        <w:pStyle w:val="ListParagraph"/>
        <w:numPr>
          <w:ilvl w:val="4"/>
          <w:numId w:val="1"/>
        </w:numPr>
        <w:rPr>
          <w:rFonts w:cstheme="minorHAnsi"/>
          <w:bCs/>
          <w:iCs/>
          <w:color w:val="auto"/>
          <w:szCs w:val="24"/>
        </w:rPr>
      </w:pPr>
      <w:r>
        <w:rPr>
          <w:rFonts w:cstheme="minorHAnsi"/>
          <w:bCs/>
          <w:iCs/>
          <w:color w:val="auto"/>
          <w:szCs w:val="24"/>
        </w:rPr>
        <w:t xml:space="preserve">The PBAC noted that in the pre-PBAC response the proposed price was reduced for pembrolizumab monotherapy such that it was equal to the proposed price for pembrolizumab when used in combination with chemotherapy. </w:t>
      </w:r>
      <w:r w:rsidR="00AF7896">
        <w:rPr>
          <w:rFonts w:cstheme="minorHAnsi"/>
          <w:bCs/>
          <w:iCs/>
          <w:color w:val="auto"/>
          <w:szCs w:val="24"/>
        </w:rPr>
        <w:t xml:space="preserve">The PBAC noted that the total drug cost/patient/course was similar between monotherapy (in patients with CPS ≥20) and combination therapy (in the ITT population) as the small additional cost of chemotherapy was offset by the small difference in treatment duration (see paragraph </w:t>
      </w:r>
      <w:r w:rsidR="008D43ED">
        <w:rPr>
          <w:rFonts w:cstheme="minorHAnsi"/>
          <w:bCs/>
          <w:iCs/>
          <w:color w:val="auto"/>
          <w:szCs w:val="24"/>
        </w:rPr>
        <w:t>6.81</w:t>
      </w:r>
      <w:r w:rsidR="00AF7896">
        <w:rPr>
          <w:rFonts w:cstheme="minorHAnsi"/>
          <w:bCs/>
          <w:iCs/>
          <w:color w:val="auto"/>
          <w:szCs w:val="24"/>
        </w:rPr>
        <w:t>). T</w:t>
      </w:r>
      <w:r>
        <w:rPr>
          <w:rFonts w:cstheme="minorHAnsi"/>
          <w:bCs/>
          <w:iCs/>
          <w:color w:val="auto"/>
          <w:szCs w:val="24"/>
        </w:rPr>
        <w:t xml:space="preserve">his approach helped to address uncertainty regarding the proportion of patients undergoing monotherapy vs combination therapy and impact on cost-effectiveness. </w:t>
      </w:r>
    </w:p>
    <w:p w14:paraId="33F59D9B" w14:textId="77777777" w:rsidR="005765ED" w:rsidRDefault="005765ED" w:rsidP="005765ED">
      <w:pPr>
        <w:pStyle w:val="ListParagraph"/>
        <w:numPr>
          <w:ilvl w:val="4"/>
          <w:numId w:val="1"/>
        </w:numPr>
        <w:rPr>
          <w:rFonts w:cstheme="minorHAnsi"/>
          <w:bCs/>
          <w:iCs/>
          <w:color w:val="auto"/>
          <w:szCs w:val="24"/>
        </w:rPr>
      </w:pPr>
      <w:r>
        <w:rPr>
          <w:rFonts w:cstheme="minorHAnsi"/>
          <w:bCs/>
          <w:iCs/>
          <w:color w:val="auto"/>
          <w:szCs w:val="24"/>
        </w:rPr>
        <w:t>The PBAC considered that the inputs for the</w:t>
      </w:r>
      <w:r w:rsidR="00033781">
        <w:rPr>
          <w:rFonts w:cstheme="minorHAnsi"/>
          <w:bCs/>
          <w:iCs/>
          <w:color w:val="auto"/>
          <w:szCs w:val="24"/>
        </w:rPr>
        <w:t xml:space="preserve"> respecified base case</w:t>
      </w:r>
      <w:r>
        <w:rPr>
          <w:rFonts w:cstheme="minorHAnsi"/>
          <w:bCs/>
          <w:iCs/>
          <w:color w:val="auto"/>
          <w:szCs w:val="24"/>
        </w:rPr>
        <w:t xml:space="preserve"> model </w:t>
      </w:r>
      <w:r w:rsidR="00033781">
        <w:rPr>
          <w:rFonts w:cstheme="minorHAnsi"/>
          <w:bCs/>
          <w:iCs/>
          <w:color w:val="auto"/>
          <w:szCs w:val="24"/>
        </w:rPr>
        <w:t xml:space="preserve">and weighting calculations </w:t>
      </w:r>
      <w:r>
        <w:rPr>
          <w:rFonts w:cstheme="minorHAnsi"/>
          <w:bCs/>
          <w:iCs/>
          <w:color w:val="auto"/>
          <w:szCs w:val="24"/>
        </w:rPr>
        <w:t>should be revised in the following way</w:t>
      </w:r>
      <w:r w:rsidR="00033781">
        <w:rPr>
          <w:rFonts w:cstheme="minorHAnsi"/>
          <w:bCs/>
          <w:iCs/>
          <w:color w:val="auto"/>
          <w:szCs w:val="24"/>
        </w:rPr>
        <w:t>s</w:t>
      </w:r>
      <w:r>
        <w:rPr>
          <w:rFonts w:cstheme="minorHAnsi"/>
          <w:bCs/>
          <w:iCs/>
          <w:color w:val="auto"/>
          <w:szCs w:val="24"/>
        </w:rPr>
        <w:t>:</w:t>
      </w:r>
    </w:p>
    <w:p w14:paraId="70AC0E3C" w14:textId="77777777" w:rsidR="005765ED" w:rsidRPr="00033781" w:rsidRDefault="005765ED" w:rsidP="00033781">
      <w:pPr>
        <w:pStyle w:val="ListParagraph"/>
        <w:numPr>
          <w:ilvl w:val="0"/>
          <w:numId w:val="19"/>
        </w:numPr>
        <w:ind w:left="993" w:hanging="284"/>
        <w:rPr>
          <w:iCs/>
        </w:rPr>
      </w:pPr>
      <w:r>
        <w:rPr>
          <w:iCs/>
        </w:rPr>
        <w:t xml:space="preserve">Assume a cut-off of </w:t>
      </w:r>
      <w:r w:rsidR="00F00C03">
        <w:rPr>
          <w:iCs/>
        </w:rPr>
        <w:t xml:space="preserve">CPS </w:t>
      </w:r>
      <w:r>
        <w:rPr>
          <w:rFonts w:cstheme="minorHAnsi"/>
          <w:iCs/>
        </w:rPr>
        <w:t>≥</w:t>
      </w:r>
      <w:r>
        <w:rPr>
          <w:iCs/>
        </w:rPr>
        <w:t>20 for pembrolizumab monotherapy and an allcomers population for pembrolizumab plus chemotherapy</w:t>
      </w:r>
      <w:r w:rsidR="002D344E">
        <w:rPr>
          <w:iCs/>
        </w:rPr>
        <w:t xml:space="preserve"> as reflects the preferred clinical approach to treatment</w:t>
      </w:r>
      <w:r w:rsidR="004E0D02">
        <w:rPr>
          <w:iCs/>
        </w:rPr>
        <w:t>, as described in</w:t>
      </w:r>
      <w:r w:rsidR="002D344E">
        <w:rPr>
          <w:iCs/>
        </w:rPr>
        <w:t xml:space="preserve"> paragraph</w:t>
      </w:r>
      <w:r w:rsidR="004E0D02">
        <w:rPr>
          <w:iCs/>
        </w:rPr>
        <w:t>s</w:t>
      </w:r>
      <w:r w:rsidR="002D344E">
        <w:rPr>
          <w:iCs/>
        </w:rPr>
        <w:t xml:space="preserve"> </w:t>
      </w:r>
      <w:r w:rsidR="008D43ED">
        <w:rPr>
          <w:iCs/>
        </w:rPr>
        <w:t>1.4</w:t>
      </w:r>
      <w:r w:rsidR="002D344E">
        <w:rPr>
          <w:iCs/>
        </w:rPr>
        <w:t>-</w:t>
      </w:r>
      <w:r w:rsidR="008D43ED">
        <w:rPr>
          <w:iCs/>
        </w:rPr>
        <w:t>1.5</w:t>
      </w:r>
      <w:proofErr w:type="gramStart"/>
      <w:r w:rsidR="002D344E">
        <w:rPr>
          <w:iCs/>
        </w:rPr>
        <w:t>)</w:t>
      </w:r>
      <w:r w:rsidR="00F00C03">
        <w:rPr>
          <w:iCs/>
        </w:rPr>
        <w:t>;</w:t>
      </w:r>
      <w:proofErr w:type="gramEnd"/>
    </w:p>
    <w:p w14:paraId="13AB0637" w14:textId="77777777" w:rsidR="00033781" w:rsidRDefault="005765ED" w:rsidP="005765ED">
      <w:pPr>
        <w:pStyle w:val="ListParagraph"/>
        <w:numPr>
          <w:ilvl w:val="0"/>
          <w:numId w:val="19"/>
        </w:numPr>
        <w:ind w:left="993" w:hanging="284"/>
        <w:rPr>
          <w:iCs/>
        </w:rPr>
      </w:pPr>
      <w:r>
        <w:rPr>
          <w:iCs/>
        </w:rPr>
        <w:t>Re</w:t>
      </w:r>
      <w:r w:rsidR="00033781">
        <w:rPr>
          <w:iCs/>
        </w:rPr>
        <w:t>duce</w:t>
      </w:r>
      <w:r>
        <w:rPr>
          <w:iCs/>
        </w:rPr>
        <w:t xml:space="preserve"> the time horizon </w:t>
      </w:r>
      <w:r w:rsidR="00033781">
        <w:rPr>
          <w:iCs/>
        </w:rPr>
        <w:t xml:space="preserve">to five years </w:t>
      </w:r>
      <w:r>
        <w:rPr>
          <w:iCs/>
        </w:rPr>
        <w:t xml:space="preserve">to address the uncertainty in extrapolations, especially given the additional uncertainty </w:t>
      </w:r>
      <w:r w:rsidR="00033781">
        <w:rPr>
          <w:iCs/>
        </w:rPr>
        <w:t xml:space="preserve">in extrapolations </w:t>
      </w:r>
      <w:r>
        <w:rPr>
          <w:iCs/>
        </w:rPr>
        <w:t>introduced by changing the CPS cut-off for the monotherapy</w:t>
      </w:r>
      <w:r w:rsidR="004E0D02">
        <w:rPr>
          <w:iCs/>
        </w:rPr>
        <w:t>, as described in paragraph</w:t>
      </w:r>
      <w:r w:rsidR="009B532E">
        <w:rPr>
          <w:iCs/>
        </w:rPr>
        <w:t>s</w:t>
      </w:r>
      <w:r w:rsidR="004E0D02">
        <w:rPr>
          <w:iCs/>
        </w:rPr>
        <w:t xml:space="preserve"> </w:t>
      </w:r>
      <w:r w:rsidR="008D43ED">
        <w:rPr>
          <w:iCs/>
        </w:rPr>
        <w:t>6.62</w:t>
      </w:r>
      <w:r w:rsidR="009B532E">
        <w:rPr>
          <w:iCs/>
        </w:rPr>
        <w:t xml:space="preserve"> and </w:t>
      </w:r>
      <w:proofErr w:type="gramStart"/>
      <w:r w:rsidR="008D43ED">
        <w:rPr>
          <w:iCs/>
        </w:rPr>
        <w:t>6.66</w:t>
      </w:r>
      <w:r w:rsidR="00F00C03">
        <w:rPr>
          <w:iCs/>
        </w:rPr>
        <w:t>;</w:t>
      </w:r>
      <w:proofErr w:type="gramEnd"/>
    </w:p>
    <w:p w14:paraId="231A2D8B" w14:textId="77777777" w:rsidR="005765ED" w:rsidRDefault="00033781" w:rsidP="005765ED">
      <w:pPr>
        <w:pStyle w:val="ListParagraph"/>
        <w:numPr>
          <w:ilvl w:val="0"/>
          <w:numId w:val="19"/>
        </w:numPr>
        <w:ind w:left="993" w:hanging="284"/>
        <w:rPr>
          <w:iCs/>
        </w:rPr>
      </w:pPr>
      <w:r>
        <w:rPr>
          <w:iCs/>
        </w:rPr>
        <w:t>Increase the proportion of patients treated with 2L nivolumab</w:t>
      </w:r>
      <w:r w:rsidR="005765ED">
        <w:rPr>
          <w:iCs/>
        </w:rPr>
        <w:t xml:space="preserve"> </w:t>
      </w:r>
      <w:r>
        <w:rPr>
          <w:iCs/>
        </w:rPr>
        <w:t>to 80% to reflect clinical practice</w:t>
      </w:r>
      <w:r w:rsidR="009B532E">
        <w:rPr>
          <w:iCs/>
        </w:rPr>
        <w:t xml:space="preserve">, as described in paragraphs </w:t>
      </w:r>
      <w:r w:rsidR="008D43ED">
        <w:rPr>
          <w:iCs/>
        </w:rPr>
        <w:t>5.6</w:t>
      </w:r>
      <w:r w:rsidR="009B532E">
        <w:rPr>
          <w:iCs/>
        </w:rPr>
        <w:t xml:space="preserve"> and </w:t>
      </w:r>
      <w:proofErr w:type="gramStart"/>
      <w:r w:rsidR="008D43ED">
        <w:rPr>
          <w:iCs/>
        </w:rPr>
        <w:t>6.68</w:t>
      </w:r>
      <w:r w:rsidR="00F00C03">
        <w:rPr>
          <w:iCs/>
        </w:rPr>
        <w:t>;</w:t>
      </w:r>
      <w:proofErr w:type="gramEnd"/>
    </w:p>
    <w:p w14:paraId="3E5204DD" w14:textId="77777777" w:rsidR="003276E5" w:rsidRDefault="003276E5" w:rsidP="005765ED">
      <w:pPr>
        <w:pStyle w:val="ListParagraph"/>
        <w:numPr>
          <w:ilvl w:val="0"/>
          <w:numId w:val="19"/>
        </w:numPr>
        <w:ind w:left="993" w:hanging="284"/>
        <w:rPr>
          <w:iCs/>
        </w:rPr>
      </w:pPr>
      <w:r>
        <w:rPr>
          <w:iCs/>
        </w:rPr>
        <w:t>Revise the ICER weighting to 30% monotherapy use</w:t>
      </w:r>
      <w:r w:rsidR="009B532E">
        <w:rPr>
          <w:iCs/>
        </w:rPr>
        <w:t>, as described in</w:t>
      </w:r>
      <w:r>
        <w:rPr>
          <w:iCs/>
        </w:rPr>
        <w:t xml:space="preserve"> paragraph </w:t>
      </w:r>
      <w:proofErr w:type="gramStart"/>
      <w:r w:rsidR="008D43ED">
        <w:rPr>
          <w:iCs/>
        </w:rPr>
        <w:t>1.8</w:t>
      </w:r>
      <w:r w:rsidR="00F00C03">
        <w:rPr>
          <w:iCs/>
        </w:rPr>
        <w:t>;</w:t>
      </w:r>
      <w:proofErr w:type="gramEnd"/>
      <w:r w:rsidR="00F00C03">
        <w:rPr>
          <w:iCs/>
        </w:rPr>
        <w:t xml:space="preserve"> and</w:t>
      </w:r>
    </w:p>
    <w:p w14:paraId="6B91642E" w14:textId="64DA19D2" w:rsidR="003276E5" w:rsidRPr="00F00C03" w:rsidRDefault="00EC43D4" w:rsidP="00F00C03">
      <w:pPr>
        <w:pStyle w:val="ListParagraph"/>
        <w:numPr>
          <w:ilvl w:val="4"/>
          <w:numId w:val="1"/>
        </w:numPr>
        <w:rPr>
          <w:rFonts w:cstheme="minorHAnsi"/>
          <w:bCs/>
          <w:iCs/>
          <w:color w:val="auto"/>
          <w:szCs w:val="24"/>
        </w:rPr>
      </w:pPr>
      <w:bookmarkStart w:id="81" w:name="_Ref89160474"/>
      <w:r>
        <w:rPr>
          <w:rFonts w:cstheme="minorHAnsi"/>
          <w:bCs/>
          <w:iCs/>
          <w:color w:val="auto"/>
          <w:szCs w:val="24"/>
        </w:rPr>
        <w:t xml:space="preserve">The PBAC noted that when respecified in this way, and using the price proposed in the pre-PBAC response </w:t>
      </w:r>
      <w:r>
        <w:rPr>
          <w:iCs/>
        </w:rPr>
        <w:t>($</w:t>
      </w:r>
      <w:r w:rsidR="009A1388" w:rsidRPr="008B464E">
        <w:rPr>
          <w:iCs/>
          <w:noProof/>
          <w:color w:val="000000"/>
          <w:w w:val="15"/>
          <w:shd w:val="solid" w:color="000000" w:fill="000000"/>
          <w:fitText w:val="-20" w:id="-1500867059"/>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7059"/>
          <w14:textFill>
            <w14:solidFill>
              <w14:srgbClr w14:val="000000">
                <w14:alpha w14:val="100000"/>
              </w14:srgbClr>
            </w14:solidFill>
          </w14:textFill>
        </w:rPr>
        <w:t>|</w:t>
      </w:r>
      <w:r>
        <w:rPr>
          <w:iCs/>
        </w:rPr>
        <w:t xml:space="preserve">/200 mg), </w:t>
      </w:r>
      <w:r w:rsidR="00F00C03" w:rsidRPr="00F00C03">
        <w:rPr>
          <w:rFonts w:cstheme="minorHAnsi"/>
          <w:bCs/>
          <w:iCs/>
          <w:color w:val="auto"/>
          <w:szCs w:val="24"/>
        </w:rPr>
        <w:t>the models resulted in a weighted ICER of $</w:t>
      </w:r>
      <w:r w:rsidR="00720F69">
        <w:rPr>
          <w:rFonts w:cstheme="minorHAnsi"/>
          <w:bCs/>
          <w:iCs/>
          <w:color w:val="auto"/>
          <w:szCs w:val="24"/>
        </w:rPr>
        <w:t>75,000 to &lt; $95,000/QALY gained</w:t>
      </w:r>
      <w:r w:rsidR="00F00C03" w:rsidRPr="00F00C03">
        <w:rPr>
          <w:rFonts w:cstheme="minorHAnsi"/>
          <w:bCs/>
          <w:iCs/>
          <w:color w:val="auto"/>
          <w:szCs w:val="24"/>
        </w:rPr>
        <w:t xml:space="preserve"> and would require a price reduction of around 17% to reach an ICER of $</w:t>
      </w:r>
      <w:r w:rsidR="00720F69">
        <w:rPr>
          <w:rFonts w:cstheme="minorHAnsi"/>
          <w:bCs/>
          <w:iCs/>
          <w:color w:val="auto"/>
          <w:szCs w:val="24"/>
        </w:rPr>
        <w:t>55,000 to &lt; $75,000/QALY gained</w:t>
      </w:r>
      <w:r w:rsidR="00F00C03" w:rsidRPr="00F00C03">
        <w:rPr>
          <w:rFonts w:cstheme="minorHAnsi"/>
          <w:bCs/>
          <w:iCs/>
          <w:color w:val="auto"/>
          <w:szCs w:val="24"/>
        </w:rPr>
        <w:t>.</w:t>
      </w:r>
      <w:r w:rsidR="00F00C03">
        <w:rPr>
          <w:rFonts w:cstheme="minorHAnsi"/>
          <w:bCs/>
          <w:iCs/>
          <w:color w:val="auto"/>
          <w:szCs w:val="24"/>
        </w:rPr>
        <w:t xml:space="preserve"> The PBAC also noted that using a CPS ≥1 threshold for pembrolizumab plus chemotherapy and assuming 40% monotherapy resulted in a weighted ICER of $</w:t>
      </w:r>
      <w:r w:rsidR="00720F69">
        <w:rPr>
          <w:rFonts w:cstheme="minorHAnsi"/>
          <w:bCs/>
          <w:iCs/>
          <w:color w:val="auto"/>
          <w:szCs w:val="24"/>
        </w:rPr>
        <w:t>55,000 to &lt; $75,000/QALY gained</w:t>
      </w:r>
      <w:r w:rsidR="00F00C03">
        <w:rPr>
          <w:rFonts w:cstheme="minorHAnsi"/>
          <w:bCs/>
          <w:iCs/>
          <w:color w:val="auto"/>
          <w:szCs w:val="24"/>
        </w:rPr>
        <w:t xml:space="preserve"> and would require a price reduction of around 6% to reach an ICER of $</w:t>
      </w:r>
      <w:r w:rsidR="00720F69">
        <w:rPr>
          <w:rFonts w:cstheme="minorHAnsi"/>
          <w:bCs/>
          <w:iCs/>
          <w:color w:val="auto"/>
          <w:szCs w:val="24"/>
        </w:rPr>
        <w:t>55,000 to &lt; $75,000/QALY gained</w:t>
      </w:r>
      <w:r w:rsidR="00F00C03">
        <w:rPr>
          <w:rFonts w:cstheme="minorHAnsi"/>
          <w:bCs/>
          <w:iCs/>
          <w:color w:val="auto"/>
          <w:szCs w:val="24"/>
        </w:rPr>
        <w:t>.</w:t>
      </w:r>
      <w:bookmarkEnd w:id="81"/>
    </w:p>
    <w:p w14:paraId="43BD2701" w14:textId="77777777" w:rsidR="00D7609F" w:rsidRPr="00A24A89" w:rsidRDefault="00D7609F" w:rsidP="00DD3D4A">
      <w:pPr>
        <w:pStyle w:val="PBACESHeading2"/>
        <w:numPr>
          <w:ilvl w:val="2"/>
          <w:numId w:val="26"/>
        </w:numPr>
        <w:ind w:left="0" w:firstLine="0"/>
      </w:pPr>
      <w:bookmarkStart w:id="82" w:name="_Toc81727558"/>
      <w:bookmarkStart w:id="83" w:name="_Toc82600107"/>
      <w:r w:rsidRPr="00A24A89">
        <w:t>Drug cost/patient/</w:t>
      </w:r>
      <w:r w:rsidR="005B1A2E">
        <w:t>course</w:t>
      </w:r>
      <w:bookmarkEnd w:id="82"/>
      <w:bookmarkEnd w:id="83"/>
    </w:p>
    <w:p w14:paraId="4A8E3997" w14:textId="4E3BBBA4" w:rsidR="00FD4C71" w:rsidRDefault="00AC2B16" w:rsidP="00D12886">
      <w:pPr>
        <w:pStyle w:val="ListParagraph"/>
        <w:numPr>
          <w:ilvl w:val="4"/>
          <w:numId w:val="1"/>
        </w:numPr>
        <w:rPr>
          <w:color w:val="auto"/>
        </w:rPr>
      </w:pPr>
      <w:r>
        <w:rPr>
          <w:color w:val="auto"/>
        </w:rPr>
        <w:t>In the resubmission t</w:t>
      </w:r>
      <w:r w:rsidR="00D7609F" w:rsidRPr="0017405A">
        <w:rPr>
          <w:color w:val="auto"/>
        </w:rPr>
        <w:t>he number of doses per course was 11.</w:t>
      </w:r>
      <w:r>
        <w:rPr>
          <w:color w:val="auto"/>
        </w:rPr>
        <w:t>71</w:t>
      </w:r>
      <w:r w:rsidR="00D7609F" w:rsidRPr="0017405A">
        <w:rPr>
          <w:color w:val="auto"/>
        </w:rPr>
        <w:t xml:space="preserve"> for pembrolizumab plus chemotherapy ($</w:t>
      </w:r>
      <w:r w:rsidR="009A1388" w:rsidRPr="008B464E">
        <w:rPr>
          <w:noProof/>
          <w:color w:val="000000"/>
          <w:w w:val="15"/>
          <w:shd w:val="solid" w:color="000000" w:fill="000000"/>
          <w:fitText w:val="-20" w:id="-1500867058"/>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058"/>
          <w14:textFill>
            <w14:solidFill>
              <w14:srgbClr w14:val="000000">
                <w14:alpha w14:val="100000"/>
              </w14:srgbClr>
            </w14:solidFill>
          </w14:textFill>
        </w:rPr>
        <w:t>|</w:t>
      </w:r>
      <w:r w:rsidR="00D7609F" w:rsidRPr="0017405A">
        <w:rPr>
          <w:color w:val="auto"/>
        </w:rPr>
        <w:t>/200</w:t>
      </w:r>
      <w:r w:rsidR="00FE7329">
        <w:rPr>
          <w:color w:val="auto"/>
        </w:rPr>
        <w:t xml:space="preserve"> </w:t>
      </w:r>
      <w:r w:rsidR="00D7609F" w:rsidRPr="0017405A">
        <w:rPr>
          <w:color w:val="auto"/>
        </w:rPr>
        <w:t>mg) and 10.</w:t>
      </w:r>
      <w:r>
        <w:rPr>
          <w:color w:val="auto"/>
        </w:rPr>
        <w:t>49</w:t>
      </w:r>
      <w:r w:rsidR="00D7609F" w:rsidRPr="0017405A">
        <w:rPr>
          <w:color w:val="auto"/>
        </w:rPr>
        <w:t xml:space="preserve"> for pembrolizumab monotherapy ($</w:t>
      </w:r>
      <w:r w:rsidR="009A1388" w:rsidRPr="008B464E">
        <w:rPr>
          <w:noProof/>
          <w:color w:val="000000"/>
          <w:w w:val="15"/>
          <w:shd w:val="solid" w:color="000000" w:fill="000000"/>
          <w:fitText w:val="-20" w:id="-1500867057"/>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057"/>
          <w14:textFill>
            <w14:solidFill>
              <w14:srgbClr w14:val="000000">
                <w14:alpha w14:val="100000"/>
              </w14:srgbClr>
            </w14:solidFill>
          </w14:textFill>
        </w:rPr>
        <w:t>|</w:t>
      </w:r>
      <w:r w:rsidR="00D7609F" w:rsidRPr="0017405A">
        <w:rPr>
          <w:color w:val="auto"/>
        </w:rPr>
        <w:t>/</w:t>
      </w:r>
      <w:r w:rsidR="00D7609F" w:rsidRPr="00E31F5B">
        <w:rPr>
          <w:color w:val="auto"/>
        </w:rPr>
        <w:t>200</w:t>
      </w:r>
      <w:r w:rsidR="00FD4C71">
        <w:rPr>
          <w:color w:val="auto"/>
        </w:rPr>
        <w:t xml:space="preserve"> </w:t>
      </w:r>
      <w:r w:rsidR="00D7609F" w:rsidRPr="00E31F5B">
        <w:rPr>
          <w:color w:val="auto"/>
        </w:rPr>
        <w:t>mg)</w:t>
      </w:r>
      <w:r w:rsidR="00FE7329">
        <w:rPr>
          <w:color w:val="auto"/>
        </w:rPr>
        <w:t xml:space="preserve">, based on the CPS </w:t>
      </w:r>
      <w:r w:rsidR="00FE7329">
        <w:rPr>
          <w:rFonts w:cstheme="minorHAnsi"/>
          <w:color w:val="auto"/>
        </w:rPr>
        <w:t>≥</w:t>
      </w:r>
      <w:r w:rsidR="00FE7329">
        <w:rPr>
          <w:color w:val="auto"/>
        </w:rPr>
        <w:t>1 threshold</w:t>
      </w:r>
      <w:r w:rsidR="00D7609F" w:rsidRPr="00E31F5B">
        <w:rPr>
          <w:color w:val="auto"/>
        </w:rPr>
        <w:t>.</w:t>
      </w:r>
      <w:r w:rsidR="00C82011" w:rsidRPr="00E31F5B">
        <w:rPr>
          <w:color w:val="auto"/>
        </w:rPr>
        <w:t xml:space="preserve"> </w:t>
      </w:r>
      <w:r w:rsidR="003603D9">
        <w:rPr>
          <w:color w:val="auto"/>
        </w:rPr>
        <w:t>In the model the time on treatment was dependent on the patient population assumed. For</w:t>
      </w:r>
      <w:r w:rsidR="00FD4C71">
        <w:rPr>
          <w:color w:val="auto"/>
        </w:rPr>
        <w:t xml:space="preserve"> the revised patient </w:t>
      </w:r>
      <w:proofErr w:type="gramStart"/>
      <w:r w:rsidR="00FD4C71">
        <w:rPr>
          <w:color w:val="auto"/>
        </w:rPr>
        <w:t>populations</w:t>
      </w:r>
      <w:proofErr w:type="gramEnd"/>
      <w:r w:rsidR="00FD4C71">
        <w:rPr>
          <w:color w:val="auto"/>
        </w:rPr>
        <w:t xml:space="preserve"> </w:t>
      </w:r>
      <w:r w:rsidR="00FD4C71">
        <w:rPr>
          <w:color w:val="auto"/>
        </w:rPr>
        <w:lastRenderedPageBreak/>
        <w:t>the PBAC considered preferable, with</w:t>
      </w:r>
      <w:r>
        <w:rPr>
          <w:color w:val="auto"/>
        </w:rPr>
        <w:t xml:space="preserve"> revised prices</w:t>
      </w:r>
      <w:r w:rsidR="00FD4C71">
        <w:rPr>
          <w:color w:val="auto"/>
        </w:rPr>
        <w:t xml:space="preserve"> as per the pre-PBAC response the drug cost/patient/course w</w:t>
      </w:r>
      <w:r w:rsidR="003603D9">
        <w:rPr>
          <w:color w:val="auto"/>
        </w:rPr>
        <w:t>as</w:t>
      </w:r>
      <w:r w:rsidR="00FD4C71">
        <w:rPr>
          <w:color w:val="auto"/>
        </w:rPr>
        <w:t>:</w:t>
      </w:r>
    </w:p>
    <w:p w14:paraId="4D4422BB" w14:textId="431E8C13" w:rsidR="00FD4C71" w:rsidRDefault="003603D9" w:rsidP="00FD4C71">
      <w:pPr>
        <w:pStyle w:val="ListParagraph"/>
        <w:numPr>
          <w:ilvl w:val="5"/>
          <w:numId w:val="1"/>
        </w:numPr>
        <w:ind w:left="993" w:hanging="284"/>
        <w:rPr>
          <w:color w:val="auto"/>
        </w:rPr>
      </w:pPr>
      <w:r>
        <w:rPr>
          <w:color w:val="auto"/>
        </w:rPr>
        <w:t>$</w:t>
      </w:r>
      <w:r w:rsidR="009A1388" w:rsidRPr="008B464E">
        <w:rPr>
          <w:noProof/>
          <w:color w:val="000000"/>
          <w:w w:val="15"/>
          <w:shd w:val="solid" w:color="000000" w:fill="000000"/>
          <w:fitText w:val="-20" w:id="-1500867056"/>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056"/>
          <w14:textFill>
            <w14:solidFill>
              <w14:srgbClr w14:val="000000">
                <w14:alpha w14:val="100000"/>
              </w14:srgbClr>
            </w14:solidFill>
          </w14:textFill>
        </w:rPr>
        <w:t>|</w:t>
      </w:r>
      <w:r>
        <w:rPr>
          <w:color w:val="auto"/>
        </w:rPr>
        <w:t>/patient/course f</w:t>
      </w:r>
      <w:r w:rsidR="00FE7329">
        <w:rPr>
          <w:color w:val="auto"/>
        </w:rPr>
        <w:t xml:space="preserve">or </w:t>
      </w:r>
      <w:r w:rsidR="00AC2B16">
        <w:rPr>
          <w:color w:val="auto"/>
        </w:rPr>
        <w:t>use as combination treatment in the</w:t>
      </w:r>
      <w:r w:rsidR="00FE7329">
        <w:rPr>
          <w:color w:val="auto"/>
        </w:rPr>
        <w:t xml:space="preserve"> ITT population</w:t>
      </w:r>
      <w:r>
        <w:rPr>
          <w:color w:val="auto"/>
        </w:rPr>
        <w:t>, where</w:t>
      </w:r>
      <w:r w:rsidR="00FE7329">
        <w:rPr>
          <w:color w:val="auto"/>
        </w:rPr>
        <w:t xml:space="preserve"> the treatment duration </w:t>
      </w:r>
      <w:r w:rsidR="00AC2B16">
        <w:rPr>
          <w:color w:val="auto"/>
        </w:rPr>
        <w:t xml:space="preserve">in the economic model </w:t>
      </w:r>
      <w:r w:rsidR="00FE7329">
        <w:rPr>
          <w:color w:val="auto"/>
        </w:rPr>
        <w:t xml:space="preserve">was </w:t>
      </w:r>
      <w:r w:rsidR="00622971">
        <w:rPr>
          <w:color w:val="auto"/>
        </w:rPr>
        <w:t xml:space="preserve">11.41 </w:t>
      </w:r>
      <w:r w:rsidR="00FE7329">
        <w:rPr>
          <w:color w:val="auto"/>
        </w:rPr>
        <w:t>doses per course, at $</w:t>
      </w:r>
      <w:r w:rsidR="009A1388" w:rsidRPr="008B464E">
        <w:rPr>
          <w:noProof/>
          <w:color w:val="000000"/>
          <w:w w:val="15"/>
          <w:shd w:val="solid" w:color="000000" w:fill="000000"/>
          <w:fitText w:val="-20" w:id="-1500867072"/>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072"/>
          <w14:textFill>
            <w14:solidFill>
              <w14:srgbClr w14:val="000000">
                <w14:alpha w14:val="100000"/>
              </w14:srgbClr>
            </w14:solidFill>
          </w14:textFill>
        </w:rPr>
        <w:t>|</w:t>
      </w:r>
      <w:r w:rsidR="00FE7329">
        <w:rPr>
          <w:color w:val="auto"/>
        </w:rPr>
        <w:t>/</w:t>
      </w:r>
      <w:r w:rsidR="00AC2B16">
        <w:rPr>
          <w:color w:val="auto"/>
        </w:rPr>
        <w:t>2</w:t>
      </w:r>
      <w:r w:rsidR="00FE7329">
        <w:rPr>
          <w:color w:val="auto"/>
        </w:rPr>
        <w:t>00 mg</w:t>
      </w:r>
      <w:r>
        <w:rPr>
          <w:color w:val="auto"/>
        </w:rPr>
        <w:t>.</w:t>
      </w:r>
      <w:r w:rsidR="00AF7896">
        <w:rPr>
          <w:color w:val="auto"/>
        </w:rPr>
        <w:t xml:space="preserve"> The total cost/patient/course including chemotherapy costs was $</w:t>
      </w:r>
      <w:r w:rsidR="009A1388" w:rsidRPr="008B464E">
        <w:rPr>
          <w:noProof/>
          <w:color w:val="000000"/>
          <w:w w:val="15"/>
          <w:shd w:val="solid" w:color="000000" w:fill="000000"/>
          <w:fitText w:val="-20" w:id="-1500867071"/>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071"/>
          <w14:textFill>
            <w14:solidFill>
              <w14:srgbClr w14:val="000000">
                <w14:alpha w14:val="100000"/>
              </w14:srgbClr>
            </w14:solidFill>
          </w14:textFill>
        </w:rPr>
        <w:t>|</w:t>
      </w:r>
      <w:r w:rsidR="00AF7896">
        <w:rPr>
          <w:color w:val="auto"/>
        </w:rPr>
        <w:t>.</w:t>
      </w:r>
    </w:p>
    <w:p w14:paraId="49F547B6" w14:textId="3F92E257" w:rsidR="00D7609F" w:rsidRPr="0017405A" w:rsidRDefault="003603D9" w:rsidP="00FD4C71">
      <w:pPr>
        <w:pStyle w:val="ListParagraph"/>
        <w:numPr>
          <w:ilvl w:val="5"/>
          <w:numId w:val="1"/>
        </w:numPr>
        <w:ind w:left="993" w:hanging="284"/>
        <w:rPr>
          <w:color w:val="auto"/>
        </w:rPr>
      </w:pPr>
      <w:r>
        <w:rPr>
          <w:color w:val="auto"/>
        </w:rPr>
        <w:t>$</w:t>
      </w:r>
      <w:r w:rsidR="009A1388" w:rsidRPr="008B464E">
        <w:rPr>
          <w:noProof/>
          <w:color w:val="000000"/>
          <w:w w:val="15"/>
          <w:shd w:val="solid" w:color="000000" w:fill="000000"/>
          <w:fitText w:val="-20" w:id="-1500867070"/>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070"/>
          <w14:textFill>
            <w14:solidFill>
              <w14:srgbClr w14:val="000000">
                <w14:alpha w14:val="100000"/>
              </w14:srgbClr>
            </w14:solidFill>
          </w14:textFill>
        </w:rPr>
        <w:t>|</w:t>
      </w:r>
      <w:r>
        <w:rPr>
          <w:color w:val="auto"/>
        </w:rPr>
        <w:t>/patient/course f</w:t>
      </w:r>
      <w:r w:rsidR="00FE7329">
        <w:rPr>
          <w:color w:val="auto"/>
        </w:rPr>
        <w:t xml:space="preserve">or </w:t>
      </w:r>
      <w:r w:rsidR="00AC2B16">
        <w:rPr>
          <w:color w:val="auto"/>
        </w:rPr>
        <w:t xml:space="preserve">use as monotherapy in the CPS </w:t>
      </w:r>
      <w:r w:rsidR="00AC2B16">
        <w:rPr>
          <w:rFonts w:cstheme="minorHAnsi"/>
          <w:color w:val="auto"/>
        </w:rPr>
        <w:t>≥</w:t>
      </w:r>
      <w:r w:rsidR="00AC2B16">
        <w:rPr>
          <w:color w:val="auto"/>
        </w:rPr>
        <w:t>20 population</w:t>
      </w:r>
      <w:r>
        <w:rPr>
          <w:color w:val="auto"/>
        </w:rPr>
        <w:t>, where</w:t>
      </w:r>
      <w:r w:rsidR="00FE7329">
        <w:rPr>
          <w:color w:val="auto"/>
        </w:rPr>
        <w:t xml:space="preserve"> the treatment duration was </w:t>
      </w:r>
      <w:r w:rsidR="00AC2B16">
        <w:rPr>
          <w:color w:val="auto"/>
        </w:rPr>
        <w:t>11.83</w:t>
      </w:r>
      <w:r w:rsidR="00FE7329">
        <w:rPr>
          <w:color w:val="auto"/>
        </w:rPr>
        <w:t xml:space="preserve"> doses per course, at $</w:t>
      </w:r>
      <w:r w:rsidR="009A1388" w:rsidRPr="008B464E">
        <w:rPr>
          <w:noProof/>
          <w:color w:val="000000"/>
          <w:w w:val="15"/>
          <w:shd w:val="solid" w:color="000000" w:fill="000000"/>
          <w:fitText w:val="-20" w:id="-1500867069"/>
          <w14:textFill>
            <w14:solidFill>
              <w14:srgbClr w14:val="000000">
                <w14:alpha w14:val="100000"/>
              </w14:srgbClr>
            </w14:solidFill>
          </w14:textFill>
        </w:rPr>
        <w:t xml:space="preserve">|  </w:t>
      </w:r>
      <w:r w:rsidR="009A1388" w:rsidRPr="008B464E">
        <w:rPr>
          <w:noProof/>
          <w:color w:val="000000"/>
          <w:spacing w:val="-69"/>
          <w:w w:val="15"/>
          <w:shd w:val="solid" w:color="000000" w:fill="000000"/>
          <w:fitText w:val="-20" w:id="-1500867069"/>
          <w14:textFill>
            <w14:solidFill>
              <w14:srgbClr w14:val="000000">
                <w14:alpha w14:val="100000"/>
              </w14:srgbClr>
            </w14:solidFill>
          </w14:textFill>
        </w:rPr>
        <w:t>|</w:t>
      </w:r>
      <w:r w:rsidR="00FE7329">
        <w:rPr>
          <w:color w:val="auto"/>
        </w:rPr>
        <w:t>/200 mg</w:t>
      </w:r>
      <w:r>
        <w:rPr>
          <w:color w:val="auto"/>
        </w:rPr>
        <w:t>.</w:t>
      </w:r>
    </w:p>
    <w:p w14:paraId="61CCDA8C" w14:textId="77777777" w:rsidR="00683786" w:rsidRPr="0017405A" w:rsidRDefault="00B82316" w:rsidP="00D12886">
      <w:pPr>
        <w:pStyle w:val="ListParagraph"/>
        <w:numPr>
          <w:ilvl w:val="4"/>
          <w:numId w:val="1"/>
        </w:numPr>
        <w:rPr>
          <w:color w:val="auto"/>
        </w:rPr>
      </w:pPr>
      <w:r>
        <w:rPr>
          <w:color w:val="auto"/>
        </w:rPr>
        <w:t>T</w:t>
      </w:r>
      <w:r w:rsidR="00683786" w:rsidRPr="0017405A">
        <w:rPr>
          <w:color w:val="auto"/>
        </w:rPr>
        <w:t xml:space="preserve">here were inconsistencies between the dosages used in the economic evaluation and the financial estimates. A comparison </w:t>
      </w:r>
      <w:r w:rsidR="003603D9">
        <w:rPr>
          <w:color w:val="auto"/>
        </w:rPr>
        <w:t xml:space="preserve">of dosages in the resubmission </w:t>
      </w:r>
      <w:r w:rsidR="00683786" w:rsidRPr="0017405A">
        <w:rPr>
          <w:color w:val="auto"/>
        </w:rPr>
        <w:t xml:space="preserve">is presented in </w:t>
      </w:r>
      <w:r w:rsidR="008D43ED" w:rsidRPr="008D43ED">
        <w:rPr>
          <w:color w:val="auto"/>
        </w:rPr>
        <w:t>Table 22</w:t>
      </w:r>
      <w:r w:rsidR="003415E1">
        <w:rPr>
          <w:color w:val="auto"/>
        </w:rPr>
        <w:t>.</w:t>
      </w:r>
      <w:r w:rsidR="003603D9">
        <w:rPr>
          <w:color w:val="auto"/>
        </w:rPr>
        <w:t xml:space="preserve"> The PBAC noted that the number of doses </w:t>
      </w:r>
      <w:r w:rsidR="009D05FA">
        <w:rPr>
          <w:color w:val="auto"/>
        </w:rPr>
        <w:t xml:space="preserve">of pembrolizumab </w:t>
      </w:r>
      <w:r w:rsidR="003603D9">
        <w:rPr>
          <w:color w:val="auto"/>
        </w:rPr>
        <w:t xml:space="preserve">assumed in the financial estimates reflected the duration for monotherapy in the CPS </w:t>
      </w:r>
      <w:r w:rsidR="003603D9">
        <w:rPr>
          <w:rFonts w:cstheme="minorHAnsi"/>
          <w:color w:val="auto"/>
        </w:rPr>
        <w:t>≥</w:t>
      </w:r>
      <w:r w:rsidR="003603D9">
        <w:rPr>
          <w:color w:val="auto"/>
        </w:rPr>
        <w:t xml:space="preserve">1 population </w:t>
      </w:r>
      <w:r w:rsidR="009D05FA">
        <w:rPr>
          <w:color w:val="auto"/>
        </w:rPr>
        <w:t xml:space="preserve">(10.49 doses) </w:t>
      </w:r>
      <w:r w:rsidR="003603D9">
        <w:rPr>
          <w:color w:val="auto"/>
        </w:rPr>
        <w:t xml:space="preserve">and </w:t>
      </w:r>
      <w:r w:rsidR="009D05FA">
        <w:rPr>
          <w:color w:val="auto"/>
        </w:rPr>
        <w:t xml:space="preserve">treatment duration </w:t>
      </w:r>
      <w:r w:rsidR="003603D9">
        <w:rPr>
          <w:color w:val="auto"/>
        </w:rPr>
        <w:t>would be expected to be higher for use in</w:t>
      </w:r>
      <w:r w:rsidR="00186B6E">
        <w:rPr>
          <w:color w:val="auto"/>
        </w:rPr>
        <w:t xml:space="preserve"> both</w:t>
      </w:r>
      <w:r w:rsidR="003603D9">
        <w:rPr>
          <w:color w:val="auto"/>
        </w:rPr>
        <w:t xml:space="preserve"> the </w:t>
      </w:r>
      <w:r w:rsidR="00186B6E">
        <w:rPr>
          <w:color w:val="auto"/>
        </w:rPr>
        <w:t xml:space="preserve">CPS </w:t>
      </w:r>
      <w:r w:rsidR="00186B6E">
        <w:rPr>
          <w:rFonts w:cstheme="minorHAnsi"/>
          <w:color w:val="auto"/>
        </w:rPr>
        <w:t>≥</w:t>
      </w:r>
      <w:r w:rsidR="00186B6E">
        <w:rPr>
          <w:color w:val="auto"/>
        </w:rPr>
        <w:t xml:space="preserve">20 population (for monotherapy) and the ITT population (for combination therapy). </w:t>
      </w:r>
    </w:p>
    <w:p w14:paraId="0AE90700" w14:textId="77777777" w:rsidR="00683786" w:rsidRPr="003415E1" w:rsidRDefault="00E31F5B" w:rsidP="00024DCD">
      <w:pPr>
        <w:pStyle w:val="Caption"/>
      </w:pPr>
      <w:bookmarkStart w:id="84" w:name="_Ref80072589"/>
      <w:r>
        <w:t xml:space="preserve">Table </w:t>
      </w:r>
      <w:r w:rsidR="008D43ED">
        <w:rPr>
          <w:noProof/>
        </w:rPr>
        <w:t>22</w:t>
      </w:r>
      <w:bookmarkEnd w:id="84"/>
      <w:r w:rsidR="00024DCD">
        <w:t xml:space="preserve">: </w:t>
      </w:r>
      <w:r w:rsidR="00683786" w:rsidRPr="003415E1">
        <w:t>Comparison of dosages of medications used in resubmission</w:t>
      </w:r>
      <w:r w:rsidR="003603D9">
        <w:t xml:space="preserve"> (CPS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Comparison of dosages of medications used in resubmission (CPS ≥1)"/>
      </w:tblPr>
      <w:tblGrid>
        <w:gridCol w:w="1623"/>
        <w:gridCol w:w="924"/>
        <w:gridCol w:w="1821"/>
        <w:gridCol w:w="1150"/>
        <w:gridCol w:w="1186"/>
        <w:gridCol w:w="1170"/>
        <w:gridCol w:w="1142"/>
      </w:tblGrid>
      <w:tr w:rsidR="00683786" w:rsidRPr="00683786" w14:paraId="58DDAAC8" w14:textId="77777777" w:rsidTr="0056423A">
        <w:trPr>
          <w:cnfStyle w:val="100000000000" w:firstRow="1" w:lastRow="0" w:firstColumn="0" w:lastColumn="0" w:oddVBand="0" w:evenVBand="0" w:oddHBand="0" w:evenHBand="0" w:firstRowFirstColumn="0" w:firstRowLastColumn="0" w:lastRowFirstColumn="0" w:lastRowLastColumn="0"/>
          <w:trHeight w:val="113"/>
          <w:tblHeader/>
        </w:trPr>
        <w:tc>
          <w:tcPr>
            <w:tcW w:w="1623" w:type="dxa"/>
            <w:shd w:val="clear" w:color="auto" w:fill="auto"/>
          </w:tcPr>
          <w:p w14:paraId="28BE522F" w14:textId="77777777" w:rsidR="00683786" w:rsidRPr="00683786" w:rsidRDefault="00683786" w:rsidP="00683786">
            <w:pPr>
              <w:keepNext/>
              <w:keepLines/>
              <w:spacing w:before="0"/>
              <w:rPr>
                <w:rFonts w:ascii="Arial Narrow" w:hAnsi="Arial Narrow"/>
                <w:sz w:val="20"/>
                <w:szCs w:val="20"/>
              </w:rPr>
            </w:pPr>
          </w:p>
        </w:tc>
        <w:tc>
          <w:tcPr>
            <w:tcW w:w="2745" w:type="dxa"/>
            <w:gridSpan w:val="2"/>
            <w:shd w:val="clear" w:color="auto" w:fill="auto"/>
            <w:vAlign w:val="center"/>
          </w:tcPr>
          <w:p w14:paraId="28639DFB" w14:textId="77777777" w:rsidR="00683786" w:rsidRPr="00683786" w:rsidRDefault="00683786" w:rsidP="00683786">
            <w:pPr>
              <w:keepNext/>
              <w:keepLines/>
              <w:spacing w:before="0"/>
              <w:jc w:val="center"/>
              <w:rPr>
                <w:rFonts w:ascii="Arial Narrow" w:hAnsi="Arial Narrow"/>
                <w:b w:val="0"/>
                <w:bCs/>
                <w:sz w:val="20"/>
                <w:szCs w:val="20"/>
                <w:vertAlign w:val="superscript"/>
              </w:rPr>
            </w:pPr>
            <w:r w:rsidRPr="00683786">
              <w:rPr>
                <w:rFonts w:ascii="Arial Narrow" w:hAnsi="Arial Narrow"/>
                <w:bCs/>
                <w:sz w:val="20"/>
                <w:szCs w:val="20"/>
              </w:rPr>
              <w:t>KN048 dosage (no. of doses)</w:t>
            </w:r>
          </w:p>
        </w:tc>
        <w:tc>
          <w:tcPr>
            <w:tcW w:w="2336" w:type="dxa"/>
            <w:gridSpan w:val="2"/>
            <w:shd w:val="clear" w:color="auto" w:fill="auto"/>
            <w:vAlign w:val="center"/>
          </w:tcPr>
          <w:p w14:paraId="10B075E9"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 xml:space="preserve">Economic Model </w:t>
            </w:r>
          </w:p>
          <w:p w14:paraId="5CA8294F"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dosage (no. of doses)</w:t>
            </w:r>
          </w:p>
        </w:tc>
        <w:tc>
          <w:tcPr>
            <w:tcW w:w="2312" w:type="dxa"/>
            <w:gridSpan w:val="2"/>
            <w:shd w:val="clear" w:color="auto" w:fill="auto"/>
            <w:vAlign w:val="center"/>
          </w:tcPr>
          <w:p w14:paraId="3A45A859"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Financial estimates</w:t>
            </w:r>
          </w:p>
          <w:p w14:paraId="1D582059"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dosage (no. of doses)</w:t>
            </w:r>
          </w:p>
        </w:tc>
      </w:tr>
      <w:tr w:rsidR="00683786" w:rsidRPr="00683786" w14:paraId="2F67E2FB" w14:textId="77777777" w:rsidTr="00683786">
        <w:trPr>
          <w:trHeight w:val="113"/>
        </w:trPr>
        <w:tc>
          <w:tcPr>
            <w:tcW w:w="1623" w:type="dxa"/>
            <w:shd w:val="clear" w:color="auto" w:fill="auto"/>
          </w:tcPr>
          <w:p w14:paraId="4AED9A31" w14:textId="77777777" w:rsidR="00683786" w:rsidRPr="00683786" w:rsidRDefault="00683786" w:rsidP="00683786">
            <w:pPr>
              <w:keepNext/>
              <w:keepLines/>
              <w:spacing w:before="0"/>
              <w:rPr>
                <w:rFonts w:ascii="Arial Narrow" w:hAnsi="Arial Narrow"/>
                <w:sz w:val="20"/>
                <w:szCs w:val="20"/>
              </w:rPr>
            </w:pPr>
          </w:p>
        </w:tc>
        <w:tc>
          <w:tcPr>
            <w:tcW w:w="924" w:type="dxa"/>
            <w:shd w:val="clear" w:color="auto" w:fill="auto"/>
            <w:vAlign w:val="center"/>
          </w:tcPr>
          <w:p w14:paraId="184113FC" w14:textId="77777777" w:rsidR="00683786" w:rsidRPr="00683786" w:rsidRDefault="00683786" w:rsidP="00683786">
            <w:pPr>
              <w:keepNext/>
              <w:keepLines/>
              <w:spacing w:before="0"/>
              <w:jc w:val="center"/>
              <w:rPr>
                <w:rFonts w:ascii="Arial Narrow" w:hAnsi="Arial Narrow"/>
                <w:b/>
                <w:bCs/>
                <w:sz w:val="20"/>
                <w:szCs w:val="20"/>
              </w:rPr>
            </w:pPr>
            <w:proofErr w:type="spellStart"/>
            <w:r w:rsidRPr="00683786">
              <w:rPr>
                <w:rFonts w:ascii="Arial Narrow" w:hAnsi="Arial Narrow"/>
                <w:b/>
                <w:bCs/>
                <w:sz w:val="20"/>
                <w:szCs w:val="20"/>
              </w:rPr>
              <w:t>Pembro</w:t>
            </w:r>
            <w:proofErr w:type="spellEnd"/>
          </w:p>
        </w:tc>
        <w:tc>
          <w:tcPr>
            <w:tcW w:w="1821" w:type="dxa"/>
            <w:shd w:val="clear" w:color="auto" w:fill="auto"/>
            <w:vAlign w:val="center"/>
          </w:tcPr>
          <w:p w14:paraId="13A85748"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SoC</w:t>
            </w:r>
          </w:p>
        </w:tc>
        <w:tc>
          <w:tcPr>
            <w:tcW w:w="1150" w:type="dxa"/>
            <w:shd w:val="clear" w:color="auto" w:fill="auto"/>
            <w:vAlign w:val="center"/>
          </w:tcPr>
          <w:p w14:paraId="3C29297E" w14:textId="77777777" w:rsidR="00683786" w:rsidRPr="00683786" w:rsidRDefault="00683786" w:rsidP="00683786">
            <w:pPr>
              <w:keepNext/>
              <w:keepLines/>
              <w:spacing w:before="0"/>
              <w:jc w:val="center"/>
              <w:rPr>
                <w:rFonts w:ascii="Arial Narrow" w:hAnsi="Arial Narrow"/>
                <w:b/>
                <w:bCs/>
                <w:sz w:val="20"/>
                <w:szCs w:val="20"/>
              </w:rPr>
            </w:pPr>
            <w:proofErr w:type="spellStart"/>
            <w:r w:rsidRPr="00683786">
              <w:rPr>
                <w:rFonts w:ascii="Arial Narrow" w:hAnsi="Arial Narrow"/>
                <w:b/>
                <w:bCs/>
                <w:sz w:val="20"/>
                <w:szCs w:val="20"/>
              </w:rPr>
              <w:t>Pembro</w:t>
            </w:r>
            <w:proofErr w:type="spellEnd"/>
          </w:p>
        </w:tc>
        <w:tc>
          <w:tcPr>
            <w:tcW w:w="1186" w:type="dxa"/>
            <w:shd w:val="clear" w:color="auto" w:fill="auto"/>
            <w:vAlign w:val="center"/>
          </w:tcPr>
          <w:p w14:paraId="1229936E"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SoC</w:t>
            </w:r>
          </w:p>
        </w:tc>
        <w:tc>
          <w:tcPr>
            <w:tcW w:w="1170" w:type="dxa"/>
            <w:shd w:val="clear" w:color="auto" w:fill="auto"/>
            <w:vAlign w:val="center"/>
          </w:tcPr>
          <w:p w14:paraId="60098F77" w14:textId="77777777" w:rsidR="00683786" w:rsidRPr="00683786" w:rsidRDefault="00683786" w:rsidP="00683786">
            <w:pPr>
              <w:keepNext/>
              <w:keepLines/>
              <w:spacing w:before="0"/>
              <w:jc w:val="center"/>
              <w:rPr>
                <w:rFonts w:ascii="Arial Narrow" w:hAnsi="Arial Narrow"/>
                <w:b/>
                <w:bCs/>
                <w:sz w:val="20"/>
                <w:szCs w:val="20"/>
              </w:rPr>
            </w:pPr>
            <w:proofErr w:type="spellStart"/>
            <w:r w:rsidRPr="00683786">
              <w:rPr>
                <w:rFonts w:ascii="Arial Narrow" w:hAnsi="Arial Narrow"/>
                <w:b/>
                <w:bCs/>
                <w:sz w:val="20"/>
                <w:szCs w:val="20"/>
              </w:rPr>
              <w:t>Pembro</w:t>
            </w:r>
            <w:proofErr w:type="spellEnd"/>
          </w:p>
        </w:tc>
        <w:tc>
          <w:tcPr>
            <w:tcW w:w="1142" w:type="dxa"/>
            <w:shd w:val="clear" w:color="auto" w:fill="auto"/>
            <w:vAlign w:val="center"/>
          </w:tcPr>
          <w:p w14:paraId="69D1C462"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SoC</w:t>
            </w:r>
          </w:p>
        </w:tc>
      </w:tr>
      <w:tr w:rsidR="00683786" w:rsidRPr="00683786" w14:paraId="0140F2D3" w14:textId="77777777" w:rsidTr="00683786">
        <w:trPr>
          <w:trHeight w:val="113"/>
        </w:trPr>
        <w:tc>
          <w:tcPr>
            <w:tcW w:w="9016" w:type="dxa"/>
            <w:gridSpan w:val="7"/>
            <w:shd w:val="clear" w:color="auto" w:fill="auto"/>
          </w:tcPr>
          <w:p w14:paraId="3F7B88EE" w14:textId="77777777" w:rsidR="00683786" w:rsidRPr="00683786" w:rsidRDefault="00683786" w:rsidP="00683786">
            <w:pPr>
              <w:keepNext/>
              <w:keepLines/>
              <w:spacing w:before="0"/>
              <w:rPr>
                <w:rFonts w:ascii="Arial Narrow" w:hAnsi="Arial Narrow"/>
                <w:b/>
                <w:bCs/>
                <w:sz w:val="20"/>
                <w:szCs w:val="20"/>
              </w:rPr>
            </w:pPr>
            <w:r w:rsidRPr="00683786">
              <w:rPr>
                <w:rFonts w:ascii="Arial Narrow" w:hAnsi="Arial Narrow"/>
                <w:b/>
                <w:bCs/>
                <w:sz w:val="20"/>
                <w:szCs w:val="20"/>
              </w:rPr>
              <w:t>Pembrolizumab + chemotherapy</w:t>
            </w:r>
          </w:p>
        </w:tc>
      </w:tr>
      <w:tr w:rsidR="00683786" w:rsidRPr="00683786" w14:paraId="4F522E3C" w14:textId="77777777" w:rsidTr="00683786">
        <w:trPr>
          <w:trHeight w:val="113"/>
        </w:trPr>
        <w:tc>
          <w:tcPr>
            <w:tcW w:w="1623" w:type="dxa"/>
            <w:shd w:val="clear" w:color="auto" w:fill="auto"/>
            <w:vAlign w:val="center"/>
          </w:tcPr>
          <w:p w14:paraId="33B02C6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Pembrolizumab Q3W</w:t>
            </w:r>
          </w:p>
        </w:tc>
        <w:tc>
          <w:tcPr>
            <w:tcW w:w="924" w:type="dxa"/>
            <w:shd w:val="clear" w:color="auto" w:fill="auto"/>
            <w:vAlign w:val="center"/>
          </w:tcPr>
          <w:p w14:paraId="08A3EAD3"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w:t>
            </w:r>
            <w:proofErr w:type="gramStart"/>
            <w:r w:rsidRPr="00683786">
              <w:rPr>
                <w:rFonts w:ascii="Arial Narrow" w:hAnsi="Arial Narrow"/>
                <w:sz w:val="20"/>
                <w:szCs w:val="20"/>
              </w:rPr>
              <w:t>10.87)</w:t>
            </w:r>
            <w:r w:rsidRPr="00683786">
              <w:rPr>
                <w:rFonts w:ascii="Arial Narrow" w:hAnsi="Arial Narrow"/>
                <w:sz w:val="20"/>
                <w:szCs w:val="20"/>
                <w:vertAlign w:val="superscript"/>
              </w:rPr>
              <w:t>a</w:t>
            </w:r>
            <w:proofErr w:type="gramEnd"/>
          </w:p>
        </w:tc>
        <w:tc>
          <w:tcPr>
            <w:tcW w:w="1821" w:type="dxa"/>
            <w:shd w:val="clear" w:color="auto" w:fill="auto"/>
            <w:vAlign w:val="center"/>
          </w:tcPr>
          <w:p w14:paraId="13744E40"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50" w:type="dxa"/>
            <w:shd w:val="clear" w:color="auto" w:fill="auto"/>
            <w:vAlign w:val="center"/>
          </w:tcPr>
          <w:p w14:paraId="6FEAA1C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(11.71)</w:t>
            </w:r>
          </w:p>
        </w:tc>
        <w:tc>
          <w:tcPr>
            <w:tcW w:w="1186" w:type="dxa"/>
            <w:shd w:val="clear" w:color="auto" w:fill="auto"/>
            <w:vAlign w:val="center"/>
          </w:tcPr>
          <w:p w14:paraId="174E7F5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70" w:type="dxa"/>
            <w:shd w:val="clear" w:color="auto" w:fill="auto"/>
            <w:vAlign w:val="center"/>
          </w:tcPr>
          <w:p w14:paraId="39791071"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w:t>
            </w:r>
            <w:proofErr w:type="gramStart"/>
            <w:r w:rsidRPr="00683786">
              <w:rPr>
                <w:rFonts w:ascii="Arial Narrow" w:hAnsi="Arial Narrow"/>
                <w:sz w:val="20"/>
                <w:szCs w:val="20"/>
              </w:rPr>
              <w:t>10.49)</w:t>
            </w:r>
            <w:r w:rsidRPr="00683786">
              <w:rPr>
                <w:rFonts w:ascii="Arial Narrow" w:hAnsi="Arial Narrow"/>
                <w:sz w:val="20"/>
                <w:szCs w:val="20"/>
                <w:vertAlign w:val="superscript"/>
              </w:rPr>
              <w:t>b</w:t>
            </w:r>
            <w:proofErr w:type="gramEnd"/>
          </w:p>
        </w:tc>
        <w:tc>
          <w:tcPr>
            <w:tcW w:w="1142" w:type="dxa"/>
            <w:shd w:val="clear" w:color="auto" w:fill="auto"/>
            <w:vAlign w:val="center"/>
          </w:tcPr>
          <w:p w14:paraId="747889F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r>
      <w:tr w:rsidR="00683786" w:rsidRPr="00683786" w14:paraId="1DB53DF8" w14:textId="77777777" w:rsidTr="00683786">
        <w:trPr>
          <w:trHeight w:val="113"/>
        </w:trPr>
        <w:tc>
          <w:tcPr>
            <w:tcW w:w="1623" w:type="dxa"/>
            <w:shd w:val="clear" w:color="auto" w:fill="auto"/>
            <w:vAlign w:val="center"/>
          </w:tcPr>
          <w:p w14:paraId="1EC49BB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Cisplatin Q3W </w:t>
            </w:r>
            <w:r w:rsidRPr="00683786">
              <w:rPr>
                <w:rFonts w:ascii="Arial Narrow" w:hAnsi="Arial Narrow"/>
                <w:sz w:val="20"/>
                <w:szCs w:val="20"/>
                <w:vertAlign w:val="superscript"/>
              </w:rPr>
              <w:t>c</w:t>
            </w:r>
          </w:p>
        </w:tc>
        <w:tc>
          <w:tcPr>
            <w:tcW w:w="2745" w:type="dxa"/>
            <w:gridSpan w:val="2"/>
            <w:shd w:val="clear" w:color="auto" w:fill="auto"/>
          </w:tcPr>
          <w:p w14:paraId="7796DF92"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100mg/m</w:t>
            </w:r>
            <w:r w:rsidRPr="00683786">
              <w:rPr>
                <w:rFonts w:ascii="Arial Narrow" w:hAnsi="Arial Narrow"/>
                <w:sz w:val="20"/>
                <w:szCs w:val="20"/>
                <w:vertAlign w:val="superscript"/>
              </w:rPr>
              <w:t>2</w:t>
            </w:r>
            <w:r w:rsidRPr="00683786">
              <w:rPr>
                <w:rFonts w:ascii="Arial Narrow" w:hAnsi="Arial Narrow"/>
                <w:sz w:val="20"/>
                <w:szCs w:val="20"/>
              </w:rPr>
              <w:t xml:space="preserve"> (NR)</w:t>
            </w:r>
            <w:r w:rsidRPr="00683786">
              <w:rPr>
                <w:rFonts w:ascii="Arial Narrow" w:hAnsi="Arial Narrow"/>
                <w:sz w:val="20"/>
                <w:szCs w:val="20"/>
                <w:vertAlign w:val="superscript"/>
              </w:rPr>
              <w:t>d</w:t>
            </w:r>
          </w:p>
          <w:p w14:paraId="720BDC4C" w14:textId="77777777" w:rsidR="00683786" w:rsidRPr="00683786" w:rsidRDefault="00683786" w:rsidP="00683786">
            <w:pPr>
              <w:keepNext/>
              <w:keepLines/>
              <w:spacing w:before="0"/>
              <w:jc w:val="center"/>
              <w:rPr>
                <w:rFonts w:ascii="Arial Narrow" w:hAnsi="Arial Narrow"/>
                <w:sz w:val="20"/>
                <w:szCs w:val="20"/>
              </w:rPr>
            </w:pPr>
          </w:p>
        </w:tc>
        <w:tc>
          <w:tcPr>
            <w:tcW w:w="1150" w:type="dxa"/>
            <w:shd w:val="clear" w:color="auto" w:fill="auto"/>
            <w:vAlign w:val="center"/>
          </w:tcPr>
          <w:p w14:paraId="4C0F3DF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(4.98)</w:t>
            </w:r>
          </w:p>
        </w:tc>
        <w:tc>
          <w:tcPr>
            <w:tcW w:w="1186" w:type="dxa"/>
            <w:shd w:val="clear" w:color="auto" w:fill="auto"/>
            <w:vAlign w:val="center"/>
          </w:tcPr>
          <w:p w14:paraId="7FC98F16"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(4.95)</w:t>
            </w:r>
          </w:p>
        </w:tc>
        <w:tc>
          <w:tcPr>
            <w:tcW w:w="1170" w:type="dxa"/>
            <w:shd w:val="clear" w:color="auto" w:fill="auto"/>
            <w:vAlign w:val="center"/>
          </w:tcPr>
          <w:p w14:paraId="7283351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(7.19)</w:t>
            </w:r>
          </w:p>
        </w:tc>
        <w:tc>
          <w:tcPr>
            <w:tcW w:w="1142" w:type="dxa"/>
            <w:shd w:val="clear" w:color="auto" w:fill="auto"/>
            <w:vAlign w:val="center"/>
          </w:tcPr>
          <w:p w14:paraId="2E98244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(9.52)</w:t>
            </w:r>
          </w:p>
        </w:tc>
      </w:tr>
      <w:tr w:rsidR="00683786" w:rsidRPr="00683786" w14:paraId="2686B8D6" w14:textId="77777777" w:rsidTr="00683786">
        <w:trPr>
          <w:trHeight w:val="113"/>
        </w:trPr>
        <w:tc>
          <w:tcPr>
            <w:tcW w:w="1623" w:type="dxa"/>
            <w:shd w:val="clear" w:color="auto" w:fill="auto"/>
            <w:vAlign w:val="center"/>
          </w:tcPr>
          <w:p w14:paraId="4D171C13"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Carboplatin Q3W </w:t>
            </w:r>
            <w:r w:rsidRPr="00683786">
              <w:rPr>
                <w:rFonts w:ascii="Arial Narrow" w:hAnsi="Arial Narrow"/>
                <w:sz w:val="20"/>
                <w:szCs w:val="20"/>
                <w:vertAlign w:val="superscript"/>
              </w:rPr>
              <w:t>c</w:t>
            </w:r>
          </w:p>
        </w:tc>
        <w:tc>
          <w:tcPr>
            <w:tcW w:w="2745" w:type="dxa"/>
            <w:gridSpan w:val="2"/>
            <w:shd w:val="clear" w:color="auto" w:fill="auto"/>
          </w:tcPr>
          <w:p w14:paraId="0A9CDB9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AUC 5mg/mL/min (NR)</w:t>
            </w:r>
            <w:r w:rsidRPr="00683786">
              <w:rPr>
                <w:rFonts w:ascii="Arial Narrow" w:hAnsi="Arial Narrow"/>
                <w:sz w:val="20"/>
                <w:szCs w:val="20"/>
                <w:vertAlign w:val="superscript"/>
              </w:rPr>
              <w:t>d</w:t>
            </w:r>
          </w:p>
        </w:tc>
        <w:tc>
          <w:tcPr>
            <w:tcW w:w="1150" w:type="dxa"/>
            <w:shd w:val="clear" w:color="auto" w:fill="auto"/>
            <w:vAlign w:val="center"/>
          </w:tcPr>
          <w:p w14:paraId="3EA1362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600mg (4.98)</w:t>
            </w:r>
          </w:p>
        </w:tc>
        <w:tc>
          <w:tcPr>
            <w:tcW w:w="1186" w:type="dxa"/>
            <w:shd w:val="clear" w:color="auto" w:fill="auto"/>
            <w:vAlign w:val="center"/>
          </w:tcPr>
          <w:p w14:paraId="49A656A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600mg (4.95)</w:t>
            </w:r>
          </w:p>
        </w:tc>
        <w:tc>
          <w:tcPr>
            <w:tcW w:w="1170" w:type="dxa"/>
            <w:shd w:val="clear" w:color="auto" w:fill="auto"/>
            <w:vAlign w:val="center"/>
          </w:tcPr>
          <w:p w14:paraId="0D56DCC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(7.19)</w:t>
            </w:r>
          </w:p>
        </w:tc>
        <w:tc>
          <w:tcPr>
            <w:tcW w:w="1142" w:type="dxa"/>
            <w:shd w:val="clear" w:color="auto" w:fill="auto"/>
            <w:vAlign w:val="center"/>
          </w:tcPr>
          <w:p w14:paraId="5861445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(9.52)</w:t>
            </w:r>
          </w:p>
        </w:tc>
      </w:tr>
      <w:tr w:rsidR="00683786" w:rsidRPr="00683786" w14:paraId="36DFED38" w14:textId="77777777" w:rsidTr="00683786">
        <w:trPr>
          <w:trHeight w:val="113"/>
        </w:trPr>
        <w:tc>
          <w:tcPr>
            <w:tcW w:w="1623" w:type="dxa"/>
            <w:shd w:val="clear" w:color="auto" w:fill="auto"/>
            <w:vAlign w:val="center"/>
          </w:tcPr>
          <w:p w14:paraId="196DA25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5-FU Q3W</w:t>
            </w:r>
          </w:p>
        </w:tc>
        <w:tc>
          <w:tcPr>
            <w:tcW w:w="2745" w:type="dxa"/>
            <w:gridSpan w:val="2"/>
            <w:shd w:val="clear" w:color="auto" w:fill="auto"/>
          </w:tcPr>
          <w:p w14:paraId="1DF8B63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1,000mg/m</w:t>
            </w:r>
            <w:r w:rsidRPr="00683786">
              <w:rPr>
                <w:rFonts w:ascii="Arial Narrow" w:hAnsi="Arial Narrow"/>
                <w:sz w:val="20"/>
                <w:szCs w:val="20"/>
                <w:vertAlign w:val="superscript"/>
              </w:rPr>
              <w:t>2</w:t>
            </w:r>
            <w:r w:rsidRPr="00683786">
              <w:rPr>
                <w:rFonts w:ascii="Arial Narrow" w:hAnsi="Arial Narrow"/>
                <w:sz w:val="20"/>
                <w:szCs w:val="20"/>
              </w:rPr>
              <w:t>/day, day 1-4 each cycle (NR)</w:t>
            </w:r>
            <w:r w:rsidRPr="00683786">
              <w:rPr>
                <w:rFonts w:ascii="Arial Narrow" w:hAnsi="Arial Narrow"/>
                <w:sz w:val="20"/>
                <w:szCs w:val="20"/>
                <w:vertAlign w:val="superscript"/>
              </w:rPr>
              <w:t>d</w:t>
            </w:r>
          </w:p>
        </w:tc>
        <w:tc>
          <w:tcPr>
            <w:tcW w:w="1150" w:type="dxa"/>
            <w:shd w:val="clear" w:color="auto" w:fill="auto"/>
            <w:vAlign w:val="center"/>
          </w:tcPr>
          <w:p w14:paraId="6973766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7000mg (4.98)</w:t>
            </w:r>
          </w:p>
        </w:tc>
        <w:tc>
          <w:tcPr>
            <w:tcW w:w="1186" w:type="dxa"/>
            <w:shd w:val="clear" w:color="auto" w:fill="auto"/>
            <w:vAlign w:val="center"/>
          </w:tcPr>
          <w:p w14:paraId="0D925B7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7000mg (4.95)</w:t>
            </w:r>
          </w:p>
        </w:tc>
        <w:tc>
          <w:tcPr>
            <w:tcW w:w="1170" w:type="dxa"/>
            <w:shd w:val="clear" w:color="auto" w:fill="auto"/>
            <w:vAlign w:val="center"/>
          </w:tcPr>
          <w:p w14:paraId="42CC6682"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 (7.19)</w:t>
            </w:r>
          </w:p>
        </w:tc>
        <w:tc>
          <w:tcPr>
            <w:tcW w:w="1142" w:type="dxa"/>
            <w:shd w:val="clear" w:color="auto" w:fill="auto"/>
            <w:vAlign w:val="center"/>
          </w:tcPr>
          <w:p w14:paraId="3685677D"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w:t>
            </w:r>
            <w:r>
              <w:rPr>
                <w:rFonts w:ascii="Arial Narrow" w:hAnsi="Arial Narrow"/>
                <w:sz w:val="20"/>
                <w:szCs w:val="20"/>
              </w:rPr>
              <w:t xml:space="preserve"> </w:t>
            </w:r>
            <w:r w:rsidRPr="00683786">
              <w:rPr>
                <w:rFonts w:ascii="Arial Narrow" w:hAnsi="Arial Narrow"/>
                <w:sz w:val="20"/>
                <w:szCs w:val="20"/>
              </w:rPr>
              <w:t>(9.52)</w:t>
            </w:r>
          </w:p>
        </w:tc>
      </w:tr>
      <w:tr w:rsidR="00683786" w:rsidRPr="00683786" w14:paraId="1B34EC07" w14:textId="77777777" w:rsidTr="00683786">
        <w:trPr>
          <w:trHeight w:val="113"/>
        </w:trPr>
        <w:tc>
          <w:tcPr>
            <w:tcW w:w="1623" w:type="dxa"/>
            <w:shd w:val="clear" w:color="auto" w:fill="auto"/>
            <w:vAlign w:val="center"/>
          </w:tcPr>
          <w:p w14:paraId="479C49C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2L Nivolumab</w:t>
            </w:r>
            <w:r w:rsidR="00B56101">
              <w:rPr>
                <w:rFonts w:ascii="Arial Narrow" w:hAnsi="Arial Narrow"/>
                <w:sz w:val="20"/>
                <w:szCs w:val="20"/>
              </w:rPr>
              <w:t xml:space="preserve"> </w:t>
            </w:r>
            <w:r w:rsidRPr="00683786">
              <w:rPr>
                <w:rFonts w:ascii="Arial Narrow" w:hAnsi="Arial Narrow"/>
                <w:sz w:val="20"/>
                <w:szCs w:val="20"/>
              </w:rPr>
              <w:t>Q2W</w:t>
            </w:r>
          </w:p>
        </w:tc>
        <w:tc>
          <w:tcPr>
            <w:tcW w:w="924" w:type="dxa"/>
            <w:shd w:val="clear" w:color="auto" w:fill="auto"/>
            <w:vAlign w:val="center"/>
          </w:tcPr>
          <w:p w14:paraId="51C6EEE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821" w:type="dxa"/>
            <w:shd w:val="clear" w:color="auto" w:fill="auto"/>
            <w:vAlign w:val="center"/>
          </w:tcPr>
          <w:p w14:paraId="57C7A95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150" w:type="dxa"/>
            <w:shd w:val="clear" w:color="auto" w:fill="auto"/>
            <w:vAlign w:val="center"/>
          </w:tcPr>
          <w:p w14:paraId="21B8933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40F4CE05"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 xml:space="preserve">240mg (12.21) </w:t>
            </w:r>
            <w:r w:rsidRPr="00683786">
              <w:rPr>
                <w:rFonts w:ascii="Arial Narrow" w:hAnsi="Arial Narrow"/>
                <w:sz w:val="20"/>
                <w:szCs w:val="20"/>
                <w:vertAlign w:val="superscript"/>
              </w:rPr>
              <w:t>f</w:t>
            </w:r>
          </w:p>
        </w:tc>
        <w:tc>
          <w:tcPr>
            <w:tcW w:w="1170" w:type="dxa"/>
            <w:shd w:val="clear" w:color="auto" w:fill="auto"/>
            <w:vAlign w:val="center"/>
          </w:tcPr>
          <w:p w14:paraId="0A90674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42" w:type="dxa"/>
            <w:shd w:val="clear" w:color="auto" w:fill="auto"/>
            <w:vAlign w:val="center"/>
          </w:tcPr>
          <w:p w14:paraId="60D66030"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(12.05)</w:t>
            </w:r>
          </w:p>
        </w:tc>
      </w:tr>
      <w:tr w:rsidR="00683786" w:rsidRPr="00683786" w14:paraId="7FCDD586" w14:textId="77777777" w:rsidTr="00683786">
        <w:trPr>
          <w:trHeight w:val="113"/>
        </w:trPr>
        <w:tc>
          <w:tcPr>
            <w:tcW w:w="9016" w:type="dxa"/>
            <w:gridSpan w:val="7"/>
            <w:shd w:val="clear" w:color="auto" w:fill="auto"/>
          </w:tcPr>
          <w:p w14:paraId="584F932C" w14:textId="77777777" w:rsidR="00683786" w:rsidRPr="00683786" w:rsidRDefault="00683786" w:rsidP="00683786">
            <w:pPr>
              <w:keepNext/>
              <w:keepLines/>
              <w:spacing w:before="0"/>
              <w:rPr>
                <w:rFonts w:ascii="Arial Narrow" w:hAnsi="Arial Narrow"/>
                <w:b/>
                <w:bCs/>
                <w:sz w:val="20"/>
                <w:szCs w:val="20"/>
              </w:rPr>
            </w:pPr>
            <w:r w:rsidRPr="00683786">
              <w:rPr>
                <w:rFonts w:ascii="Arial Narrow" w:hAnsi="Arial Narrow"/>
                <w:b/>
                <w:bCs/>
                <w:sz w:val="20"/>
                <w:szCs w:val="20"/>
              </w:rPr>
              <w:t>Pembrolizumab monotherapy</w:t>
            </w:r>
          </w:p>
        </w:tc>
      </w:tr>
      <w:tr w:rsidR="00683786" w:rsidRPr="00683786" w14:paraId="31FF2A54" w14:textId="77777777" w:rsidTr="00683786">
        <w:trPr>
          <w:trHeight w:val="113"/>
        </w:trPr>
        <w:tc>
          <w:tcPr>
            <w:tcW w:w="1623" w:type="dxa"/>
            <w:shd w:val="clear" w:color="auto" w:fill="auto"/>
            <w:vAlign w:val="center"/>
          </w:tcPr>
          <w:p w14:paraId="16856E0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Pembrolizumab Q3W</w:t>
            </w:r>
          </w:p>
        </w:tc>
        <w:tc>
          <w:tcPr>
            <w:tcW w:w="924" w:type="dxa"/>
            <w:shd w:val="clear" w:color="auto" w:fill="auto"/>
            <w:vAlign w:val="center"/>
          </w:tcPr>
          <w:p w14:paraId="17DA5E81"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w:t>
            </w:r>
            <w:proofErr w:type="gramStart"/>
            <w:r w:rsidRPr="00683786">
              <w:rPr>
                <w:rFonts w:ascii="Arial Narrow" w:hAnsi="Arial Narrow"/>
                <w:sz w:val="20"/>
                <w:szCs w:val="20"/>
              </w:rPr>
              <w:t>9.91)</w:t>
            </w:r>
            <w:r w:rsidRPr="00683786">
              <w:rPr>
                <w:rFonts w:ascii="Arial Narrow" w:hAnsi="Arial Narrow"/>
                <w:sz w:val="20"/>
                <w:szCs w:val="20"/>
                <w:vertAlign w:val="superscript"/>
              </w:rPr>
              <w:t>a</w:t>
            </w:r>
            <w:proofErr w:type="gramEnd"/>
          </w:p>
        </w:tc>
        <w:tc>
          <w:tcPr>
            <w:tcW w:w="1821" w:type="dxa"/>
            <w:shd w:val="clear" w:color="auto" w:fill="auto"/>
            <w:vAlign w:val="center"/>
          </w:tcPr>
          <w:p w14:paraId="2F68468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50" w:type="dxa"/>
            <w:shd w:val="clear" w:color="auto" w:fill="auto"/>
            <w:vAlign w:val="center"/>
          </w:tcPr>
          <w:p w14:paraId="4E67078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(10.49)</w:t>
            </w:r>
          </w:p>
        </w:tc>
        <w:tc>
          <w:tcPr>
            <w:tcW w:w="1186" w:type="dxa"/>
            <w:shd w:val="clear" w:color="auto" w:fill="auto"/>
            <w:vAlign w:val="center"/>
          </w:tcPr>
          <w:p w14:paraId="6197C4DD"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70" w:type="dxa"/>
            <w:shd w:val="clear" w:color="auto" w:fill="auto"/>
            <w:vAlign w:val="center"/>
          </w:tcPr>
          <w:p w14:paraId="16684CCC"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w:t>
            </w:r>
            <w:proofErr w:type="gramStart"/>
            <w:r w:rsidRPr="00683786">
              <w:rPr>
                <w:rFonts w:ascii="Arial Narrow" w:hAnsi="Arial Narrow"/>
                <w:sz w:val="20"/>
                <w:szCs w:val="20"/>
              </w:rPr>
              <w:t>10.49)</w:t>
            </w:r>
            <w:r w:rsidRPr="00683786">
              <w:rPr>
                <w:rFonts w:ascii="Arial Narrow" w:hAnsi="Arial Narrow"/>
                <w:sz w:val="20"/>
                <w:szCs w:val="20"/>
                <w:vertAlign w:val="superscript"/>
              </w:rPr>
              <w:t>b</w:t>
            </w:r>
            <w:proofErr w:type="gramEnd"/>
          </w:p>
        </w:tc>
        <w:tc>
          <w:tcPr>
            <w:tcW w:w="1142" w:type="dxa"/>
            <w:shd w:val="clear" w:color="auto" w:fill="auto"/>
            <w:vAlign w:val="center"/>
          </w:tcPr>
          <w:p w14:paraId="3A56E0E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r>
      <w:tr w:rsidR="00683786" w:rsidRPr="00683786" w14:paraId="45B35AA4" w14:textId="77777777" w:rsidTr="00683786">
        <w:trPr>
          <w:trHeight w:val="113"/>
        </w:trPr>
        <w:tc>
          <w:tcPr>
            <w:tcW w:w="1623" w:type="dxa"/>
            <w:shd w:val="clear" w:color="auto" w:fill="auto"/>
            <w:vAlign w:val="center"/>
          </w:tcPr>
          <w:p w14:paraId="2507B0A2"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Cisplatin Q3W </w:t>
            </w:r>
            <w:r w:rsidRPr="00683786">
              <w:rPr>
                <w:rFonts w:ascii="Arial Narrow" w:hAnsi="Arial Narrow"/>
                <w:sz w:val="20"/>
                <w:szCs w:val="20"/>
                <w:vertAlign w:val="superscript"/>
              </w:rPr>
              <w:t>c</w:t>
            </w:r>
          </w:p>
        </w:tc>
        <w:tc>
          <w:tcPr>
            <w:tcW w:w="924" w:type="dxa"/>
            <w:shd w:val="clear" w:color="auto" w:fill="auto"/>
          </w:tcPr>
          <w:p w14:paraId="331001B5"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w:t>
            </w:r>
          </w:p>
        </w:tc>
        <w:tc>
          <w:tcPr>
            <w:tcW w:w="1821" w:type="dxa"/>
            <w:shd w:val="clear" w:color="auto" w:fill="auto"/>
          </w:tcPr>
          <w:p w14:paraId="081E41D7"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100mg/m</w:t>
            </w:r>
            <w:r w:rsidRPr="00683786">
              <w:rPr>
                <w:rFonts w:ascii="Arial Narrow" w:hAnsi="Arial Narrow"/>
                <w:sz w:val="20"/>
                <w:szCs w:val="20"/>
                <w:vertAlign w:val="superscript"/>
              </w:rPr>
              <w:t>2</w:t>
            </w:r>
            <w:r w:rsidRPr="00683786">
              <w:rPr>
                <w:rFonts w:ascii="Arial Narrow" w:hAnsi="Arial Narrow"/>
                <w:sz w:val="20"/>
                <w:szCs w:val="20"/>
              </w:rPr>
              <w:t xml:space="preserve"> (NR)</w:t>
            </w:r>
            <w:r w:rsidRPr="00683786">
              <w:rPr>
                <w:rFonts w:ascii="Arial Narrow" w:hAnsi="Arial Narrow"/>
                <w:sz w:val="20"/>
                <w:szCs w:val="20"/>
                <w:vertAlign w:val="superscript"/>
              </w:rPr>
              <w:t>e</w:t>
            </w:r>
          </w:p>
        </w:tc>
        <w:tc>
          <w:tcPr>
            <w:tcW w:w="1150" w:type="dxa"/>
            <w:shd w:val="clear" w:color="auto" w:fill="auto"/>
            <w:vAlign w:val="center"/>
          </w:tcPr>
          <w:p w14:paraId="0BD09AB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5CCC2E8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(4.96)</w:t>
            </w:r>
          </w:p>
        </w:tc>
        <w:tc>
          <w:tcPr>
            <w:tcW w:w="1170" w:type="dxa"/>
            <w:shd w:val="clear" w:color="auto" w:fill="auto"/>
            <w:vAlign w:val="center"/>
          </w:tcPr>
          <w:p w14:paraId="2020E46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(7.19)</w:t>
            </w:r>
          </w:p>
        </w:tc>
        <w:tc>
          <w:tcPr>
            <w:tcW w:w="1142" w:type="dxa"/>
            <w:shd w:val="clear" w:color="auto" w:fill="auto"/>
            <w:vAlign w:val="center"/>
          </w:tcPr>
          <w:p w14:paraId="28E71F9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(9.52)</w:t>
            </w:r>
          </w:p>
        </w:tc>
      </w:tr>
      <w:tr w:rsidR="00683786" w:rsidRPr="00683786" w14:paraId="1D4A90A4" w14:textId="77777777" w:rsidTr="00683786">
        <w:trPr>
          <w:trHeight w:val="113"/>
        </w:trPr>
        <w:tc>
          <w:tcPr>
            <w:tcW w:w="1623" w:type="dxa"/>
            <w:shd w:val="clear" w:color="auto" w:fill="auto"/>
            <w:vAlign w:val="center"/>
          </w:tcPr>
          <w:p w14:paraId="0CA9124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Carboplatin Q3W </w:t>
            </w:r>
            <w:r w:rsidRPr="00683786">
              <w:rPr>
                <w:rFonts w:ascii="Arial Narrow" w:hAnsi="Arial Narrow"/>
                <w:sz w:val="20"/>
                <w:szCs w:val="20"/>
                <w:vertAlign w:val="superscript"/>
              </w:rPr>
              <w:t>c</w:t>
            </w:r>
          </w:p>
        </w:tc>
        <w:tc>
          <w:tcPr>
            <w:tcW w:w="924" w:type="dxa"/>
            <w:shd w:val="clear" w:color="auto" w:fill="auto"/>
          </w:tcPr>
          <w:p w14:paraId="4D30142D"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r w:rsidRPr="00683786">
              <w:rPr>
                <w:rFonts w:ascii="Arial Narrow" w:hAnsi="Arial Narrow"/>
                <w:sz w:val="20"/>
                <w:szCs w:val="20"/>
                <w:vertAlign w:val="superscript"/>
              </w:rPr>
              <w:t>d</w:t>
            </w:r>
          </w:p>
        </w:tc>
        <w:tc>
          <w:tcPr>
            <w:tcW w:w="1821" w:type="dxa"/>
            <w:shd w:val="clear" w:color="auto" w:fill="auto"/>
          </w:tcPr>
          <w:p w14:paraId="4882D40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AUC 5mg/mL/min (NR)</w:t>
            </w:r>
            <w:r w:rsidRPr="00683786">
              <w:rPr>
                <w:rFonts w:ascii="Arial Narrow" w:hAnsi="Arial Narrow"/>
                <w:sz w:val="20"/>
                <w:szCs w:val="20"/>
                <w:vertAlign w:val="superscript"/>
              </w:rPr>
              <w:t>e</w:t>
            </w:r>
          </w:p>
        </w:tc>
        <w:tc>
          <w:tcPr>
            <w:tcW w:w="1150" w:type="dxa"/>
            <w:shd w:val="clear" w:color="auto" w:fill="auto"/>
            <w:vAlign w:val="center"/>
          </w:tcPr>
          <w:p w14:paraId="5E0C9D3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24F7C87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600mg (4.96)</w:t>
            </w:r>
          </w:p>
        </w:tc>
        <w:tc>
          <w:tcPr>
            <w:tcW w:w="1170" w:type="dxa"/>
            <w:shd w:val="clear" w:color="auto" w:fill="auto"/>
            <w:vAlign w:val="center"/>
          </w:tcPr>
          <w:p w14:paraId="50D2E26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(7.19)</w:t>
            </w:r>
          </w:p>
        </w:tc>
        <w:tc>
          <w:tcPr>
            <w:tcW w:w="1142" w:type="dxa"/>
            <w:shd w:val="clear" w:color="auto" w:fill="auto"/>
            <w:vAlign w:val="center"/>
          </w:tcPr>
          <w:p w14:paraId="4545AEA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(9.52)</w:t>
            </w:r>
          </w:p>
        </w:tc>
      </w:tr>
      <w:tr w:rsidR="00683786" w:rsidRPr="00683786" w14:paraId="0C865613" w14:textId="77777777" w:rsidTr="00683786">
        <w:trPr>
          <w:trHeight w:val="113"/>
        </w:trPr>
        <w:tc>
          <w:tcPr>
            <w:tcW w:w="1623" w:type="dxa"/>
            <w:shd w:val="clear" w:color="auto" w:fill="auto"/>
            <w:vAlign w:val="center"/>
          </w:tcPr>
          <w:p w14:paraId="509BB81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5-FU Q3W</w:t>
            </w:r>
          </w:p>
        </w:tc>
        <w:tc>
          <w:tcPr>
            <w:tcW w:w="924" w:type="dxa"/>
            <w:shd w:val="clear" w:color="auto" w:fill="auto"/>
            <w:vAlign w:val="center"/>
          </w:tcPr>
          <w:p w14:paraId="00F26CB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821" w:type="dxa"/>
            <w:shd w:val="clear" w:color="auto" w:fill="auto"/>
          </w:tcPr>
          <w:p w14:paraId="6F41E6A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1,000mg/m</w:t>
            </w:r>
            <w:r w:rsidRPr="00683786">
              <w:rPr>
                <w:rFonts w:ascii="Arial Narrow" w:hAnsi="Arial Narrow"/>
                <w:sz w:val="20"/>
                <w:szCs w:val="20"/>
                <w:vertAlign w:val="superscript"/>
              </w:rPr>
              <w:t>2</w:t>
            </w:r>
            <w:r w:rsidRPr="00683786">
              <w:rPr>
                <w:rFonts w:ascii="Arial Narrow" w:hAnsi="Arial Narrow"/>
                <w:sz w:val="20"/>
                <w:szCs w:val="20"/>
              </w:rPr>
              <w:t xml:space="preserve">/day, day 1-4 each </w:t>
            </w:r>
            <w:r w:rsidR="004953A1" w:rsidRPr="00683786">
              <w:rPr>
                <w:rFonts w:ascii="Arial Narrow" w:hAnsi="Arial Narrow"/>
                <w:sz w:val="20"/>
                <w:szCs w:val="20"/>
              </w:rPr>
              <w:t>cycle</w:t>
            </w:r>
            <w:r w:rsidRPr="00683786">
              <w:rPr>
                <w:rFonts w:ascii="Arial Narrow" w:hAnsi="Arial Narrow"/>
                <w:sz w:val="20"/>
                <w:szCs w:val="20"/>
              </w:rPr>
              <w:t xml:space="preserve"> (NR)</w:t>
            </w:r>
            <w:r w:rsidRPr="00683786">
              <w:rPr>
                <w:rFonts w:ascii="Arial Narrow" w:hAnsi="Arial Narrow"/>
                <w:sz w:val="20"/>
                <w:szCs w:val="20"/>
                <w:vertAlign w:val="superscript"/>
              </w:rPr>
              <w:t>e</w:t>
            </w:r>
          </w:p>
        </w:tc>
        <w:tc>
          <w:tcPr>
            <w:tcW w:w="1150" w:type="dxa"/>
            <w:shd w:val="clear" w:color="auto" w:fill="auto"/>
            <w:vAlign w:val="center"/>
          </w:tcPr>
          <w:p w14:paraId="4E3A484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2CF4507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6500mg (4.96)</w:t>
            </w:r>
          </w:p>
        </w:tc>
        <w:tc>
          <w:tcPr>
            <w:tcW w:w="1170" w:type="dxa"/>
            <w:shd w:val="clear" w:color="auto" w:fill="auto"/>
            <w:vAlign w:val="center"/>
          </w:tcPr>
          <w:p w14:paraId="33BFE2A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 (7.19)</w:t>
            </w:r>
          </w:p>
        </w:tc>
        <w:tc>
          <w:tcPr>
            <w:tcW w:w="1142" w:type="dxa"/>
            <w:shd w:val="clear" w:color="auto" w:fill="auto"/>
            <w:vAlign w:val="center"/>
          </w:tcPr>
          <w:p w14:paraId="636749C7"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w:t>
            </w:r>
            <w:r>
              <w:rPr>
                <w:rFonts w:ascii="Arial Narrow" w:hAnsi="Arial Narrow"/>
                <w:sz w:val="20"/>
                <w:szCs w:val="20"/>
              </w:rPr>
              <w:t xml:space="preserve"> </w:t>
            </w:r>
            <w:r w:rsidRPr="00683786">
              <w:rPr>
                <w:rFonts w:ascii="Arial Narrow" w:hAnsi="Arial Narrow"/>
                <w:sz w:val="20"/>
                <w:szCs w:val="20"/>
              </w:rPr>
              <w:t>(9.52)</w:t>
            </w:r>
          </w:p>
        </w:tc>
      </w:tr>
      <w:tr w:rsidR="00683786" w:rsidRPr="00683786" w14:paraId="2DFB4876" w14:textId="77777777" w:rsidTr="00683786">
        <w:trPr>
          <w:trHeight w:val="113"/>
        </w:trPr>
        <w:tc>
          <w:tcPr>
            <w:tcW w:w="1623" w:type="dxa"/>
            <w:shd w:val="clear" w:color="auto" w:fill="auto"/>
            <w:vAlign w:val="center"/>
          </w:tcPr>
          <w:p w14:paraId="18A0D74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2L Nivolumab</w:t>
            </w:r>
            <w:r w:rsidR="00B56101">
              <w:rPr>
                <w:rFonts w:ascii="Arial Narrow" w:hAnsi="Arial Narrow"/>
                <w:sz w:val="20"/>
                <w:szCs w:val="20"/>
              </w:rPr>
              <w:t xml:space="preserve"> </w:t>
            </w:r>
            <w:r w:rsidRPr="00683786">
              <w:rPr>
                <w:rFonts w:ascii="Arial Narrow" w:hAnsi="Arial Narrow"/>
                <w:sz w:val="20"/>
                <w:szCs w:val="20"/>
              </w:rPr>
              <w:t>Q2W</w:t>
            </w:r>
          </w:p>
        </w:tc>
        <w:tc>
          <w:tcPr>
            <w:tcW w:w="924" w:type="dxa"/>
            <w:shd w:val="clear" w:color="auto" w:fill="auto"/>
            <w:vAlign w:val="center"/>
          </w:tcPr>
          <w:p w14:paraId="6D6F26A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821" w:type="dxa"/>
            <w:shd w:val="clear" w:color="auto" w:fill="auto"/>
            <w:vAlign w:val="center"/>
          </w:tcPr>
          <w:p w14:paraId="5C2B353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150" w:type="dxa"/>
            <w:shd w:val="clear" w:color="auto" w:fill="auto"/>
            <w:vAlign w:val="center"/>
          </w:tcPr>
          <w:p w14:paraId="00A5DA73"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75BA2239"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 xml:space="preserve">240mg (11.99) </w:t>
            </w:r>
            <w:r w:rsidRPr="00683786">
              <w:rPr>
                <w:rFonts w:ascii="Arial Narrow" w:hAnsi="Arial Narrow"/>
                <w:sz w:val="20"/>
                <w:szCs w:val="20"/>
                <w:vertAlign w:val="superscript"/>
              </w:rPr>
              <w:t>g</w:t>
            </w:r>
          </w:p>
        </w:tc>
        <w:tc>
          <w:tcPr>
            <w:tcW w:w="1170" w:type="dxa"/>
            <w:shd w:val="clear" w:color="auto" w:fill="auto"/>
            <w:vAlign w:val="center"/>
          </w:tcPr>
          <w:p w14:paraId="00BFEA9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42" w:type="dxa"/>
            <w:shd w:val="clear" w:color="auto" w:fill="auto"/>
            <w:vAlign w:val="center"/>
          </w:tcPr>
          <w:p w14:paraId="5D98121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(12.05)</w:t>
            </w:r>
          </w:p>
        </w:tc>
      </w:tr>
    </w:tbl>
    <w:p w14:paraId="1C17B415" w14:textId="77777777" w:rsidR="00683786" w:rsidRPr="00683786" w:rsidRDefault="00683786" w:rsidP="002349E0">
      <w:pPr>
        <w:pStyle w:val="TableFooter"/>
      </w:pPr>
      <w:r w:rsidRPr="00683786">
        <w:t>Source: Table 2.5-21, p105-106 of resubmission, section 3 workbool.xlsm and section 4 workbook HNSCC.xlsx</w:t>
      </w:r>
    </w:p>
    <w:p w14:paraId="54643B9B" w14:textId="77777777" w:rsidR="00683786" w:rsidRPr="00683786" w:rsidRDefault="00683786" w:rsidP="002349E0">
      <w:pPr>
        <w:pStyle w:val="TableFooter"/>
      </w:pPr>
      <w:r w:rsidRPr="00683786">
        <w:t xml:space="preserve">NR = not reported; </w:t>
      </w:r>
      <w:proofErr w:type="spellStart"/>
      <w:r w:rsidRPr="00683786">
        <w:t>Pembro</w:t>
      </w:r>
      <w:proofErr w:type="spellEnd"/>
      <w:r w:rsidRPr="00683786">
        <w:t xml:space="preserve"> = pembrolizumab; Q2W = every two weeks; Q3W = every three weeks; SoC = standard of care</w:t>
      </w:r>
    </w:p>
    <w:p w14:paraId="244F8912" w14:textId="77777777" w:rsidR="00683786" w:rsidRPr="00683786" w:rsidRDefault="00683786" w:rsidP="002349E0">
      <w:pPr>
        <w:pStyle w:val="TableFooter"/>
      </w:pPr>
      <w:r w:rsidRPr="00683786">
        <w:rPr>
          <w:vertAlign w:val="superscript"/>
        </w:rPr>
        <w:t>a</w:t>
      </w:r>
      <w:r w:rsidR="002349E0">
        <w:t xml:space="preserve"> </w:t>
      </w:r>
      <w:r w:rsidRPr="00683786">
        <w:t>mean dose reported</w:t>
      </w:r>
    </w:p>
    <w:p w14:paraId="1A4A3043" w14:textId="77777777" w:rsidR="00683786" w:rsidRPr="00683786" w:rsidRDefault="00683786" w:rsidP="002349E0">
      <w:pPr>
        <w:pStyle w:val="TableFooter"/>
      </w:pPr>
      <w:r w:rsidRPr="00683786">
        <w:rPr>
          <w:vertAlign w:val="superscript"/>
        </w:rPr>
        <w:t>b</w:t>
      </w:r>
      <w:r w:rsidR="002349E0">
        <w:rPr>
          <w:vertAlign w:val="superscript"/>
        </w:rPr>
        <w:t xml:space="preserve"> </w:t>
      </w:r>
      <w:r w:rsidRPr="00683786">
        <w:t>5.25 assumed for grandfathered patients</w:t>
      </w:r>
    </w:p>
    <w:p w14:paraId="2B2A4113" w14:textId="77777777" w:rsidR="00683786" w:rsidRPr="00683786" w:rsidRDefault="00683786" w:rsidP="002349E0">
      <w:pPr>
        <w:pStyle w:val="TableFooter"/>
      </w:pPr>
      <w:r w:rsidRPr="00683786">
        <w:rPr>
          <w:vertAlign w:val="superscript"/>
        </w:rPr>
        <w:t>c</w:t>
      </w:r>
      <w:r w:rsidR="002349E0">
        <w:rPr>
          <w:vertAlign w:val="superscript"/>
        </w:rPr>
        <w:t xml:space="preserve"> </w:t>
      </w:r>
      <w:r w:rsidRPr="00683786">
        <w:t>42% cisplatin and 58% carboplatin assumed</w:t>
      </w:r>
    </w:p>
    <w:p w14:paraId="0F0F3B5D" w14:textId="77777777" w:rsidR="00683786" w:rsidRPr="00683786" w:rsidRDefault="00683786" w:rsidP="002349E0">
      <w:pPr>
        <w:pStyle w:val="TableFooter"/>
      </w:pPr>
      <w:r w:rsidRPr="00683786">
        <w:rPr>
          <w:vertAlign w:val="superscript"/>
        </w:rPr>
        <w:t>d</w:t>
      </w:r>
      <w:r w:rsidR="002349E0">
        <w:rPr>
          <w:vertAlign w:val="superscript"/>
        </w:rPr>
        <w:t xml:space="preserve"> </w:t>
      </w:r>
      <w:r w:rsidRPr="00683786">
        <w:t>Mean dose of chemotherapy not reported in KN048 CSR, and duration of chemotherapy was not reported separate to pembrolizumab or to cetuximab in KN048 CSR.</w:t>
      </w:r>
      <w:r w:rsidR="004953A1">
        <w:t xml:space="preserve"> </w:t>
      </w:r>
      <w:proofErr w:type="gramStart"/>
      <w:r w:rsidRPr="00683786">
        <w:t>However</w:t>
      </w:r>
      <w:proofErr w:type="gramEnd"/>
      <w:r w:rsidRPr="00683786">
        <w:t xml:space="preserve"> a maximum of 6 cycles of chemotherapy given as per protocol. Mean BSA 1.74m</w:t>
      </w:r>
      <w:r w:rsidRPr="00683786">
        <w:rPr>
          <w:vertAlign w:val="superscript"/>
        </w:rPr>
        <w:t>2</w:t>
      </w:r>
      <w:r w:rsidRPr="00683786">
        <w:t xml:space="preserve"> in SoC for pembrolizumab </w:t>
      </w:r>
      <w:r w:rsidR="00E73297">
        <w:t xml:space="preserve">plus </w:t>
      </w:r>
      <w:r w:rsidRPr="00683786">
        <w:t>chemotherapy</w:t>
      </w:r>
    </w:p>
    <w:p w14:paraId="566520DF" w14:textId="77777777" w:rsidR="00683786" w:rsidRPr="00683786" w:rsidRDefault="00683786" w:rsidP="002349E0">
      <w:pPr>
        <w:pStyle w:val="TableFooter"/>
      </w:pPr>
      <w:proofErr w:type="spellStart"/>
      <w:r w:rsidRPr="00683786">
        <w:rPr>
          <w:vertAlign w:val="superscript"/>
        </w:rPr>
        <w:t>e</w:t>
      </w:r>
      <w:proofErr w:type="spellEnd"/>
      <w:r w:rsidR="002349E0">
        <w:rPr>
          <w:vertAlign w:val="superscript"/>
        </w:rPr>
        <w:t xml:space="preserve"> </w:t>
      </w:r>
      <w:r w:rsidRPr="00683786">
        <w:t>Mean BSA 1.60m</w:t>
      </w:r>
      <w:r w:rsidRPr="00683786">
        <w:rPr>
          <w:vertAlign w:val="superscript"/>
        </w:rPr>
        <w:t>2</w:t>
      </w:r>
      <w:r w:rsidRPr="00683786">
        <w:t xml:space="preserve"> in SoC for pembrolizumab monotherapy</w:t>
      </w:r>
    </w:p>
    <w:p w14:paraId="00AAECCC" w14:textId="77777777" w:rsidR="00683786" w:rsidRPr="00683786" w:rsidRDefault="00683786" w:rsidP="002349E0">
      <w:pPr>
        <w:pStyle w:val="TableFooter"/>
      </w:pPr>
      <w:r w:rsidRPr="00683786">
        <w:rPr>
          <w:vertAlign w:val="superscript"/>
        </w:rPr>
        <w:lastRenderedPageBreak/>
        <w:t>f</w:t>
      </w:r>
      <w:r w:rsidR="002349E0">
        <w:rPr>
          <w:vertAlign w:val="superscript"/>
        </w:rPr>
        <w:t xml:space="preserve"> </w:t>
      </w:r>
      <w:r w:rsidRPr="00683786">
        <w:t>Estimated by dividing 2L nivolumab cost ($11,271.72) at by $2645.07 every two weeks, including administration, then divided by proportion receiving 2L nivolumab in SoC (46.21%) and by the sum of newly discontinued patients for SoC (0.7551)</w:t>
      </w:r>
    </w:p>
    <w:p w14:paraId="384B0329" w14:textId="77777777" w:rsidR="00683786" w:rsidRPr="00683786" w:rsidRDefault="00683786" w:rsidP="002349E0">
      <w:pPr>
        <w:pStyle w:val="TableFooter"/>
      </w:pPr>
      <w:r w:rsidRPr="00683786">
        <w:rPr>
          <w:vertAlign w:val="superscript"/>
        </w:rPr>
        <w:t>g</w:t>
      </w:r>
      <w:r w:rsidR="002349E0">
        <w:rPr>
          <w:vertAlign w:val="superscript"/>
        </w:rPr>
        <w:t xml:space="preserve"> </w:t>
      </w:r>
      <w:r w:rsidRPr="00683786">
        <w:t>Estimated by dividing 2L nivolumab cost ($11,053.38) at by $2645.07 every two weeks, including administration then divided by proportion receiving 2L nivolumab in SoC (46.21%) and by the sum of newly discontinued patients for SoC (0.7551)</w:t>
      </w:r>
    </w:p>
    <w:p w14:paraId="30C50673" w14:textId="77777777" w:rsidR="00D7609F" w:rsidRPr="00A24A89" w:rsidRDefault="00D7609F" w:rsidP="00DD3D4A">
      <w:pPr>
        <w:pStyle w:val="PBACESHeading2"/>
        <w:numPr>
          <w:ilvl w:val="2"/>
          <w:numId w:val="26"/>
        </w:numPr>
      </w:pPr>
      <w:bookmarkStart w:id="85" w:name="_Toc81727559"/>
      <w:bookmarkStart w:id="86" w:name="_Toc82600108"/>
      <w:r w:rsidRPr="00A24A89">
        <w:t>Estimated PBS</w:t>
      </w:r>
      <w:r w:rsidR="00D96268">
        <w:t xml:space="preserve"> usage</w:t>
      </w:r>
      <w:r w:rsidRPr="00A24A89">
        <w:t xml:space="preserve"> &amp; financial implications</w:t>
      </w:r>
      <w:bookmarkEnd w:id="85"/>
      <w:bookmarkEnd w:id="86"/>
    </w:p>
    <w:p w14:paraId="119544D2" w14:textId="77777777" w:rsidR="00D7609F" w:rsidRPr="00A24A89" w:rsidRDefault="00D7609F" w:rsidP="00D12886">
      <w:pPr>
        <w:pStyle w:val="ListParagraph"/>
        <w:numPr>
          <w:ilvl w:val="4"/>
          <w:numId w:val="1"/>
        </w:numPr>
      </w:pPr>
      <w:r w:rsidRPr="00A24A89">
        <w:t xml:space="preserve">This </w:t>
      </w:r>
      <w:r w:rsidR="00683786">
        <w:t>re</w:t>
      </w:r>
      <w:r w:rsidRPr="00A24A89">
        <w:t xml:space="preserve">submission </w:t>
      </w:r>
      <w:r w:rsidR="00C82011">
        <w:t>was</w:t>
      </w:r>
      <w:r w:rsidRPr="00A24A89">
        <w:t xml:space="preserve"> not considered by DUSC. </w:t>
      </w:r>
    </w:p>
    <w:p w14:paraId="267DD401" w14:textId="77777777" w:rsidR="00D7609F" w:rsidRPr="00A24A89" w:rsidRDefault="00D7609F" w:rsidP="00D12886">
      <w:pPr>
        <w:pStyle w:val="ListParagraph"/>
        <w:numPr>
          <w:ilvl w:val="4"/>
          <w:numId w:val="1"/>
        </w:numPr>
      </w:pPr>
      <w:r w:rsidRPr="00A24A89">
        <w:t xml:space="preserve">The resubmission presented an epidemiological approach to estimate the financial impact of listing pembrolizumab ± chemotherapy in patients with previously untreated recurrent or metastatic SCC of oral cavity, </w:t>
      </w:r>
      <w:proofErr w:type="gramStart"/>
      <w:r w:rsidRPr="00A24A89">
        <w:t>pharynx</w:t>
      </w:r>
      <w:proofErr w:type="gramEnd"/>
      <w:r w:rsidRPr="00A24A89">
        <w:t xml:space="preserve"> or larynx incurable by local therapies with CPS </w:t>
      </w:r>
      <w:r w:rsidRPr="00A24A89">
        <w:rPr>
          <w:rFonts w:cstheme="minorHAnsi"/>
        </w:rPr>
        <w:t>≥</w:t>
      </w:r>
      <w:r w:rsidRPr="00A24A89">
        <w:t xml:space="preserve">1 and ECOG 0-1. The resubmission claimed that a total of three possible pathways to treatment initiation </w:t>
      </w:r>
      <w:r w:rsidR="00683786">
        <w:t xml:space="preserve">in incident patients </w:t>
      </w:r>
      <w:r w:rsidRPr="00A24A89">
        <w:t>were presented:</w:t>
      </w:r>
    </w:p>
    <w:p w14:paraId="443AE82E"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1: Patients recurrent from HPV +</w:t>
      </w:r>
      <w:proofErr w:type="spellStart"/>
      <w:r w:rsidRPr="00A24A89">
        <w:rPr>
          <w:iCs/>
          <w:color w:val="auto"/>
        </w:rPr>
        <w:t>ve</w:t>
      </w:r>
      <w:proofErr w:type="spellEnd"/>
      <w:r w:rsidRPr="00A24A89">
        <w:rPr>
          <w:iCs/>
          <w:color w:val="auto"/>
        </w:rPr>
        <w:t xml:space="preserve"> oropharyngeal carcinoma. While most head and neck cancers result from exposure to tobacco and/or alcohol, 90% of oropharyngeal carcinomas are related to infection with the HPV virus, particularly HPV 16. </w:t>
      </w:r>
      <w:proofErr w:type="spellStart"/>
      <w:r w:rsidRPr="00A24A89">
        <w:rPr>
          <w:iCs/>
          <w:color w:val="auto"/>
        </w:rPr>
        <w:t>HPV+ve</w:t>
      </w:r>
      <w:proofErr w:type="spellEnd"/>
      <w:r w:rsidRPr="00A24A89">
        <w:rPr>
          <w:iCs/>
          <w:color w:val="auto"/>
        </w:rPr>
        <w:t xml:space="preserve"> oropharyngeal cancers have shown to be very responsive to chemotherapy treatment and have a better prognosis than HPV-</w:t>
      </w:r>
      <w:proofErr w:type="spellStart"/>
      <w:r w:rsidRPr="00A24A89">
        <w:rPr>
          <w:iCs/>
          <w:color w:val="auto"/>
        </w:rPr>
        <w:t>ve</w:t>
      </w:r>
      <w:proofErr w:type="spellEnd"/>
      <w:r w:rsidRPr="00A24A89">
        <w:rPr>
          <w:iCs/>
          <w:color w:val="auto"/>
        </w:rPr>
        <w:t xml:space="preserve"> patients.</w:t>
      </w:r>
    </w:p>
    <w:p w14:paraId="22EA00EF"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2: Patients recurrent from HPV-</w:t>
      </w:r>
      <w:proofErr w:type="spellStart"/>
      <w:r w:rsidRPr="00A24A89">
        <w:rPr>
          <w:iCs/>
          <w:color w:val="auto"/>
        </w:rPr>
        <w:t>ve</w:t>
      </w:r>
      <w:proofErr w:type="spellEnd"/>
      <w:r w:rsidRPr="00A24A89">
        <w:rPr>
          <w:iCs/>
          <w:color w:val="auto"/>
        </w:rPr>
        <w:t xml:space="preserve"> head and neck cancers. These are patients with cancers of the oral cavity, </w:t>
      </w:r>
      <w:proofErr w:type="gramStart"/>
      <w:r w:rsidRPr="00A24A89">
        <w:rPr>
          <w:iCs/>
          <w:color w:val="auto"/>
        </w:rPr>
        <w:t>hypopharynx</w:t>
      </w:r>
      <w:proofErr w:type="gramEnd"/>
      <w:r w:rsidRPr="00A24A89">
        <w:rPr>
          <w:iCs/>
          <w:color w:val="auto"/>
        </w:rPr>
        <w:t xml:space="preserve"> and larynx, as well as 10% of patients who have HPV-</w:t>
      </w:r>
      <w:proofErr w:type="spellStart"/>
      <w:r w:rsidRPr="00A24A89">
        <w:rPr>
          <w:iCs/>
          <w:color w:val="auto"/>
        </w:rPr>
        <w:t>ve</w:t>
      </w:r>
      <w:proofErr w:type="spellEnd"/>
      <w:r w:rsidRPr="00A24A89">
        <w:rPr>
          <w:iCs/>
          <w:color w:val="auto"/>
        </w:rPr>
        <w:t xml:space="preserve"> oropharyngeal cancer.</w:t>
      </w:r>
    </w:p>
    <w:p w14:paraId="06328A99" w14:textId="77777777" w:rsidR="00D7609F" w:rsidRPr="00A24A89" w:rsidRDefault="00D7609F" w:rsidP="00DD3D4A">
      <w:pPr>
        <w:pStyle w:val="ListParagraph"/>
        <w:numPr>
          <w:ilvl w:val="0"/>
          <w:numId w:val="19"/>
        </w:numPr>
        <w:ind w:left="993" w:hanging="284"/>
        <w:rPr>
          <w:iCs/>
          <w:color w:val="auto"/>
        </w:rPr>
      </w:pPr>
      <w:r w:rsidRPr="00A24A89">
        <w:rPr>
          <w:iCs/>
          <w:color w:val="auto"/>
        </w:rPr>
        <w:t xml:space="preserve">Pathway 3: Patients initially diagnosed with metastatic (Stage </w:t>
      </w:r>
      <w:proofErr w:type="spellStart"/>
      <w:r w:rsidRPr="00A24A89">
        <w:rPr>
          <w:iCs/>
          <w:color w:val="auto"/>
        </w:rPr>
        <w:t>IVc</w:t>
      </w:r>
      <w:proofErr w:type="spellEnd"/>
      <w:r w:rsidRPr="00A24A89">
        <w:rPr>
          <w:iCs/>
          <w:color w:val="auto"/>
        </w:rPr>
        <w:t>) cancer. Of all patients diagnosed with HPV-</w:t>
      </w:r>
      <w:proofErr w:type="spellStart"/>
      <w:r w:rsidRPr="00A24A89">
        <w:rPr>
          <w:iCs/>
          <w:color w:val="auto"/>
        </w:rPr>
        <w:t>ve</w:t>
      </w:r>
      <w:proofErr w:type="spellEnd"/>
      <w:r w:rsidRPr="00A24A89">
        <w:rPr>
          <w:iCs/>
          <w:color w:val="auto"/>
        </w:rPr>
        <w:t xml:space="preserve"> head and neck cancers, 10% of them are diagnosed with metastatic disease according to KSLs.</w:t>
      </w:r>
    </w:p>
    <w:p w14:paraId="5BFBC4C8" w14:textId="77777777" w:rsidR="00D7609F" w:rsidRPr="00A24A89" w:rsidRDefault="00D7609F" w:rsidP="00D12886">
      <w:pPr>
        <w:pStyle w:val="ListParagraph"/>
        <w:numPr>
          <w:ilvl w:val="4"/>
          <w:numId w:val="1"/>
        </w:numPr>
      </w:pPr>
      <w:r w:rsidRPr="0017405A">
        <w:rPr>
          <w:iCs/>
        </w:rPr>
        <w:t xml:space="preserve">While three pathways were presented in the resubmission rather than the seven pathways presented in the previous submission, </w:t>
      </w:r>
      <w:proofErr w:type="gramStart"/>
      <w:r w:rsidRPr="0017405A">
        <w:rPr>
          <w:iCs/>
        </w:rPr>
        <w:t>overall</w:t>
      </w:r>
      <w:proofErr w:type="gramEnd"/>
      <w:r w:rsidRPr="0017405A">
        <w:rPr>
          <w:iCs/>
        </w:rPr>
        <w:t xml:space="preserve"> the pathways were similar.</w:t>
      </w:r>
      <w:r w:rsidRPr="00A24A89">
        <w:t xml:space="preserve"> </w:t>
      </w:r>
      <w:r w:rsidR="008D43ED">
        <w:t xml:space="preserve">Figure </w:t>
      </w:r>
      <w:r w:rsidR="008D43ED">
        <w:rPr>
          <w:noProof/>
        </w:rPr>
        <w:t>6</w:t>
      </w:r>
      <w:r w:rsidR="00683786">
        <w:t xml:space="preserve"> </w:t>
      </w:r>
      <w:r w:rsidRPr="00A24A89">
        <w:t>provides a diagram of these pathways, with patient numbers for the first year of listing (2022) for reference. An additional two pathways used to estimate prevalent patients were presented in the resubmission:</w:t>
      </w:r>
    </w:p>
    <w:p w14:paraId="64B90525"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4: prevalent R/M HNSCC patients (not currently treated with pembrolizumab); and</w:t>
      </w:r>
    </w:p>
    <w:p w14:paraId="29074A23"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5: grandfathered patients (prevalent R/M HNSCC patients already treated with pembrolizumab)</w:t>
      </w:r>
      <w:r w:rsidR="00D12886">
        <w:rPr>
          <w:iCs/>
          <w:color w:val="auto"/>
        </w:rPr>
        <w:t>.</w:t>
      </w:r>
    </w:p>
    <w:p w14:paraId="17B3F78F" w14:textId="77777777" w:rsidR="00D7609F" w:rsidRDefault="00D927FA" w:rsidP="00024DCD">
      <w:pPr>
        <w:pStyle w:val="Caption"/>
      </w:pPr>
      <w:bookmarkStart w:id="87" w:name="_Ref88575546"/>
      <w:bookmarkStart w:id="88" w:name="_Ref80072743"/>
      <w:bookmarkStart w:id="89" w:name="_Ref88575541"/>
      <w:r>
        <w:lastRenderedPageBreak/>
        <w:t xml:space="preserve">Figure </w:t>
      </w:r>
      <w:r w:rsidR="008D43ED">
        <w:rPr>
          <w:noProof/>
        </w:rPr>
        <w:t>6</w:t>
      </w:r>
      <w:bookmarkEnd w:id="87"/>
      <w:bookmarkEnd w:id="88"/>
      <w:r w:rsidR="00024DCD">
        <w:t xml:space="preserve">: </w:t>
      </w:r>
      <w:r w:rsidR="00683786">
        <w:t>Flowchart of estimation of patient numbers in year one of listing (2022)</w:t>
      </w:r>
      <w:bookmarkEnd w:id="89"/>
    </w:p>
    <w:p w14:paraId="6E2CF06E" w14:textId="77777777" w:rsidR="00946BF9" w:rsidRPr="00946BF9" w:rsidRDefault="00946BF9" w:rsidP="00946BF9">
      <w:r>
        <w:rPr>
          <w:noProof/>
          <w:lang w:eastAsia="en-AU"/>
        </w:rPr>
        <w:drawing>
          <wp:inline distT="0" distB="0" distL="0" distR="0" wp14:anchorId="366EAA0E" wp14:editId="380B9F43">
            <wp:extent cx="5731510" cy="3495040"/>
            <wp:effectExtent l="0" t="0" r="2540" b="0"/>
            <wp:docPr id="1" name="Picture 1" title="Figure 6: Flowchart of estimation of patient numbers in year one of listing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495040"/>
                    </a:xfrm>
                    <a:prstGeom prst="rect">
                      <a:avLst/>
                    </a:prstGeom>
                  </pic:spPr>
                </pic:pic>
              </a:graphicData>
            </a:graphic>
          </wp:inline>
        </w:drawing>
      </w:r>
    </w:p>
    <w:p w14:paraId="4D1090BD" w14:textId="77777777" w:rsidR="00D7609F" w:rsidRPr="00A24A89" w:rsidRDefault="00D7609F" w:rsidP="00683786">
      <w:pPr>
        <w:keepNext/>
        <w:keepLines/>
      </w:pPr>
    </w:p>
    <w:p w14:paraId="0F8D8857" w14:textId="6BF93631"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proofErr w:type="spellStart"/>
      <w:r w:rsidRPr="00892DD1">
        <w:rPr>
          <w:rFonts w:ascii="Arial Narrow" w:hAnsi="Arial Narrow"/>
          <w:color w:val="auto"/>
          <w:sz w:val="18"/>
          <w:szCs w:val="18"/>
          <w:vertAlign w:val="superscript"/>
        </w:rPr>
        <w:t>a</w:t>
      </w:r>
      <w:proofErr w:type="spellEnd"/>
      <w:r w:rsidRPr="00892DD1">
        <w:rPr>
          <w:rFonts w:ascii="Arial Narrow" w:hAnsi="Arial Narrow"/>
          <w:color w:val="auto"/>
          <w:sz w:val="18"/>
          <w:szCs w:val="18"/>
        </w:rPr>
        <w:tab/>
        <w:t xml:space="preserve">Assume </w:t>
      </w:r>
      <w:r w:rsidR="009A1388" w:rsidRPr="009A1388">
        <w:rPr>
          <w:rFonts w:ascii="Arial Narrow" w:hAnsi="Arial Narrow"/>
          <w:noProof/>
          <w:color w:val="000000"/>
          <w:spacing w:val="40"/>
          <w:sz w:val="18"/>
          <w:szCs w:val="18"/>
          <w:shd w:val="solid" w:color="000000" w:fill="000000"/>
          <w:fitText w:val="280" w:id="-1500867068"/>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8"/>
          <w14:textFill>
            <w14:solidFill>
              <w14:srgbClr w14:val="000000">
                <w14:alpha w14:val="100000"/>
              </w14:srgbClr>
            </w14:solidFill>
          </w14:textFill>
        </w:rPr>
        <w:t>|</w:t>
      </w:r>
      <w:r w:rsidRPr="00892DD1">
        <w:rPr>
          <w:rFonts w:ascii="Arial Narrow" w:hAnsi="Arial Narrow"/>
          <w:color w:val="auto"/>
          <w:sz w:val="18"/>
          <w:szCs w:val="18"/>
        </w:rPr>
        <w:t xml:space="preserve">% of all SCC being oral pharyngeal carcinomas, of which </w:t>
      </w:r>
      <w:r w:rsidR="009A1388" w:rsidRPr="009A1388">
        <w:rPr>
          <w:rFonts w:ascii="Arial Narrow" w:hAnsi="Arial Narrow"/>
          <w:noProof/>
          <w:color w:val="000000"/>
          <w:spacing w:val="40"/>
          <w:sz w:val="18"/>
          <w:szCs w:val="18"/>
          <w:shd w:val="solid" w:color="000000" w:fill="000000"/>
          <w:fitText w:val="280" w:id="-1500867067"/>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7"/>
          <w14:textFill>
            <w14:solidFill>
              <w14:srgbClr w14:val="000000">
                <w14:alpha w14:val="100000"/>
              </w14:srgbClr>
            </w14:solidFill>
          </w14:textFill>
        </w:rPr>
        <w:t>|</w:t>
      </w:r>
      <w:r w:rsidRPr="00892DD1">
        <w:rPr>
          <w:rFonts w:ascii="Arial Narrow" w:hAnsi="Arial Narrow"/>
          <w:color w:val="auto"/>
          <w:sz w:val="18"/>
          <w:szCs w:val="18"/>
        </w:rPr>
        <w:t>% of patients were HPV positive (</w:t>
      </w:r>
      <w:r w:rsidR="009A1388" w:rsidRPr="009A1388">
        <w:rPr>
          <w:rFonts w:ascii="Arial Narrow" w:hAnsi="Arial Narrow"/>
          <w:noProof/>
          <w:color w:val="000000"/>
          <w:spacing w:val="40"/>
          <w:sz w:val="18"/>
          <w:szCs w:val="18"/>
          <w:shd w:val="solid" w:color="000000" w:fill="000000"/>
          <w:fitText w:val="280" w:id="-1500867066"/>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6"/>
          <w14:textFill>
            <w14:solidFill>
              <w14:srgbClr w14:val="000000">
                <w14:alpha w14:val="100000"/>
              </w14:srgbClr>
            </w14:solidFill>
          </w14:textFill>
        </w:rPr>
        <w:t>|</w:t>
      </w:r>
      <w:r w:rsidRPr="00892DD1">
        <w:rPr>
          <w:rFonts w:ascii="Arial Narrow" w:hAnsi="Arial Narrow"/>
          <w:color w:val="auto"/>
          <w:sz w:val="18"/>
          <w:szCs w:val="18"/>
        </w:rPr>
        <w:t xml:space="preserve">% x </w:t>
      </w:r>
      <w:r w:rsidR="009A1388" w:rsidRPr="009A1388">
        <w:rPr>
          <w:rFonts w:ascii="Arial Narrow" w:hAnsi="Arial Narrow"/>
          <w:noProof/>
          <w:color w:val="000000"/>
          <w:spacing w:val="40"/>
          <w:sz w:val="18"/>
          <w:szCs w:val="18"/>
          <w:shd w:val="solid" w:color="000000" w:fill="000000"/>
          <w:fitText w:val="280" w:id="-1500867065"/>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5"/>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37"/>
          <w:sz w:val="18"/>
          <w:szCs w:val="18"/>
          <w:shd w:val="solid" w:color="000000" w:fill="000000"/>
          <w:fitText w:val="270" w:id="-1500867064"/>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4"/>
          <w14:textFill>
            <w14:solidFill>
              <w14:srgbClr w14:val="000000">
                <w14:alpha w14:val="100000"/>
              </w14:srgbClr>
            </w14:solidFill>
          </w14:textFill>
        </w:rPr>
        <w:t>|</w:t>
      </w:r>
      <w:r w:rsidRPr="00892DD1">
        <w:rPr>
          <w:rFonts w:ascii="Arial Narrow" w:hAnsi="Arial Narrow"/>
          <w:color w:val="auto"/>
          <w:sz w:val="18"/>
          <w:szCs w:val="18"/>
        </w:rPr>
        <w:t xml:space="preserve">%). </w:t>
      </w:r>
    </w:p>
    <w:p w14:paraId="43B437BD" w14:textId="5C928BC4"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b</w:t>
      </w:r>
      <w:r w:rsidRPr="00892DD1">
        <w:rPr>
          <w:rFonts w:ascii="Arial Narrow" w:hAnsi="Arial Narrow"/>
          <w:color w:val="auto"/>
          <w:sz w:val="18"/>
          <w:szCs w:val="18"/>
        </w:rPr>
        <w:tab/>
        <w:t xml:space="preserve">Assume </w:t>
      </w:r>
      <w:r w:rsidR="009A1388" w:rsidRPr="009A1388">
        <w:rPr>
          <w:rFonts w:ascii="Arial Narrow" w:hAnsi="Arial Narrow"/>
          <w:noProof/>
          <w:color w:val="000000"/>
          <w:spacing w:val="40"/>
          <w:sz w:val="18"/>
          <w:szCs w:val="18"/>
          <w:shd w:val="solid" w:color="000000" w:fill="000000"/>
          <w:fitText w:val="280" w:id="-1500867063"/>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3"/>
          <w14:textFill>
            <w14:solidFill>
              <w14:srgbClr w14:val="000000">
                <w14:alpha w14:val="100000"/>
              </w14:srgbClr>
            </w14:solidFill>
          </w14:textFill>
        </w:rPr>
        <w:t>|</w:t>
      </w:r>
      <w:r w:rsidRPr="00892DD1">
        <w:rPr>
          <w:rFonts w:ascii="Arial Narrow" w:hAnsi="Arial Narrow"/>
          <w:color w:val="auto"/>
          <w:sz w:val="18"/>
          <w:szCs w:val="18"/>
        </w:rPr>
        <w:t xml:space="preserve">% of patients diagnosed with stage I-II disease, then </w:t>
      </w:r>
      <w:r w:rsidR="009A1388" w:rsidRPr="009A1388">
        <w:rPr>
          <w:rFonts w:ascii="Arial Narrow" w:hAnsi="Arial Narrow"/>
          <w:noProof/>
          <w:color w:val="000000"/>
          <w:spacing w:val="37"/>
          <w:sz w:val="18"/>
          <w:szCs w:val="18"/>
          <w:shd w:val="solid" w:color="000000" w:fill="000000"/>
          <w:fitText w:val="270" w:id="-1500867062"/>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2"/>
          <w14:textFill>
            <w14:solidFill>
              <w14:srgbClr w14:val="000000">
                <w14:alpha w14:val="100000"/>
              </w14:srgbClr>
            </w14:solidFill>
          </w14:textFill>
        </w:rPr>
        <w:t>|</w:t>
      </w:r>
      <w:r w:rsidRPr="00892DD1">
        <w:rPr>
          <w:rFonts w:ascii="Arial Narrow" w:hAnsi="Arial Narrow"/>
          <w:color w:val="auto"/>
          <w:sz w:val="18"/>
          <w:szCs w:val="18"/>
        </w:rPr>
        <w:t>% having recurrent disease (</w:t>
      </w:r>
      <w:r w:rsidR="009A1388" w:rsidRPr="009A1388">
        <w:rPr>
          <w:rFonts w:ascii="Arial Narrow" w:hAnsi="Arial Narrow"/>
          <w:noProof/>
          <w:color w:val="000000"/>
          <w:spacing w:val="40"/>
          <w:sz w:val="18"/>
          <w:szCs w:val="18"/>
          <w:shd w:val="solid" w:color="000000" w:fill="000000"/>
          <w:fitText w:val="280" w:id="-1500867061"/>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1"/>
          <w14:textFill>
            <w14:solidFill>
              <w14:srgbClr w14:val="000000">
                <w14:alpha w14:val="100000"/>
              </w14:srgbClr>
            </w14:solidFill>
          </w14:textFill>
        </w:rPr>
        <w:t>|</w:t>
      </w:r>
      <w:r w:rsidRPr="00892DD1">
        <w:rPr>
          <w:rFonts w:ascii="Arial Narrow" w:hAnsi="Arial Narrow"/>
          <w:color w:val="auto"/>
          <w:sz w:val="18"/>
          <w:szCs w:val="18"/>
        </w:rPr>
        <w:t xml:space="preserve">% x </w:t>
      </w:r>
      <w:r w:rsidR="009A1388" w:rsidRPr="009A1388">
        <w:rPr>
          <w:rFonts w:ascii="Arial Narrow" w:hAnsi="Arial Narrow"/>
          <w:noProof/>
          <w:color w:val="000000"/>
          <w:spacing w:val="40"/>
          <w:sz w:val="18"/>
          <w:szCs w:val="18"/>
          <w:shd w:val="solid" w:color="000000" w:fill="000000"/>
          <w:fitText w:val="280" w:id="-1500867060"/>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0"/>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37"/>
          <w:sz w:val="18"/>
          <w:szCs w:val="18"/>
          <w:shd w:val="solid" w:color="000000" w:fill="000000"/>
          <w:fitText w:val="270" w:id="-1500867059"/>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59"/>
          <w14:textFill>
            <w14:solidFill>
              <w14:srgbClr w14:val="000000">
                <w14:alpha w14:val="100000"/>
              </w14:srgbClr>
            </w14:solidFill>
          </w14:textFill>
        </w:rPr>
        <w:t>|</w:t>
      </w:r>
      <w:r w:rsidRPr="00892DD1">
        <w:rPr>
          <w:rFonts w:ascii="Arial Narrow" w:hAnsi="Arial Narrow"/>
          <w:color w:val="auto"/>
          <w:sz w:val="18"/>
          <w:szCs w:val="18"/>
        </w:rPr>
        <w:t xml:space="preserve">%). Assumes </w:t>
      </w:r>
      <w:r w:rsidR="009A1388" w:rsidRPr="009A1388">
        <w:rPr>
          <w:rFonts w:ascii="Arial Narrow" w:hAnsi="Arial Narrow"/>
          <w:noProof/>
          <w:color w:val="000000"/>
          <w:spacing w:val="37"/>
          <w:sz w:val="18"/>
          <w:szCs w:val="18"/>
          <w:shd w:val="solid" w:color="000000" w:fill="000000"/>
          <w:fitText w:val="270" w:id="-1500867058"/>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58"/>
          <w14:textFill>
            <w14:solidFill>
              <w14:srgbClr w14:val="000000">
                <w14:alpha w14:val="100000"/>
              </w14:srgbClr>
            </w14:solidFill>
          </w14:textFill>
        </w:rPr>
        <w:t>|</w:t>
      </w:r>
      <w:r w:rsidRPr="00892DD1">
        <w:rPr>
          <w:rFonts w:ascii="Arial Narrow" w:hAnsi="Arial Narrow"/>
          <w:color w:val="auto"/>
          <w:sz w:val="18"/>
          <w:szCs w:val="18"/>
        </w:rPr>
        <w:t>% of patients diagnosed with stage III-</w:t>
      </w:r>
      <w:proofErr w:type="spellStart"/>
      <w:r w:rsidRPr="00892DD1">
        <w:rPr>
          <w:rFonts w:ascii="Arial Narrow" w:hAnsi="Arial Narrow"/>
          <w:color w:val="auto"/>
          <w:sz w:val="18"/>
          <w:szCs w:val="18"/>
        </w:rPr>
        <w:t>IVb</w:t>
      </w:r>
      <w:proofErr w:type="spellEnd"/>
      <w:r w:rsidRPr="00892DD1">
        <w:rPr>
          <w:rFonts w:ascii="Arial Narrow" w:hAnsi="Arial Narrow"/>
          <w:color w:val="auto"/>
          <w:sz w:val="18"/>
          <w:szCs w:val="18"/>
        </w:rPr>
        <w:t xml:space="preserve"> disease, then </w:t>
      </w:r>
      <w:r w:rsidR="009A1388" w:rsidRPr="009A1388">
        <w:rPr>
          <w:rFonts w:ascii="Arial Narrow" w:hAnsi="Arial Narrow"/>
          <w:noProof/>
          <w:color w:val="000000"/>
          <w:spacing w:val="37"/>
          <w:sz w:val="18"/>
          <w:szCs w:val="18"/>
          <w:shd w:val="solid" w:color="000000" w:fill="000000"/>
          <w:fitText w:val="270" w:id="-1500867057"/>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57"/>
          <w14:textFill>
            <w14:solidFill>
              <w14:srgbClr w14:val="000000">
                <w14:alpha w14:val="100000"/>
              </w14:srgbClr>
            </w14:solidFill>
          </w14:textFill>
        </w:rPr>
        <w:t>|</w:t>
      </w:r>
      <w:r w:rsidRPr="00892DD1">
        <w:rPr>
          <w:rFonts w:ascii="Arial Narrow" w:hAnsi="Arial Narrow"/>
          <w:color w:val="auto"/>
          <w:sz w:val="18"/>
          <w:szCs w:val="18"/>
        </w:rPr>
        <w:t>% having recurrent disease (</w:t>
      </w:r>
      <w:r w:rsidR="009A1388" w:rsidRPr="009A1388">
        <w:rPr>
          <w:rFonts w:ascii="Arial Narrow" w:hAnsi="Arial Narrow"/>
          <w:noProof/>
          <w:color w:val="000000"/>
          <w:spacing w:val="37"/>
          <w:sz w:val="18"/>
          <w:szCs w:val="18"/>
          <w:shd w:val="solid" w:color="000000" w:fill="000000"/>
          <w:fitText w:val="270" w:id="-1500867056"/>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56"/>
          <w14:textFill>
            <w14:solidFill>
              <w14:srgbClr w14:val="000000">
                <w14:alpha w14:val="100000"/>
              </w14:srgbClr>
            </w14:solidFill>
          </w14:textFill>
        </w:rPr>
        <w:t>|</w:t>
      </w:r>
      <w:r w:rsidRPr="00892DD1">
        <w:rPr>
          <w:rFonts w:ascii="Arial Narrow" w:hAnsi="Arial Narrow"/>
          <w:color w:val="auto"/>
          <w:sz w:val="18"/>
          <w:szCs w:val="18"/>
        </w:rPr>
        <w:t xml:space="preserve">% x </w:t>
      </w:r>
      <w:r w:rsidR="009A1388" w:rsidRPr="009A1388">
        <w:rPr>
          <w:rFonts w:ascii="Arial Narrow" w:hAnsi="Arial Narrow"/>
          <w:noProof/>
          <w:color w:val="000000"/>
          <w:spacing w:val="40"/>
          <w:sz w:val="18"/>
          <w:szCs w:val="18"/>
          <w:shd w:val="solid" w:color="000000" w:fill="000000"/>
          <w:fitText w:val="280" w:id="-1500867072"/>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72"/>
          <w14:textFill>
            <w14:solidFill>
              <w14:srgbClr w14:val="000000">
                <w14:alpha w14:val="100000"/>
              </w14:srgbClr>
            </w14:solidFill>
          </w14:textFill>
        </w:rPr>
        <w:t>|</w:t>
      </w:r>
      <w:r w:rsidRPr="00892DD1">
        <w:rPr>
          <w:rFonts w:ascii="Arial Narrow" w:hAnsi="Arial Narrow"/>
          <w:color w:val="auto"/>
          <w:sz w:val="18"/>
          <w:szCs w:val="18"/>
        </w:rPr>
        <w:t xml:space="preserve">%= </w:t>
      </w:r>
      <w:r w:rsidR="009A1388" w:rsidRPr="009A1388">
        <w:rPr>
          <w:rFonts w:ascii="Arial Narrow" w:hAnsi="Arial Narrow"/>
          <w:noProof/>
          <w:color w:val="000000"/>
          <w:spacing w:val="37"/>
          <w:sz w:val="18"/>
          <w:szCs w:val="18"/>
          <w:shd w:val="solid" w:color="000000" w:fill="000000"/>
          <w:fitText w:val="270" w:id="-1500867071"/>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71"/>
          <w14:textFill>
            <w14:solidFill>
              <w14:srgbClr w14:val="000000">
                <w14:alpha w14:val="100000"/>
              </w14:srgbClr>
            </w14:solidFill>
          </w14:textFill>
        </w:rPr>
        <w:t>|</w:t>
      </w:r>
      <w:r w:rsidRPr="00892DD1">
        <w:rPr>
          <w:rFonts w:ascii="Arial Narrow" w:hAnsi="Arial Narrow"/>
          <w:color w:val="auto"/>
          <w:sz w:val="18"/>
          <w:szCs w:val="18"/>
        </w:rPr>
        <w:t xml:space="preserve">%). Total: </w:t>
      </w:r>
      <w:r w:rsidR="009A1388" w:rsidRPr="009A1388">
        <w:rPr>
          <w:rFonts w:ascii="Arial Narrow" w:hAnsi="Arial Narrow"/>
          <w:noProof/>
          <w:color w:val="000000"/>
          <w:spacing w:val="40"/>
          <w:sz w:val="18"/>
          <w:szCs w:val="18"/>
          <w:shd w:val="solid" w:color="000000" w:fill="000000"/>
          <w:fitText w:val="280" w:id="-1500867070"/>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70"/>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37"/>
          <w:sz w:val="18"/>
          <w:szCs w:val="18"/>
          <w:shd w:val="solid" w:color="000000" w:fill="000000"/>
          <w:fitText w:val="270" w:id="-1500867069"/>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9"/>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37"/>
          <w:sz w:val="18"/>
          <w:szCs w:val="18"/>
          <w:shd w:val="solid" w:color="000000" w:fill="000000"/>
          <w:fitText w:val="270" w:id="-1500867068"/>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8"/>
          <w14:textFill>
            <w14:solidFill>
              <w14:srgbClr w14:val="000000">
                <w14:alpha w14:val="100000"/>
              </w14:srgbClr>
            </w14:solidFill>
          </w14:textFill>
        </w:rPr>
        <w:t>|</w:t>
      </w:r>
      <w:r w:rsidRPr="00892DD1">
        <w:rPr>
          <w:rFonts w:ascii="Arial Narrow" w:hAnsi="Arial Narrow"/>
          <w:color w:val="auto"/>
          <w:sz w:val="18"/>
          <w:szCs w:val="18"/>
        </w:rPr>
        <w:t>%</w:t>
      </w:r>
    </w:p>
    <w:p w14:paraId="73CB2819" w14:textId="1F85E5CF" w:rsidR="00D7609F" w:rsidRPr="00892DD1" w:rsidRDefault="00D7609F" w:rsidP="00683786">
      <w:pPr>
        <w:pStyle w:val="InstructionalText"/>
        <w:keepNext/>
        <w:keepLines/>
        <w:tabs>
          <w:tab w:val="left" w:pos="284"/>
        </w:tabs>
        <w:spacing w:before="0" w:after="0"/>
        <w:rPr>
          <w:rFonts w:ascii="Arial Narrow" w:hAnsi="Arial Narrow"/>
          <w:color w:val="auto"/>
          <w:sz w:val="18"/>
          <w:szCs w:val="18"/>
          <w:vertAlign w:val="superscript"/>
        </w:rPr>
      </w:pPr>
      <w:r w:rsidRPr="00892DD1">
        <w:rPr>
          <w:rFonts w:ascii="Arial Narrow" w:hAnsi="Arial Narrow"/>
          <w:color w:val="auto"/>
          <w:sz w:val="18"/>
          <w:szCs w:val="18"/>
          <w:vertAlign w:val="superscript"/>
        </w:rPr>
        <w:t>c</w:t>
      </w:r>
      <w:r w:rsidRPr="00892DD1">
        <w:rPr>
          <w:rFonts w:ascii="Arial Narrow" w:hAnsi="Arial Narrow"/>
          <w:color w:val="auto"/>
          <w:sz w:val="18"/>
          <w:szCs w:val="18"/>
          <w:vertAlign w:val="superscript"/>
        </w:rPr>
        <w:tab/>
      </w:r>
      <w:r w:rsidRPr="00892DD1">
        <w:rPr>
          <w:rFonts w:ascii="Arial Narrow" w:hAnsi="Arial Narrow"/>
          <w:color w:val="auto"/>
          <w:sz w:val="18"/>
          <w:szCs w:val="18"/>
        </w:rPr>
        <w:t>Patients who do not have HPV positive oral pharyngeal carcinoma (</w:t>
      </w:r>
      <w:r w:rsidR="009A1388" w:rsidRPr="009A1388">
        <w:rPr>
          <w:rFonts w:ascii="Arial Narrow" w:hAnsi="Arial Narrow"/>
          <w:noProof/>
          <w:color w:val="000000"/>
          <w:spacing w:val="37"/>
          <w:sz w:val="18"/>
          <w:szCs w:val="18"/>
          <w:shd w:val="solid" w:color="000000" w:fill="000000"/>
          <w:fitText w:val="270" w:id="-1500867067"/>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7"/>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40"/>
          <w:sz w:val="18"/>
          <w:szCs w:val="18"/>
          <w:shd w:val="solid" w:color="000000" w:fill="000000"/>
          <w:fitText w:val="280" w:id="-1500867066"/>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6"/>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40"/>
          <w:sz w:val="18"/>
          <w:szCs w:val="18"/>
          <w:shd w:val="solid" w:color="000000" w:fill="000000"/>
          <w:fitText w:val="280" w:id="-1500867065"/>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5"/>
          <w14:textFill>
            <w14:solidFill>
              <w14:srgbClr w14:val="000000">
                <w14:alpha w14:val="100000"/>
              </w14:srgbClr>
            </w14:solidFill>
          </w14:textFill>
        </w:rPr>
        <w:t>|</w:t>
      </w:r>
      <w:r w:rsidRPr="00892DD1">
        <w:rPr>
          <w:rFonts w:ascii="Arial Narrow" w:hAnsi="Arial Narrow"/>
          <w:color w:val="auto"/>
          <w:sz w:val="18"/>
          <w:szCs w:val="18"/>
        </w:rPr>
        <w:t>%)</w:t>
      </w:r>
    </w:p>
    <w:p w14:paraId="53CE2A23" w14:textId="73CE2B9E"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d</w:t>
      </w:r>
      <w:r w:rsidRPr="00892DD1">
        <w:rPr>
          <w:rFonts w:ascii="Arial Narrow" w:hAnsi="Arial Narrow"/>
          <w:color w:val="auto"/>
          <w:sz w:val="18"/>
          <w:szCs w:val="18"/>
        </w:rPr>
        <w:tab/>
        <w:t xml:space="preserve">Assume </w:t>
      </w:r>
      <w:r w:rsidR="009A1388" w:rsidRPr="009A1388">
        <w:rPr>
          <w:rFonts w:ascii="Arial Narrow" w:hAnsi="Arial Narrow"/>
          <w:noProof/>
          <w:color w:val="000000"/>
          <w:spacing w:val="40"/>
          <w:sz w:val="18"/>
          <w:szCs w:val="18"/>
          <w:shd w:val="solid" w:color="000000" w:fill="000000"/>
          <w:fitText w:val="280" w:id="-1500867064"/>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4"/>
          <w14:textFill>
            <w14:solidFill>
              <w14:srgbClr w14:val="000000">
                <w14:alpha w14:val="100000"/>
              </w14:srgbClr>
            </w14:solidFill>
          </w14:textFill>
        </w:rPr>
        <w:t>|</w:t>
      </w:r>
      <w:r w:rsidRPr="00892DD1">
        <w:rPr>
          <w:rFonts w:ascii="Arial Narrow" w:hAnsi="Arial Narrow"/>
          <w:color w:val="auto"/>
          <w:sz w:val="18"/>
          <w:szCs w:val="18"/>
        </w:rPr>
        <w:t xml:space="preserve">% of patients diagnosed with stage I-II disease, then </w:t>
      </w:r>
      <w:r w:rsidR="009A1388" w:rsidRPr="009A1388">
        <w:rPr>
          <w:rFonts w:ascii="Arial Narrow" w:hAnsi="Arial Narrow"/>
          <w:noProof/>
          <w:color w:val="000000"/>
          <w:spacing w:val="37"/>
          <w:sz w:val="18"/>
          <w:szCs w:val="18"/>
          <w:shd w:val="solid" w:color="000000" w:fill="000000"/>
          <w:fitText w:val="270" w:id="-1500867063"/>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3"/>
          <w14:textFill>
            <w14:solidFill>
              <w14:srgbClr w14:val="000000">
                <w14:alpha w14:val="100000"/>
              </w14:srgbClr>
            </w14:solidFill>
          </w14:textFill>
        </w:rPr>
        <w:t>|</w:t>
      </w:r>
      <w:r w:rsidRPr="00892DD1">
        <w:rPr>
          <w:rFonts w:ascii="Arial Narrow" w:hAnsi="Arial Narrow"/>
          <w:color w:val="auto"/>
          <w:sz w:val="18"/>
          <w:szCs w:val="18"/>
        </w:rPr>
        <w:t>% having recurrent disease (</w:t>
      </w:r>
      <w:r w:rsidR="009A1388" w:rsidRPr="009A1388">
        <w:rPr>
          <w:rFonts w:ascii="Arial Narrow" w:hAnsi="Arial Narrow"/>
          <w:noProof/>
          <w:color w:val="000000"/>
          <w:spacing w:val="40"/>
          <w:sz w:val="18"/>
          <w:szCs w:val="18"/>
          <w:shd w:val="solid" w:color="000000" w:fill="000000"/>
          <w:fitText w:val="280" w:id="-1500867062"/>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2"/>
          <w14:textFill>
            <w14:solidFill>
              <w14:srgbClr w14:val="000000">
                <w14:alpha w14:val="100000"/>
              </w14:srgbClr>
            </w14:solidFill>
          </w14:textFill>
        </w:rPr>
        <w:t>|</w:t>
      </w:r>
      <w:r w:rsidRPr="00892DD1">
        <w:rPr>
          <w:rFonts w:ascii="Arial Narrow" w:hAnsi="Arial Narrow"/>
          <w:color w:val="auto"/>
          <w:sz w:val="18"/>
          <w:szCs w:val="18"/>
        </w:rPr>
        <w:t xml:space="preserve">% x </w:t>
      </w:r>
      <w:r w:rsidR="009A1388" w:rsidRPr="009A1388">
        <w:rPr>
          <w:rFonts w:ascii="Arial Narrow" w:hAnsi="Arial Narrow"/>
          <w:noProof/>
          <w:color w:val="000000"/>
          <w:spacing w:val="40"/>
          <w:sz w:val="18"/>
          <w:szCs w:val="18"/>
          <w:shd w:val="solid" w:color="000000" w:fill="000000"/>
          <w:fitText w:val="280" w:id="-1500867061"/>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1"/>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37"/>
          <w:sz w:val="18"/>
          <w:szCs w:val="18"/>
          <w:shd w:val="solid" w:color="000000" w:fill="000000"/>
          <w:fitText w:val="270" w:id="-1500867060"/>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0"/>
          <w14:textFill>
            <w14:solidFill>
              <w14:srgbClr w14:val="000000">
                <w14:alpha w14:val="100000"/>
              </w14:srgbClr>
            </w14:solidFill>
          </w14:textFill>
        </w:rPr>
        <w:t>|</w:t>
      </w:r>
      <w:r w:rsidRPr="00892DD1">
        <w:rPr>
          <w:rFonts w:ascii="Arial Narrow" w:hAnsi="Arial Narrow"/>
          <w:color w:val="auto"/>
          <w:sz w:val="18"/>
          <w:szCs w:val="18"/>
        </w:rPr>
        <w:t xml:space="preserve">%). Assumes </w:t>
      </w:r>
      <w:r w:rsidR="009A1388" w:rsidRPr="009A1388">
        <w:rPr>
          <w:rFonts w:ascii="Arial Narrow" w:hAnsi="Arial Narrow"/>
          <w:noProof/>
          <w:color w:val="000000"/>
          <w:spacing w:val="37"/>
          <w:sz w:val="18"/>
          <w:szCs w:val="18"/>
          <w:shd w:val="solid" w:color="000000" w:fill="000000"/>
          <w:fitText w:val="270" w:id="-1500867059"/>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59"/>
          <w14:textFill>
            <w14:solidFill>
              <w14:srgbClr w14:val="000000">
                <w14:alpha w14:val="100000"/>
              </w14:srgbClr>
            </w14:solidFill>
          </w14:textFill>
        </w:rPr>
        <w:t>|</w:t>
      </w:r>
      <w:r w:rsidRPr="00892DD1">
        <w:rPr>
          <w:rFonts w:ascii="Arial Narrow" w:hAnsi="Arial Narrow"/>
          <w:color w:val="auto"/>
          <w:sz w:val="18"/>
          <w:szCs w:val="18"/>
        </w:rPr>
        <w:t>% of patients diagnosed with stage III-</w:t>
      </w:r>
      <w:proofErr w:type="spellStart"/>
      <w:r w:rsidRPr="00892DD1">
        <w:rPr>
          <w:rFonts w:ascii="Arial Narrow" w:hAnsi="Arial Narrow"/>
          <w:color w:val="auto"/>
          <w:sz w:val="18"/>
          <w:szCs w:val="18"/>
        </w:rPr>
        <w:t>IVb</w:t>
      </w:r>
      <w:proofErr w:type="spellEnd"/>
      <w:r w:rsidRPr="00892DD1">
        <w:rPr>
          <w:rFonts w:ascii="Arial Narrow" w:hAnsi="Arial Narrow"/>
          <w:color w:val="auto"/>
          <w:sz w:val="18"/>
          <w:szCs w:val="18"/>
        </w:rPr>
        <w:t xml:space="preserve"> disease, then </w:t>
      </w:r>
      <w:r w:rsidR="009A1388" w:rsidRPr="009A1388">
        <w:rPr>
          <w:rFonts w:ascii="Arial Narrow" w:hAnsi="Arial Narrow"/>
          <w:noProof/>
          <w:color w:val="000000"/>
          <w:spacing w:val="40"/>
          <w:sz w:val="18"/>
          <w:szCs w:val="18"/>
          <w:shd w:val="solid" w:color="000000" w:fill="000000"/>
          <w:fitText w:val="280" w:id="-1500867058"/>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58"/>
          <w14:textFill>
            <w14:solidFill>
              <w14:srgbClr w14:val="000000">
                <w14:alpha w14:val="100000"/>
              </w14:srgbClr>
            </w14:solidFill>
          </w14:textFill>
        </w:rPr>
        <w:t>|</w:t>
      </w:r>
      <w:r w:rsidRPr="00892DD1">
        <w:rPr>
          <w:rFonts w:ascii="Arial Narrow" w:hAnsi="Arial Narrow"/>
          <w:color w:val="auto"/>
          <w:sz w:val="18"/>
          <w:szCs w:val="18"/>
        </w:rPr>
        <w:t>% having recurrent disease (</w:t>
      </w:r>
      <w:r w:rsidR="009A1388" w:rsidRPr="009A1388">
        <w:rPr>
          <w:rFonts w:ascii="Arial Narrow" w:hAnsi="Arial Narrow"/>
          <w:noProof/>
          <w:color w:val="000000"/>
          <w:spacing w:val="37"/>
          <w:sz w:val="18"/>
          <w:szCs w:val="18"/>
          <w:shd w:val="solid" w:color="000000" w:fill="000000"/>
          <w:fitText w:val="270" w:id="-1500867057"/>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57"/>
          <w14:textFill>
            <w14:solidFill>
              <w14:srgbClr w14:val="000000">
                <w14:alpha w14:val="100000"/>
              </w14:srgbClr>
            </w14:solidFill>
          </w14:textFill>
        </w:rPr>
        <w:t>|</w:t>
      </w:r>
      <w:r w:rsidRPr="00892DD1">
        <w:rPr>
          <w:rFonts w:ascii="Arial Narrow" w:hAnsi="Arial Narrow"/>
          <w:color w:val="auto"/>
          <w:sz w:val="18"/>
          <w:szCs w:val="18"/>
        </w:rPr>
        <w:t xml:space="preserve">% x </w:t>
      </w:r>
      <w:r w:rsidR="009A1388" w:rsidRPr="009A1388">
        <w:rPr>
          <w:rFonts w:ascii="Arial Narrow" w:hAnsi="Arial Narrow"/>
          <w:noProof/>
          <w:color w:val="000000"/>
          <w:spacing w:val="40"/>
          <w:sz w:val="18"/>
          <w:szCs w:val="18"/>
          <w:shd w:val="solid" w:color="000000" w:fill="000000"/>
          <w:fitText w:val="280" w:id="-1500867056"/>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56"/>
          <w14:textFill>
            <w14:solidFill>
              <w14:srgbClr w14:val="000000">
                <w14:alpha w14:val="100000"/>
              </w14:srgbClr>
            </w14:solidFill>
          </w14:textFill>
        </w:rPr>
        <w:t>|</w:t>
      </w:r>
      <w:r w:rsidRPr="00892DD1">
        <w:rPr>
          <w:rFonts w:ascii="Arial Narrow" w:hAnsi="Arial Narrow"/>
          <w:color w:val="auto"/>
          <w:sz w:val="18"/>
          <w:szCs w:val="18"/>
        </w:rPr>
        <w:t xml:space="preserve">%= </w:t>
      </w:r>
      <w:r w:rsidR="009A1388" w:rsidRPr="009A1388">
        <w:rPr>
          <w:rFonts w:ascii="Arial Narrow" w:hAnsi="Arial Narrow"/>
          <w:noProof/>
          <w:color w:val="000000"/>
          <w:spacing w:val="37"/>
          <w:sz w:val="18"/>
          <w:szCs w:val="18"/>
          <w:shd w:val="solid" w:color="000000" w:fill="000000"/>
          <w:fitText w:val="270" w:id="-1500867072"/>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72"/>
          <w14:textFill>
            <w14:solidFill>
              <w14:srgbClr w14:val="000000">
                <w14:alpha w14:val="100000"/>
              </w14:srgbClr>
            </w14:solidFill>
          </w14:textFill>
        </w:rPr>
        <w:t>|</w:t>
      </w:r>
      <w:r w:rsidRPr="00892DD1">
        <w:rPr>
          <w:rFonts w:ascii="Arial Narrow" w:hAnsi="Arial Narrow"/>
          <w:color w:val="auto"/>
          <w:sz w:val="18"/>
          <w:szCs w:val="18"/>
        </w:rPr>
        <w:t xml:space="preserve">%). In </w:t>
      </w:r>
      <w:r w:rsidR="009D05FA" w:rsidRPr="00892DD1">
        <w:rPr>
          <w:rFonts w:ascii="Arial Narrow" w:hAnsi="Arial Narrow"/>
          <w:color w:val="auto"/>
          <w:sz w:val="18"/>
          <w:szCs w:val="18"/>
        </w:rPr>
        <w:t xml:space="preserve">the </w:t>
      </w:r>
      <w:r w:rsidRPr="00892DD1">
        <w:rPr>
          <w:rFonts w:ascii="Arial Narrow" w:hAnsi="Arial Narrow"/>
          <w:color w:val="auto"/>
          <w:sz w:val="18"/>
          <w:szCs w:val="18"/>
        </w:rPr>
        <w:t>previous submission, proportion was further split into those treated with radiotherapy ± surgery (</w:t>
      </w:r>
      <w:r w:rsidR="009A1388" w:rsidRPr="009A1388">
        <w:rPr>
          <w:rFonts w:ascii="Arial Narrow" w:hAnsi="Arial Narrow"/>
          <w:noProof/>
          <w:color w:val="000000"/>
          <w:spacing w:val="37"/>
          <w:sz w:val="18"/>
          <w:szCs w:val="18"/>
          <w:shd w:val="solid" w:color="000000" w:fill="000000"/>
          <w:fitText w:val="270" w:id="-1500867071"/>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71"/>
          <w14:textFill>
            <w14:solidFill>
              <w14:srgbClr w14:val="000000">
                <w14:alpha w14:val="100000"/>
              </w14:srgbClr>
            </w14:solidFill>
          </w14:textFill>
        </w:rPr>
        <w:t>|</w:t>
      </w:r>
      <w:r w:rsidRPr="00892DD1">
        <w:rPr>
          <w:rFonts w:ascii="Arial Narrow" w:hAnsi="Arial Narrow"/>
          <w:color w:val="auto"/>
          <w:sz w:val="18"/>
          <w:szCs w:val="18"/>
        </w:rPr>
        <w:t xml:space="preserve">% of patients with </w:t>
      </w:r>
      <w:r w:rsidR="009A1388" w:rsidRPr="009A1388">
        <w:rPr>
          <w:rFonts w:ascii="Arial Narrow" w:hAnsi="Arial Narrow"/>
          <w:noProof/>
          <w:color w:val="000000"/>
          <w:spacing w:val="37"/>
          <w:sz w:val="18"/>
          <w:szCs w:val="18"/>
          <w:shd w:val="solid" w:color="000000" w:fill="000000"/>
          <w:fitText w:val="270" w:id="-1500867070"/>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70"/>
          <w14:textFill>
            <w14:solidFill>
              <w14:srgbClr w14:val="000000">
                <w14:alpha w14:val="100000"/>
              </w14:srgbClr>
            </w14:solidFill>
          </w14:textFill>
        </w:rPr>
        <w:t>|</w:t>
      </w:r>
      <w:r w:rsidRPr="00892DD1">
        <w:rPr>
          <w:rFonts w:ascii="Arial Narrow" w:hAnsi="Arial Narrow"/>
          <w:color w:val="auto"/>
          <w:sz w:val="18"/>
          <w:szCs w:val="18"/>
        </w:rPr>
        <w:t>% recurrence) or chemo, radiotherapy ± surgery (</w:t>
      </w:r>
      <w:r w:rsidR="009A1388" w:rsidRPr="009A1388">
        <w:rPr>
          <w:rFonts w:ascii="Arial Narrow" w:hAnsi="Arial Narrow"/>
          <w:noProof/>
          <w:color w:val="000000"/>
          <w:spacing w:val="37"/>
          <w:sz w:val="18"/>
          <w:szCs w:val="18"/>
          <w:shd w:val="solid" w:color="000000" w:fill="000000"/>
          <w:fitText w:val="270" w:id="-1500867069"/>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9"/>
          <w14:textFill>
            <w14:solidFill>
              <w14:srgbClr w14:val="000000">
                <w14:alpha w14:val="100000"/>
              </w14:srgbClr>
            </w14:solidFill>
          </w14:textFill>
        </w:rPr>
        <w:t>|</w:t>
      </w:r>
      <w:r w:rsidRPr="00892DD1">
        <w:rPr>
          <w:rFonts w:ascii="Arial Narrow" w:hAnsi="Arial Narrow"/>
          <w:color w:val="auto"/>
          <w:sz w:val="18"/>
          <w:szCs w:val="18"/>
        </w:rPr>
        <w:t xml:space="preserve">% of patients with </w:t>
      </w:r>
      <w:r w:rsidR="009A1388" w:rsidRPr="009A1388">
        <w:rPr>
          <w:rFonts w:ascii="Arial Narrow" w:hAnsi="Arial Narrow"/>
          <w:noProof/>
          <w:color w:val="000000"/>
          <w:spacing w:val="37"/>
          <w:sz w:val="18"/>
          <w:szCs w:val="18"/>
          <w:shd w:val="solid" w:color="000000" w:fill="000000"/>
          <w:fitText w:val="270" w:id="-1500867068"/>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8"/>
          <w14:textFill>
            <w14:solidFill>
              <w14:srgbClr w14:val="000000">
                <w14:alpha w14:val="100000"/>
              </w14:srgbClr>
            </w14:solidFill>
          </w14:textFill>
        </w:rPr>
        <w:t>|</w:t>
      </w:r>
      <w:r w:rsidRPr="00892DD1">
        <w:rPr>
          <w:rFonts w:ascii="Arial Narrow" w:hAnsi="Arial Narrow"/>
          <w:color w:val="auto"/>
          <w:sz w:val="18"/>
          <w:szCs w:val="18"/>
        </w:rPr>
        <w:t xml:space="preserve">% recurrence) Total: </w:t>
      </w:r>
      <w:r w:rsidR="009A1388" w:rsidRPr="009A1388">
        <w:rPr>
          <w:rFonts w:ascii="Arial Narrow" w:hAnsi="Arial Narrow"/>
          <w:noProof/>
          <w:color w:val="000000"/>
          <w:spacing w:val="37"/>
          <w:sz w:val="18"/>
          <w:szCs w:val="18"/>
          <w:shd w:val="solid" w:color="000000" w:fill="000000"/>
          <w:fitText w:val="270" w:id="-1500867067"/>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7"/>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40"/>
          <w:sz w:val="18"/>
          <w:szCs w:val="18"/>
          <w:shd w:val="solid" w:color="000000" w:fill="000000"/>
          <w:fitText w:val="280" w:id="-1500867066"/>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6"/>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40"/>
          <w:sz w:val="18"/>
          <w:szCs w:val="18"/>
          <w:shd w:val="solid" w:color="000000" w:fill="000000"/>
          <w:fitText w:val="280" w:id="-1500867065"/>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5"/>
          <w14:textFill>
            <w14:solidFill>
              <w14:srgbClr w14:val="000000">
                <w14:alpha w14:val="100000"/>
              </w14:srgbClr>
            </w14:solidFill>
          </w14:textFill>
        </w:rPr>
        <w:t>|</w:t>
      </w:r>
      <w:r w:rsidRPr="00892DD1">
        <w:rPr>
          <w:rFonts w:ascii="Arial Narrow" w:hAnsi="Arial Narrow"/>
          <w:color w:val="auto"/>
          <w:sz w:val="18"/>
          <w:szCs w:val="18"/>
        </w:rPr>
        <w:t>% Proportions of recurrent patients derived by back calculating figures provided in Table 4.2-3, p269 of the resubmission.</w:t>
      </w:r>
    </w:p>
    <w:p w14:paraId="27335FA7" w14:textId="5D3C3BD1"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proofErr w:type="spellStart"/>
      <w:r w:rsidRPr="00892DD1">
        <w:rPr>
          <w:rFonts w:ascii="Arial Narrow" w:hAnsi="Arial Narrow"/>
          <w:color w:val="auto"/>
          <w:sz w:val="18"/>
          <w:szCs w:val="18"/>
          <w:vertAlign w:val="superscript"/>
        </w:rPr>
        <w:t>e</w:t>
      </w:r>
      <w:proofErr w:type="spellEnd"/>
      <w:r w:rsidRPr="00892DD1">
        <w:rPr>
          <w:rFonts w:ascii="Arial Narrow" w:hAnsi="Arial Narrow"/>
          <w:color w:val="auto"/>
          <w:sz w:val="18"/>
          <w:szCs w:val="18"/>
          <w:vertAlign w:val="superscript"/>
        </w:rPr>
        <w:tab/>
      </w:r>
      <w:r w:rsidRPr="00892DD1">
        <w:rPr>
          <w:rFonts w:ascii="Arial Narrow" w:hAnsi="Arial Narrow"/>
          <w:color w:val="auto"/>
          <w:sz w:val="18"/>
          <w:szCs w:val="18"/>
        </w:rPr>
        <w:t xml:space="preserve">Assume </w:t>
      </w:r>
      <w:r w:rsidR="009A1388" w:rsidRPr="009A1388">
        <w:rPr>
          <w:rFonts w:ascii="Arial Narrow" w:hAnsi="Arial Narrow"/>
          <w:noProof/>
          <w:color w:val="000000"/>
          <w:spacing w:val="37"/>
          <w:sz w:val="18"/>
          <w:szCs w:val="18"/>
          <w:shd w:val="solid" w:color="000000" w:fill="000000"/>
          <w:fitText w:val="270" w:id="-1500867064"/>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4"/>
          <w14:textFill>
            <w14:solidFill>
              <w14:srgbClr w14:val="000000">
                <w14:alpha w14:val="100000"/>
              </w14:srgbClr>
            </w14:solidFill>
          </w14:textFill>
        </w:rPr>
        <w:t>|</w:t>
      </w:r>
      <w:r w:rsidRPr="00892DD1">
        <w:rPr>
          <w:rFonts w:ascii="Arial Narrow" w:hAnsi="Arial Narrow"/>
          <w:color w:val="auto"/>
          <w:sz w:val="18"/>
          <w:szCs w:val="18"/>
        </w:rPr>
        <w:t>% of patients are diagnosed at stage IV disease</w:t>
      </w:r>
    </w:p>
    <w:p w14:paraId="78E94276" w14:textId="04A4F81D"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f</w:t>
      </w:r>
      <w:r w:rsidRPr="00892DD1">
        <w:rPr>
          <w:rFonts w:ascii="Arial Narrow" w:hAnsi="Arial Narrow"/>
          <w:color w:val="auto"/>
          <w:sz w:val="18"/>
          <w:szCs w:val="18"/>
        </w:rPr>
        <w:tab/>
        <w:t xml:space="preserve">Assume proportion of patients with ECOG 0-1 is 77.3% and proportion of patients with </w:t>
      </w:r>
      <w:r w:rsidR="002B1C15" w:rsidRPr="00892DD1">
        <w:rPr>
          <w:rFonts w:ascii="Arial Narrow" w:hAnsi="Arial Narrow"/>
          <w:color w:val="auto"/>
          <w:sz w:val="18"/>
          <w:szCs w:val="18"/>
        </w:rPr>
        <w:t>CPS ≥1</w:t>
      </w:r>
      <w:r w:rsidRPr="00892DD1">
        <w:rPr>
          <w:rFonts w:ascii="Arial Narrow" w:hAnsi="Arial Narrow"/>
          <w:color w:val="auto"/>
          <w:sz w:val="18"/>
          <w:szCs w:val="18"/>
        </w:rPr>
        <w:t xml:space="preserve"> is </w:t>
      </w:r>
      <w:r w:rsidR="009A1388" w:rsidRPr="009A1388">
        <w:rPr>
          <w:rFonts w:ascii="Arial Narrow" w:hAnsi="Arial Narrow"/>
          <w:noProof/>
          <w:color w:val="000000"/>
          <w:spacing w:val="40"/>
          <w:sz w:val="18"/>
          <w:szCs w:val="18"/>
          <w:shd w:val="solid" w:color="000000" w:fill="000000"/>
          <w:fitText w:val="280" w:id="-1500867063"/>
          <w14:textFill>
            <w14:solidFill>
              <w14:srgbClr w14:val="000000">
                <w14:alpha w14:val="100000"/>
              </w14:srgbClr>
            </w14:solidFill>
          </w14:textFill>
        </w:rPr>
        <w:t xml:space="preserve">|  </w:t>
      </w:r>
      <w:r w:rsidR="009A1388" w:rsidRPr="009A1388">
        <w:rPr>
          <w:rFonts w:ascii="Arial Narrow" w:hAnsi="Arial Narrow"/>
          <w:noProof/>
          <w:color w:val="000000"/>
          <w:spacing w:val="2"/>
          <w:sz w:val="18"/>
          <w:szCs w:val="18"/>
          <w:shd w:val="solid" w:color="000000" w:fill="000000"/>
          <w:fitText w:val="280" w:id="-1500867063"/>
          <w14:textFill>
            <w14:solidFill>
              <w14:srgbClr w14:val="000000">
                <w14:alpha w14:val="100000"/>
              </w14:srgbClr>
            </w14:solidFill>
          </w14:textFill>
        </w:rPr>
        <w:t>|</w:t>
      </w:r>
      <w:r w:rsidRPr="00892DD1">
        <w:rPr>
          <w:rFonts w:ascii="Arial Narrow" w:hAnsi="Arial Narrow"/>
          <w:color w:val="auto"/>
          <w:sz w:val="18"/>
          <w:szCs w:val="18"/>
        </w:rPr>
        <w:t>%. (</w:t>
      </w:r>
      <w:r w:rsidR="009A1388" w:rsidRPr="009A1388">
        <w:rPr>
          <w:rFonts w:ascii="Arial Narrow" w:hAnsi="Arial Narrow"/>
          <w:noProof/>
          <w:color w:val="000000"/>
          <w:spacing w:val="37"/>
          <w:sz w:val="18"/>
          <w:szCs w:val="18"/>
          <w:shd w:val="solid" w:color="000000" w:fill="000000"/>
          <w:fitText w:val="270" w:id="-1500867062"/>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2"/>
          <w14:textFill>
            <w14:solidFill>
              <w14:srgbClr w14:val="000000">
                <w14:alpha w14:val="100000"/>
              </w14:srgbClr>
            </w14:solidFill>
          </w14:textFill>
        </w:rPr>
        <w:t>|</w:t>
      </w:r>
      <w:r w:rsidRPr="00892DD1">
        <w:rPr>
          <w:rFonts w:ascii="Arial Narrow" w:hAnsi="Arial Narrow"/>
          <w:color w:val="auto"/>
          <w:sz w:val="18"/>
          <w:szCs w:val="18"/>
        </w:rPr>
        <w:t xml:space="preserve">% x </w:t>
      </w:r>
      <w:r w:rsidR="009A1388" w:rsidRPr="009A1388">
        <w:rPr>
          <w:rFonts w:ascii="Arial Narrow" w:hAnsi="Arial Narrow"/>
          <w:noProof/>
          <w:color w:val="000000"/>
          <w:spacing w:val="37"/>
          <w:sz w:val="18"/>
          <w:szCs w:val="18"/>
          <w:shd w:val="solid" w:color="000000" w:fill="000000"/>
          <w:fitText w:val="270" w:id="-1500867061"/>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1"/>
          <w14:textFill>
            <w14:solidFill>
              <w14:srgbClr w14:val="000000">
                <w14:alpha w14:val="100000"/>
              </w14:srgbClr>
            </w14:solidFill>
          </w14:textFill>
        </w:rPr>
        <w:t>|</w:t>
      </w:r>
      <w:r w:rsidRPr="00892DD1">
        <w:rPr>
          <w:rFonts w:ascii="Arial Narrow" w:hAnsi="Arial Narrow"/>
          <w:color w:val="auto"/>
          <w:sz w:val="18"/>
          <w:szCs w:val="18"/>
        </w:rPr>
        <w:t xml:space="preserve">% = </w:t>
      </w:r>
      <w:r w:rsidR="009A1388" w:rsidRPr="009A1388">
        <w:rPr>
          <w:rFonts w:ascii="Arial Narrow" w:hAnsi="Arial Narrow"/>
          <w:noProof/>
          <w:color w:val="000000"/>
          <w:spacing w:val="37"/>
          <w:sz w:val="18"/>
          <w:szCs w:val="18"/>
          <w:shd w:val="solid" w:color="000000" w:fill="000000"/>
          <w:fitText w:val="270" w:id="-1500867060"/>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60"/>
          <w14:textFill>
            <w14:solidFill>
              <w14:srgbClr w14:val="000000">
                <w14:alpha w14:val="100000"/>
              </w14:srgbClr>
            </w14:solidFill>
          </w14:textFill>
        </w:rPr>
        <w:t>|</w:t>
      </w:r>
      <w:r w:rsidRPr="00892DD1">
        <w:rPr>
          <w:rFonts w:ascii="Arial Narrow" w:hAnsi="Arial Narrow"/>
          <w:color w:val="auto"/>
          <w:sz w:val="18"/>
          <w:szCs w:val="18"/>
        </w:rPr>
        <w:t>%)</w:t>
      </w:r>
    </w:p>
    <w:p w14:paraId="27A79CEF" w14:textId="5AACA99D"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g</w:t>
      </w:r>
      <w:r w:rsidRPr="00892DD1">
        <w:rPr>
          <w:rFonts w:ascii="Arial Narrow" w:hAnsi="Arial Narrow"/>
          <w:color w:val="auto"/>
          <w:sz w:val="18"/>
          <w:szCs w:val="18"/>
        </w:rPr>
        <w:tab/>
        <w:t xml:space="preserve">Assume </w:t>
      </w:r>
      <w:r w:rsidR="009A1388" w:rsidRPr="009A1388">
        <w:rPr>
          <w:rFonts w:ascii="Arial Narrow" w:hAnsi="Arial Narrow"/>
          <w:noProof/>
          <w:color w:val="000000"/>
          <w:spacing w:val="37"/>
          <w:sz w:val="18"/>
          <w:szCs w:val="18"/>
          <w:shd w:val="solid" w:color="000000" w:fill="000000"/>
          <w:fitText w:val="270" w:id="-1500867059"/>
          <w14:textFill>
            <w14:solidFill>
              <w14:srgbClr w14:val="000000">
                <w14:alpha w14:val="100000"/>
              </w14:srgbClr>
            </w14:solidFill>
          </w14:textFill>
        </w:rPr>
        <w:t xml:space="preserve">|  </w:t>
      </w:r>
      <w:r w:rsidR="009A1388" w:rsidRPr="009A1388">
        <w:rPr>
          <w:rFonts w:ascii="Arial Narrow" w:hAnsi="Arial Narrow"/>
          <w:noProof/>
          <w:color w:val="000000"/>
          <w:spacing w:val="1"/>
          <w:sz w:val="18"/>
          <w:szCs w:val="18"/>
          <w:shd w:val="solid" w:color="000000" w:fill="000000"/>
          <w:fitText w:val="270" w:id="-1500867059"/>
          <w14:textFill>
            <w14:solidFill>
              <w14:srgbClr w14:val="000000">
                <w14:alpha w14:val="100000"/>
              </w14:srgbClr>
            </w14:solidFill>
          </w14:textFill>
        </w:rPr>
        <w:t>|</w:t>
      </w:r>
      <w:r w:rsidRPr="00892DD1">
        <w:rPr>
          <w:rFonts w:ascii="Arial Narrow" w:hAnsi="Arial Narrow"/>
          <w:color w:val="auto"/>
          <w:sz w:val="18"/>
          <w:szCs w:val="18"/>
        </w:rPr>
        <w:t>% of eligible patients elect to receive treatment with pembrolizumab.</w:t>
      </w:r>
    </w:p>
    <w:p w14:paraId="643C3E3C" w14:textId="77777777" w:rsidR="00D7609F" w:rsidRPr="00A24A89" w:rsidRDefault="00D7609F" w:rsidP="00683786">
      <w:pPr>
        <w:pStyle w:val="InstructionalText"/>
        <w:keepNext/>
        <w:keepLines/>
        <w:spacing w:before="0" w:after="0"/>
        <w:rPr>
          <w:rFonts w:ascii="Arial Narrow" w:hAnsi="Arial Narrow"/>
          <w:color w:val="auto"/>
          <w:sz w:val="18"/>
          <w:szCs w:val="18"/>
        </w:rPr>
      </w:pPr>
      <w:r w:rsidRPr="00892DD1">
        <w:rPr>
          <w:rFonts w:ascii="Arial Narrow" w:hAnsi="Arial Narrow"/>
          <w:color w:val="auto"/>
          <w:sz w:val="18"/>
          <w:szCs w:val="18"/>
        </w:rPr>
        <w:t>SCC = squamous cell carcinoma, HPV = Human papillomavirus, ECOG = Eastern Cooperative Oncology Group performance score, CPS = combined positive score</w:t>
      </w:r>
    </w:p>
    <w:p w14:paraId="762C7396" w14:textId="77777777" w:rsidR="00D7609F" w:rsidRPr="00A24A89" w:rsidRDefault="00D7609F" w:rsidP="00D12886">
      <w:pPr>
        <w:pStyle w:val="InstructionalText"/>
        <w:spacing w:before="0" w:after="0"/>
        <w:rPr>
          <w:rFonts w:ascii="Arial Narrow" w:hAnsi="Arial Narrow"/>
          <w:color w:val="auto"/>
          <w:sz w:val="18"/>
          <w:szCs w:val="18"/>
        </w:rPr>
      </w:pPr>
      <w:r w:rsidRPr="00A24A89">
        <w:rPr>
          <w:rFonts w:ascii="Arial Narrow" w:hAnsi="Arial Narrow"/>
          <w:color w:val="auto"/>
          <w:sz w:val="18"/>
          <w:szCs w:val="18"/>
        </w:rPr>
        <w:t xml:space="preserve">Source: Created during evaluation using information from </w:t>
      </w:r>
      <w:r w:rsidR="00D12886">
        <w:rPr>
          <w:rFonts w:ascii="Arial Narrow" w:hAnsi="Arial Narrow"/>
          <w:color w:val="auto"/>
          <w:sz w:val="18"/>
          <w:szCs w:val="18"/>
        </w:rPr>
        <w:t>T</w:t>
      </w:r>
      <w:r w:rsidRPr="00A24A89">
        <w:rPr>
          <w:rFonts w:ascii="Arial Narrow" w:hAnsi="Arial Narrow"/>
          <w:color w:val="auto"/>
          <w:sz w:val="18"/>
          <w:szCs w:val="18"/>
        </w:rPr>
        <w:t xml:space="preserve">able 4.2-1, p266, </w:t>
      </w:r>
      <w:r w:rsidR="00D12886">
        <w:rPr>
          <w:rFonts w:ascii="Arial Narrow" w:hAnsi="Arial Narrow"/>
          <w:color w:val="auto"/>
          <w:sz w:val="18"/>
          <w:szCs w:val="18"/>
        </w:rPr>
        <w:t>T</w:t>
      </w:r>
      <w:r w:rsidRPr="00A24A89">
        <w:rPr>
          <w:rFonts w:ascii="Arial Narrow" w:hAnsi="Arial Narrow"/>
          <w:color w:val="auto"/>
          <w:sz w:val="18"/>
          <w:szCs w:val="18"/>
        </w:rPr>
        <w:t xml:space="preserve">able 4.2-2, p267, </w:t>
      </w:r>
      <w:r w:rsidR="00D12886">
        <w:rPr>
          <w:rFonts w:ascii="Arial Narrow" w:hAnsi="Arial Narrow"/>
          <w:color w:val="auto"/>
          <w:sz w:val="18"/>
          <w:szCs w:val="18"/>
        </w:rPr>
        <w:t>T</w:t>
      </w:r>
      <w:r w:rsidRPr="00A24A89">
        <w:rPr>
          <w:rFonts w:ascii="Arial Narrow" w:hAnsi="Arial Narrow"/>
          <w:color w:val="auto"/>
          <w:sz w:val="18"/>
          <w:szCs w:val="18"/>
        </w:rPr>
        <w:t xml:space="preserve">able 4.2-3, p269, </w:t>
      </w:r>
      <w:r w:rsidR="00D12886">
        <w:rPr>
          <w:rFonts w:ascii="Arial Narrow" w:hAnsi="Arial Narrow"/>
          <w:color w:val="auto"/>
          <w:sz w:val="18"/>
          <w:szCs w:val="18"/>
        </w:rPr>
        <w:t>T</w:t>
      </w:r>
      <w:r w:rsidRPr="00A24A89">
        <w:rPr>
          <w:rFonts w:ascii="Arial Narrow" w:hAnsi="Arial Narrow"/>
          <w:color w:val="auto"/>
          <w:sz w:val="18"/>
          <w:szCs w:val="18"/>
        </w:rPr>
        <w:t>able 4.2-4, p269 of the resubmission</w:t>
      </w:r>
    </w:p>
    <w:p w14:paraId="225B41FF" w14:textId="77777777" w:rsidR="00D7609F" w:rsidRPr="00A24A89" w:rsidRDefault="00D7609F" w:rsidP="006A1BDD">
      <w:pPr>
        <w:pStyle w:val="ListParagraph"/>
        <w:numPr>
          <w:ilvl w:val="4"/>
          <w:numId w:val="1"/>
        </w:numPr>
        <w:rPr>
          <w:color w:val="auto"/>
        </w:rPr>
      </w:pPr>
      <w:r w:rsidRPr="00A24A89">
        <w:rPr>
          <w:color w:val="auto"/>
        </w:rPr>
        <w:t xml:space="preserve">The various sources used to inform the financial impact of listing pembrolizumab were </w:t>
      </w:r>
      <w:proofErr w:type="gramStart"/>
      <w:r w:rsidRPr="00A24A89">
        <w:rPr>
          <w:color w:val="auto"/>
        </w:rPr>
        <w:t>similar to</w:t>
      </w:r>
      <w:proofErr w:type="gramEnd"/>
      <w:r w:rsidRPr="00A24A89">
        <w:rPr>
          <w:color w:val="auto"/>
        </w:rPr>
        <w:t xml:space="preserve"> those used in the previous submission and are presented in</w:t>
      </w:r>
      <w:r w:rsidR="00683786">
        <w:rPr>
          <w:color w:val="auto"/>
        </w:rPr>
        <w:t xml:space="preserve"> </w:t>
      </w:r>
      <w:r w:rsidR="008D43ED">
        <w:t xml:space="preserve">Table </w:t>
      </w:r>
      <w:r w:rsidR="008D43ED">
        <w:rPr>
          <w:noProof/>
        </w:rPr>
        <w:t>23</w:t>
      </w:r>
      <w:r w:rsidRPr="00A24A89">
        <w:rPr>
          <w:color w:val="auto"/>
        </w:rPr>
        <w:t>.</w:t>
      </w:r>
    </w:p>
    <w:p w14:paraId="21FF9AE5" w14:textId="77777777" w:rsidR="00D7609F" w:rsidRPr="00A24A89" w:rsidRDefault="00E31F5B" w:rsidP="00024DCD">
      <w:pPr>
        <w:pStyle w:val="Caption"/>
      </w:pPr>
      <w:bookmarkStart w:id="90" w:name="_Ref80072869"/>
      <w:r>
        <w:lastRenderedPageBreak/>
        <w:t xml:space="preserve">Table </w:t>
      </w:r>
      <w:r w:rsidR="008D43ED">
        <w:rPr>
          <w:noProof/>
        </w:rPr>
        <w:t>23</w:t>
      </w:r>
      <w:bookmarkEnd w:id="90"/>
      <w:r w:rsidR="00024DCD">
        <w:t xml:space="preserve">: </w:t>
      </w:r>
      <w:r w:rsidR="00D7609F" w:rsidRPr="00A24A89">
        <w:t>Data sources used to calculate the financial impact of pembrolizumab</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85" w:type="dxa"/>
          <w:right w:w="85" w:type="dxa"/>
        </w:tblCellMar>
        <w:tblLook w:val="0000" w:firstRow="0" w:lastRow="0" w:firstColumn="0" w:lastColumn="0" w:noHBand="0" w:noVBand="0"/>
        <w:tblCaption w:val="Table 23: Data sources used to calculate the financial impact of pembrolizumab"/>
      </w:tblPr>
      <w:tblGrid>
        <w:gridCol w:w="3375"/>
        <w:gridCol w:w="5635"/>
      </w:tblGrid>
      <w:tr w:rsidR="00D7609F" w:rsidRPr="00A24A89" w14:paraId="41533CB2" w14:textId="77777777" w:rsidTr="006419CD">
        <w:trPr>
          <w:tblHeader/>
        </w:trPr>
        <w:tc>
          <w:tcPr>
            <w:tcW w:w="1873" w:type="pct"/>
            <w:tcBorders>
              <w:top w:val="single" w:sz="6" w:space="0" w:color="auto"/>
              <w:bottom w:val="single" w:sz="4" w:space="0" w:color="auto"/>
            </w:tcBorders>
            <w:vAlign w:val="center"/>
          </w:tcPr>
          <w:p w14:paraId="65E61310" w14:textId="77777777" w:rsidR="00D7609F" w:rsidRPr="00A24A89" w:rsidRDefault="00D7609F" w:rsidP="00683786">
            <w:pPr>
              <w:pStyle w:val="Tabletext0"/>
              <w:keepNext/>
              <w:keepLines/>
              <w:rPr>
                <w:b/>
                <w:bCs/>
              </w:rPr>
            </w:pPr>
            <w:r w:rsidRPr="00A24A89">
              <w:rPr>
                <w:b/>
                <w:bCs/>
              </w:rPr>
              <w:t>Data source</w:t>
            </w:r>
          </w:p>
        </w:tc>
        <w:tc>
          <w:tcPr>
            <w:tcW w:w="3127" w:type="pct"/>
            <w:tcBorders>
              <w:top w:val="single" w:sz="6" w:space="0" w:color="auto"/>
              <w:bottom w:val="single" w:sz="4" w:space="0" w:color="auto"/>
            </w:tcBorders>
            <w:vAlign w:val="center"/>
          </w:tcPr>
          <w:p w14:paraId="46763EC7" w14:textId="77777777" w:rsidR="00D7609F" w:rsidRPr="00A24A89" w:rsidRDefault="00D7609F" w:rsidP="00683786">
            <w:pPr>
              <w:pStyle w:val="Tabletext0"/>
              <w:keepNext/>
              <w:keepLines/>
              <w:rPr>
                <w:b/>
                <w:bCs/>
              </w:rPr>
            </w:pPr>
            <w:r w:rsidRPr="00A24A89">
              <w:rPr>
                <w:b/>
                <w:bCs/>
              </w:rPr>
              <w:t>Purpose</w:t>
            </w:r>
          </w:p>
        </w:tc>
      </w:tr>
      <w:tr w:rsidR="00D7609F" w:rsidRPr="00A24A89" w14:paraId="5705F2DA" w14:textId="77777777" w:rsidTr="006419CD">
        <w:tc>
          <w:tcPr>
            <w:tcW w:w="1873" w:type="pct"/>
            <w:tcBorders>
              <w:top w:val="single" w:sz="6" w:space="0" w:color="auto"/>
              <w:bottom w:val="single" w:sz="6" w:space="0" w:color="auto"/>
            </w:tcBorders>
            <w:vAlign w:val="center"/>
          </w:tcPr>
          <w:p w14:paraId="314C61CA" w14:textId="77777777" w:rsidR="00D7609F" w:rsidRPr="00A24A89" w:rsidRDefault="00D7609F" w:rsidP="00683786">
            <w:pPr>
              <w:pStyle w:val="Tabletext0"/>
              <w:keepNext/>
              <w:keepLines/>
            </w:pPr>
            <w:r w:rsidRPr="00A24A89">
              <w:t>AIHW, 2020</w:t>
            </w:r>
          </w:p>
        </w:tc>
        <w:tc>
          <w:tcPr>
            <w:tcW w:w="3127" w:type="pct"/>
            <w:tcBorders>
              <w:top w:val="single" w:sz="6" w:space="0" w:color="auto"/>
              <w:bottom w:val="single" w:sz="6" w:space="0" w:color="auto"/>
            </w:tcBorders>
            <w:vAlign w:val="center"/>
          </w:tcPr>
          <w:p w14:paraId="5A505627" w14:textId="77777777" w:rsidR="00D7609F" w:rsidRPr="00A24A89" w:rsidRDefault="00D7609F" w:rsidP="00683786">
            <w:pPr>
              <w:pStyle w:val="Tabletext0"/>
              <w:keepNext/>
              <w:keepLines/>
            </w:pPr>
            <w:r w:rsidRPr="00A24A89">
              <w:t>Inform incidence and prevalence of head and neck carcinoma in Australia</w:t>
            </w:r>
          </w:p>
        </w:tc>
      </w:tr>
      <w:tr w:rsidR="00D7609F" w:rsidRPr="00A24A89" w14:paraId="13C66359" w14:textId="77777777" w:rsidTr="006419CD">
        <w:tc>
          <w:tcPr>
            <w:tcW w:w="1873" w:type="pct"/>
            <w:tcBorders>
              <w:top w:val="single" w:sz="6" w:space="0" w:color="auto"/>
              <w:bottom w:val="single" w:sz="6" w:space="0" w:color="auto"/>
            </w:tcBorders>
            <w:vAlign w:val="center"/>
          </w:tcPr>
          <w:p w14:paraId="1A42897D" w14:textId="77777777" w:rsidR="00D7609F" w:rsidRPr="00A24A89" w:rsidRDefault="00D7609F" w:rsidP="00683786">
            <w:pPr>
              <w:pStyle w:val="Tabletext0"/>
              <w:keepNext/>
              <w:keepLines/>
            </w:pPr>
            <w:r w:rsidRPr="00A24A89">
              <w:t>2014 Review of the Cancer Medicines in the WHO List of Essential Medicines. Locally advanced squamous carcinoma of the head and neck</w:t>
            </w:r>
          </w:p>
        </w:tc>
        <w:tc>
          <w:tcPr>
            <w:tcW w:w="3127" w:type="pct"/>
            <w:tcBorders>
              <w:top w:val="single" w:sz="6" w:space="0" w:color="auto"/>
              <w:bottom w:val="single" w:sz="6" w:space="0" w:color="auto"/>
            </w:tcBorders>
            <w:vAlign w:val="center"/>
          </w:tcPr>
          <w:p w14:paraId="05A1304B" w14:textId="77777777" w:rsidR="00D7609F" w:rsidRPr="00A24A89" w:rsidRDefault="00D7609F" w:rsidP="00683786">
            <w:pPr>
              <w:pStyle w:val="Tabletext0"/>
              <w:keepNext/>
              <w:keepLines/>
            </w:pPr>
            <w:r w:rsidRPr="00A24A89">
              <w:t xml:space="preserve">Inform SCC percentage </w:t>
            </w:r>
          </w:p>
        </w:tc>
      </w:tr>
      <w:tr w:rsidR="00D7609F" w:rsidRPr="00A24A89" w14:paraId="0C879E50" w14:textId="77777777" w:rsidTr="006419CD">
        <w:tc>
          <w:tcPr>
            <w:tcW w:w="1873" w:type="pct"/>
            <w:tcBorders>
              <w:top w:val="single" w:sz="6" w:space="0" w:color="auto"/>
              <w:bottom w:val="single" w:sz="6" w:space="0" w:color="auto"/>
            </w:tcBorders>
            <w:vAlign w:val="center"/>
          </w:tcPr>
          <w:p w14:paraId="3CDE065A" w14:textId="77777777" w:rsidR="00D7609F" w:rsidRPr="00A24A89" w:rsidRDefault="00D7609F" w:rsidP="00683786">
            <w:pPr>
              <w:pStyle w:val="Tabletext0"/>
              <w:keepNext/>
              <w:keepLines/>
            </w:pPr>
            <w:r w:rsidRPr="00A24A89">
              <w:t>GLANCE study</w:t>
            </w:r>
          </w:p>
        </w:tc>
        <w:tc>
          <w:tcPr>
            <w:tcW w:w="3127" w:type="pct"/>
            <w:tcBorders>
              <w:top w:val="single" w:sz="6" w:space="0" w:color="auto"/>
              <w:bottom w:val="single" w:sz="6" w:space="0" w:color="auto"/>
            </w:tcBorders>
            <w:vAlign w:val="center"/>
          </w:tcPr>
          <w:p w14:paraId="2CA68D4D" w14:textId="77777777" w:rsidR="00D7609F" w:rsidRPr="00A24A89" w:rsidRDefault="00D7609F" w:rsidP="00683786">
            <w:pPr>
              <w:pStyle w:val="Tabletext0"/>
              <w:keepNext/>
              <w:keepLines/>
            </w:pPr>
            <w:r w:rsidRPr="00A24A89">
              <w:t>Proportion of ECOG 0 or 1</w:t>
            </w:r>
          </w:p>
        </w:tc>
      </w:tr>
      <w:tr w:rsidR="00D7609F" w:rsidRPr="00A24A89" w14:paraId="48BC0FB8" w14:textId="77777777" w:rsidTr="006419CD">
        <w:tc>
          <w:tcPr>
            <w:tcW w:w="1873" w:type="pct"/>
            <w:tcBorders>
              <w:top w:val="single" w:sz="6" w:space="0" w:color="auto"/>
              <w:bottom w:val="single" w:sz="6" w:space="0" w:color="auto"/>
            </w:tcBorders>
            <w:vAlign w:val="center"/>
          </w:tcPr>
          <w:p w14:paraId="49D126A6" w14:textId="77777777" w:rsidR="00D7609F" w:rsidRPr="00A24A89" w:rsidRDefault="00D7609F" w:rsidP="00683786">
            <w:pPr>
              <w:pStyle w:val="Tabletext0"/>
              <w:keepNext/>
              <w:keepLines/>
            </w:pPr>
            <w:r w:rsidRPr="00A24A89">
              <w:t>PBAC (paragraph 6.78, pembrolizumab PSD, November 2020</w:t>
            </w:r>
            <w:r w:rsidR="007000C5" w:rsidRPr="00A24A89">
              <w:t xml:space="preserve"> PBAC</w:t>
            </w:r>
            <w:r w:rsidR="007000C5">
              <w:t xml:space="preserve"> Meeting</w:t>
            </w:r>
            <w:r w:rsidRPr="00A24A89">
              <w:t>)</w:t>
            </w:r>
          </w:p>
        </w:tc>
        <w:tc>
          <w:tcPr>
            <w:tcW w:w="3127" w:type="pct"/>
            <w:tcBorders>
              <w:top w:val="single" w:sz="6" w:space="0" w:color="auto"/>
              <w:bottom w:val="single" w:sz="6" w:space="0" w:color="auto"/>
            </w:tcBorders>
            <w:vAlign w:val="center"/>
          </w:tcPr>
          <w:p w14:paraId="77C481FF" w14:textId="77777777" w:rsidR="00D7609F" w:rsidRPr="00A24A89" w:rsidRDefault="00D7609F" w:rsidP="00683786">
            <w:pPr>
              <w:pStyle w:val="Tabletext0"/>
              <w:keepNext/>
              <w:keepLines/>
            </w:pPr>
            <w:r w:rsidRPr="00A24A89">
              <w:t xml:space="preserve">Prevalence of </w:t>
            </w:r>
            <w:r w:rsidR="002B1C15" w:rsidRPr="00A24A89">
              <w:t>CPS ≥1</w:t>
            </w:r>
          </w:p>
        </w:tc>
      </w:tr>
      <w:tr w:rsidR="00D7609F" w:rsidRPr="00A24A89" w14:paraId="6A295BCB" w14:textId="77777777" w:rsidTr="006419CD">
        <w:tc>
          <w:tcPr>
            <w:tcW w:w="1873" w:type="pct"/>
            <w:tcBorders>
              <w:top w:val="single" w:sz="6" w:space="0" w:color="auto"/>
              <w:bottom w:val="single" w:sz="6" w:space="0" w:color="auto"/>
            </w:tcBorders>
            <w:vAlign w:val="center"/>
          </w:tcPr>
          <w:p w14:paraId="71B3D7E3" w14:textId="77777777" w:rsidR="00D7609F" w:rsidRPr="00A24A89" w:rsidRDefault="00D7609F" w:rsidP="00683786">
            <w:pPr>
              <w:pStyle w:val="Tabletext0"/>
              <w:keepNext/>
              <w:keepLines/>
            </w:pPr>
            <w:r w:rsidRPr="00A24A89">
              <w:t>KN048</w:t>
            </w:r>
          </w:p>
        </w:tc>
        <w:tc>
          <w:tcPr>
            <w:tcW w:w="3127" w:type="pct"/>
            <w:tcBorders>
              <w:top w:val="single" w:sz="6" w:space="0" w:color="auto"/>
              <w:bottom w:val="single" w:sz="6" w:space="0" w:color="auto"/>
            </w:tcBorders>
            <w:vAlign w:val="center"/>
          </w:tcPr>
          <w:p w14:paraId="1B6E1BB3" w14:textId="77777777" w:rsidR="00D7609F" w:rsidRPr="00A24A89" w:rsidRDefault="00D7609F" w:rsidP="00683786">
            <w:pPr>
              <w:pStyle w:val="Tabletext0"/>
              <w:keepNext/>
              <w:keepLines/>
            </w:pPr>
            <w:r w:rsidRPr="00A24A89">
              <w:t>Dosage and usage of medications</w:t>
            </w:r>
          </w:p>
        </w:tc>
      </w:tr>
      <w:tr w:rsidR="00D7609F" w:rsidRPr="00A24A89" w14:paraId="4E260027" w14:textId="77777777" w:rsidTr="006419CD">
        <w:tc>
          <w:tcPr>
            <w:tcW w:w="1873" w:type="pct"/>
            <w:tcBorders>
              <w:top w:val="single" w:sz="6" w:space="0" w:color="auto"/>
              <w:bottom w:val="single" w:sz="6" w:space="0" w:color="auto"/>
            </w:tcBorders>
            <w:vAlign w:val="center"/>
          </w:tcPr>
          <w:p w14:paraId="4FB37CAC" w14:textId="77777777" w:rsidR="00D7609F" w:rsidRPr="00A24A89" w:rsidRDefault="00D7609F" w:rsidP="00683786">
            <w:pPr>
              <w:pStyle w:val="Tabletext0"/>
              <w:keepNext/>
              <w:keepLines/>
              <w:rPr>
                <w:highlight w:val="yellow"/>
              </w:rPr>
            </w:pPr>
            <w:r w:rsidRPr="00A24A89">
              <w:t>Expert opinion (Key Scientific Leaders)</w:t>
            </w:r>
          </w:p>
        </w:tc>
        <w:tc>
          <w:tcPr>
            <w:tcW w:w="3127" w:type="pct"/>
            <w:tcBorders>
              <w:top w:val="single" w:sz="6" w:space="0" w:color="auto"/>
              <w:bottom w:val="single" w:sz="6" w:space="0" w:color="auto"/>
            </w:tcBorders>
            <w:vAlign w:val="center"/>
          </w:tcPr>
          <w:p w14:paraId="33C2AAFA" w14:textId="65BAB677" w:rsidR="00D7609F" w:rsidRPr="00A24A89" w:rsidRDefault="00D7609F" w:rsidP="00683786">
            <w:pPr>
              <w:pStyle w:val="Tabletext0"/>
              <w:keepNext/>
              <w:keepLines/>
            </w:pPr>
            <w:r w:rsidRPr="00A24A89">
              <w:t xml:space="preserve">Staging of disease at diagnosis, proportion of patients who are HPV positive, proportion treated with surgery ± RT or chemo + RT ± </w:t>
            </w:r>
            <w:proofErr w:type="gramStart"/>
            <w:r w:rsidRPr="00A24A89">
              <w:t>surgery,</w:t>
            </w:r>
            <w:r w:rsidR="009A1388" w:rsidRPr="009A1388">
              <w:rPr>
                <w:color w:val="000000"/>
                <w:spacing w:val="53"/>
                <w:shd w:val="solid" w:color="000000" w:fill="000000"/>
                <w:fitText w:val="330" w:id="-1500867058"/>
                <w14:textFill>
                  <w14:solidFill>
                    <w14:srgbClr w14:val="000000">
                      <w14:alpha w14:val="100000"/>
                    </w14:srgbClr>
                  </w14:solidFill>
                </w14:textFill>
              </w:rPr>
              <w:t>|</w:t>
            </w:r>
            <w:proofErr w:type="gramEnd"/>
            <w:r w:rsidR="009A1388" w:rsidRPr="009A1388">
              <w:rPr>
                <w:color w:val="000000"/>
                <w:spacing w:val="53"/>
                <w:shd w:val="solid" w:color="000000" w:fill="000000"/>
                <w:fitText w:val="330" w:id="-1500867058"/>
                <w14:textFill>
                  <w14:solidFill>
                    <w14:srgbClr w14:val="000000">
                      <w14:alpha w14:val="100000"/>
                    </w14:srgbClr>
                  </w14:solidFill>
                </w14:textFill>
              </w:rPr>
              <w:t>||</w:t>
            </w:r>
            <w:r w:rsidR="009A1388" w:rsidRPr="009A1388">
              <w:rPr>
                <w:color w:val="000000"/>
                <w:spacing w:val="1"/>
                <w:shd w:val="solid" w:color="000000" w:fill="000000"/>
                <w:fitText w:val="330" w:id="-1500867058"/>
                <w14:textFill>
                  <w14:solidFill>
                    <w14:srgbClr w14:val="000000">
                      <w14:alpha w14:val="100000"/>
                    </w14:srgbClr>
                  </w14:solidFill>
                </w14:textFill>
              </w:rPr>
              <w:t>|</w:t>
            </w:r>
            <w:r w:rsidRPr="00A24A89">
              <w:t>usage of pembrolizumab (weighting of combination therapy vs monotherapy)</w:t>
            </w:r>
          </w:p>
        </w:tc>
      </w:tr>
      <w:tr w:rsidR="00D7609F" w:rsidRPr="00A24A89" w14:paraId="3A293ED1" w14:textId="77777777" w:rsidTr="006419CD">
        <w:tc>
          <w:tcPr>
            <w:tcW w:w="1873" w:type="pct"/>
            <w:tcBorders>
              <w:top w:val="single" w:sz="6" w:space="0" w:color="auto"/>
              <w:bottom w:val="single" w:sz="6" w:space="0" w:color="auto"/>
            </w:tcBorders>
            <w:vAlign w:val="center"/>
          </w:tcPr>
          <w:p w14:paraId="22E0AF03" w14:textId="77777777" w:rsidR="00D7609F" w:rsidRPr="00A24A89" w:rsidRDefault="00D7609F" w:rsidP="00683786">
            <w:pPr>
              <w:pStyle w:val="Tabletext0"/>
              <w:keepNext/>
              <w:keepLines/>
              <w:rPr>
                <w:highlight w:val="yellow"/>
              </w:rPr>
            </w:pPr>
            <w:proofErr w:type="spellStart"/>
            <w:r w:rsidRPr="00A24A89">
              <w:t>Kolli</w:t>
            </w:r>
            <w:proofErr w:type="spellEnd"/>
            <w:r w:rsidRPr="00A24A89">
              <w:t xml:space="preserve"> 2000, </w:t>
            </w:r>
            <w:proofErr w:type="spellStart"/>
            <w:r w:rsidRPr="00A24A89">
              <w:t>Hosal</w:t>
            </w:r>
            <w:proofErr w:type="spellEnd"/>
            <w:r w:rsidRPr="00A24A89">
              <w:t xml:space="preserve"> 2000</w:t>
            </w:r>
          </w:p>
        </w:tc>
        <w:tc>
          <w:tcPr>
            <w:tcW w:w="3127" w:type="pct"/>
            <w:tcBorders>
              <w:top w:val="single" w:sz="6" w:space="0" w:color="auto"/>
              <w:bottom w:val="single" w:sz="6" w:space="0" w:color="auto"/>
            </w:tcBorders>
            <w:vAlign w:val="center"/>
          </w:tcPr>
          <w:p w14:paraId="20A6CD93" w14:textId="77777777" w:rsidR="00D7609F" w:rsidRPr="00A24A89" w:rsidRDefault="00D7609F" w:rsidP="00683786">
            <w:pPr>
              <w:pStyle w:val="Tabletext0"/>
              <w:keepNext/>
              <w:keepLines/>
            </w:pPr>
            <w:r w:rsidRPr="00A24A89">
              <w:t>Recurrence rate with surgery ± RT in patients with Stage III-</w:t>
            </w:r>
            <w:proofErr w:type="spellStart"/>
            <w:r w:rsidRPr="00A24A89">
              <w:t>IVb</w:t>
            </w:r>
            <w:proofErr w:type="spellEnd"/>
            <w:r w:rsidRPr="00A24A89">
              <w:t xml:space="preserve"> cancer</w:t>
            </w:r>
          </w:p>
        </w:tc>
      </w:tr>
      <w:tr w:rsidR="00D7609F" w:rsidRPr="00A24A89" w14:paraId="597BC499" w14:textId="77777777" w:rsidTr="006419CD">
        <w:tc>
          <w:tcPr>
            <w:tcW w:w="1873" w:type="pct"/>
            <w:tcBorders>
              <w:top w:val="single" w:sz="6" w:space="0" w:color="auto"/>
              <w:bottom w:val="single" w:sz="6" w:space="0" w:color="auto"/>
            </w:tcBorders>
            <w:vAlign w:val="center"/>
          </w:tcPr>
          <w:p w14:paraId="5B5BBD87" w14:textId="77777777" w:rsidR="00D7609F" w:rsidRPr="00A24A89" w:rsidRDefault="00D7609F" w:rsidP="00683786">
            <w:pPr>
              <w:pStyle w:val="Tabletext0"/>
              <w:keepNext/>
              <w:keepLines/>
              <w:rPr>
                <w:highlight w:val="yellow"/>
              </w:rPr>
            </w:pPr>
            <w:r w:rsidRPr="00A24A89">
              <w:t>PBS and MBS schedule</w:t>
            </w:r>
          </w:p>
        </w:tc>
        <w:tc>
          <w:tcPr>
            <w:tcW w:w="3127" w:type="pct"/>
            <w:tcBorders>
              <w:top w:val="single" w:sz="6" w:space="0" w:color="auto"/>
              <w:bottom w:val="single" w:sz="6" w:space="0" w:color="auto"/>
            </w:tcBorders>
            <w:vAlign w:val="center"/>
          </w:tcPr>
          <w:p w14:paraId="6982C992" w14:textId="77777777" w:rsidR="00D7609F" w:rsidRPr="00A24A89" w:rsidRDefault="00D7609F" w:rsidP="00683786">
            <w:pPr>
              <w:pStyle w:val="Tabletext0"/>
              <w:keepNext/>
              <w:keepLines/>
            </w:pPr>
            <w:r w:rsidRPr="00A24A89">
              <w:t xml:space="preserve">Unit costs for drugs and administration </w:t>
            </w:r>
          </w:p>
        </w:tc>
      </w:tr>
    </w:tbl>
    <w:p w14:paraId="7C320442" w14:textId="77777777" w:rsidR="00D7609F" w:rsidRPr="00A24A89" w:rsidRDefault="00D7609F" w:rsidP="00683786">
      <w:pPr>
        <w:pStyle w:val="TableFooter"/>
        <w:keepNext/>
        <w:keepLines/>
      </w:pPr>
      <w:r w:rsidRPr="00A24A89">
        <w:t>AIHW = Australian Institute of Health and Welfare; CPS = combined proportion score; ECOG = Eastern Cooperative Oncology Group; RT = radiotherapy; SCC = squamous cell carcinoma</w:t>
      </w:r>
    </w:p>
    <w:p w14:paraId="25DA60A6" w14:textId="77777777" w:rsidR="00D7609F" w:rsidRPr="00A24A89" w:rsidRDefault="00D7609F" w:rsidP="00D12886">
      <w:pPr>
        <w:pStyle w:val="TableFooter"/>
      </w:pPr>
      <w:r w:rsidRPr="00A24A89">
        <w:t>Source: constructed during evaluation</w:t>
      </w:r>
    </w:p>
    <w:p w14:paraId="45BA7FC5" w14:textId="77777777" w:rsidR="00D7609F" w:rsidRPr="00A24A89" w:rsidRDefault="00D7609F" w:rsidP="006A1BDD">
      <w:pPr>
        <w:pStyle w:val="ListParagraph"/>
        <w:numPr>
          <w:ilvl w:val="4"/>
          <w:numId w:val="1"/>
        </w:numPr>
        <w:rPr>
          <w:color w:val="auto"/>
        </w:rPr>
      </w:pPr>
      <w:r w:rsidRPr="00A24A89">
        <w:rPr>
          <w:color w:val="auto"/>
        </w:rPr>
        <w:t xml:space="preserve">The estimated use and financial implications for listing pembrolizumab in patients with R/M HNSCC CPS ≥1 </w:t>
      </w:r>
      <w:proofErr w:type="gramStart"/>
      <w:r w:rsidRPr="00A24A89">
        <w:rPr>
          <w:color w:val="auto"/>
        </w:rPr>
        <w:t>are</w:t>
      </w:r>
      <w:proofErr w:type="gramEnd"/>
      <w:r w:rsidRPr="00A24A89">
        <w:rPr>
          <w:color w:val="auto"/>
        </w:rPr>
        <w:t xml:space="preserve"> summarised in</w:t>
      </w:r>
      <w:r w:rsidR="003B0685">
        <w:rPr>
          <w:color w:val="auto"/>
        </w:rPr>
        <w:t xml:space="preserve"> </w:t>
      </w:r>
      <w:r w:rsidR="008D43ED">
        <w:t xml:space="preserve">Table </w:t>
      </w:r>
      <w:r w:rsidR="008D43ED">
        <w:rPr>
          <w:noProof/>
        </w:rPr>
        <w:t>24</w:t>
      </w:r>
      <w:r w:rsidRPr="00A24A89">
        <w:rPr>
          <w:color w:val="auto"/>
        </w:rPr>
        <w:t>.</w:t>
      </w:r>
    </w:p>
    <w:p w14:paraId="1EC47CA3" w14:textId="77777777" w:rsidR="00D7609F" w:rsidRPr="00A24A89" w:rsidRDefault="00E31F5B" w:rsidP="00024DCD">
      <w:pPr>
        <w:pStyle w:val="Caption"/>
      </w:pPr>
      <w:bookmarkStart w:id="91" w:name="_Ref80072920"/>
      <w:r>
        <w:lastRenderedPageBreak/>
        <w:t xml:space="preserve">Table </w:t>
      </w:r>
      <w:r w:rsidR="008D43ED">
        <w:rPr>
          <w:noProof/>
        </w:rPr>
        <w:t>24</w:t>
      </w:r>
      <w:bookmarkEnd w:id="91"/>
      <w:r w:rsidR="00024DCD">
        <w:t xml:space="preserve">: </w:t>
      </w:r>
      <w:r w:rsidR="00D7609F" w:rsidRPr="00A24A89">
        <w:t>Estimated use and financial implications</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4: Estimated use and financial implications"/>
      </w:tblPr>
      <w:tblGrid>
        <w:gridCol w:w="2546"/>
        <w:gridCol w:w="1133"/>
        <w:gridCol w:w="1135"/>
        <w:gridCol w:w="1126"/>
        <w:gridCol w:w="1143"/>
        <w:gridCol w:w="1133"/>
        <w:gridCol w:w="1135"/>
      </w:tblGrid>
      <w:tr w:rsidR="00D7609F" w:rsidRPr="0017405A" w14:paraId="2FDF6979" w14:textId="77777777" w:rsidTr="005A49F3">
        <w:trPr>
          <w:tblHeader/>
        </w:trPr>
        <w:tc>
          <w:tcPr>
            <w:tcW w:w="1361" w:type="pct"/>
            <w:shd w:val="clear" w:color="auto" w:fill="auto"/>
            <w:vAlign w:val="center"/>
          </w:tcPr>
          <w:p w14:paraId="72EE4B69" w14:textId="77777777" w:rsidR="00D7609F" w:rsidRPr="0017405A" w:rsidRDefault="00D7609F" w:rsidP="003B0685">
            <w:pPr>
              <w:pStyle w:val="TableText"/>
              <w:keepNext/>
              <w:keepLines/>
              <w:spacing w:before="0" w:after="0"/>
              <w:jc w:val="center"/>
              <w:rPr>
                <w:b/>
                <w:szCs w:val="20"/>
              </w:rPr>
            </w:pPr>
          </w:p>
        </w:tc>
        <w:tc>
          <w:tcPr>
            <w:tcW w:w="606" w:type="pct"/>
            <w:shd w:val="clear" w:color="auto" w:fill="auto"/>
            <w:vAlign w:val="center"/>
          </w:tcPr>
          <w:p w14:paraId="3ACFDEF3" w14:textId="77777777" w:rsidR="00D7609F" w:rsidRPr="0017405A" w:rsidRDefault="00D7609F" w:rsidP="003B0685">
            <w:pPr>
              <w:pStyle w:val="TableText"/>
              <w:keepNext/>
              <w:keepLines/>
              <w:spacing w:before="0" w:after="0"/>
              <w:jc w:val="center"/>
              <w:rPr>
                <w:b/>
                <w:szCs w:val="20"/>
              </w:rPr>
            </w:pPr>
            <w:r w:rsidRPr="0017405A">
              <w:rPr>
                <w:b/>
                <w:szCs w:val="20"/>
              </w:rPr>
              <w:t>Year 1</w:t>
            </w:r>
          </w:p>
        </w:tc>
        <w:tc>
          <w:tcPr>
            <w:tcW w:w="607" w:type="pct"/>
            <w:shd w:val="clear" w:color="auto" w:fill="auto"/>
            <w:vAlign w:val="center"/>
          </w:tcPr>
          <w:p w14:paraId="53A8E804" w14:textId="77777777" w:rsidR="00D7609F" w:rsidRPr="0017405A" w:rsidRDefault="00D7609F" w:rsidP="003B0685">
            <w:pPr>
              <w:pStyle w:val="TableText"/>
              <w:keepNext/>
              <w:keepLines/>
              <w:spacing w:before="0" w:after="0"/>
              <w:jc w:val="center"/>
              <w:rPr>
                <w:b/>
                <w:szCs w:val="20"/>
              </w:rPr>
            </w:pPr>
            <w:r w:rsidRPr="0017405A">
              <w:rPr>
                <w:b/>
                <w:szCs w:val="20"/>
              </w:rPr>
              <w:t>Year 2</w:t>
            </w:r>
          </w:p>
        </w:tc>
        <w:tc>
          <w:tcPr>
            <w:tcW w:w="602" w:type="pct"/>
            <w:shd w:val="clear" w:color="auto" w:fill="auto"/>
            <w:vAlign w:val="center"/>
          </w:tcPr>
          <w:p w14:paraId="11D9D632" w14:textId="77777777" w:rsidR="00D7609F" w:rsidRPr="0017405A" w:rsidRDefault="00D7609F" w:rsidP="003B0685">
            <w:pPr>
              <w:pStyle w:val="TableText"/>
              <w:keepNext/>
              <w:keepLines/>
              <w:spacing w:before="0" w:after="0"/>
              <w:jc w:val="center"/>
              <w:rPr>
                <w:b/>
                <w:szCs w:val="20"/>
              </w:rPr>
            </w:pPr>
            <w:r w:rsidRPr="0017405A">
              <w:rPr>
                <w:b/>
                <w:szCs w:val="20"/>
              </w:rPr>
              <w:t>Year 3</w:t>
            </w:r>
          </w:p>
        </w:tc>
        <w:tc>
          <w:tcPr>
            <w:tcW w:w="611" w:type="pct"/>
            <w:shd w:val="clear" w:color="auto" w:fill="auto"/>
            <w:vAlign w:val="center"/>
          </w:tcPr>
          <w:p w14:paraId="6CFAEF7D" w14:textId="77777777" w:rsidR="00D7609F" w:rsidRPr="0017405A" w:rsidRDefault="00D7609F" w:rsidP="003B0685">
            <w:pPr>
              <w:pStyle w:val="TableText"/>
              <w:keepNext/>
              <w:keepLines/>
              <w:spacing w:before="0" w:after="0"/>
              <w:jc w:val="center"/>
              <w:rPr>
                <w:b/>
                <w:szCs w:val="20"/>
              </w:rPr>
            </w:pPr>
            <w:r w:rsidRPr="0017405A">
              <w:rPr>
                <w:b/>
                <w:szCs w:val="20"/>
              </w:rPr>
              <w:t>Year 4</w:t>
            </w:r>
          </w:p>
        </w:tc>
        <w:tc>
          <w:tcPr>
            <w:tcW w:w="606" w:type="pct"/>
            <w:shd w:val="clear" w:color="auto" w:fill="auto"/>
            <w:vAlign w:val="center"/>
          </w:tcPr>
          <w:p w14:paraId="71C27882" w14:textId="77777777" w:rsidR="00D7609F" w:rsidRPr="0017405A" w:rsidRDefault="00D7609F" w:rsidP="003B0685">
            <w:pPr>
              <w:pStyle w:val="TableText"/>
              <w:keepNext/>
              <w:keepLines/>
              <w:spacing w:before="0" w:after="0"/>
              <w:jc w:val="center"/>
              <w:rPr>
                <w:b/>
                <w:szCs w:val="20"/>
              </w:rPr>
            </w:pPr>
            <w:r w:rsidRPr="0017405A">
              <w:rPr>
                <w:b/>
                <w:szCs w:val="20"/>
              </w:rPr>
              <w:t>Year 5</w:t>
            </w:r>
          </w:p>
        </w:tc>
        <w:tc>
          <w:tcPr>
            <w:tcW w:w="606" w:type="pct"/>
          </w:tcPr>
          <w:p w14:paraId="4C95F4DC" w14:textId="77777777" w:rsidR="00D7609F" w:rsidRPr="0017405A" w:rsidRDefault="00D7609F" w:rsidP="003B0685">
            <w:pPr>
              <w:pStyle w:val="TableText"/>
              <w:keepNext/>
              <w:keepLines/>
              <w:spacing w:before="0" w:after="0"/>
              <w:jc w:val="center"/>
              <w:rPr>
                <w:b/>
                <w:szCs w:val="20"/>
              </w:rPr>
            </w:pPr>
            <w:r w:rsidRPr="0017405A">
              <w:rPr>
                <w:b/>
                <w:szCs w:val="20"/>
              </w:rPr>
              <w:t>Year 6</w:t>
            </w:r>
          </w:p>
        </w:tc>
      </w:tr>
      <w:tr w:rsidR="00D7609F" w:rsidRPr="0017405A" w14:paraId="0A8A352A" w14:textId="77777777" w:rsidTr="005A49F3">
        <w:tc>
          <w:tcPr>
            <w:tcW w:w="1361" w:type="pct"/>
            <w:shd w:val="clear" w:color="auto" w:fill="auto"/>
          </w:tcPr>
          <w:p w14:paraId="28DE20B9" w14:textId="77777777" w:rsidR="00D7609F" w:rsidRPr="0017405A" w:rsidRDefault="00D7609F" w:rsidP="003B0685">
            <w:pPr>
              <w:pStyle w:val="TableText"/>
              <w:keepNext/>
              <w:keepLines/>
              <w:spacing w:before="0" w:after="0"/>
              <w:rPr>
                <w:szCs w:val="20"/>
              </w:rPr>
            </w:pPr>
            <w:r w:rsidRPr="0017405A">
              <w:rPr>
                <w:szCs w:val="20"/>
              </w:rPr>
              <w:t>Projected SCC of the oral cavity, pharynx, larynx cancers (exclude nasopharyngeal)</w:t>
            </w:r>
          </w:p>
        </w:tc>
        <w:tc>
          <w:tcPr>
            <w:tcW w:w="606" w:type="pct"/>
            <w:shd w:val="clear" w:color="auto" w:fill="auto"/>
            <w:vAlign w:val="center"/>
          </w:tcPr>
          <w:p w14:paraId="6C9A23E8" w14:textId="13A7AB5A" w:rsidR="00D7609F" w:rsidRPr="004D52E1" w:rsidRDefault="009A1388" w:rsidP="003B0685">
            <w:pPr>
              <w:pStyle w:val="TableNumber"/>
              <w:keepNext/>
              <w:keepLines/>
              <w:spacing w:before="0" w:after="0"/>
              <w:rPr>
                <w:szCs w:val="20"/>
              </w:rPr>
            </w:pPr>
            <w:r w:rsidRPr="009A1388">
              <w:rPr>
                <w:rFonts w:eastAsia="Times New Roman" w:cs="Calibri" w:hint="eastAsia"/>
                <w:noProof/>
                <w:color w:val="000000"/>
                <w:w w:val="15"/>
                <w:szCs w:val="20"/>
                <w:shd w:val="solid" w:color="000000" w:fill="000000"/>
                <w:fitText w:val="40" w:id="-1500867057"/>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57"/>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57"/>
                <w:lang w:eastAsia="en-AU"/>
                <w14:textFill>
                  <w14:solidFill>
                    <w14:srgbClr w14:val="000000">
                      <w14:alpha w14:val="100000"/>
                    </w14:srgbClr>
                  </w14:solidFill>
                </w14:textFill>
              </w:rPr>
              <w:t xml:space="preserve">　</w:t>
            </w:r>
            <w:r w:rsidR="00E32A58" w:rsidRPr="00E32A58">
              <w:rPr>
                <w:rFonts w:eastAsia="Times New Roman" w:cs="Calibri"/>
                <w:color w:val="000000"/>
                <w:szCs w:val="20"/>
                <w:vertAlign w:val="superscript"/>
                <w:lang w:eastAsia="en-AU"/>
              </w:rPr>
              <w:t>1</w:t>
            </w:r>
          </w:p>
        </w:tc>
        <w:tc>
          <w:tcPr>
            <w:tcW w:w="607" w:type="pct"/>
            <w:shd w:val="clear" w:color="auto" w:fill="auto"/>
            <w:vAlign w:val="center"/>
          </w:tcPr>
          <w:p w14:paraId="70607F27" w14:textId="688FA724" w:rsidR="00D7609F" w:rsidRPr="004D52E1" w:rsidRDefault="009A1388" w:rsidP="003B0685">
            <w:pPr>
              <w:pStyle w:val="TableText"/>
              <w:keepNext/>
              <w:keepLines/>
              <w:tabs>
                <w:tab w:val="decimal" w:pos="396"/>
              </w:tabs>
              <w:spacing w:before="0" w:after="0"/>
              <w:jc w:val="center"/>
              <w:rPr>
                <w:szCs w:val="20"/>
              </w:rPr>
            </w:pPr>
            <w:r w:rsidRPr="009A1388">
              <w:rPr>
                <w:rFonts w:eastAsia="Times New Roman" w:cs="Calibri" w:hint="eastAsia"/>
                <w:noProof/>
                <w:color w:val="000000"/>
                <w:w w:val="15"/>
                <w:szCs w:val="20"/>
                <w:shd w:val="solid" w:color="000000" w:fill="000000"/>
                <w:fitText w:val="40" w:id="-1500867056"/>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56"/>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56"/>
                <w:lang w:eastAsia="en-AU"/>
                <w14:textFill>
                  <w14:solidFill>
                    <w14:srgbClr w14:val="000000">
                      <w14:alpha w14:val="100000"/>
                    </w14:srgbClr>
                  </w14:solidFill>
                </w14:textFill>
              </w:rPr>
              <w:t xml:space="preserve">　</w:t>
            </w:r>
            <w:r w:rsidR="00E32A58" w:rsidRPr="00E32A58">
              <w:rPr>
                <w:rFonts w:eastAsia="Times New Roman" w:cs="Calibri"/>
                <w:color w:val="000000"/>
                <w:szCs w:val="20"/>
                <w:vertAlign w:val="superscript"/>
                <w:lang w:eastAsia="en-AU"/>
              </w:rPr>
              <w:t>1</w:t>
            </w:r>
          </w:p>
        </w:tc>
        <w:tc>
          <w:tcPr>
            <w:tcW w:w="602" w:type="pct"/>
            <w:shd w:val="clear" w:color="auto" w:fill="auto"/>
            <w:vAlign w:val="center"/>
          </w:tcPr>
          <w:p w14:paraId="40FAEF62" w14:textId="7FD2EC9C" w:rsidR="00D7609F" w:rsidRPr="004D52E1" w:rsidRDefault="009A1388" w:rsidP="003B0685">
            <w:pPr>
              <w:pStyle w:val="TableText"/>
              <w:keepNext/>
              <w:keepLines/>
              <w:tabs>
                <w:tab w:val="decimal" w:pos="396"/>
              </w:tabs>
              <w:spacing w:before="0" w:after="0"/>
              <w:jc w:val="center"/>
              <w:rPr>
                <w:szCs w:val="20"/>
              </w:rPr>
            </w:pPr>
            <w:r w:rsidRPr="009A1388">
              <w:rPr>
                <w:rFonts w:eastAsia="Times New Roman" w:cs="Calibri" w:hint="eastAsia"/>
                <w:noProof/>
                <w:color w:val="000000"/>
                <w:w w:val="15"/>
                <w:szCs w:val="20"/>
                <w:shd w:val="solid" w:color="000000" w:fill="000000"/>
                <w:fitText w:val="30" w:id="-1500867072"/>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30" w:id="-1500867072"/>
                <w:lang w:eastAsia="en-AU"/>
                <w14:textFill>
                  <w14:solidFill>
                    <w14:srgbClr w14:val="000000">
                      <w14:alpha w14:val="100000"/>
                    </w14:srgbClr>
                  </w14:solidFill>
                </w14:textFill>
              </w:rPr>
              <w:t>|</w:t>
            </w:r>
            <w:r w:rsidRPr="009A1388">
              <w:rPr>
                <w:rFonts w:eastAsia="Times New Roman" w:cs="Calibri" w:hint="eastAsia"/>
                <w:noProof/>
                <w:color w:val="000000"/>
                <w:spacing w:val="-35"/>
                <w:w w:val="15"/>
                <w:szCs w:val="20"/>
                <w:shd w:val="solid" w:color="000000" w:fill="000000"/>
                <w:fitText w:val="30" w:id="-1500867072"/>
                <w:lang w:eastAsia="en-AU"/>
                <w14:textFill>
                  <w14:solidFill>
                    <w14:srgbClr w14:val="000000">
                      <w14:alpha w14:val="100000"/>
                    </w14:srgbClr>
                  </w14:solidFill>
                </w14:textFill>
              </w:rPr>
              <w:t xml:space="preserve">　</w:t>
            </w:r>
            <w:r w:rsidR="00E32A58" w:rsidRPr="00E32A58">
              <w:rPr>
                <w:rFonts w:eastAsia="Times New Roman" w:cs="Calibri"/>
                <w:color w:val="000000"/>
                <w:szCs w:val="20"/>
                <w:vertAlign w:val="superscript"/>
                <w:lang w:eastAsia="en-AU"/>
              </w:rPr>
              <w:t>1</w:t>
            </w:r>
          </w:p>
        </w:tc>
        <w:tc>
          <w:tcPr>
            <w:tcW w:w="611" w:type="pct"/>
            <w:shd w:val="clear" w:color="auto" w:fill="auto"/>
            <w:vAlign w:val="center"/>
          </w:tcPr>
          <w:p w14:paraId="75BE51F3" w14:textId="73E67152" w:rsidR="00D7609F" w:rsidRPr="004D52E1" w:rsidRDefault="009A1388" w:rsidP="003B0685">
            <w:pPr>
              <w:pStyle w:val="TableText"/>
              <w:keepNext/>
              <w:keepLines/>
              <w:tabs>
                <w:tab w:val="decimal" w:pos="396"/>
              </w:tabs>
              <w:spacing w:before="0" w:after="0"/>
              <w:jc w:val="center"/>
              <w:rPr>
                <w:szCs w:val="20"/>
              </w:rPr>
            </w:pPr>
            <w:r w:rsidRPr="009A1388">
              <w:rPr>
                <w:rFonts w:eastAsia="Times New Roman" w:cs="Calibri" w:hint="eastAsia"/>
                <w:noProof/>
                <w:color w:val="000000"/>
                <w:w w:val="15"/>
                <w:szCs w:val="20"/>
                <w:shd w:val="solid" w:color="000000" w:fill="000000"/>
                <w:fitText w:val="30" w:id="-1500867071"/>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30" w:id="-1500867071"/>
                <w:lang w:eastAsia="en-AU"/>
                <w14:textFill>
                  <w14:solidFill>
                    <w14:srgbClr w14:val="000000">
                      <w14:alpha w14:val="100000"/>
                    </w14:srgbClr>
                  </w14:solidFill>
                </w14:textFill>
              </w:rPr>
              <w:t>|</w:t>
            </w:r>
            <w:r w:rsidRPr="009A1388">
              <w:rPr>
                <w:rFonts w:eastAsia="Times New Roman" w:cs="Calibri" w:hint="eastAsia"/>
                <w:noProof/>
                <w:color w:val="000000"/>
                <w:spacing w:val="-35"/>
                <w:w w:val="15"/>
                <w:szCs w:val="20"/>
                <w:shd w:val="solid" w:color="000000" w:fill="000000"/>
                <w:fitText w:val="30" w:id="-1500867071"/>
                <w:lang w:eastAsia="en-AU"/>
                <w14:textFill>
                  <w14:solidFill>
                    <w14:srgbClr w14:val="000000">
                      <w14:alpha w14:val="100000"/>
                    </w14:srgbClr>
                  </w14:solidFill>
                </w14:textFill>
              </w:rPr>
              <w:t xml:space="preserve">　</w:t>
            </w:r>
            <w:r w:rsidR="00E32A58" w:rsidRPr="00E32A58">
              <w:rPr>
                <w:rFonts w:eastAsia="Times New Roman" w:cs="Calibri"/>
                <w:color w:val="000000"/>
                <w:szCs w:val="20"/>
                <w:vertAlign w:val="superscript"/>
                <w:lang w:eastAsia="en-AU"/>
              </w:rPr>
              <w:t>1</w:t>
            </w:r>
          </w:p>
        </w:tc>
        <w:tc>
          <w:tcPr>
            <w:tcW w:w="606" w:type="pct"/>
            <w:shd w:val="clear" w:color="auto" w:fill="auto"/>
            <w:vAlign w:val="center"/>
          </w:tcPr>
          <w:p w14:paraId="215ABED5" w14:textId="518E88C1" w:rsidR="00D7609F" w:rsidRPr="004D52E1" w:rsidRDefault="009A1388" w:rsidP="003B0685">
            <w:pPr>
              <w:pStyle w:val="TableText"/>
              <w:keepNext/>
              <w:keepLines/>
              <w:tabs>
                <w:tab w:val="decimal" w:pos="396"/>
              </w:tabs>
              <w:spacing w:before="0" w:after="0"/>
              <w:jc w:val="center"/>
              <w:rPr>
                <w:szCs w:val="20"/>
              </w:rPr>
            </w:pPr>
            <w:r w:rsidRPr="009A1388">
              <w:rPr>
                <w:rFonts w:eastAsia="Times New Roman" w:cs="Calibri" w:hint="eastAsia"/>
                <w:noProof/>
                <w:color w:val="000000"/>
                <w:w w:val="15"/>
                <w:szCs w:val="20"/>
                <w:shd w:val="solid" w:color="000000" w:fill="000000"/>
                <w:fitText w:val="40" w:id="-1500867070"/>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70"/>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70"/>
                <w:lang w:eastAsia="en-AU"/>
                <w14:textFill>
                  <w14:solidFill>
                    <w14:srgbClr w14:val="000000">
                      <w14:alpha w14:val="100000"/>
                    </w14:srgbClr>
                  </w14:solidFill>
                </w14:textFill>
              </w:rPr>
              <w:t xml:space="preserve">　</w:t>
            </w:r>
            <w:r w:rsidR="00E32A58" w:rsidRPr="00E32A58">
              <w:rPr>
                <w:rFonts w:eastAsia="Times New Roman" w:cs="Calibri"/>
                <w:color w:val="000000"/>
                <w:szCs w:val="20"/>
                <w:vertAlign w:val="superscript"/>
                <w:lang w:eastAsia="en-AU"/>
              </w:rPr>
              <w:t>1</w:t>
            </w:r>
          </w:p>
        </w:tc>
        <w:tc>
          <w:tcPr>
            <w:tcW w:w="606" w:type="pct"/>
            <w:vAlign w:val="center"/>
          </w:tcPr>
          <w:p w14:paraId="3157A60E" w14:textId="2C1345DA" w:rsidR="00D7609F" w:rsidRPr="004D52E1" w:rsidRDefault="009A1388" w:rsidP="003B0685">
            <w:pPr>
              <w:pStyle w:val="TableText"/>
              <w:keepNext/>
              <w:keepLines/>
              <w:tabs>
                <w:tab w:val="decimal" w:pos="396"/>
              </w:tabs>
              <w:spacing w:before="0" w:after="0"/>
              <w:jc w:val="center"/>
              <w:rPr>
                <w:szCs w:val="20"/>
              </w:rPr>
            </w:pPr>
            <w:r w:rsidRPr="009A1388">
              <w:rPr>
                <w:rFonts w:eastAsia="Times New Roman" w:cs="Calibri" w:hint="eastAsia"/>
                <w:noProof/>
                <w:color w:val="000000"/>
                <w:w w:val="15"/>
                <w:szCs w:val="20"/>
                <w:shd w:val="solid" w:color="000000" w:fill="000000"/>
                <w:fitText w:val="40" w:id="-1500867069"/>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69"/>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69"/>
                <w:lang w:eastAsia="en-AU"/>
                <w14:textFill>
                  <w14:solidFill>
                    <w14:srgbClr w14:val="000000">
                      <w14:alpha w14:val="100000"/>
                    </w14:srgbClr>
                  </w14:solidFill>
                </w14:textFill>
              </w:rPr>
              <w:t xml:space="preserve">　</w:t>
            </w:r>
            <w:r w:rsidR="00E32A58" w:rsidRPr="00E32A58">
              <w:rPr>
                <w:rFonts w:eastAsia="Times New Roman" w:cs="Calibri"/>
                <w:color w:val="000000"/>
                <w:szCs w:val="20"/>
                <w:vertAlign w:val="superscript"/>
                <w:lang w:eastAsia="en-AU"/>
              </w:rPr>
              <w:t>1</w:t>
            </w:r>
          </w:p>
        </w:tc>
      </w:tr>
      <w:tr w:rsidR="00D7609F" w:rsidRPr="0017405A" w14:paraId="1EF48F20" w14:textId="77777777" w:rsidTr="005A49F3">
        <w:tc>
          <w:tcPr>
            <w:tcW w:w="5000" w:type="pct"/>
            <w:gridSpan w:val="7"/>
            <w:shd w:val="clear" w:color="auto" w:fill="auto"/>
            <w:vAlign w:val="center"/>
          </w:tcPr>
          <w:p w14:paraId="73264A12" w14:textId="77777777" w:rsidR="00D7609F" w:rsidRPr="0017405A" w:rsidRDefault="00D7609F" w:rsidP="003B0685">
            <w:pPr>
              <w:pStyle w:val="TableText"/>
              <w:keepNext/>
              <w:keepLines/>
              <w:spacing w:before="0" w:after="0"/>
              <w:rPr>
                <w:b/>
                <w:szCs w:val="20"/>
              </w:rPr>
            </w:pPr>
            <w:r w:rsidRPr="0017405A">
              <w:rPr>
                <w:b/>
                <w:szCs w:val="20"/>
              </w:rPr>
              <w:t xml:space="preserve">Estimated extent of use of pembrolizumab (R/M SCC of oral cavity, </w:t>
            </w:r>
            <w:proofErr w:type="gramStart"/>
            <w:r w:rsidRPr="0017405A">
              <w:rPr>
                <w:b/>
                <w:szCs w:val="20"/>
              </w:rPr>
              <w:t>pharynx</w:t>
            </w:r>
            <w:proofErr w:type="gramEnd"/>
            <w:r w:rsidRPr="0017405A">
              <w:rPr>
                <w:b/>
                <w:szCs w:val="20"/>
              </w:rPr>
              <w:t xml:space="preserve"> or larynx, ECOG 0-1, </w:t>
            </w:r>
            <w:r w:rsidR="002B1C15" w:rsidRPr="0017405A">
              <w:rPr>
                <w:b/>
                <w:szCs w:val="20"/>
              </w:rPr>
              <w:t>CPS ≥1</w:t>
            </w:r>
            <w:r w:rsidRPr="0017405A">
              <w:rPr>
                <w:b/>
                <w:szCs w:val="20"/>
              </w:rPr>
              <w:t>)</w:t>
            </w:r>
          </w:p>
        </w:tc>
      </w:tr>
      <w:tr w:rsidR="00D7609F" w:rsidRPr="0017405A" w14:paraId="58334D14" w14:textId="77777777" w:rsidTr="005A49F3">
        <w:tc>
          <w:tcPr>
            <w:tcW w:w="1361" w:type="pct"/>
            <w:shd w:val="clear" w:color="auto" w:fill="auto"/>
            <w:vAlign w:val="center"/>
          </w:tcPr>
          <w:p w14:paraId="27237866" w14:textId="77777777" w:rsidR="00D7609F" w:rsidRPr="0017405A" w:rsidRDefault="00D7609F" w:rsidP="003B0685">
            <w:pPr>
              <w:pStyle w:val="TableText"/>
              <w:keepNext/>
              <w:keepLines/>
              <w:spacing w:before="0" w:after="0"/>
              <w:rPr>
                <w:rFonts w:eastAsia="Times New Roman" w:cs="Times New Roman"/>
                <w:szCs w:val="20"/>
              </w:rPr>
            </w:pPr>
            <w:r w:rsidRPr="0017405A">
              <w:rPr>
                <w:rFonts w:eastAsia="Times New Roman" w:cs="Times New Roman"/>
                <w:szCs w:val="20"/>
              </w:rPr>
              <w:t>Population 1: HPV positive oral pharyngeal carcinoma</w:t>
            </w:r>
          </w:p>
        </w:tc>
        <w:tc>
          <w:tcPr>
            <w:tcW w:w="606" w:type="pct"/>
            <w:shd w:val="clear" w:color="auto" w:fill="auto"/>
            <w:vAlign w:val="center"/>
          </w:tcPr>
          <w:p w14:paraId="16CE9642" w14:textId="43CCB083"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68"/>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68"/>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68"/>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7" w:type="pct"/>
            <w:shd w:val="clear" w:color="auto" w:fill="auto"/>
            <w:vAlign w:val="center"/>
          </w:tcPr>
          <w:p w14:paraId="0E67141B" w14:textId="36729E2F"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67"/>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67"/>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67"/>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2" w:type="pct"/>
            <w:shd w:val="clear" w:color="auto" w:fill="auto"/>
            <w:vAlign w:val="center"/>
          </w:tcPr>
          <w:p w14:paraId="237B1724" w14:textId="7DFE7BAC"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30" w:id="-1500867066"/>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30" w:id="-1500867066"/>
                <w14:textFill>
                  <w14:solidFill>
                    <w14:srgbClr w14:val="000000">
                      <w14:alpha w14:val="100000"/>
                    </w14:srgbClr>
                  </w14:solidFill>
                </w14:textFill>
              </w:rPr>
              <w:t>|</w:t>
            </w:r>
            <w:r w:rsidRPr="009A1388">
              <w:rPr>
                <w:rFonts w:cs="Calibri" w:hint="eastAsia"/>
                <w:noProof/>
                <w:color w:val="000000"/>
                <w:spacing w:val="-35"/>
                <w:w w:val="15"/>
                <w:szCs w:val="20"/>
                <w:shd w:val="solid" w:color="000000" w:fill="000000"/>
                <w:fitText w:val="30" w:id="-1500867066"/>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11" w:type="pct"/>
            <w:shd w:val="clear" w:color="auto" w:fill="auto"/>
            <w:vAlign w:val="center"/>
          </w:tcPr>
          <w:p w14:paraId="443396EC" w14:textId="6D22F347"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30" w:id="-1500867065"/>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30" w:id="-1500867065"/>
                <w14:textFill>
                  <w14:solidFill>
                    <w14:srgbClr w14:val="000000">
                      <w14:alpha w14:val="100000"/>
                    </w14:srgbClr>
                  </w14:solidFill>
                </w14:textFill>
              </w:rPr>
              <w:t>|</w:t>
            </w:r>
            <w:r w:rsidRPr="009A1388">
              <w:rPr>
                <w:rFonts w:cs="Calibri" w:hint="eastAsia"/>
                <w:noProof/>
                <w:color w:val="000000"/>
                <w:spacing w:val="-35"/>
                <w:w w:val="15"/>
                <w:szCs w:val="20"/>
                <w:shd w:val="solid" w:color="000000" w:fill="000000"/>
                <w:fitText w:val="30" w:id="-1500867065"/>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6" w:type="pct"/>
            <w:shd w:val="clear" w:color="auto" w:fill="auto"/>
            <w:vAlign w:val="center"/>
          </w:tcPr>
          <w:p w14:paraId="0A31A338" w14:textId="0408017B"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64"/>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64"/>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64"/>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6" w:type="pct"/>
            <w:vAlign w:val="center"/>
          </w:tcPr>
          <w:p w14:paraId="2D4F59C3" w14:textId="7A98304E"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63"/>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63"/>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63"/>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r>
      <w:tr w:rsidR="00D7609F" w:rsidRPr="0017405A" w14:paraId="1A851EA1" w14:textId="77777777" w:rsidTr="005A49F3">
        <w:tc>
          <w:tcPr>
            <w:tcW w:w="1361" w:type="pct"/>
            <w:shd w:val="clear" w:color="auto" w:fill="auto"/>
            <w:vAlign w:val="center"/>
          </w:tcPr>
          <w:p w14:paraId="4320DDCB" w14:textId="77777777" w:rsidR="00D7609F" w:rsidRPr="0017405A" w:rsidRDefault="00D7609F" w:rsidP="003B0685">
            <w:pPr>
              <w:pStyle w:val="TableText"/>
              <w:keepNext/>
              <w:keepLines/>
              <w:spacing w:before="0" w:after="0"/>
              <w:rPr>
                <w:rFonts w:eastAsia="Times New Roman" w:cs="Times New Roman"/>
                <w:szCs w:val="20"/>
              </w:rPr>
            </w:pPr>
            <w:r w:rsidRPr="0017405A">
              <w:rPr>
                <w:rFonts w:eastAsia="Times New Roman" w:cs="Times New Roman"/>
                <w:szCs w:val="20"/>
              </w:rPr>
              <w:t>Population 2: Patients recurrent from HPV negative HNSCC</w:t>
            </w:r>
          </w:p>
        </w:tc>
        <w:tc>
          <w:tcPr>
            <w:tcW w:w="606" w:type="pct"/>
            <w:shd w:val="clear" w:color="auto" w:fill="auto"/>
            <w:vAlign w:val="center"/>
          </w:tcPr>
          <w:p w14:paraId="5EE9934E" w14:textId="0D07E7B2"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62"/>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62"/>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62"/>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7" w:type="pct"/>
            <w:shd w:val="clear" w:color="auto" w:fill="auto"/>
            <w:vAlign w:val="center"/>
          </w:tcPr>
          <w:p w14:paraId="41C4FA04" w14:textId="442AE5F2"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61"/>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61"/>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61"/>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2" w:type="pct"/>
            <w:shd w:val="clear" w:color="auto" w:fill="auto"/>
            <w:vAlign w:val="center"/>
          </w:tcPr>
          <w:p w14:paraId="3CB84DC2" w14:textId="465DB4C0"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30" w:id="-1500867060"/>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30" w:id="-1500867060"/>
                <w14:textFill>
                  <w14:solidFill>
                    <w14:srgbClr w14:val="000000">
                      <w14:alpha w14:val="100000"/>
                    </w14:srgbClr>
                  </w14:solidFill>
                </w14:textFill>
              </w:rPr>
              <w:t>|</w:t>
            </w:r>
            <w:r w:rsidRPr="009A1388">
              <w:rPr>
                <w:rFonts w:cs="Calibri" w:hint="eastAsia"/>
                <w:noProof/>
                <w:color w:val="000000"/>
                <w:spacing w:val="-35"/>
                <w:w w:val="15"/>
                <w:szCs w:val="20"/>
                <w:shd w:val="solid" w:color="000000" w:fill="000000"/>
                <w:fitText w:val="30" w:id="-1500867060"/>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11" w:type="pct"/>
            <w:shd w:val="clear" w:color="auto" w:fill="auto"/>
            <w:vAlign w:val="center"/>
          </w:tcPr>
          <w:p w14:paraId="058BF14F" w14:textId="376A838F"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30" w:id="-1500867059"/>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30" w:id="-1500867059"/>
                <w14:textFill>
                  <w14:solidFill>
                    <w14:srgbClr w14:val="000000">
                      <w14:alpha w14:val="100000"/>
                    </w14:srgbClr>
                  </w14:solidFill>
                </w14:textFill>
              </w:rPr>
              <w:t>|</w:t>
            </w:r>
            <w:r w:rsidRPr="009A1388">
              <w:rPr>
                <w:rFonts w:cs="Calibri" w:hint="eastAsia"/>
                <w:noProof/>
                <w:color w:val="000000"/>
                <w:spacing w:val="-35"/>
                <w:w w:val="15"/>
                <w:szCs w:val="20"/>
                <w:shd w:val="solid" w:color="000000" w:fill="000000"/>
                <w:fitText w:val="30" w:id="-1500867059"/>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6" w:type="pct"/>
            <w:shd w:val="clear" w:color="auto" w:fill="auto"/>
            <w:vAlign w:val="center"/>
          </w:tcPr>
          <w:p w14:paraId="64B51167" w14:textId="1DAD2D05"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58"/>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58"/>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58"/>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6" w:type="pct"/>
            <w:vAlign w:val="center"/>
          </w:tcPr>
          <w:p w14:paraId="116994FB" w14:textId="28DA1077" w:rsidR="00D7609F" w:rsidRPr="004D52E1" w:rsidRDefault="009A1388" w:rsidP="003B0685">
            <w:pPr>
              <w:pStyle w:val="TableText"/>
              <w:keepNext/>
              <w:keepLines/>
              <w:spacing w:before="0" w:after="0"/>
              <w:jc w:val="center"/>
              <w:rPr>
                <w:szCs w:val="20"/>
              </w:rPr>
            </w:pPr>
            <w:r w:rsidRPr="009A1388">
              <w:rPr>
                <w:rFonts w:cs="Calibri" w:hint="eastAsia"/>
                <w:noProof/>
                <w:color w:val="000000"/>
                <w:w w:val="15"/>
                <w:szCs w:val="20"/>
                <w:shd w:val="solid" w:color="000000" w:fill="000000"/>
                <w:fitText w:val="40" w:id="-1500867057"/>
                <w14:textFill>
                  <w14:solidFill>
                    <w14:srgbClr w14:val="000000">
                      <w14:alpha w14:val="100000"/>
                    </w14:srgbClr>
                  </w14:solidFill>
                </w14:textFill>
              </w:rPr>
              <w:t xml:space="preserve">　</w:t>
            </w:r>
            <w:r w:rsidRPr="009A1388">
              <w:rPr>
                <w:rFonts w:cs="Calibri"/>
                <w:noProof/>
                <w:color w:val="000000"/>
                <w:w w:val="15"/>
                <w:szCs w:val="20"/>
                <w:shd w:val="solid" w:color="000000" w:fill="000000"/>
                <w:fitText w:val="40" w:id="-1500867057"/>
                <w14:textFill>
                  <w14:solidFill>
                    <w14:srgbClr w14:val="000000">
                      <w14:alpha w14:val="100000"/>
                    </w14:srgbClr>
                  </w14:solidFill>
                </w14:textFill>
              </w:rPr>
              <w:t>|</w:t>
            </w:r>
            <w:r w:rsidRPr="009A1388">
              <w:rPr>
                <w:rFonts w:cs="Calibri" w:hint="eastAsia"/>
                <w:noProof/>
                <w:color w:val="000000"/>
                <w:spacing w:val="-25"/>
                <w:w w:val="15"/>
                <w:szCs w:val="20"/>
                <w:shd w:val="solid" w:color="000000" w:fill="000000"/>
                <w:fitText w:val="40" w:id="-1500867057"/>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r>
      <w:tr w:rsidR="00D7609F" w:rsidRPr="0017405A" w14:paraId="4A94E40A" w14:textId="77777777" w:rsidTr="005A49F3">
        <w:tc>
          <w:tcPr>
            <w:tcW w:w="1361" w:type="pct"/>
            <w:shd w:val="clear" w:color="auto" w:fill="auto"/>
            <w:vAlign w:val="center"/>
          </w:tcPr>
          <w:p w14:paraId="7FF4B7DD" w14:textId="77777777" w:rsidR="00D7609F" w:rsidRPr="0017405A" w:rsidRDefault="00D7609F" w:rsidP="003B0685">
            <w:pPr>
              <w:pStyle w:val="TableText"/>
              <w:keepNext/>
              <w:keepLines/>
              <w:spacing w:before="0" w:after="0"/>
              <w:rPr>
                <w:szCs w:val="20"/>
              </w:rPr>
            </w:pPr>
            <w:r w:rsidRPr="0017405A">
              <w:rPr>
                <w:szCs w:val="20"/>
              </w:rPr>
              <w:t xml:space="preserve">Population 3: Patients diagnosed at stage </w:t>
            </w:r>
            <w:proofErr w:type="spellStart"/>
            <w:r w:rsidRPr="0017405A">
              <w:rPr>
                <w:szCs w:val="20"/>
              </w:rPr>
              <w:t>IVc</w:t>
            </w:r>
            <w:proofErr w:type="spellEnd"/>
          </w:p>
        </w:tc>
        <w:tc>
          <w:tcPr>
            <w:tcW w:w="606" w:type="pct"/>
            <w:shd w:val="clear" w:color="auto" w:fill="auto"/>
            <w:vAlign w:val="center"/>
          </w:tcPr>
          <w:p w14:paraId="6A3E8E05" w14:textId="56D92BB2" w:rsidR="00D7609F" w:rsidRPr="004D52E1" w:rsidRDefault="009A1388" w:rsidP="003B0685">
            <w:pPr>
              <w:pStyle w:val="TableText"/>
              <w:keepNext/>
              <w:keepLines/>
              <w:spacing w:before="0" w:after="0"/>
              <w:jc w:val="center"/>
              <w:rPr>
                <w:szCs w:val="20"/>
              </w:rPr>
            </w:pPr>
            <w:r w:rsidRPr="009A1388">
              <w:rPr>
                <w:rFonts w:eastAsia="Times New Roman" w:cs="Calibri" w:hint="eastAsia"/>
                <w:noProof/>
                <w:color w:val="000000"/>
                <w:w w:val="15"/>
                <w:szCs w:val="20"/>
                <w:shd w:val="solid" w:color="000000" w:fill="000000"/>
                <w:fitText w:val="40" w:id="-1500867056"/>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56"/>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56"/>
                <w:lang w:eastAsia="en-AU"/>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7" w:type="pct"/>
            <w:shd w:val="clear" w:color="auto" w:fill="auto"/>
            <w:vAlign w:val="center"/>
          </w:tcPr>
          <w:p w14:paraId="7CDB5604" w14:textId="444B0F60" w:rsidR="00D7609F" w:rsidRPr="004D52E1" w:rsidRDefault="009A1388" w:rsidP="003B0685">
            <w:pPr>
              <w:pStyle w:val="TableText"/>
              <w:keepNext/>
              <w:keepLines/>
              <w:spacing w:before="0" w:after="0"/>
              <w:jc w:val="center"/>
              <w:rPr>
                <w:szCs w:val="20"/>
              </w:rPr>
            </w:pPr>
            <w:r w:rsidRPr="009A1388">
              <w:rPr>
                <w:rFonts w:eastAsia="Times New Roman" w:cs="Calibri" w:hint="eastAsia"/>
                <w:noProof/>
                <w:color w:val="000000"/>
                <w:w w:val="15"/>
                <w:szCs w:val="20"/>
                <w:shd w:val="solid" w:color="000000" w:fill="000000"/>
                <w:fitText w:val="40" w:id="-1500867072"/>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72"/>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72"/>
                <w:lang w:eastAsia="en-AU"/>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2" w:type="pct"/>
            <w:shd w:val="clear" w:color="auto" w:fill="auto"/>
            <w:vAlign w:val="center"/>
          </w:tcPr>
          <w:p w14:paraId="057FCF7E" w14:textId="24F714BB" w:rsidR="00D7609F" w:rsidRPr="004D52E1" w:rsidRDefault="009A1388" w:rsidP="003B0685">
            <w:pPr>
              <w:pStyle w:val="TableText"/>
              <w:keepNext/>
              <w:keepLines/>
              <w:spacing w:before="0" w:after="0"/>
              <w:jc w:val="center"/>
              <w:rPr>
                <w:szCs w:val="20"/>
              </w:rPr>
            </w:pPr>
            <w:r w:rsidRPr="009A1388">
              <w:rPr>
                <w:rFonts w:eastAsia="Times New Roman" w:cs="Calibri" w:hint="eastAsia"/>
                <w:noProof/>
                <w:color w:val="000000"/>
                <w:w w:val="15"/>
                <w:szCs w:val="20"/>
                <w:shd w:val="solid" w:color="000000" w:fill="000000"/>
                <w:fitText w:val="30" w:id="-1500867071"/>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30" w:id="-1500867071"/>
                <w:lang w:eastAsia="en-AU"/>
                <w14:textFill>
                  <w14:solidFill>
                    <w14:srgbClr w14:val="000000">
                      <w14:alpha w14:val="100000"/>
                    </w14:srgbClr>
                  </w14:solidFill>
                </w14:textFill>
              </w:rPr>
              <w:t>|</w:t>
            </w:r>
            <w:r w:rsidRPr="009A1388">
              <w:rPr>
                <w:rFonts w:eastAsia="Times New Roman" w:cs="Calibri" w:hint="eastAsia"/>
                <w:noProof/>
                <w:color w:val="000000"/>
                <w:spacing w:val="-35"/>
                <w:w w:val="15"/>
                <w:szCs w:val="20"/>
                <w:shd w:val="solid" w:color="000000" w:fill="000000"/>
                <w:fitText w:val="30" w:id="-1500867071"/>
                <w:lang w:eastAsia="en-AU"/>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11" w:type="pct"/>
            <w:shd w:val="clear" w:color="auto" w:fill="auto"/>
            <w:vAlign w:val="center"/>
          </w:tcPr>
          <w:p w14:paraId="1347C7F4" w14:textId="22145393" w:rsidR="00D7609F" w:rsidRPr="004D52E1" w:rsidRDefault="009A1388" w:rsidP="003B0685">
            <w:pPr>
              <w:pStyle w:val="TableText"/>
              <w:keepNext/>
              <w:keepLines/>
              <w:spacing w:before="0" w:after="0"/>
              <w:jc w:val="center"/>
              <w:rPr>
                <w:szCs w:val="20"/>
              </w:rPr>
            </w:pPr>
            <w:r w:rsidRPr="009A1388">
              <w:rPr>
                <w:rFonts w:eastAsia="Times New Roman" w:cs="Calibri" w:hint="eastAsia"/>
                <w:noProof/>
                <w:color w:val="000000"/>
                <w:w w:val="15"/>
                <w:szCs w:val="20"/>
                <w:shd w:val="solid" w:color="000000" w:fill="000000"/>
                <w:fitText w:val="30" w:id="-1500867070"/>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30" w:id="-1500867070"/>
                <w:lang w:eastAsia="en-AU"/>
                <w14:textFill>
                  <w14:solidFill>
                    <w14:srgbClr w14:val="000000">
                      <w14:alpha w14:val="100000"/>
                    </w14:srgbClr>
                  </w14:solidFill>
                </w14:textFill>
              </w:rPr>
              <w:t>|</w:t>
            </w:r>
            <w:r w:rsidRPr="009A1388">
              <w:rPr>
                <w:rFonts w:eastAsia="Times New Roman" w:cs="Calibri" w:hint="eastAsia"/>
                <w:noProof/>
                <w:color w:val="000000"/>
                <w:spacing w:val="-35"/>
                <w:w w:val="15"/>
                <w:szCs w:val="20"/>
                <w:shd w:val="solid" w:color="000000" w:fill="000000"/>
                <w:fitText w:val="30" w:id="-1500867070"/>
                <w:lang w:eastAsia="en-AU"/>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6" w:type="pct"/>
            <w:shd w:val="clear" w:color="auto" w:fill="auto"/>
            <w:vAlign w:val="center"/>
          </w:tcPr>
          <w:p w14:paraId="43CE9170" w14:textId="10D6BCE9" w:rsidR="00D7609F" w:rsidRPr="004D52E1" w:rsidRDefault="009A1388" w:rsidP="003B0685">
            <w:pPr>
              <w:pStyle w:val="TableText"/>
              <w:keepNext/>
              <w:keepLines/>
              <w:spacing w:before="0" w:after="0"/>
              <w:jc w:val="center"/>
              <w:rPr>
                <w:szCs w:val="20"/>
              </w:rPr>
            </w:pPr>
            <w:r w:rsidRPr="009A1388">
              <w:rPr>
                <w:rFonts w:eastAsia="Times New Roman" w:cs="Calibri" w:hint="eastAsia"/>
                <w:noProof/>
                <w:color w:val="000000"/>
                <w:w w:val="15"/>
                <w:szCs w:val="20"/>
                <w:shd w:val="solid" w:color="000000" w:fill="000000"/>
                <w:fitText w:val="40" w:id="-1500867069"/>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69"/>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69"/>
                <w:lang w:eastAsia="en-AU"/>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6" w:type="pct"/>
            <w:vAlign w:val="center"/>
          </w:tcPr>
          <w:p w14:paraId="66AE5F8F" w14:textId="2F8C407E" w:rsidR="00D7609F" w:rsidRPr="004D52E1" w:rsidRDefault="009A1388" w:rsidP="003B0685">
            <w:pPr>
              <w:pStyle w:val="TableText"/>
              <w:keepNext/>
              <w:keepLines/>
              <w:spacing w:before="0" w:after="0"/>
              <w:jc w:val="center"/>
              <w:rPr>
                <w:szCs w:val="20"/>
              </w:rPr>
            </w:pPr>
            <w:r w:rsidRPr="009A1388">
              <w:rPr>
                <w:rFonts w:eastAsia="Times New Roman" w:cs="Calibri" w:hint="eastAsia"/>
                <w:noProof/>
                <w:color w:val="000000"/>
                <w:w w:val="15"/>
                <w:szCs w:val="20"/>
                <w:shd w:val="solid" w:color="000000" w:fill="000000"/>
                <w:fitText w:val="40" w:id="-1500867068"/>
                <w:lang w:eastAsia="en-AU"/>
                <w14:textFill>
                  <w14:solidFill>
                    <w14:srgbClr w14:val="000000">
                      <w14:alpha w14:val="100000"/>
                    </w14:srgbClr>
                  </w14:solidFill>
                </w14:textFill>
              </w:rPr>
              <w:t xml:space="preserve">　</w:t>
            </w:r>
            <w:r w:rsidRPr="009A1388">
              <w:rPr>
                <w:rFonts w:eastAsia="Times New Roman" w:cs="Calibri"/>
                <w:noProof/>
                <w:color w:val="000000"/>
                <w:w w:val="15"/>
                <w:szCs w:val="20"/>
                <w:shd w:val="solid" w:color="000000" w:fill="000000"/>
                <w:fitText w:val="40" w:id="-1500867068"/>
                <w:lang w:eastAsia="en-AU"/>
                <w14:textFill>
                  <w14:solidFill>
                    <w14:srgbClr w14:val="000000">
                      <w14:alpha w14:val="100000"/>
                    </w14:srgbClr>
                  </w14:solidFill>
                </w14:textFill>
              </w:rPr>
              <w:t>|</w:t>
            </w:r>
            <w:r w:rsidRPr="009A1388">
              <w:rPr>
                <w:rFonts w:eastAsia="Times New Roman" w:cs="Calibri" w:hint="eastAsia"/>
                <w:noProof/>
                <w:color w:val="000000"/>
                <w:spacing w:val="-25"/>
                <w:w w:val="15"/>
                <w:szCs w:val="20"/>
                <w:shd w:val="solid" w:color="000000" w:fill="000000"/>
                <w:fitText w:val="40" w:id="-1500867068"/>
                <w:lang w:eastAsia="en-AU"/>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r>
      <w:tr w:rsidR="00D7609F" w:rsidRPr="0017405A" w14:paraId="693D3F54" w14:textId="77777777" w:rsidTr="005A49F3">
        <w:tc>
          <w:tcPr>
            <w:tcW w:w="1361" w:type="pct"/>
            <w:shd w:val="clear" w:color="auto" w:fill="auto"/>
            <w:vAlign w:val="center"/>
          </w:tcPr>
          <w:p w14:paraId="4CFD2D79" w14:textId="77777777" w:rsidR="00D7609F" w:rsidRPr="0017405A" w:rsidRDefault="00D7609F" w:rsidP="003B0685">
            <w:pPr>
              <w:pStyle w:val="TableText"/>
              <w:keepNext/>
              <w:keepLines/>
              <w:spacing w:before="0" w:after="0"/>
              <w:rPr>
                <w:szCs w:val="20"/>
              </w:rPr>
            </w:pPr>
            <w:r w:rsidRPr="0017405A">
              <w:rPr>
                <w:szCs w:val="20"/>
              </w:rPr>
              <w:t>Population 4: prevalent R/M HNSCC patients (not currently treated with pembrolizumab)</w:t>
            </w:r>
          </w:p>
        </w:tc>
        <w:tc>
          <w:tcPr>
            <w:tcW w:w="606" w:type="pct"/>
            <w:shd w:val="clear" w:color="auto" w:fill="auto"/>
            <w:vAlign w:val="center"/>
          </w:tcPr>
          <w:p w14:paraId="27C64CA1" w14:textId="3F2100A1"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40" w:id="-1500867067"/>
                <w14:textFill>
                  <w14:solidFill>
                    <w14:srgbClr w14:val="000000">
                      <w14:alpha w14:val="100000"/>
                    </w14:srgbClr>
                  </w14:solidFill>
                </w14:textFill>
              </w:rPr>
              <w:t xml:space="preserve">　</w:t>
            </w:r>
            <w:r w:rsidRPr="009A1388">
              <w:rPr>
                <w:noProof/>
                <w:color w:val="000000"/>
                <w:w w:val="15"/>
                <w:szCs w:val="20"/>
                <w:shd w:val="solid" w:color="000000" w:fill="000000"/>
                <w:fitText w:val="40" w:id="-1500867067"/>
                <w14:textFill>
                  <w14:solidFill>
                    <w14:srgbClr w14:val="000000">
                      <w14:alpha w14:val="100000"/>
                    </w14:srgbClr>
                  </w14:solidFill>
                </w14:textFill>
              </w:rPr>
              <w:t>|</w:t>
            </w:r>
            <w:r w:rsidRPr="009A1388">
              <w:rPr>
                <w:rFonts w:hint="eastAsia"/>
                <w:noProof/>
                <w:color w:val="000000"/>
                <w:spacing w:val="-25"/>
                <w:w w:val="15"/>
                <w:szCs w:val="20"/>
                <w:shd w:val="solid" w:color="000000" w:fill="000000"/>
                <w:fitText w:val="40" w:id="-1500867067"/>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7" w:type="pct"/>
            <w:shd w:val="clear" w:color="auto" w:fill="auto"/>
            <w:vAlign w:val="center"/>
          </w:tcPr>
          <w:p w14:paraId="7D7695E0"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2" w:type="pct"/>
            <w:shd w:val="clear" w:color="auto" w:fill="auto"/>
            <w:vAlign w:val="center"/>
          </w:tcPr>
          <w:p w14:paraId="4960A6F7"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11" w:type="pct"/>
            <w:shd w:val="clear" w:color="auto" w:fill="auto"/>
            <w:vAlign w:val="center"/>
          </w:tcPr>
          <w:p w14:paraId="1BF21D7C"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shd w:val="clear" w:color="auto" w:fill="auto"/>
            <w:vAlign w:val="center"/>
          </w:tcPr>
          <w:p w14:paraId="3261EA06"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vAlign w:val="center"/>
          </w:tcPr>
          <w:p w14:paraId="715BC90F" w14:textId="77777777" w:rsidR="00D7609F" w:rsidRPr="0017405A" w:rsidRDefault="00D7609F" w:rsidP="003B0685">
            <w:pPr>
              <w:pStyle w:val="TableText"/>
              <w:keepNext/>
              <w:keepLines/>
              <w:spacing w:before="0" w:after="0"/>
              <w:jc w:val="center"/>
              <w:rPr>
                <w:szCs w:val="20"/>
              </w:rPr>
            </w:pPr>
            <w:r w:rsidRPr="0017405A">
              <w:rPr>
                <w:szCs w:val="20"/>
              </w:rPr>
              <w:t>-</w:t>
            </w:r>
          </w:p>
        </w:tc>
      </w:tr>
      <w:tr w:rsidR="00D7609F" w:rsidRPr="0017405A" w14:paraId="23DE0D83" w14:textId="77777777" w:rsidTr="005A49F3">
        <w:tc>
          <w:tcPr>
            <w:tcW w:w="1361" w:type="pct"/>
            <w:shd w:val="clear" w:color="auto" w:fill="auto"/>
            <w:vAlign w:val="center"/>
          </w:tcPr>
          <w:p w14:paraId="6DB37585" w14:textId="77777777" w:rsidR="00D7609F" w:rsidRPr="0017405A" w:rsidRDefault="00D7609F" w:rsidP="003B0685">
            <w:pPr>
              <w:pStyle w:val="TableText"/>
              <w:keepNext/>
              <w:keepLines/>
              <w:spacing w:before="0" w:after="0"/>
              <w:rPr>
                <w:szCs w:val="20"/>
              </w:rPr>
            </w:pPr>
            <w:r w:rsidRPr="0017405A">
              <w:rPr>
                <w:szCs w:val="20"/>
              </w:rPr>
              <w:t>Pathway 5: grandfathered patients</w:t>
            </w:r>
            <w:r w:rsidR="00FA7F4F" w:rsidRPr="0017405A">
              <w:rPr>
                <w:szCs w:val="20"/>
              </w:rPr>
              <w:t xml:space="preserve"> </w:t>
            </w:r>
            <w:r w:rsidR="00FA7F4F" w:rsidRPr="0017405A">
              <w:rPr>
                <w:szCs w:val="20"/>
                <w:vertAlign w:val="superscript"/>
              </w:rPr>
              <w:t>a</w:t>
            </w:r>
          </w:p>
        </w:tc>
        <w:tc>
          <w:tcPr>
            <w:tcW w:w="606" w:type="pct"/>
            <w:shd w:val="clear" w:color="auto" w:fill="auto"/>
            <w:vAlign w:val="center"/>
          </w:tcPr>
          <w:p w14:paraId="18B060C3" w14:textId="6BDB5208"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40" w:id="-1500867066"/>
                <w14:textFill>
                  <w14:solidFill>
                    <w14:srgbClr w14:val="000000">
                      <w14:alpha w14:val="100000"/>
                    </w14:srgbClr>
                  </w14:solidFill>
                </w14:textFill>
              </w:rPr>
              <w:t xml:space="preserve">　</w:t>
            </w:r>
            <w:r w:rsidRPr="009A1388">
              <w:rPr>
                <w:noProof/>
                <w:color w:val="000000"/>
                <w:w w:val="15"/>
                <w:szCs w:val="20"/>
                <w:shd w:val="solid" w:color="000000" w:fill="000000"/>
                <w:fitText w:val="40" w:id="-1500867066"/>
                <w14:textFill>
                  <w14:solidFill>
                    <w14:srgbClr w14:val="000000">
                      <w14:alpha w14:val="100000"/>
                    </w14:srgbClr>
                  </w14:solidFill>
                </w14:textFill>
              </w:rPr>
              <w:t>|</w:t>
            </w:r>
            <w:r w:rsidRPr="009A1388">
              <w:rPr>
                <w:rFonts w:hint="eastAsia"/>
                <w:noProof/>
                <w:color w:val="000000"/>
                <w:spacing w:val="-25"/>
                <w:w w:val="15"/>
                <w:szCs w:val="20"/>
                <w:shd w:val="solid" w:color="000000" w:fill="000000"/>
                <w:fitText w:val="40" w:id="-1500867066"/>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2</w:t>
            </w:r>
          </w:p>
        </w:tc>
        <w:tc>
          <w:tcPr>
            <w:tcW w:w="607" w:type="pct"/>
            <w:shd w:val="clear" w:color="auto" w:fill="auto"/>
            <w:vAlign w:val="center"/>
          </w:tcPr>
          <w:p w14:paraId="417CCC9E"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2" w:type="pct"/>
            <w:shd w:val="clear" w:color="auto" w:fill="auto"/>
            <w:vAlign w:val="center"/>
          </w:tcPr>
          <w:p w14:paraId="6BC29094"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11" w:type="pct"/>
            <w:shd w:val="clear" w:color="auto" w:fill="auto"/>
            <w:vAlign w:val="center"/>
          </w:tcPr>
          <w:p w14:paraId="22316D09"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shd w:val="clear" w:color="auto" w:fill="auto"/>
            <w:vAlign w:val="center"/>
          </w:tcPr>
          <w:p w14:paraId="5D30C211"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vAlign w:val="center"/>
          </w:tcPr>
          <w:p w14:paraId="3291F12D" w14:textId="77777777" w:rsidR="00D7609F" w:rsidRPr="0017405A" w:rsidRDefault="00D7609F" w:rsidP="003B0685">
            <w:pPr>
              <w:pStyle w:val="TableText"/>
              <w:keepNext/>
              <w:keepLines/>
              <w:spacing w:before="0" w:after="0"/>
              <w:jc w:val="center"/>
              <w:rPr>
                <w:szCs w:val="20"/>
              </w:rPr>
            </w:pPr>
            <w:r w:rsidRPr="0017405A">
              <w:rPr>
                <w:szCs w:val="20"/>
              </w:rPr>
              <w:t>-</w:t>
            </w:r>
          </w:p>
        </w:tc>
      </w:tr>
      <w:tr w:rsidR="00D7609F" w:rsidRPr="0017405A" w14:paraId="1A714FB4" w14:textId="77777777" w:rsidTr="005A49F3">
        <w:tc>
          <w:tcPr>
            <w:tcW w:w="1361" w:type="pct"/>
            <w:shd w:val="clear" w:color="auto" w:fill="auto"/>
            <w:vAlign w:val="center"/>
          </w:tcPr>
          <w:p w14:paraId="18B91CFB" w14:textId="77777777" w:rsidR="00D7609F" w:rsidRPr="0017405A" w:rsidRDefault="00D7609F" w:rsidP="003B0685">
            <w:pPr>
              <w:pStyle w:val="TableText"/>
              <w:keepNext/>
              <w:keepLines/>
              <w:spacing w:before="0" w:after="0"/>
              <w:rPr>
                <w:szCs w:val="20"/>
              </w:rPr>
            </w:pPr>
            <w:r w:rsidRPr="0017405A">
              <w:rPr>
                <w:szCs w:val="20"/>
              </w:rPr>
              <w:t>Total treated patients: incident + prevalent + grandfathered</w:t>
            </w:r>
            <w:r w:rsidRPr="0017405A">
              <w:rPr>
                <w:szCs w:val="20"/>
                <w:vertAlign w:val="superscript"/>
              </w:rPr>
              <w:t xml:space="preserve"> </w:t>
            </w:r>
            <w:r w:rsidR="00FA7F4F" w:rsidRPr="0017405A">
              <w:rPr>
                <w:szCs w:val="20"/>
                <w:vertAlign w:val="superscript"/>
              </w:rPr>
              <w:t>b</w:t>
            </w:r>
          </w:p>
        </w:tc>
        <w:tc>
          <w:tcPr>
            <w:tcW w:w="606" w:type="pct"/>
            <w:shd w:val="clear" w:color="auto" w:fill="auto"/>
            <w:vAlign w:val="center"/>
          </w:tcPr>
          <w:p w14:paraId="10997A1D" w14:textId="770DA0B2"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40" w:id="-1500867065"/>
                <w14:textFill>
                  <w14:solidFill>
                    <w14:srgbClr w14:val="000000">
                      <w14:alpha w14:val="100000"/>
                    </w14:srgbClr>
                  </w14:solidFill>
                </w14:textFill>
              </w:rPr>
              <w:t xml:space="preserve">　</w:t>
            </w:r>
            <w:r w:rsidRPr="009A1388">
              <w:rPr>
                <w:noProof/>
                <w:color w:val="000000"/>
                <w:w w:val="15"/>
                <w:szCs w:val="20"/>
                <w:shd w:val="solid" w:color="000000" w:fill="000000"/>
                <w:fitText w:val="40" w:id="-1500867065"/>
                <w14:textFill>
                  <w14:solidFill>
                    <w14:srgbClr w14:val="000000">
                      <w14:alpha w14:val="100000"/>
                    </w14:srgbClr>
                  </w14:solidFill>
                </w14:textFill>
              </w:rPr>
              <w:t>|</w:t>
            </w:r>
            <w:r w:rsidRPr="009A1388">
              <w:rPr>
                <w:rFonts w:hint="eastAsia"/>
                <w:noProof/>
                <w:color w:val="000000"/>
                <w:spacing w:val="-25"/>
                <w:w w:val="15"/>
                <w:szCs w:val="20"/>
                <w:shd w:val="solid" w:color="000000" w:fill="000000"/>
                <w:fitText w:val="40" w:id="-1500867065"/>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1</w:t>
            </w:r>
          </w:p>
        </w:tc>
        <w:tc>
          <w:tcPr>
            <w:tcW w:w="607" w:type="pct"/>
            <w:shd w:val="clear" w:color="auto" w:fill="auto"/>
            <w:vAlign w:val="center"/>
          </w:tcPr>
          <w:p w14:paraId="6AEE7576" w14:textId="37940A54"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40" w:id="-1500867064"/>
                <w14:textFill>
                  <w14:solidFill>
                    <w14:srgbClr w14:val="000000">
                      <w14:alpha w14:val="100000"/>
                    </w14:srgbClr>
                  </w14:solidFill>
                </w14:textFill>
              </w:rPr>
              <w:t xml:space="preserve">　</w:t>
            </w:r>
            <w:r w:rsidRPr="009A1388">
              <w:rPr>
                <w:noProof/>
                <w:color w:val="000000"/>
                <w:w w:val="15"/>
                <w:szCs w:val="20"/>
                <w:shd w:val="solid" w:color="000000" w:fill="000000"/>
                <w:fitText w:val="40" w:id="-1500867064"/>
                <w14:textFill>
                  <w14:solidFill>
                    <w14:srgbClr w14:val="000000">
                      <w14:alpha w14:val="100000"/>
                    </w14:srgbClr>
                  </w14:solidFill>
                </w14:textFill>
              </w:rPr>
              <w:t>|</w:t>
            </w:r>
            <w:r w:rsidRPr="009A1388">
              <w:rPr>
                <w:rFonts w:hint="eastAsia"/>
                <w:noProof/>
                <w:color w:val="000000"/>
                <w:spacing w:val="-25"/>
                <w:w w:val="15"/>
                <w:szCs w:val="20"/>
                <w:shd w:val="solid" w:color="000000" w:fill="000000"/>
                <w:fitText w:val="40" w:id="-1500867064"/>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1</w:t>
            </w:r>
          </w:p>
        </w:tc>
        <w:tc>
          <w:tcPr>
            <w:tcW w:w="602" w:type="pct"/>
            <w:shd w:val="clear" w:color="auto" w:fill="auto"/>
            <w:vAlign w:val="center"/>
          </w:tcPr>
          <w:p w14:paraId="591D2248" w14:textId="28EB982D"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30" w:id="-1500867063"/>
                <w14:textFill>
                  <w14:solidFill>
                    <w14:srgbClr w14:val="000000">
                      <w14:alpha w14:val="100000"/>
                    </w14:srgbClr>
                  </w14:solidFill>
                </w14:textFill>
              </w:rPr>
              <w:t xml:space="preserve">　</w:t>
            </w:r>
            <w:r w:rsidRPr="009A1388">
              <w:rPr>
                <w:noProof/>
                <w:color w:val="000000"/>
                <w:w w:val="15"/>
                <w:szCs w:val="20"/>
                <w:shd w:val="solid" w:color="000000" w:fill="000000"/>
                <w:fitText w:val="30" w:id="-1500867063"/>
                <w14:textFill>
                  <w14:solidFill>
                    <w14:srgbClr w14:val="000000">
                      <w14:alpha w14:val="100000"/>
                    </w14:srgbClr>
                  </w14:solidFill>
                </w14:textFill>
              </w:rPr>
              <w:t>|</w:t>
            </w:r>
            <w:r w:rsidRPr="009A1388">
              <w:rPr>
                <w:rFonts w:hint="eastAsia"/>
                <w:noProof/>
                <w:color w:val="000000"/>
                <w:spacing w:val="-35"/>
                <w:w w:val="15"/>
                <w:szCs w:val="20"/>
                <w:shd w:val="solid" w:color="000000" w:fill="000000"/>
                <w:fitText w:val="30" w:id="-1500867063"/>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1</w:t>
            </w:r>
          </w:p>
        </w:tc>
        <w:tc>
          <w:tcPr>
            <w:tcW w:w="611" w:type="pct"/>
            <w:shd w:val="clear" w:color="auto" w:fill="auto"/>
            <w:vAlign w:val="center"/>
          </w:tcPr>
          <w:p w14:paraId="4DB90C15" w14:textId="382272FB"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30" w:id="-1500867062"/>
                <w14:textFill>
                  <w14:solidFill>
                    <w14:srgbClr w14:val="000000">
                      <w14:alpha w14:val="100000"/>
                    </w14:srgbClr>
                  </w14:solidFill>
                </w14:textFill>
              </w:rPr>
              <w:t xml:space="preserve">　</w:t>
            </w:r>
            <w:r w:rsidRPr="009A1388">
              <w:rPr>
                <w:noProof/>
                <w:color w:val="000000"/>
                <w:w w:val="15"/>
                <w:szCs w:val="20"/>
                <w:shd w:val="solid" w:color="000000" w:fill="000000"/>
                <w:fitText w:val="30" w:id="-1500867062"/>
                <w14:textFill>
                  <w14:solidFill>
                    <w14:srgbClr w14:val="000000">
                      <w14:alpha w14:val="100000"/>
                    </w14:srgbClr>
                  </w14:solidFill>
                </w14:textFill>
              </w:rPr>
              <w:t>|</w:t>
            </w:r>
            <w:r w:rsidRPr="009A1388">
              <w:rPr>
                <w:rFonts w:hint="eastAsia"/>
                <w:noProof/>
                <w:color w:val="000000"/>
                <w:spacing w:val="-35"/>
                <w:w w:val="15"/>
                <w:szCs w:val="20"/>
                <w:shd w:val="solid" w:color="000000" w:fill="000000"/>
                <w:fitText w:val="30" w:id="-1500867062"/>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1</w:t>
            </w:r>
          </w:p>
        </w:tc>
        <w:tc>
          <w:tcPr>
            <w:tcW w:w="606" w:type="pct"/>
            <w:shd w:val="clear" w:color="auto" w:fill="auto"/>
            <w:vAlign w:val="center"/>
          </w:tcPr>
          <w:p w14:paraId="4F1158FF" w14:textId="580126BE"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40" w:id="-1500867061"/>
                <w14:textFill>
                  <w14:solidFill>
                    <w14:srgbClr w14:val="000000">
                      <w14:alpha w14:val="100000"/>
                    </w14:srgbClr>
                  </w14:solidFill>
                </w14:textFill>
              </w:rPr>
              <w:t xml:space="preserve">　</w:t>
            </w:r>
            <w:r w:rsidRPr="009A1388">
              <w:rPr>
                <w:noProof/>
                <w:color w:val="000000"/>
                <w:w w:val="15"/>
                <w:szCs w:val="20"/>
                <w:shd w:val="solid" w:color="000000" w:fill="000000"/>
                <w:fitText w:val="40" w:id="-1500867061"/>
                <w14:textFill>
                  <w14:solidFill>
                    <w14:srgbClr w14:val="000000">
                      <w14:alpha w14:val="100000"/>
                    </w14:srgbClr>
                  </w14:solidFill>
                </w14:textFill>
              </w:rPr>
              <w:t>|</w:t>
            </w:r>
            <w:r w:rsidRPr="009A1388">
              <w:rPr>
                <w:rFonts w:hint="eastAsia"/>
                <w:noProof/>
                <w:color w:val="000000"/>
                <w:spacing w:val="-25"/>
                <w:w w:val="15"/>
                <w:szCs w:val="20"/>
                <w:shd w:val="solid" w:color="000000" w:fill="000000"/>
                <w:fitText w:val="40" w:id="-1500867061"/>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1</w:t>
            </w:r>
          </w:p>
        </w:tc>
        <w:tc>
          <w:tcPr>
            <w:tcW w:w="606" w:type="pct"/>
            <w:vAlign w:val="center"/>
          </w:tcPr>
          <w:p w14:paraId="67900088" w14:textId="02F61EAA" w:rsidR="00D7609F" w:rsidRPr="004D52E1" w:rsidRDefault="009A1388" w:rsidP="003B0685">
            <w:pPr>
              <w:pStyle w:val="TableText"/>
              <w:keepNext/>
              <w:keepLines/>
              <w:spacing w:before="0" w:after="0"/>
              <w:jc w:val="center"/>
              <w:rPr>
                <w:szCs w:val="20"/>
              </w:rPr>
            </w:pPr>
            <w:r w:rsidRPr="009A1388">
              <w:rPr>
                <w:rFonts w:hint="eastAsia"/>
                <w:noProof/>
                <w:color w:val="000000"/>
                <w:w w:val="15"/>
                <w:szCs w:val="20"/>
                <w:shd w:val="solid" w:color="000000" w:fill="000000"/>
                <w:fitText w:val="40" w:id="-1500867060"/>
                <w14:textFill>
                  <w14:solidFill>
                    <w14:srgbClr w14:val="000000">
                      <w14:alpha w14:val="100000"/>
                    </w14:srgbClr>
                  </w14:solidFill>
                </w14:textFill>
              </w:rPr>
              <w:t xml:space="preserve">　</w:t>
            </w:r>
            <w:r w:rsidRPr="009A1388">
              <w:rPr>
                <w:noProof/>
                <w:color w:val="000000"/>
                <w:w w:val="15"/>
                <w:szCs w:val="20"/>
                <w:shd w:val="solid" w:color="000000" w:fill="000000"/>
                <w:fitText w:val="40" w:id="-1500867060"/>
                <w14:textFill>
                  <w14:solidFill>
                    <w14:srgbClr w14:val="000000">
                      <w14:alpha w14:val="100000"/>
                    </w14:srgbClr>
                  </w14:solidFill>
                </w14:textFill>
              </w:rPr>
              <w:t>|</w:t>
            </w:r>
            <w:r w:rsidRPr="009A1388">
              <w:rPr>
                <w:rFonts w:hint="eastAsia"/>
                <w:noProof/>
                <w:color w:val="000000"/>
                <w:spacing w:val="-25"/>
                <w:w w:val="15"/>
                <w:szCs w:val="20"/>
                <w:shd w:val="solid" w:color="000000" w:fill="000000"/>
                <w:fitText w:val="40" w:id="-1500867060"/>
                <w14:textFill>
                  <w14:solidFill>
                    <w14:srgbClr w14:val="000000">
                      <w14:alpha w14:val="100000"/>
                    </w14:srgbClr>
                  </w14:solidFill>
                </w14:textFill>
              </w:rPr>
              <w:t xml:space="preserve">　</w:t>
            </w:r>
            <w:r w:rsidR="00E32A58">
              <w:rPr>
                <w:rFonts w:eastAsia="Times New Roman" w:cs="Calibri"/>
                <w:color w:val="000000"/>
                <w:szCs w:val="20"/>
                <w:vertAlign w:val="superscript"/>
                <w:lang w:eastAsia="en-AU"/>
              </w:rPr>
              <w:t>1</w:t>
            </w:r>
          </w:p>
        </w:tc>
      </w:tr>
      <w:tr w:rsidR="00D7609F" w:rsidRPr="0017405A" w14:paraId="3991807E" w14:textId="77777777" w:rsidTr="005A49F3">
        <w:tc>
          <w:tcPr>
            <w:tcW w:w="5000" w:type="pct"/>
            <w:gridSpan w:val="7"/>
            <w:shd w:val="clear" w:color="auto" w:fill="auto"/>
            <w:vAlign w:val="center"/>
          </w:tcPr>
          <w:p w14:paraId="080B6E42" w14:textId="77777777" w:rsidR="00D7609F" w:rsidRPr="0017405A" w:rsidRDefault="00D7609F" w:rsidP="003B0685">
            <w:pPr>
              <w:pStyle w:val="TableText"/>
              <w:keepNext/>
              <w:keepLines/>
              <w:spacing w:before="0" w:after="0"/>
              <w:rPr>
                <w:b/>
                <w:szCs w:val="20"/>
              </w:rPr>
            </w:pPr>
            <w:r w:rsidRPr="0017405A">
              <w:rPr>
                <w:b/>
                <w:szCs w:val="20"/>
              </w:rPr>
              <w:t>Estimated financial implications of pembrolizumab ± chemotherapy to the PBS/RPBS</w:t>
            </w:r>
          </w:p>
        </w:tc>
      </w:tr>
      <w:tr w:rsidR="00D7609F" w:rsidRPr="0017405A" w14:paraId="295A59A7" w14:textId="77777777" w:rsidTr="005A49F3">
        <w:tc>
          <w:tcPr>
            <w:tcW w:w="1361" w:type="pct"/>
            <w:shd w:val="clear" w:color="auto" w:fill="auto"/>
            <w:vAlign w:val="center"/>
          </w:tcPr>
          <w:p w14:paraId="1DFB2330" w14:textId="77777777" w:rsidR="00D7609F" w:rsidRPr="0017405A" w:rsidRDefault="00D7609F" w:rsidP="003B0685">
            <w:pPr>
              <w:pStyle w:val="TableText"/>
              <w:keepNext/>
              <w:keepLines/>
              <w:spacing w:before="0" w:after="0"/>
              <w:rPr>
                <w:rFonts w:eastAsia="Times New Roman" w:cs="Times New Roman"/>
                <w:szCs w:val="20"/>
              </w:rPr>
            </w:pPr>
            <w:r w:rsidRPr="0017405A">
              <w:rPr>
                <w:szCs w:val="20"/>
              </w:rPr>
              <w:t xml:space="preserve">Cost of pembrolizumab </w:t>
            </w:r>
          </w:p>
        </w:tc>
        <w:tc>
          <w:tcPr>
            <w:tcW w:w="606" w:type="pct"/>
            <w:shd w:val="clear" w:color="auto" w:fill="auto"/>
            <w:vAlign w:val="center"/>
          </w:tcPr>
          <w:p w14:paraId="4681B1DE" w14:textId="4135085E"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59"/>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59"/>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59"/>
                <w14:textFill>
                  <w14:solidFill>
                    <w14:srgbClr w14:val="000000">
                      <w14:alpha w14:val="100000"/>
                    </w14:srgbClr>
                  </w14:solidFill>
                </w14:textFill>
              </w:rPr>
              <w:t xml:space="preserve">　</w:t>
            </w:r>
            <w:r w:rsidR="005A49F3">
              <w:rPr>
                <w:vertAlign w:val="superscript"/>
              </w:rPr>
              <w:t>3</w:t>
            </w:r>
          </w:p>
        </w:tc>
        <w:tc>
          <w:tcPr>
            <w:tcW w:w="607" w:type="pct"/>
            <w:shd w:val="clear" w:color="auto" w:fill="auto"/>
            <w:vAlign w:val="center"/>
          </w:tcPr>
          <w:p w14:paraId="78916BC9" w14:textId="3582261C"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5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5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58"/>
                <w14:textFill>
                  <w14:solidFill>
                    <w14:srgbClr w14:val="000000">
                      <w14:alpha w14:val="100000"/>
                    </w14:srgbClr>
                  </w14:solidFill>
                </w14:textFill>
              </w:rPr>
              <w:t xml:space="preserve">　</w:t>
            </w:r>
            <w:r w:rsidR="005A49F3">
              <w:rPr>
                <w:vertAlign w:val="superscript"/>
              </w:rPr>
              <w:t>3</w:t>
            </w:r>
          </w:p>
        </w:tc>
        <w:tc>
          <w:tcPr>
            <w:tcW w:w="602" w:type="pct"/>
            <w:shd w:val="clear" w:color="auto" w:fill="auto"/>
            <w:vAlign w:val="center"/>
          </w:tcPr>
          <w:p w14:paraId="7DE0EB90" w14:textId="0515D407"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57"/>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57"/>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57"/>
                <w14:textFill>
                  <w14:solidFill>
                    <w14:srgbClr w14:val="000000">
                      <w14:alpha w14:val="100000"/>
                    </w14:srgbClr>
                  </w14:solidFill>
                </w14:textFill>
              </w:rPr>
              <w:t xml:space="preserve">　</w:t>
            </w:r>
            <w:r w:rsidR="005A49F3">
              <w:rPr>
                <w:vertAlign w:val="superscript"/>
              </w:rPr>
              <w:t>3</w:t>
            </w:r>
          </w:p>
        </w:tc>
        <w:tc>
          <w:tcPr>
            <w:tcW w:w="611" w:type="pct"/>
            <w:shd w:val="clear" w:color="auto" w:fill="auto"/>
            <w:vAlign w:val="center"/>
          </w:tcPr>
          <w:p w14:paraId="38B9E2BB" w14:textId="67FA5667"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5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56"/>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56"/>
                <w14:textFill>
                  <w14:solidFill>
                    <w14:srgbClr w14:val="000000">
                      <w14:alpha w14:val="100000"/>
                    </w14:srgbClr>
                  </w14:solidFill>
                </w14:textFill>
              </w:rPr>
              <w:t xml:space="preserve">　</w:t>
            </w:r>
            <w:r w:rsidR="005A49F3">
              <w:rPr>
                <w:vertAlign w:val="superscript"/>
              </w:rPr>
              <w:t>3</w:t>
            </w:r>
          </w:p>
        </w:tc>
        <w:tc>
          <w:tcPr>
            <w:tcW w:w="606" w:type="pct"/>
            <w:shd w:val="clear" w:color="auto" w:fill="auto"/>
            <w:vAlign w:val="center"/>
          </w:tcPr>
          <w:p w14:paraId="4E3BFDAB" w14:textId="5DE838BE"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72"/>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72"/>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72"/>
                <w14:textFill>
                  <w14:solidFill>
                    <w14:srgbClr w14:val="000000">
                      <w14:alpha w14:val="100000"/>
                    </w14:srgbClr>
                  </w14:solidFill>
                </w14:textFill>
              </w:rPr>
              <w:t xml:space="preserve">　</w:t>
            </w:r>
            <w:r w:rsidR="005A49F3">
              <w:rPr>
                <w:vertAlign w:val="superscript"/>
              </w:rPr>
              <w:t>3</w:t>
            </w:r>
          </w:p>
        </w:tc>
        <w:tc>
          <w:tcPr>
            <w:tcW w:w="606" w:type="pct"/>
            <w:vAlign w:val="center"/>
          </w:tcPr>
          <w:p w14:paraId="6E7F6BE0" w14:textId="7705A701"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71"/>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71"/>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71"/>
                <w14:textFill>
                  <w14:solidFill>
                    <w14:srgbClr w14:val="000000">
                      <w14:alpha w14:val="100000"/>
                    </w14:srgbClr>
                  </w14:solidFill>
                </w14:textFill>
              </w:rPr>
              <w:t xml:space="preserve">　</w:t>
            </w:r>
            <w:r w:rsidR="005A49F3">
              <w:rPr>
                <w:vertAlign w:val="superscript"/>
              </w:rPr>
              <w:t>3</w:t>
            </w:r>
          </w:p>
        </w:tc>
      </w:tr>
      <w:tr w:rsidR="00D7609F" w:rsidRPr="0017405A" w14:paraId="7A617049" w14:textId="77777777" w:rsidTr="005A49F3">
        <w:tc>
          <w:tcPr>
            <w:tcW w:w="1361" w:type="pct"/>
            <w:shd w:val="clear" w:color="auto" w:fill="auto"/>
            <w:vAlign w:val="center"/>
          </w:tcPr>
          <w:p w14:paraId="0A2E1717" w14:textId="77777777" w:rsidR="00D7609F" w:rsidRPr="0017405A" w:rsidRDefault="00D7609F" w:rsidP="003B0685">
            <w:pPr>
              <w:pStyle w:val="TableText"/>
              <w:keepNext/>
              <w:keepLines/>
              <w:spacing w:before="0" w:after="0"/>
              <w:rPr>
                <w:szCs w:val="20"/>
              </w:rPr>
            </w:pPr>
            <w:r w:rsidRPr="0017405A">
              <w:rPr>
                <w:szCs w:val="20"/>
              </w:rPr>
              <w:t xml:space="preserve">Cost of chemotherapy </w:t>
            </w:r>
            <w:r w:rsidR="00FA7F4F" w:rsidRPr="0017405A">
              <w:rPr>
                <w:szCs w:val="20"/>
                <w:vertAlign w:val="superscript"/>
              </w:rPr>
              <w:t>c</w:t>
            </w:r>
          </w:p>
        </w:tc>
        <w:tc>
          <w:tcPr>
            <w:tcW w:w="606" w:type="pct"/>
            <w:shd w:val="clear" w:color="auto" w:fill="auto"/>
            <w:vAlign w:val="center"/>
          </w:tcPr>
          <w:p w14:paraId="25388268" w14:textId="14F84DA7"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40" w:id="-1500867070"/>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70"/>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70"/>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03EF9A57" w14:textId="004E6936"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40" w:id="-1500867069"/>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69"/>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69"/>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1A00A4D2" w14:textId="37D0F600"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30" w:id="-1500867068"/>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30" w:id="-1500867068"/>
                <w14:textFill>
                  <w14:solidFill>
                    <w14:srgbClr w14:val="000000">
                      <w14:alpha w14:val="100000"/>
                    </w14:srgbClr>
                  </w14:solidFill>
                </w14:textFill>
              </w:rPr>
              <w:t>|</w:t>
            </w:r>
            <w:r w:rsidRPr="009A1388">
              <w:rPr>
                <w:rFonts w:cs="Arial" w:hint="eastAsia"/>
                <w:noProof/>
                <w:color w:val="000000"/>
                <w:spacing w:val="-35"/>
                <w:w w:val="15"/>
                <w:szCs w:val="20"/>
                <w:shd w:val="solid" w:color="000000" w:fill="000000"/>
                <w:fitText w:val="30" w:id="-1500867068"/>
                <w14:textFill>
                  <w14:solidFill>
                    <w14:srgbClr w14:val="000000">
                      <w14:alpha w14:val="100000"/>
                    </w14:srgbClr>
                  </w14:solidFill>
                </w14:textFill>
              </w:rPr>
              <w:t xml:space="preserve">　</w:t>
            </w:r>
            <w:r w:rsidR="005A3CEC">
              <w:rPr>
                <w:vertAlign w:val="superscript"/>
              </w:rPr>
              <w:t>4</w:t>
            </w:r>
          </w:p>
        </w:tc>
        <w:tc>
          <w:tcPr>
            <w:tcW w:w="611" w:type="pct"/>
            <w:shd w:val="clear" w:color="auto" w:fill="auto"/>
            <w:vAlign w:val="center"/>
          </w:tcPr>
          <w:p w14:paraId="25BFBC05" w14:textId="3486AC40"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30" w:id="-1500867067"/>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30" w:id="-1500867067"/>
                <w14:textFill>
                  <w14:solidFill>
                    <w14:srgbClr w14:val="000000">
                      <w14:alpha w14:val="100000"/>
                    </w14:srgbClr>
                  </w14:solidFill>
                </w14:textFill>
              </w:rPr>
              <w:t>|</w:t>
            </w:r>
            <w:r w:rsidRPr="009A1388">
              <w:rPr>
                <w:rFonts w:cs="Arial" w:hint="eastAsia"/>
                <w:noProof/>
                <w:color w:val="000000"/>
                <w:spacing w:val="-35"/>
                <w:w w:val="15"/>
                <w:szCs w:val="20"/>
                <w:shd w:val="solid" w:color="000000" w:fill="000000"/>
                <w:fitText w:val="30" w:id="-1500867067"/>
                <w14:textFill>
                  <w14:solidFill>
                    <w14:srgbClr w14:val="000000">
                      <w14:alpha w14:val="100000"/>
                    </w14:srgbClr>
                  </w14:solidFill>
                </w14:textFill>
              </w:rPr>
              <w:t xml:space="preserve">　</w:t>
            </w:r>
            <w:r w:rsidR="005A3CEC">
              <w:rPr>
                <w:vertAlign w:val="superscript"/>
              </w:rPr>
              <w:t>4</w:t>
            </w:r>
          </w:p>
        </w:tc>
        <w:tc>
          <w:tcPr>
            <w:tcW w:w="606" w:type="pct"/>
            <w:shd w:val="clear" w:color="auto" w:fill="auto"/>
            <w:vAlign w:val="center"/>
          </w:tcPr>
          <w:p w14:paraId="479CDA57" w14:textId="680A6773"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40" w:id="-1500867066"/>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66"/>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66"/>
                <w14:textFill>
                  <w14:solidFill>
                    <w14:srgbClr w14:val="000000">
                      <w14:alpha w14:val="100000"/>
                    </w14:srgbClr>
                  </w14:solidFill>
                </w14:textFill>
              </w:rPr>
              <w:t xml:space="preserve">　</w:t>
            </w:r>
            <w:r w:rsidR="005A3CEC">
              <w:rPr>
                <w:vertAlign w:val="superscript"/>
              </w:rPr>
              <w:t>4</w:t>
            </w:r>
          </w:p>
        </w:tc>
        <w:tc>
          <w:tcPr>
            <w:tcW w:w="606" w:type="pct"/>
            <w:vAlign w:val="center"/>
          </w:tcPr>
          <w:p w14:paraId="6771233B" w14:textId="1EDA6617"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40" w:id="-1500867065"/>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65"/>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65"/>
                <w14:textFill>
                  <w14:solidFill>
                    <w14:srgbClr w14:val="000000">
                      <w14:alpha w14:val="100000"/>
                    </w14:srgbClr>
                  </w14:solidFill>
                </w14:textFill>
              </w:rPr>
              <w:t xml:space="preserve">　</w:t>
            </w:r>
            <w:r w:rsidR="005A3CEC">
              <w:rPr>
                <w:vertAlign w:val="superscript"/>
              </w:rPr>
              <w:t>4</w:t>
            </w:r>
          </w:p>
        </w:tc>
      </w:tr>
      <w:tr w:rsidR="00D7609F" w:rsidRPr="0017405A" w14:paraId="7CD3852B" w14:textId="77777777" w:rsidTr="005A49F3">
        <w:tc>
          <w:tcPr>
            <w:tcW w:w="1361" w:type="pct"/>
            <w:shd w:val="clear" w:color="auto" w:fill="auto"/>
            <w:vAlign w:val="center"/>
          </w:tcPr>
          <w:p w14:paraId="071DA944" w14:textId="77777777" w:rsidR="00D7609F" w:rsidRPr="0017405A" w:rsidRDefault="00D7609F" w:rsidP="003B0685">
            <w:pPr>
              <w:pStyle w:val="TableText"/>
              <w:keepNext/>
              <w:keepLines/>
              <w:spacing w:before="0" w:after="0"/>
              <w:rPr>
                <w:szCs w:val="20"/>
              </w:rPr>
            </w:pPr>
            <w:r w:rsidRPr="0017405A">
              <w:rPr>
                <w:szCs w:val="20"/>
              </w:rPr>
              <w:t>Copayments</w:t>
            </w:r>
          </w:p>
        </w:tc>
        <w:tc>
          <w:tcPr>
            <w:tcW w:w="606" w:type="pct"/>
            <w:shd w:val="clear" w:color="auto" w:fill="auto"/>
            <w:vAlign w:val="center"/>
          </w:tcPr>
          <w:p w14:paraId="17F35C37" w14:textId="31A40473"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4"/>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4"/>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4"/>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6E255A88" w14:textId="5D942CB2"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3"/>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3"/>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3"/>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2A0F0839" w14:textId="6C07C687"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2"/>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2"/>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2"/>
                <w14:textFill>
                  <w14:solidFill>
                    <w14:srgbClr w14:val="000000">
                      <w14:alpha w14:val="100000"/>
                    </w14:srgbClr>
                  </w14:solidFill>
                </w14:textFill>
              </w:rPr>
              <w:t xml:space="preserve">　</w:t>
            </w:r>
            <w:r w:rsidR="005A3CEC">
              <w:rPr>
                <w:vertAlign w:val="superscript"/>
              </w:rPr>
              <w:t>4</w:t>
            </w:r>
          </w:p>
        </w:tc>
        <w:tc>
          <w:tcPr>
            <w:tcW w:w="611" w:type="pct"/>
            <w:shd w:val="clear" w:color="auto" w:fill="auto"/>
            <w:vAlign w:val="center"/>
          </w:tcPr>
          <w:p w14:paraId="1DBB2D14" w14:textId="461E841E"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1"/>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1"/>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1"/>
                <w14:textFill>
                  <w14:solidFill>
                    <w14:srgbClr w14:val="000000">
                      <w14:alpha w14:val="100000"/>
                    </w14:srgbClr>
                  </w14:solidFill>
                </w14:textFill>
              </w:rPr>
              <w:t xml:space="preserve">　</w:t>
            </w:r>
            <w:r w:rsidR="005A3CEC">
              <w:rPr>
                <w:vertAlign w:val="superscript"/>
              </w:rPr>
              <w:t>4</w:t>
            </w:r>
          </w:p>
        </w:tc>
        <w:tc>
          <w:tcPr>
            <w:tcW w:w="606" w:type="pct"/>
            <w:shd w:val="clear" w:color="auto" w:fill="auto"/>
            <w:vAlign w:val="center"/>
          </w:tcPr>
          <w:p w14:paraId="30BD1ED9" w14:textId="4F0EFDC3"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0"/>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0"/>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0"/>
                <w14:textFill>
                  <w14:solidFill>
                    <w14:srgbClr w14:val="000000">
                      <w14:alpha w14:val="100000"/>
                    </w14:srgbClr>
                  </w14:solidFill>
                </w14:textFill>
              </w:rPr>
              <w:t xml:space="preserve">　</w:t>
            </w:r>
            <w:r w:rsidR="005A3CEC">
              <w:rPr>
                <w:vertAlign w:val="superscript"/>
              </w:rPr>
              <w:t>4</w:t>
            </w:r>
          </w:p>
        </w:tc>
        <w:tc>
          <w:tcPr>
            <w:tcW w:w="606" w:type="pct"/>
            <w:vAlign w:val="center"/>
          </w:tcPr>
          <w:p w14:paraId="625548B7" w14:textId="1863E1DB"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59"/>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59"/>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59"/>
                <w14:textFill>
                  <w14:solidFill>
                    <w14:srgbClr w14:val="000000">
                      <w14:alpha w14:val="100000"/>
                    </w14:srgbClr>
                  </w14:solidFill>
                </w14:textFill>
              </w:rPr>
              <w:t xml:space="preserve">　</w:t>
            </w:r>
            <w:r w:rsidR="005A3CEC">
              <w:rPr>
                <w:vertAlign w:val="superscript"/>
              </w:rPr>
              <w:t>4</w:t>
            </w:r>
          </w:p>
        </w:tc>
      </w:tr>
      <w:tr w:rsidR="00D7609F" w:rsidRPr="0017405A" w14:paraId="1E5CDEA4" w14:textId="77777777" w:rsidTr="005A49F3">
        <w:tc>
          <w:tcPr>
            <w:tcW w:w="1361" w:type="pct"/>
            <w:shd w:val="clear" w:color="auto" w:fill="auto"/>
            <w:vAlign w:val="center"/>
          </w:tcPr>
          <w:p w14:paraId="59A8CA04" w14:textId="77777777" w:rsidR="00D7609F" w:rsidRPr="0017405A" w:rsidRDefault="00D7609F" w:rsidP="003B0685">
            <w:pPr>
              <w:pStyle w:val="TableText"/>
              <w:keepNext/>
              <w:keepLines/>
              <w:spacing w:before="0" w:after="0"/>
              <w:rPr>
                <w:szCs w:val="20"/>
              </w:rPr>
            </w:pPr>
            <w:r w:rsidRPr="0017405A">
              <w:rPr>
                <w:szCs w:val="20"/>
              </w:rPr>
              <w:t>Cost to PBS/RPBS less copayments</w:t>
            </w:r>
          </w:p>
        </w:tc>
        <w:tc>
          <w:tcPr>
            <w:tcW w:w="606" w:type="pct"/>
            <w:shd w:val="clear" w:color="auto" w:fill="auto"/>
            <w:vAlign w:val="center"/>
          </w:tcPr>
          <w:p w14:paraId="3B5ADDFC" w14:textId="29C74DE7"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5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5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58"/>
                <w14:textFill>
                  <w14:solidFill>
                    <w14:srgbClr w14:val="000000">
                      <w14:alpha w14:val="100000"/>
                    </w14:srgbClr>
                  </w14:solidFill>
                </w14:textFill>
              </w:rPr>
              <w:t xml:space="preserve">　</w:t>
            </w:r>
            <w:r w:rsidR="005A49F3">
              <w:rPr>
                <w:vertAlign w:val="superscript"/>
              </w:rPr>
              <w:t>3</w:t>
            </w:r>
          </w:p>
        </w:tc>
        <w:tc>
          <w:tcPr>
            <w:tcW w:w="607" w:type="pct"/>
            <w:shd w:val="clear" w:color="auto" w:fill="auto"/>
            <w:vAlign w:val="center"/>
          </w:tcPr>
          <w:p w14:paraId="2802E0EB" w14:textId="482D9215"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57"/>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57"/>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57"/>
                <w14:textFill>
                  <w14:solidFill>
                    <w14:srgbClr w14:val="000000">
                      <w14:alpha w14:val="100000"/>
                    </w14:srgbClr>
                  </w14:solidFill>
                </w14:textFill>
              </w:rPr>
              <w:t xml:space="preserve">　</w:t>
            </w:r>
            <w:r w:rsidR="005A3CEC">
              <w:rPr>
                <w:vertAlign w:val="superscript"/>
              </w:rPr>
              <w:t>3</w:t>
            </w:r>
          </w:p>
        </w:tc>
        <w:tc>
          <w:tcPr>
            <w:tcW w:w="602" w:type="pct"/>
            <w:shd w:val="clear" w:color="auto" w:fill="auto"/>
            <w:vAlign w:val="center"/>
          </w:tcPr>
          <w:p w14:paraId="117B5F15" w14:textId="3B9ECE09"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5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56"/>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56"/>
                <w14:textFill>
                  <w14:solidFill>
                    <w14:srgbClr w14:val="000000">
                      <w14:alpha w14:val="100000"/>
                    </w14:srgbClr>
                  </w14:solidFill>
                </w14:textFill>
              </w:rPr>
              <w:t xml:space="preserve">　</w:t>
            </w:r>
            <w:r w:rsidR="005A3CEC">
              <w:rPr>
                <w:vertAlign w:val="superscript"/>
              </w:rPr>
              <w:t>3</w:t>
            </w:r>
          </w:p>
        </w:tc>
        <w:tc>
          <w:tcPr>
            <w:tcW w:w="611" w:type="pct"/>
            <w:shd w:val="clear" w:color="auto" w:fill="auto"/>
            <w:vAlign w:val="center"/>
          </w:tcPr>
          <w:p w14:paraId="44FB5596" w14:textId="0A46AD04"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72"/>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72"/>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72"/>
                <w14:textFill>
                  <w14:solidFill>
                    <w14:srgbClr w14:val="000000">
                      <w14:alpha w14:val="100000"/>
                    </w14:srgbClr>
                  </w14:solidFill>
                </w14:textFill>
              </w:rPr>
              <w:t xml:space="preserve">　</w:t>
            </w:r>
            <w:r w:rsidR="005A3CEC">
              <w:rPr>
                <w:vertAlign w:val="superscript"/>
              </w:rPr>
              <w:t>3</w:t>
            </w:r>
          </w:p>
        </w:tc>
        <w:tc>
          <w:tcPr>
            <w:tcW w:w="606" w:type="pct"/>
            <w:shd w:val="clear" w:color="auto" w:fill="auto"/>
            <w:vAlign w:val="center"/>
          </w:tcPr>
          <w:p w14:paraId="790F34BB" w14:textId="513AB5C8"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71"/>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71"/>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71"/>
                <w14:textFill>
                  <w14:solidFill>
                    <w14:srgbClr w14:val="000000">
                      <w14:alpha w14:val="100000"/>
                    </w14:srgbClr>
                  </w14:solidFill>
                </w14:textFill>
              </w:rPr>
              <w:t xml:space="preserve">　</w:t>
            </w:r>
            <w:r w:rsidR="005A3CEC">
              <w:rPr>
                <w:vertAlign w:val="superscript"/>
              </w:rPr>
              <w:t>3</w:t>
            </w:r>
          </w:p>
        </w:tc>
        <w:tc>
          <w:tcPr>
            <w:tcW w:w="606" w:type="pct"/>
            <w:vAlign w:val="center"/>
          </w:tcPr>
          <w:p w14:paraId="5766D096" w14:textId="097A89D7"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70"/>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70"/>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70"/>
                <w14:textFill>
                  <w14:solidFill>
                    <w14:srgbClr w14:val="000000">
                      <w14:alpha w14:val="100000"/>
                    </w14:srgbClr>
                  </w14:solidFill>
                </w14:textFill>
              </w:rPr>
              <w:t xml:space="preserve">　</w:t>
            </w:r>
            <w:r w:rsidR="005A3CEC">
              <w:rPr>
                <w:vertAlign w:val="superscript"/>
              </w:rPr>
              <w:t>3</w:t>
            </w:r>
          </w:p>
        </w:tc>
      </w:tr>
      <w:tr w:rsidR="00D7609F" w:rsidRPr="0017405A" w14:paraId="08DA24ED" w14:textId="77777777" w:rsidTr="005A49F3">
        <w:tc>
          <w:tcPr>
            <w:tcW w:w="5000" w:type="pct"/>
            <w:gridSpan w:val="7"/>
            <w:shd w:val="clear" w:color="auto" w:fill="auto"/>
            <w:vAlign w:val="center"/>
          </w:tcPr>
          <w:p w14:paraId="6BD5EC61" w14:textId="77777777" w:rsidR="00D7609F" w:rsidRPr="0017405A" w:rsidRDefault="00D7609F" w:rsidP="003B0685">
            <w:pPr>
              <w:pStyle w:val="TableText"/>
              <w:keepNext/>
              <w:keepLines/>
              <w:spacing w:before="0" w:after="0"/>
              <w:rPr>
                <w:b/>
                <w:szCs w:val="20"/>
              </w:rPr>
            </w:pPr>
            <w:r w:rsidRPr="0017405A">
              <w:rPr>
                <w:b/>
                <w:szCs w:val="20"/>
              </w:rPr>
              <w:t>Estimated financial implications of administration of pembrolizumab ± chemotherapy to the MBS</w:t>
            </w:r>
          </w:p>
        </w:tc>
      </w:tr>
      <w:tr w:rsidR="00D7609F" w:rsidRPr="0017405A" w14:paraId="5DF08C4E" w14:textId="77777777" w:rsidTr="005A49F3">
        <w:tc>
          <w:tcPr>
            <w:tcW w:w="1361" w:type="pct"/>
            <w:shd w:val="clear" w:color="auto" w:fill="auto"/>
            <w:vAlign w:val="center"/>
          </w:tcPr>
          <w:p w14:paraId="33C749ED" w14:textId="77777777" w:rsidR="00D7609F" w:rsidRPr="0017405A" w:rsidRDefault="00D7609F" w:rsidP="003B0685">
            <w:pPr>
              <w:pStyle w:val="TableText"/>
              <w:keepNext/>
              <w:keepLines/>
              <w:spacing w:before="0" w:after="0"/>
              <w:rPr>
                <w:szCs w:val="20"/>
              </w:rPr>
            </w:pPr>
            <w:r w:rsidRPr="0017405A">
              <w:rPr>
                <w:szCs w:val="20"/>
              </w:rPr>
              <w:t>Cost to MBS</w:t>
            </w:r>
          </w:p>
        </w:tc>
        <w:tc>
          <w:tcPr>
            <w:tcW w:w="606" w:type="pct"/>
            <w:shd w:val="clear" w:color="auto" w:fill="auto"/>
            <w:vAlign w:val="center"/>
          </w:tcPr>
          <w:p w14:paraId="7F6BDAEA" w14:textId="590D5F72"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9"/>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9"/>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9"/>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67BA50B2" w14:textId="535A61E4"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8"/>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71B6A915" w14:textId="47A56F5D"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7"/>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7"/>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7"/>
                <w14:textFill>
                  <w14:solidFill>
                    <w14:srgbClr w14:val="000000">
                      <w14:alpha w14:val="100000"/>
                    </w14:srgbClr>
                  </w14:solidFill>
                </w14:textFill>
              </w:rPr>
              <w:t xml:space="preserve">　</w:t>
            </w:r>
            <w:r w:rsidR="005A3CEC">
              <w:rPr>
                <w:vertAlign w:val="superscript"/>
              </w:rPr>
              <w:t>4</w:t>
            </w:r>
          </w:p>
        </w:tc>
        <w:tc>
          <w:tcPr>
            <w:tcW w:w="611" w:type="pct"/>
            <w:shd w:val="clear" w:color="auto" w:fill="auto"/>
            <w:vAlign w:val="center"/>
          </w:tcPr>
          <w:p w14:paraId="07818477" w14:textId="121D60FE"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6"/>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6"/>
                <w14:textFill>
                  <w14:solidFill>
                    <w14:srgbClr w14:val="000000">
                      <w14:alpha w14:val="100000"/>
                    </w14:srgbClr>
                  </w14:solidFill>
                </w14:textFill>
              </w:rPr>
              <w:t xml:space="preserve">　</w:t>
            </w:r>
            <w:r w:rsidR="005A3CEC">
              <w:rPr>
                <w:vertAlign w:val="superscript"/>
              </w:rPr>
              <w:t>4</w:t>
            </w:r>
          </w:p>
        </w:tc>
        <w:tc>
          <w:tcPr>
            <w:tcW w:w="606" w:type="pct"/>
            <w:shd w:val="clear" w:color="auto" w:fill="auto"/>
            <w:vAlign w:val="center"/>
          </w:tcPr>
          <w:p w14:paraId="0EC38A32" w14:textId="462B47DA"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5"/>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5"/>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5"/>
                <w14:textFill>
                  <w14:solidFill>
                    <w14:srgbClr w14:val="000000">
                      <w14:alpha w14:val="100000"/>
                    </w14:srgbClr>
                  </w14:solidFill>
                </w14:textFill>
              </w:rPr>
              <w:t xml:space="preserve">　</w:t>
            </w:r>
            <w:r w:rsidR="005A3CEC">
              <w:rPr>
                <w:vertAlign w:val="superscript"/>
              </w:rPr>
              <w:t>4</w:t>
            </w:r>
          </w:p>
        </w:tc>
        <w:tc>
          <w:tcPr>
            <w:tcW w:w="606" w:type="pct"/>
            <w:vAlign w:val="center"/>
          </w:tcPr>
          <w:p w14:paraId="7E996625" w14:textId="490BA2C3"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4"/>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4"/>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4"/>
                <w14:textFill>
                  <w14:solidFill>
                    <w14:srgbClr w14:val="000000">
                      <w14:alpha w14:val="100000"/>
                    </w14:srgbClr>
                  </w14:solidFill>
                </w14:textFill>
              </w:rPr>
              <w:t xml:space="preserve">　</w:t>
            </w:r>
            <w:r w:rsidR="005A3CEC">
              <w:rPr>
                <w:vertAlign w:val="superscript"/>
              </w:rPr>
              <w:t>4</w:t>
            </w:r>
          </w:p>
        </w:tc>
      </w:tr>
      <w:tr w:rsidR="00D7609F" w:rsidRPr="0017405A" w14:paraId="67543FC1" w14:textId="77777777" w:rsidTr="005A49F3">
        <w:tc>
          <w:tcPr>
            <w:tcW w:w="5000" w:type="pct"/>
            <w:gridSpan w:val="7"/>
            <w:shd w:val="clear" w:color="auto" w:fill="auto"/>
            <w:vAlign w:val="center"/>
          </w:tcPr>
          <w:p w14:paraId="704377B5" w14:textId="77777777" w:rsidR="00D7609F" w:rsidRPr="0017405A" w:rsidRDefault="00D7609F" w:rsidP="003B0685">
            <w:pPr>
              <w:pStyle w:val="TableText"/>
              <w:keepNext/>
              <w:keepLines/>
              <w:spacing w:before="0" w:after="0"/>
              <w:rPr>
                <w:b/>
                <w:szCs w:val="20"/>
              </w:rPr>
            </w:pPr>
            <w:r w:rsidRPr="0017405A">
              <w:rPr>
                <w:b/>
                <w:szCs w:val="20"/>
              </w:rPr>
              <w:t>Estimated financial implications for SoC to the PBS/RPBS</w:t>
            </w:r>
          </w:p>
        </w:tc>
      </w:tr>
      <w:tr w:rsidR="00D7609F" w:rsidRPr="0017405A" w14:paraId="5549D7E5" w14:textId="77777777" w:rsidTr="005A49F3">
        <w:tc>
          <w:tcPr>
            <w:tcW w:w="1361" w:type="pct"/>
            <w:shd w:val="clear" w:color="auto" w:fill="auto"/>
            <w:vAlign w:val="center"/>
          </w:tcPr>
          <w:p w14:paraId="261EC99F" w14:textId="77777777" w:rsidR="00D7609F" w:rsidRPr="0017405A" w:rsidRDefault="00D7609F" w:rsidP="003B0685">
            <w:pPr>
              <w:pStyle w:val="TableText"/>
              <w:keepNext/>
              <w:keepLines/>
              <w:spacing w:before="0" w:after="0"/>
              <w:rPr>
                <w:szCs w:val="20"/>
              </w:rPr>
            </w:pPr>
            <w:r w:rsidRPr="0017405A">
              <w:rPr>
                <w:szCs w:val="20"/>
              </w:rPr>
              <w:t>Cost of 1L chemotherapy offset</w:t>
            </w:r>
          </w:p>
        </w:tc>
        <w:tc>
          <w:tcPr>
            <w:tcW w:w="606" w:type="pct"/>
            <w:shd w:val="clear" w:color="auto" w:fill="auto"/>
            <w:vAlign w:val="center"/>
          </w:tcPr>
          <w:p w14:paraId="0629B1EE" w14:textId="01B11F7A"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3"/>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3"/>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3"/>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089BB0C9" w14:textId="39DD520E"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2"/>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2"/>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2"/>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57D9C0C5" w14:textId="6C087669"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1"/>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1"/>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1"/>
                <w14:textFill>
                  <w14:solidFill>
                    <w14:srgbClr w14:val="000000">
                      <w14:alpha w14:val="100000"/>
                    </w14:srgbClr>
                  </w14:solidFill>
                </w14:textFill>
              </w:rPr>
              <w:t xml:space="preserve">　</w:t>
            </w:r>
            <w:r w:rsidR="005A3CEC">
              <w:rPr>
                <w:vertAlign w:val="superscript"/>
              </w:rPr>
              <w:t>4</w:t>
            </w:r>
          </w:p>
        </w:tc>
        <w:tc>
          <w:tcPr>
            <w:tcW w:w="611" w:type="pct"/>
            <w:shd w:val="clear" w:color="auto" w:fill="auto"/>
            <w:vAlign w:val="center"/>
          </w:tcPr>
          <w:p w14:paraId="57C536C8" w14:textId="45B22401"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0"/>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0"/>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0"/>
                <w14:textFill>
                  <w14:solidFill>
                    <w14:srgbClr w14:val="000000">
                      <w14:alpha w14:val="100000"/>
                    </w14:srgbClr>
                  </w14:solidFill>
                </w14:textFill>
              </w:rPr>
              <w:t xml:space="preserve">　</w:t>
            </w:r>
            <w:r w:rsidR="005A3CEC">
              <w:rPr>
                <w:vertAlign w:val="superscript"/>
              </w:rPr>
              <w:t>4</w:t>
            </w:r>
          </w:p>
        </w:tc>
        <w:tc>
          <w:tcPr>
            <w:tcW w:w="606" w:type="pct"/>
            <w:shd w:val="clear" w:color="auto" w:fill="auto"/>
            <w:vAlign w:val="center"/>
          </w:tcPr>
          <w:p w14:paraId="43D3821A" w14:textId="3977387F"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59"/>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59"/>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59"/>
                <w14:textFill>
                  <w14:solidFill>
                    <w14:srgbClr w14:val="000000">
                      <w14:alpha w14:val="100000"/>
                    </w14:srgbClr>
                  </w14:solidFill>
                </w14:textFill>
              </w:rPr>
              <w:t xml:space="preserve">　</w:t>
            </w:r>
            <w:r w:rsidR="005A3CEC">
              <w:rPr>
                <w:vertAlign w:val="superscript"/>
              </w:rPr>
              <w:t>4</w:t>
            </w:r>
          </w:p>
        </w:tc>
        <w:tc>
          <w:tcPr>
            <w:tcW w:w="606" w:type="pct"/>
            <w:vAlign w:val="center"/>
          </w:tcPr>
          <w:p w14:paraId="24330B6B" w14:textId="5D69EC5F"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5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5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58"/>
                <w14:textFill>
                  <w14:solidFill>
                    <w14:srgbClr w14:val="000000">
                      <w14:alpha w14:val="100000"/>
                    </w14:srgbClr>
                  </w14:solidFill>
                </w14:textFill>
              </w:rPr>
              <w:t xml:space="preserve">　</w:t>
            </w:r>
            <w:r w:rsidR="005A3CEC">
              <w:rPr>
                <w:vertAlign w:val="superscript"/>
              </w:rPr>
              <w:t>4</w:t>
            </w:r>
          </w:p>
        </w:tc>
      </w:tr>
      <w:tr w:rsidR="00D7609F" w:rsidRPr="0017405A" w14:paraId="72AFB05E" w14:textId="77777777" w:rsidTr="005A49F3">
        <w:tc>
          <w:tcPr>
            <w:tcW w:w="1361" w:type="pct"/>
            <w:shd w:val="clear" w:color="auto" w:fill="auto"/>
            <w:vAlign w:val="center"/>
          </w:tcPr>
          <w:p w14:paraId="0CEC45BC" w14:textId="77777777" w:rsidR="00D7609F" w:rsidRPr="0017405A" w:rsidRDefault="00D7609F" w:rsidP="003B0685">
            <w:pPr>
              <w:pStyle w:val="TableText"/>
              <w:keepNext/>
              <w:keepLines/>
              <w:spacing w:before="0" w:after="0"/>
              <w:rPr>
                <w:szCs w:val="20"/>
                <w:vertAlign w:val="superscript"/>
              </w:rPr>
            </w:pPr>
            <w:r w:rsidRPr="0017405A">
              <w:rPr>
                <w:szCs w:val="20"/>
              </w:rPr>
              <w:t xml:space="preserve">Cost of 2L nivolumab offset </w:t>
            </w:r>
            <w:r w:rsidR="00FA7F4F" w:rsidRPr="0017405A">
              <w:rPr>
                <w:szCs w:val="20"/>
                <w:vertAlign w:val="superscript"/>
              </w:rPr>
              <w:t>d</w:t>
            </w:r>
          </w:p>
        </w:tc>
        <w:tc>
          <w:tcPr>
            <w:tcW w:w="606" w:type="pct"/>
            <w:shd w:val="clear" w:color="auto" w:fill="auto"/>
            <w:vAlign w:val="center"/>
          </w:tcPr>
          <w:p w14:paraId="5F3BF318" w14:textId="0EB7BB91" w:rsidR="00D7609F" w:rsidRPr="006F24DE" w:rsidRDefault="009A1388" w:rsidP="003B0685">
            <w:pPr>
              <w:pStyle w:val="TableText"/>
              <w:keepNext/>
              <w:keepLines/>
              <w:spacing w:before="0" w:after="0"/>
              <w:jc w:val="center"/>
              <w:rPr>
                <w:szCs w:val="20"/>
                <w:vertAlign w:val="superscript"/>
              </w:rPr>
            </w:pPr>
            <w:r w:rsidRPr="009A1388">
              <w:rPr>
                <w:rFonts w:cs="Arial" w:hint="eastAsia"/>
                <w:noProof/>
                <w:color w:val="000000"/>
                <w:w w:val="15"/>
                <w:szCs w:val="20"/>
                <w:shd w:val="solid" w:color="000000" w:fill="000000"/>
                <w:fitText w:val="40" w:id="-1500867057"/>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57"/>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57"/>
                <w14:textFill>
                  <w14:solidFill>
                    <w14:srgbClr w14:val="000000">
                      <w14:alpha w14:val="100000"/>
                    </w14:srgbClr>
                  </w14:solidFill>
                </w14:textFill>
              </w:rPr>
              <w:t xml:space="preserve">　</w:t>
            </w:r>
            <w:r w:rsidR="006F24DE" w:rsidRPr="006F24DE">
              <w:rPr>
                <w:rFonts w:cs="Arial"/>
                <w:szCs w:val="20"/>
                <w:vertAlign w:val="superscript"/>
              </w:rPr>
              <w:t>5</w:t>
            </w:r>
          </w:p>
        </w:tc>
        <w:tc>
          <w:tcPr>
            <w:tcW w:w="607" w:type="pct"/>
            <w:shd w:val="clear" w:color="auto" w:fill="auto"/>
            <w:vAlign w:val="center"/>
          </w:tcPr>
          <w:p w14:paraId="19E9C998" w14:textId="2C335CE3"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40" w:id="-1500867056"/>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56"/>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56"/>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38E798F2" w14:textId="3A9854BA"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30" w:id="-1500867072"/>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30" w:id="-1500867072"/>
                <w14:textFill>
                  <w14:solidFill>
                    <w14:srgbClr w14:val="000000">
                      <w14:alpha w14:val="100000"/>
                    </w14:srgbClr>
                  </w14:solidFill>
                </w14:textFill>
              </w:rPr>
              <w:t>|</w:t>
            </w:r>
            <w:r w:rsidRPr="009A1388">
              <w:rPr>
                <w:rFonts w:cs="Arial" w:hint="eastAsia"/>
                <w:noProof/>
                <w:color w:val="000000"/>
                <w:spacing w:val="-35"/>
                <w:w w:val="15"/>
                <w:szCs w:val="20"/>
                <w:shd w:val="solid" w:color="000000" w:fill="000000"/>
                <w:fitText w:val="30" w:id="-1500867072"/>
                <w14:textFill>
                  <w14:solidFill>
                    <w14:srgbClr w14:val="000000">
                      <w14:alpha w14:val="100000"/>
                    </w14:srgbClr>
                  </w14:solidFill>
                </w14:textFill>
              </w:rPr>
              <w:t xml:space="preserve">　</w:t>
            </w:r>
            <w:r w:rsidR="005A3CEC">
              <w:rPr>
                <w:vertAlign w:val="superscript"/>
              </w:rPr>
              <w:t>4</w:t>
            </w:r>
          </w:p>
        </w:tc>
        <w:tc>
          <w:tcPr>
            <w:tcW w:w="611" w:type="pct"/>
            <w:shd w:val="clear" w:color="auto" w:fill="auto"/>
            <w:vAlign w:val="center"/>
          </w:tcPr>
          <w:p w14:paraId="27E355C1" w14:textId="338AE45E"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30" w:id="-1500867071"/>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30" w:id="-1500867071"/>
                <w14:textFill>
                  <w14:solidFill>
                    <w14:srgbClr w14:val="000000">
                      <w14:alpha w14:val="100000"/>
                    </w14:srgbClr>
                  </w14:solidFill>
                </w14:textFill>
              </w:rPr>
              <w:t>|</w:t>
            </w:r>
            <w:r w:rsidRPr="009A1388">
              <w:rPr>
                <w:rFonts w:cs="Arial" w:hint="eastAsia"/>
                <w:noProof/>
                <w:color w:val="000000"/>
                <w:spacing w:val="-35"/>
                <w:w w:val="15"/>
                <w:szCs w:val="20"/>
                <w:shd w:val="solid" w:color="000000" w:fill="000000"/>
                <w:fitText w:val="30" w:id="-1500867071"/>
                <w14:textFill>
                  <w14:solidFill>
                    <w14:srgbClr w14:val="000000">
                      <w14:alpha w14:val="100000"/>
                    </w14:srgbClr>
                  </w14:solidFill>
                </w14:textFill>
              </w:rPr>
              <w:t xml:space="preserve">　</w:t>
            </w:r>
            <w:r w:rsidR="005A3CEC">
              <w:rPr>
                <w:vertAlign w:val="superscript"/>
              </w:rPr>
              <w:t>4</w:t>
            </w:r>
          </w:p>
        </w:tc>
        <w:tc>
          <w:tcPr>
            <w:tcW w:w="606" w:type="pct"/>
            <w:shd w:val="clear" w:color="auto" w:fill="auto"/>
            <w:vAlign w:val="center"/>
          </w:tcPr>
          <w:p w14:paraId="575D9EC9" w14:textId="1ABCCE03"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40" w:id="-1500867070"/>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70"/>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70"/>
                <w14:textFill>
                  <w14:solidFill>
                    <w14:srgbClr w14:val="000000">
                      <w14:alpha w14:val="100000"/>
                    </w14:srgbClr>
                  </w14:solidFill>
                </w14:textFill>
              </w:rPr>
              <w:t xml:space="preserve">　</w:t>
            </w:r>
            <w:r w:rsidR="005A3CEC">
              <w:rPr>
                <w:vertAlign w:val="superscript"/>
              </w:rPr>
              <w:t>4</w:t>
            </w:r>
          </w:p>
        </w:tc>
        <w:tc>
          <w:tcPr>
            <w:tcW w:w="606" w:type="pct"/>
            <w:vAlign w:val="center"/>
          </w:tcPr>
          <w:p w14:paraId="3DA15E69" w14:textId="0B8EE6C0" w:rsidR="00D7609F" w:rsidRPr="0017405A" w:rsidRDefault="009A1388" w:rsidP="003B0685">
            <w:pPr>
              <w:pStyle w:val="TableText"/>
              <w:keepNext/>
              <w:keepLines/>
              <w:spacing w:before="0" w:after="0"/>
              <w:jc w:val="center"/>
              <w:rPr>
                <w:szCs w:val="20"/>
              </w:rPr>
            </w:pPr>
            <w:r w:rsidRPr="009A1388">
              <w:rPr>
                <w:rFonts w:cs="Arial" w:hint="eastAsia"/>
                <w:noProof/>
                <w:color w:val="000000"/>
                <w:w w:val="15"/>
                <w:szCs w:val="20"/>
                <w:shd w:val="solid" w:color="000000" w:fill="000000"/>
                <w:fitText w:val="40" w:id="-1500867069"/>
                <w14:textFill>
                  <w14:solidFill>
                    <w14:srgbClr w14:val="000000">
                      <w14:alpha w14:val="100000"/>
                    </w14:srgbClr>
                  </w14:solidFill>
                </w14:textFill>
              </w:rPr>
              <w:t xml:space="preserve">　</w:t>
            </w:r>
            <w:r w:rsidRPr="009A1388">
              <w:rPr>
                <w:rFonts w:cs="Arial"/>
                <w:noProof/>
                <w:color w:val="000000"/>
                <w:w w:val="15"/>
                <w:szCs w:val="20"/>
                <w:shd w:val="solid" w:color="000000" w:fill="000000"/>
                <w:fitText w:val="40" w:id="-1500867069"/>
                <w14:textFill>
                  <w14:solidFill>
                    <w14:srgbClr w14:val="000000">
                      <w14:alpha w14:val="100000"/>
                    </w14:srgbClr>
                  </w14:solidFill>
                </w14:textFill>
              </w:rPr>
              <w:t>|</w:t>
            </w:r>
            <w:r w:rsidRPr="009A1388">
              <w:rPr>
                <w:rFonts w:cs="Arial" w:hint="eastAsia"/>
                <w:noProof/>
                <w:color w:val="000000"/>
                <w:spacing w:val="-25"/>
                <w:w w:val="15"/>
                <w:szCs w:val="20"/>
                <w:shd w:val="solid" w:color="000000" w:fill="000000"/>
                <w:fitText w:val="40" w:id="-1500867069"/>
                <w14:textFill>
                  <w14:solidFill>
                    <w14:srgbClr w14:val="000000">
                      <w14:alpha w14:val="100000"/>
                    </w14:srgbClr>
                  </w14:solidFill>
                </w14:textFill>
              </w:rPr>
              <w:t xml:space="preserve">　</w:t>
            </w:r>
            <w:r w:rsidR="006F24DE" w:rsidRPr="006F24DE">
              <w:rPr>
                <w:rFonts w:cs="Arial"/>
                <w:szCs w:val="20"/>
                <w:vertAlign w:val="superscript"/>
              </w:rPr>
              <w:t>5</w:t>
            </w:r>
          </w:p>
        </w:tc>
      </w:tr>
      <w:tr w:rsidR="00D7609F" w:rsidRPr="0017405A" w14:paraId="6E9E3B66" w14:textId="77777777" w:rsidTr="005A49F3">
        <w:tc>
          <w:tcPr>
            <w:tcW w:w="1361" w:type="pct"/>
            <w:shd w:val="clear" w:color="auto" w:fill="auto"/>
            <w:vAlign w:val="center"/>
          </w:tcPr>
          <w:p w14:paraId="590DF843" w14:textId="77777777" w:rsidR="00D7609F" w:rsidRPr="0017405A" w:rsidRDefault="00D7609F" w:rsidP="003B0685">
            <w:pPr>
              <w:pStyle w:val="TableText"/>
              <w:keepNext/>
              <w:keepLines/>
              <w:spacing w:before="0" w:after="0"/>
              <w:rPr>
                <w:szCs w:val="20"/>
              </w:rPr>
            </w:pPr>
            <w:r w:rsidRPr="0017405A">
              <w:rPr>
                <w:szCs w:val="20"/>
              </w:rPr>
              <w:t>Copayments</w:t>
            </w:r>
          </w:p>
        </w:tc>
        <w:tc>
          <w:tcPr>
            <w:tcW w:w="606" w:type="pct"/>
            <w:shd w:val="clear" w:color="auto" w:fill="auto"/>
            <w:vAlign w:val="center"/>
          </w:tcPr>
          <w:p w14:paraId="07FA14C2" w14:textId="6AB3EC05"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8"/>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1FFB17F7" w14:textId="5FE2EBC7"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7"/>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7"/>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7"/>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7ED32F20" w14:textId="5C845C70"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6"/>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6"/>
                <w14:textFill>
                  <w14:solidFill>
                    <w14:srgbClr w14:val="000000">
                      <w14:alpha w14:val="100000"/>
                    </w14:srgbClr>
                  </w14:solidFill>
                </w14:textFill>
              </w:rPr>
              <w:t xml:space="preserve">　</w:t>
            </w:r>
            <w:r w:rsidR="005A3CEC">
              <w:rPr>
                <w:vertAlign w:val="superscript"/>
              </w:rPr>
              <w:t>4</w:t>
            </w:r>
          </w:p>
        </w:tc>
        <w:tc>
          <w:tcPr>
            <w:tcW w:w="611" w:type="pct"/>
            <w:shd w:val="clear" w:color="auto" w:fill="auto"/>
            <w:vAlign w:val="center"/>
          </w:tcPr>
          <w:p w14:paraId="06C3DB03" w14:textId="45DA6EE0"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7065"/>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7065"/>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7065"/>
                <w14:textFill>
                  <w14:solidFill>
                    <w14:srgbClr w14:val="000000">
                      <w14:alpha w14:val="100000"/>
                    </w14:srgbClr>
                  </w14:solidFill>
                </w14:textFill>
              </w:rPr>
              <w:t xml:space="preserve">　</w:t>
            </w:r>
            <w:r w:rsidR="005A3CEC">
              <w:rPr>
                <w:vertAlign w:val="superscript"/>
              </w:rPr>
              <w:t>4</w:t>
            </w:r>
          </w:p>
        </w:tc>
        <w:tc>
          <w:tcPr>
            <w:tcW w:w="606" w:type="pct"/>
            <w:shd w:val="clear" w:color="auto" w:fill="auto"/>
            <w:vAlign w:val="center"/>
          </w:tcPr>
          <w:p w14:paraId="22B5A349" w14:textId="225FC74F"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7064"/>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7064"/>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7064"/>
                <w14:textFill>
                  <w14:solidFill>
                    <w14:srgbClr w14:val="000000">
                      <w14:alpha w14:val="100000"/>
                    </w14:srgbClr>
                  </w14:solidFill>
                </w14:textFill>
              </w:rPr>
              <w:t xml:space="preserve">　</w:t>
            </w:r>
            <w:r w:rsidR="005A3CEC">
              <w:rPr>
                <w:vertAlign w:val="superscript"/>
              </w:rPr>
              <w:t>4</w:t>
            </w:r>
          </w:p>
        </w:tc>
        <w:tc>
          <w:tcPr>
            <w:tcW w:w="606" w:type="pct"/>
            <w:vAlign w:val="center"/>
          </w:tcPr>
          <w:p w14:paraId="2D45ECE8" w14:textId="79A960CA"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6"/>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6"/>
                <w14:textFill>
                  <w14:solidFill>
                    <w14:srgbClr w14:val="000000">
                      <w14:alpha w14:val="100000"/>
                    </w14:srgbClr>
                  </w14:solidFill>
                </w14:textFill>
              </w:rPr>
              <w:t xml:space="preserve">　</w:t>
            </w:r>
            <w:r w:rsidR="005A3CEC">
              <w:rPr>
                <w:vertAlign w:val="superscript"/>
              </w:rPr>
              <w:t>4</w:t>
            </w:r>
          </w:p>
        </w:tc>
      </w:tr>
      <w:tr w:rsidR="00D7609F" w:rsidRPr="0017405A" w14:paraId="2CAA90D0" w14:textId="77777777" w:rsidTr="005A49F3">
        <w:tc>
          <w:tcPr>
            <w:tcW w:w="1361" w:type="pct"/>
            <w:shd w:val="clear" w:color="auto" w:fill="auto"/>
            <w:vAlign w:val="center"/>
          </w:tcPr>
          <w:p w14:paraId="47599DF5" w14:textId="77777777" w:rsidR="00D7609F" w:rsidRPr="0017405A" w:rsidRDefault="00D7609F" w:rsidP="003B0685">
            <w:pPr>
              <w:pStyle w:val="TableText"/>
              <w:keepNext/>
              <w:keepLines/>
              <w:spacing w:before="0" w:after="0"/>
              <w:rPr>
                <w:szCs w:val="20"/>
              </w:rPr>
            </w:pPr>
            <w:r w:rsidRPr="0017405A">
              <w:rPr>
                <w:szCs w:val="20"/>
              </w:rPr>
              <w:t>Total cost offset net copayment</w:t>
            </w:r>
          </w:p>
        </w:tc>
        <w:tc>
          <w:tcPr>
            <w:tcW w:w="606" w:type="pct"/>
            <w:shd w:val="clear" w:color="auto" w:fill="auto"/>
            <w:vAlign w:val="center"/>
          </w:tcPr>
          <w:p w14:paraId="540D9B0A" w14:textId="7EBA9FE3"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5"/>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5"/>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5"/>
                <w14:textFill>
                  <w14:solidFill>
                    <w14:srgbClr w14:val="000000">
                      <w14:alpha w14:val="100000"/>
                    </w14:srgbClr>
                  </w14:solidFill>
                </w14:textFill>
              </w:rPr>
              <w:t xml:space="preserve">　</w:t>
            </w:r>
            <w:r w:rsidR="006F24DE" w:rsidRPr="006F24DE">
              <w:rPr>
                <w:rFonts w:cs="Arial"/>
                <w:szCs w:val="20"/>
                <w:vertAlign w:val="superscript"/>
              </w:rPr>
              <w:t>5</w:t>
            </w:r>
          </w:p>
        </w:tc>
        <w:tc>
          <w:tcPr>
            <w:tcW w:w="607" w:type="pct"/>
            <w:shd w:val="clear" w:color="auto" w:fill="auto"/>
            <w:vAlign w:val="center"/>
          </w:tcPr>
          <w:p w14:paraId="2901C313" w14:textId="0695E548"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4"/>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4"/>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4"/>
                <w14:textFill>
                  <w14:solidFill>
                    <w14:srgbClr w14:val="000000">
                      <w14:alpha w14:val="100000"/>
                    </w14:srgbClr>
                  </w14:solidFill>
                </w14:textFill>
              </w:rPr>
              <w:t xml:space="preserve">　</w:t>
            </w:r>
            <w:r w:rsidR="006F24DE" w:rsidRPr="006F24DE">
              <w:rPr>
                <w:rFonts w:cs="Arial"/>
                <w:szCs w:val="20"/>
                <w:vertAlign w:val="superscript"/>
              </w:rPr>
              <w:t>5</w:t>
            </w:r>
          </w:p>
        </w:tc>
        <w:tc>
          <w:tcPr>
            <w:tcW w:w="602" w:type="pct"/>
            <w:shd w:val="clear" w:color="auto" w:fill="auto"/>
            <w:vAlign w:val="center"/>
          </w:tcPr>
          <w:p w14:paraId="43A56DB8" w14:textId="1CAAA693"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13"/>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13"/>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13"/>
                <w14:textFill>
                  <w14:solidFill>
                    <w14:srgbClr w14:val="000000">
                      <w14:alpha w14:val="100000"/>
                    </w14:srgbClr>
                  </w14:solidFill>
                </w14:textFill>
              </w:rPr>
              <w:t xml:space="preserve">　</w:t>
            </w:r>
            <w:r w:rsidR="006F24DE" w:rsidRPr="006F24DE">
              <w:rPr>
                <w:rFonts w:cs="Arial"/>
                <w:szCs w:val="20"/>
                <w:vertAlign w:val="superscript"/>
              </w:rPr>
              <w:t>5</w:t>
            </w:r>
          </w:p>
        </w:tc>
        <w:tc>
          <w:tcPr>
            <w:tcW w:w="611" w:type="pct"/>
            <w:shd w:val="clear" w:color="auto" w:fill="auto"/>
            <w:vAlign w:val="center"/>
          </w:tcPr>
          <w:p w14:paraId="3C6F0010" w14:textId="2AF68085"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12"/>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12"/>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12"/>
                <w14:textFill>
                  <w14:solidFill>
                    <w14:srgbClr w14:val="000000">
                      <w14:alpha w14:val="100000"/>
                    </w14:srgbClr>
                  </w14:solidFill>
                </w14:textFill>
              </w:rPr>
              <w:t xml:space="preserve">　</w:t>
            </w:r>
            <w:r w:rsidR="006F24DE" w:rsidRPr="006F24DE">
              <w:rPr>
                <w:rFonts w:cs="Arial"/>
                <w:szCs w:val="20"/>
                <w:vertAlign w:val="superscript"/>
              </w:rPr>
              <w:t>5</w:t>
            </w:r>
          </w:p>
        </w:tc>
        <w:tc>
          <w:tcPr>
            <w:tcW w:w="606" w:type="pct"/>
            <w:shd w:val="clear" w:color="auto" w:fill="auto"/>
            <w:vAlign w:val="center"/>
          </w:tcPr>
          <w:p w14:paraId="096245F3" w14:textId="29DDD028"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1"/>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1"/>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1"/>
                <w14:textFill>
                  <w14:solidFill>
                    <w14:srgbClr w14:val="000000">
                      <w14:alpha w14:val="100000"/>
                    </w14:srgbClr>
                  </w14:solidFill>
                </w14:textFill>
              </w:rPr>
              <w:t xml:space="preserve">　</w:t>
            </w:r>
            <w:r w:rsidR="006F24DE" w:rsidRPr="006F24DE">
              <w:rPr>
                <w:rFonts w:cs="Arial"/>
                <w:szCs w:val="20"/>
                <w:vertAlign w:val="superscript"/>
              </w:rPr>
              <w:t>5</w:t>
            </w:r>
          </w:p>
        </w:tc>
        <w:tc>
          <w:tcPr>
            <w:tcW w:w="606" w:type="pct"/>
            <w:vAlign w:val="center"/>
          </w:tcPr>
          <w:p w14:paraId="1A22307B" w14:textId="571F904B"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0"/>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0"/>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0"/>
                <w14:textFill>
                  <w14:solidFill>
                    <w14:srgbClr w14:val="000000">
                      <w14:alpha w14:val="100000"/>
                    </w14:srgbClr>
                  </w14:solidFill>
                </w14:textFill>
              </w:rPr>
              <w:t xml:space="preserve">　</w:t>
            </w:r>
            <w:r w:rsidR="006F24DE" w:rsidRPr="006F24DE">
              <w:rPr>
                <w:rFonts w:cs="Arial"/>
                <w:szCs w:val="20"/>
                <w:vertAlign w:val="superscript"/>
              </w:rPr>
              <w:t>5</w:t>
            </w:r>
          </w:p>
        </w:tc>
      </w:tr>
      <w:tr w:rsidR="00D7609F" w:rsidRPr="0017405A" w14:paraId="6E4D2208" w14:textId="77777777" w:rsidTr="005A49F3">
        <w:tc>
          <w:tcPr>
            <w:tcW w:w="5000" w:type="pct"/>
            <w:gridSpan w:val="7"/>
            <w:shd w:val="clear" w:color="auto" w:fill="auto"/>
            <w:vAlign w:val="center"/>
          </w:tcPr>
          <w:p w14:paraId="268242E5" w14:textId="77777777" w:rsidR="00D7609F" w:rsidRPr="0017405A" w:rsidRDefault="00D7609F" w:rsidP="003B0685">
            <w:pPr>
              <w:pStyle w:val="TableText"/>
              <w:keepNext/>
              <w:keepLines/>
              <w:spacing w:before="0" w:after="0"/>
              <w:rPr>
                <w:szCs w:val="20"/>
              </w:rPr>
            </w:pPr>
            <w:r w:rsidRPr="0017405A">
              <w:rPr>
                <w:b/>
                <w:szCs w:val="20"/>
              </w:rPr>
              <w:t>Estimated financial implications of administration offset of SoC to the MBS</w:t>
            </w:r>
          </w:p>
        </w:tc>
      </w:tr>
      <w:tr w:rsidR="00D7609F" w:rsidRPr="0017405A" w14:paraId="4D09E985" w14:textId="77777777" w:rsidTr="005A49F3">
        <w:tc>
          <w:tcPr>
            <w:tcW w:w="1361" w:type="pct"/>
            <w:shd w:val="clear" w:color="auto" w:fill="auto"/>
            <w:vAlign w:val="center"/>
          </w:tcPr>
          <w:p w14:paraId="201F7AC1" w14:textId="77777777" w:rsidR="00D7609F" w:rsidRPr="0017405A" w:rsidRDefault="00D7609F" w:rsidP="003B0685">
            <w:pPr>
              <w:pStyle w:val="TableText"/>
              <w:keepNext/>
              <w:keepLines/>
              <w:spacing w:before="0" w:after="0"/>
              <w:rPr>
                <w:szCs w:val="20"/>
              </w:rPr>
            </w:pPr>
            <w:r w:rsidRPr="0017405A">
              <w:rPr>
                <w:szCs w:val="20"/>
              </w:rPr>
              <w:t>Cost to MBS</w:t>
            </w:r>
          </w:p>
        </w:tc>
        <w:tc>
          <w:tcPr>
            <w:tcW w:w="606" w:type="pct"/>
            <w:shd w:val="clear" w:color="auto" w:fill="auto"/>
            <w:vAlign w:val="center"/>
          </w:tcPr>
          <w:p w14:paraId="72B4FCAD" w14:textId="724F7E55"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9"/>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9"/>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9"/>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244E6C64" w14:textId="020CE257"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8"/>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6FA0EF66" w14:textId="502E30CB"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07"/>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07"/>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07"/>
                <w14:textFill>
                  <w14:solidFill>
                    <w14:srgbClr w14:val="000000">
                      <w14:alpha w14:val="100000"/>
                    </w14:srgbClr>
                  </w14:solidFill>
                </w14:textFill>
              </w:rPr>
              <w:t xml:space="preserve">　</w:t>
            </w:r>
            <w:r w:rsidR="005A3CEC">
              <w:rPr>
                <w:vertAlign w:val="superscript"/>
              </w:rPr>
              <w:t>4</w:t>
            </w:r>
          </w:p>
        </w:tc>
        <w:tc>
          <w:tcPr>
            <w:tcW w:w="611" w:type="pct"/>
            <w:shd w:val="clear" w:color="auto" w:fill="auto"/>
            <w:vAlign w:val="center"/>
          </w:tcPr>
          <w:p w14:paraId="0C0D094E" w14:textId="49A1CFCA"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0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06"/>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06"/>
                <w14:textFill>
                  <w14:solidFill>
                    <w14:srgbClr w14:val="000000">
                      <w14:alpha w14:val="100000"/>
                    </w14:srgbClr>
                  </w14:solidFill>
                </w14:textFill>
              </w:rPr>
              <w:t xml:space="preserve">　</w:t>
            </w:r>
            <w:r w:rsidR="005A3CEC">
              <w:rPr>
                <w:vertAlign w:val="superscript"/>
              </w:rPr>
              <w:t>4</w:t>
            </w:r>
          </w:p>
        </w:tc>
        <w:tc>
          <w:tcPr>
            <w:tcW w:w="606" w:type="pct"/>
            <w:shd w:val="clear" w:color="auto" w:fill="auto"/>
            <w:vAlign w:val="center"/>
          </w:tcPr>
          <w:p w14:paraId="6B2AA284" w14:textId="170FD522"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5"/>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5"/>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5"/>
                <w14:textFill>
                  <w14:solidFill>
                    <w14:srgbClr w14:val="000000">
                      <w14:alpha w14:val="100000"/>
                    </w14:srgbClr>
                  </w14:solidFill>
                </w14:textFill>
              </w:rPr>
              <w:t xml:space="preserve">　</w:t>
            </w:r>
            <w:r w:rsidR="005A3CEC">
              <w:rPr>
                <w:vertAlign w:val="superscript"/>
              </w:rPr>
              <w:t>4</w:t>
            </w:r>
          </w:p>
        </w:tc>
        <w:tc>
          <w:tcPr>
            <w:tcW w:w="606" w:type="pct"/>
            <w:vAlign w:val="center"/>
          </w:tcPr>
          <w:p w14:paraId="5DA99019" w14:textId="18568298"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4"/>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4"/>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4"/>
                <w14:textFill>
                  <w14:solidFill>
                    <w14:srgbClr w14:val="000000">
                      <w14:alpha w14:val="100000"/>
                    </w14:srgbClr>
                  </w14:solidFill>
                </w14:textFill>
              </w:rPr>
              <w:t xml:space="preserve">　</w:t>
            </w:r>
            <w:r w:rsidR="005A3CEC">
              <w:rPr>
                <w:vertAlign w:val="superscript"/>
              </w:rPr>
              <w:t>4</w:t>
            </w:r>
          </w:p>
        </w:tc>
      </w:tr>
      <w:tr w:rsidR="00D7609F" w:rsidRPr="0017405A" w14:paraId="79D9F94B" w14:textId="77777777" w:rsidTr="005A49F3">
        <w:tc>
          <w:tcPr>
            <w:tcW w:w="5000" w:type="pct"/>
            <w:gridSpan w:val="7"/>
            <w:shd w:val="clear" w:color="auto" w:fill="auto"/>
            <w:vAlign w:val="center"/>
          </w:tcPr>
          <w:p w14:paraId="10507660" w14:textId="77777777" w:rsidR="00D7609F" w:rsidRPr="0017405A" w:rsidRDefault="00D7609F" w:rsidP="003B0685">
            <w:pPr>
              <w:pStyle w:val="TableText"/>
              <w:keepNext/>
              <w:keepLines/>
              <w:spacing w:before="0" w:after="0"/>
              <w:rPr>
                <w:b/>
                <w:szCs w:val="20"/>
              </w:rPr>
            </w:pPr>
            <w:r w:rsidRPr="0017405A">
              <w:rPr>
                <w:b/>
                <w:szCs w:val="20"/>
              </w:rPr>
              <w:t>Net financial implications</w:t>
            </w:r>
            <w:r w:rsidRPr="0017405A">
              <w:rPr>
                <w:b/>
                <w:color w:val="4472C4" w:themeColor="accent5"/>
                <w:szCs w:val="20"/>
              </w:rPr>
              <w:t xml:space="preserve"> </w:t>
            </w:r>
          </w:p>
        </w:tc>
      </w:tr>
      <w:tr w:rsidR="00D7609F" w:rsidRPr="0017405A" w14:paraId="1AD2EFE3" w14:textId="77777777" w:rsidTr="005A49F3">
        <w:tc>
          <w:tcPr>
            <w:tcW w:w="1361" w:type="pct"/>
            <w:shd w:val="clear" w:color="auto" w:fill="auto"/>
            <w:vAlign w:val="center"/>
          </w:tcPr>
          <w:p w14:paraId="3A3DA9D5" w14:textId="77777777" w:rsidR="00D7609F" w:rsidRPr="0017405A" w:rsidRDefault="00D7609F" w:rsidP="003B0685">
            <w:pPr>
              <w:pStyle w:val="TableText"/>
              <w:keepNext/>
              <w:keepLines/>
              <w:spacing w:before="0" w:after="0"/>
              <w:rPr>
                <w:szCs w:val="20"/>
              </w:rPr>
            </w:pPr>
            <w:r w:rsidRPr="0017405A">
              <w:rPr>
                <w:szCs w:val="20"/>
              </w:rPr>
              <w:t>Net cost to PBS/RPBS</w:t>
            </w:r>
          </w:p>
        </w:tc>
        <w:tc>
          <w:tcPr>
            <w:tcW w:w="606" w:type="pct"/>
            <w:shd w:val="clear" w:color="auto" w:fill="auto"/>
            <w:vAlign w:val="center"/>
          </w:tcPr>
          <w:p w14:paraId="6AA92652" w14:textId="1A2C608D"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3"/>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3"/>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3"/>
                <w14:textFill>
                  <w14:solidFill>
                    <w14:srgbClr w14:val="000000">
                      <w14:alpha w14:val="100000"/>
                    </w14:srgbClr>
                  </w14:solidFill>
                </w14:textFill>
              </w:rPr>
              <w:t xml:space="preserve">　</w:t>
            </w:r>
            <w:r w:rsidR="006F24DE" w:rsidRPr="006F24DE">
              <w:rPr>
                <w:rFonts w:cs="Arial"/>
                <w:szCs w:val="20"/>
                <w:vertAlign w:val="superscript"/>
              </w:rPr>
              <w:t>5</w:t>
            </w:r>
          </w:p>
        </w:tc>
        <w:tc>
          <w:tcPr>
            <w:tcW w:w="607" w:type="pct"/>
            <w:shd w:val="clear" w:color="auto" w:fill="auto"/>
            <w:vAlign w:val="center"/>
          </w:tcPr>
          <w:p w14:paraId="762FFEBD" w14:textId="274FE8CB"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2"/>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2"/>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2"/>
                <w14:textFill>
                  <w14:solidFill>
                    <w14:srgbClr w14:val="000000">
                      <w14:alpha w14:val="100000"/>
                    </w14:srgbClr>
                  </w14:solidFill>
                </w14:textFill>
              </w:rPr>
              <w:t xml:space="preserve">　</w:t>
            </w:r>
            <w:r w:rsidR="006F24DE" w:rsidRPr="006F24DE">
              <w:rPr>
                <w:rFonts w:cs="Arial"/>
                <w:szCs w:val="20"/>
                <w:vertAlign w:val="superscript"/>
              </w:rPr>
              <w:t>5</w:t>
            </w:r>
          </w:p>
        </w:tc>
        <w:tc>
          <w:tcPr>
            <w:tcW w:w="602" w:type="pct"/>
            <w:shd w:val="clear" w:color="auto" w:fill="auto"/>
            <w:vAlign w:val="center"/>
          </w:tcPr>
          <w:p w14:paraId="2A4C8888" w14:textId="3B00AD51"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01"/>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01"/>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01"/>
                <w14:textFill>
                  <w14:solidFill>
                    <w14:srgbClr w14:val="000000">
                      <w14:alpha w14:val="100000"/>
                    </w14:srgbClr>
                  </w14:solidFill>
                </w14:textFill>
              </w:rPr>
              <w:t xml:space="preserve">　</w:t>
            </w:r>
            <w:r w:rsidR="006F24DE" w:rsidRPr="006F24DE">
              <w:rPr>
                <w:rFonts w:cs="Arial"/>
                <w:szCs w:val="20"/>
                <w:vertAlign w:val="superscript"/>
              </w:rPr>
              <w:t>5</w:t>
            </w:r>
          </w:p>
        </w:tc>
        <w:tc>
          <w:tcPr>
            <w:tcW w:w="611" w:type="pct"/>
            <w:shd w:val="clear" w:color="auto" w:fill="auto"/>
            <w:vAlign w:val="center"/>
          </w:tcPr>
          <w:p w14:paraId="551E8439" w14:textId="758A3A6B"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00"/>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00"/>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00"/>
                <w14:textFill>
                  <w14:solidFill>
                    <w14:srgbClr w14:val="000000">
                      <w14:alpha w14:val="100000"/>
                    </w14:srgbClr>
                  </w14:solidFill>
                </w14:textFill>
              </w:rPr>
              <w:t xml:space="preserve">　</w:t>
            </w:r>
            <w:r w:rsidR="006F24DE" w:rsidRPr="006F24DE">
              <w:rPr>
                <w:rFonts w:cs="Arial"/>
                <w:szCs w:val="20"/>
                <w:vertAlign w:val="superscript"/>
              </w:rPr>
              <w:t>5</w:t>
            </w:r>
          </w:p>
        </w:tc>
        <w:tc>
          <w:tcPr>
            <w:tcW w:w="606" w:type="pct"/>
            <w:shd w:val="clear" w:color="auto" w:fill="auto"/>
            <w:vAlign w:val="center"/>
          </w:tcPr>
          <w:p w14:paraId="0EC36F1A" w14:textId="780A5745"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6"/>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6"/>
                <w14:textFill>
                  <w14:solidFill>
                    <w14:srgbClr w14:val="000000">
                      <w14:alpha w14:val="100000"/>
                    </w14:srgbClr>
                  </w14:solidFill>
                </w14:textFill>
              </w:rPr>
              <w:t xml:space="preserve">　</w:t>
            </w:r>
            <w:r w:rsidR="006F24DE" w:rsidRPr="006F24DE">
              <w:rPr>
                <w:rFonts w:cs="Arial"/>
                <w:szCs w:val="20"/>
                <w:vertAlign w:val="superscript"/>
              </w:rPr>
              <w:t>5</w:t>
            </w:r>
          </w:p>
        </w:tc>
        <w:tc>
          <w:tcPr>
            <w:tcW w:w="606" w:type="pct"/>
            <w:vAlign w:val="center"/>
          </w:tcPr>
          <w:p w14:paraId="7A89FD9A" w14:textId="7F6FC00F"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5"/>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5"/>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5"/>
                <w14:textFill>
                  <w14:solidFill>
                    <w14:srgbClr w14:val="000000">
                      <w14:alpha w14:val="100000"/>
                    </w14:srgbClr>
                  </w14:solidFill>
                </w14:textFill>
              </w:rPr>
              <w:t xml:space="preserve">　</w:t>
            </w:r>
            <w:r w:rsidR="006F24DE" w:rsidRPr="006F24DE">
              <w:rPr>
                <w:rFonts w:cs="Arial"/>
                <w:szCs w:val="20"/>
                <w:vertAlign w:val="superscript"/>
              </w:rPr>
              <w:t>5</w:t>
            </w:r>
          </w:p>
        </w:tc>
      </w:tr>
      <w:tr w:rsidR="00D7609F" w:rsidRPr="0017405A" w14:paraId="2C6E8108" w14:textId="77777777" w:rsidTr="005A49F3">
        <w:tc>
          <w:tcPr>
            <w:tcW w:w="1361" w:type="pct"/>
            <w:shd w:val="clear" w:color="auto" w:fill="auto"/>
            <w:vAlign w:val="center"/>
          </w:tcPr>
          <w:p w14:paraId="2949A385" w14:textId="77777777" w:rsidR="00D7609F" w:rsidRPr="0017405A" w:rsidRDefault="00D7609F" w:rsidP="003B0685">
            <w:pPr>
              <w:pStyle w:val="TableText"/>
              <w:keepNext/>
              <w:keepLines/>
              <w:spacing w:before="0" w:after="0"/>
              <w:rPr>
                <w:szCs w:val="20"/>
              </w:rPr>
            </w:pPr>
            <w:r w:rsidRPr="0017405A">
              <w:rPr>
                <w:szCs w:val="20"/>
              </w:rPr>
              <w:t>Total cost administration</w:t>
            </w:r>
          </w:p>
        </w:tc>
        <w:tc>
          <w:tcPr>
            <w:tcW w:w="606" w:type="pct"/>
            <w:shd w:val="clear" w:color="auto" w:fill="auto"/>
            <w:vAlign w:val="center"/>
          </w:tcPr>
          <w:p w14:paraId="0912E6CF" w14:textId="5623C842"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9A1388" w:rsidRPr="009A1388">
              <w:rPr>
                <w:rFonts w:cs="Arial" w:hint="eastAsia"/>
                <w:iCs/>
                <w:color w:val="000000"/>
                <w:w w:val="15"/>
                <w:szCs w:val="20"/>
                <w:shd w:val="solid" w:color="000000" w:fill="000000"/>
                <w:fitText w:val="60" w:id="-1500866814"/>
                <w14:textFill>
                  <w14:solidFill>
                    <w14:srgbClr w14:val="000000">
                      <w14:alpha w14:val="100000"/>
                    </w14:srgbClr>
                  </w14:solidFill>
                </w14:textFill>
              </w:rPr>
              <w:t xml:space="preserve">　</w:t>
            </w:r>
            <w:r w:rsidR="009A1388" w:rsidRPr="009A1388">
              <w:rPr>
                <w:rFonts w:cs="Arial"/>
                <w:iCs/>
                <w:noProof/>
                <w:color w:val="000000"/>
                <w:w w:val="15"/>
                <w:szCs w:val="20"/>
                <w:shd w:val="solid" w:color="000000" w:fill="000000"/>
                <w:fitText w:val="60" w:id="-1500866814"/>
                <w14:textFill>
                  <w14:solidFill>
                    <w14:srgbClr w14:val="000000">
                      <w14:alpha w14:val="100000"/>
                    </w14:srgbClr>
                  </w14:solidFill>
                </w14:textFill>
              </w:rPr>
              <w:t>|</w:t>
            </w:r>
            <w:r w:rsidR="009A1388" w:rsidRPr="009A1388">
              <w:rPr>
                <w:rFonts w:cs="Arial" w:hint="eastAsia"/>
                <w:iCs/>
                <w:noProof/>
                <w:color w:val="000000"/>
                <w:spacing w:val="-5"/>
                <w:w w:val="15"/>
                <w:szCs w:val="20"/>
                <w:shd w:val="solid" w:color="000000" w:fill="000000"/>
                <w:fitText w:val="60" w:id="-1500866814"/>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352D3D3C" w14:textId="0C9FEC19"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9A1388" w:rsidRPr="009A1388">
              <w:rPr>
                <w:rFonts w:cs="Arial" w:hint="eastAsia"/>
                <w:iCs/>
                <w:color w:val="000000"/>
                <w:w w:val="15"/>
                <w:szCs w:val="20"/>
                <w:shd w:val="solid" w:color="000000" w:fill="000000"/>
                <w:fitText w:val="70" w:id="-1500866813"/>
                <w14:textFill>
                  <w14:solidFill>
                    <w14:srgbClr w14:val="000000">
                      <w14:alpha w14:val="100000"/>
                    </w14:srgbClr>
                  </w14:solidFill>
                </w14:textFill>
              </w:rPr>
              <w:t xml:space="preserve">　</w:t>
            </w:r>
            <w:r w:rsidR="009A1388" w:rsidRPr="009A1388">
              <w:rPr>
                <w:rFonts w:cs="Arial"/>
                <w:iCs/>
                <w:noProof/>
                <w:color w:val="000000"/>
                <w:w w:val="15"/>
                <w:szCs w:val="20"/>
                <w:shd w:val="solid" w:color="000000" w:fill="000000"/>
                <w:fitText w:val="70" w:id="-1500866813"/>
                <w14:textFill>
                  <w14:solidFill>
                    <w14:srgbClr w14:val="000000">
                      <w14:alpha w14:val="100000"/>
                    </w14:srgbClr>
                  </w14:solidFill>
                </w14:textFill>
              </w:rPr>
              <w:t>|</w:t>
            </w:r>
            <w:r w:rsidR="009A1388" w:rsidRPr="009A1388">
              <w:rPr>
                <w:rFonts w:cs="Arial" w:hint="eastAsia"/>
                <w:iCs/>
                <w:noProof/>
                <w:color w:val="000000"/>
                <w:spacing w:val="4"/>
                <w:w w:val="15"/>
                <w:szCs w:val="20"/>
                <w:shd w:val="solid" w:color="000000" w:fill="000000"/>
                <w:fitText w:val="70" w:id="-1500866813"/>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2392FCD1" w14:textId="1070BD96"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9A1388" w:rsidRPr="009A1388">
              <w:rPr>
                <w:rFonts w:cs="Arial" w:hint="eastAsia"/>
                <w:iCs/>
                <w:color w:val="000000"/>
                <w:w w:val="15"/>
                <w:szCs w:val="20"/>
                <w:shd w:val="solid" w:color="000000" w:fill="000000"/>
                <w:fitText w:val="70" w:id="-1500866812"/>
                <w14:textFill>
                  <w14:solidFill>
                    <w14:srgbClr w14:val="000000">
                      <w14:alpha w14:val="100000"/>
                    </w14:srgbClr>
                  </w14:solidFill>
                </w14:textFill>
              </w:rPr>
              <w:t xml:space="preserve">　</w:t>
            </w:r>
            <w:r w:rsidR="009A1388" w:rsidRPr="009A1388">
              <w:rPr>
                <w:rFonts w:cs="Arial"/>
                <w:iCs/>
                <w:noProof/>
                <w:color w:val="000000"/>
                <w:w w:val="15"/>
                <w:szCs w:val="20"/>
                <w:shd w:val="solid" w:color="000000" w:fill="000000"/>
                <w:fitText w:val="70" w:id="-1500866812"/>
                <w14:textFill>
                  <w14:solidFill>
                    <w14:srgbClr w14:val="000000">
                      <w14:alpha w14:val="100000"/>
                    </w14:srgbClr>
                  </w14:solidFill>
                </w14:textFill>
              </w:rPr>
              <w:t>|</w:t>
            </w:r>
            <w:r w:rsidR="009A1388" w:rsidRPr="009A1388">
              <w:rPr>
                <w:rFonts w:cs="Arial" w:hint="eastAsia"/>
                <w:iCs/>
                <w:noProof/>
                <w:color w:val="000000"/>
                <w:spacing w:val="4"/>
                <w:w w:val="15"/>
                <w:szCs w:val="20"/>
                <w:shd w:val="solid" w:color="000000" w:fill="000000"/>
                <w:fitText w:val="70" w:id="-1500866812"/>
                <w14:textFill>
                  <w14:solidFill>
                    <w14:srgbClr w14:val="000000">
                      <w14:alpha w14:val="100000"/>
                    </w14:srgbClr>
                  </w14:solidFill>
                </w14:textFill>
              </w:rPr>
              <w:t xml:space="preserve">　</w:t>
            </w:r>
            <w:r w:rsidR="00F90286">
              <w:rPr>
                <w:vertAlign w:val="superscript"/>
              </w:rPr>
              <w:t>4</w:t>
            </w:r>
          </w:p>
        </w:tc>
        <w:tc>
          <w:tcPr>
            <w:tcW w:w="611" w:type="pct"/>
            <w:shd w:val="clear" w:color="auto" w:fill="auto"/>
            <w:vAlign w:val="center"/>
          </w:tcPr>
          <w:p w14:paraId="58F9A57B" w14:textId="1AE99FE8"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9A1388" w:rsidRPr="009A1388">
              <w:rPr>
                <w:rFonts w:cs="Arial" w:hint="eastAsia"/>
                <w:iCs/>
                <w:color w:val="000000"/>
                <w:w w:val="15"/>
                <w:szCs w:val="20"/>
                <w:shd w:val="solid" w:color="000000" w:fill="000000"/>
                <w:fitText w:val="60" w:id="-1500866811"/>
                <w14:textFill>
                  <w14:solidFill>
                    <w14:srgbClr w14:val="000000">
                      <w14:alpha w14:val="100000"/>
                    </w14:srgbClr>
                  </w14:solidFill>
                </w14:textFill>
              </w:rPr>
              <w:t xml:space="preserve">　</w:t>
            </w:r>
            <w:r w:rsidR="009A1388" w:rsidRPr="009A1388">
              <w:rPr>
                <w:rFonts w:cs="Arial"/>
                <w:iCs/>
                <w:noProof/>
                <w:color w:val="000000"/>
                <w:w w:val="15"/>
                <w:szCs w:val="20"/>
                <w:shd w:val="solid" w:color="000000" w:fill="000000"/>
                <w:fitText w:val="60" w:id="-1500866811"/>
                <w14:textFill>
                  <w14:solidFill>
                    <w14:srgbClr w14:val="000000">
                      <w14:alpha w14:val="100000"/>
                    </w14:srgbClr>
                  </w14:solidFill>
                </w14:textFill>
              </w:rPr>
              <w:t>|</w:t>
            </w:r>
            <w:r w:rsidR="009A1388" w:rsidRPr="009A1388">
              <w:rPr>
                <w:rFonts w:cs="Arial" w:hint="eastAsia"/>
                <w:iCs/>
                <w:noProof/>
                <w:color w:val="000000"/>
                <w:spacing w:val="-5"/>
                <w:w w:val="15"/>
                <w:szCs w:val="20"/>
                <w:shd w:val="solid" w:color="000000" w:fill="000000"/>
                <w:fitText w:val="60" w:id="-1500866811"/>
                <w14:textFill>
                  <w14:solidFill>
                    <w14:srgbClr w14:val="000000">
                      <w14:alpha w14:val="100000"/>
                    </w14:srgbClr>
                  </w14:solidFill>
                </w14:textFill>
              </w:rPr>
              <w:t xml:space="preserve">　</w:t>
            </w:r>
            <w:r w:rsidR="00F90286">
              <w:rPr>
                <w:vertAlign w:val="superscript"/>
              </w:rPr>
              <w:t>4</w:t>
            </w:r>
          </w:p>
        </w:tc>
        <w:tc>
          <w:tcPr>
            <w:tcW w:w="606" w:type="pct"/>
            <w:shd w:val="clear" w:color="auto" w:fill="auto"/>
            <w:vAlign w:val="center"/>
          </w:tcPr>
          <w:p w14:paraId="7C4E4B6D" w14:textId="4FA4A2D0"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9A1388" w:rsidRPr="009A1388">
              <w:rPr>
                <w:rFonts w:cs="Arial" w:hint="eastAsia"/>
                <w:iCs/>
                <w:color w:val="000000"/>
                <w:w w:val="15"/>
                <w:szCs w:val="20"/>
                <w:shd w:val="solid" w:color="000000" w:fill="000000"/>
                <w:fitText w:val="60" w:id="-1500866810"/>
                <w14:textFill>
                  <w14:solidFill>
                    <w14:srgbClr w14:val="000000">
                      <w14:alpha w14:val="100000"/>
                    </w14:srgbClr>
                  </w14:solidFill>
                </w14:textFill>
              </w:rPr>
              <w:t xml:space="preserve">　</w:t>
            </w:r>
            <w:r w:rsidR="009A1388" w:rsidRPr="009A1388">
              <w:rPr>
                <w:rFonts w:cs="Arial"/>
                <w:iCs/>
                <w:noProof/>
                <w:color w:val="000000"/>
                <w:w w:val="15"/>
                <w:szCs w:val="20"/>
                <w:shd w:val="solid" w:color="000000" w:fill="000000"/>
                <w:fitText w:val="60" w:id="-1500866810"/>
                <w14:textFill>
                  <w14:solidFill>
                    <w14:srgbClr w14:val="000000">
                      <w14:alpha w14:val="100000"/>
                    </w14:srgbClr>
                  </w14:solidFill>
                </w14:textFill>
              </w:rPr>
              <w:t>|</w:t>
            </w:r>
            <w:r w:rsidR="009A1388" w:rsidRPr="009A1388">
              <w:rPr>
                <w:rFonts w:cs="Arial" w:hint="eastAsia"/>
                <w:iCs/>
                <w:noProof/>
                <w:color w:val="000000"/>
                <w:spacing w:val="-5"/>
                <w:w w:val="15"/>
                <w:szCs w:val="20"/>
                <w:shd w:val="solid" w:color="000000" w:fill="000000"/>
                <w:fitText w:val="60" w:id="-1500866810"/>
                <w14:textFill>
                  <w14:solidFill>
                    <w14:srgbClr w14:val="000000">
                      <w14:alpha w14:val="100000"/>
                    </w14:srgbClr>
                  </w14:solidFill>
                </w14:textFill>
              </w:rPr>
              <w:t xml:space="preserve">　</w:t>
            </w:r>
            <w:r w:rsidR="00F90286">
              <w:rPr>
                <w:vertAlign w:val="superscript"/>
              </w:rPr>
              <w:t>4</w:t>
            </w:r>
          </w:p>
        </w:tc>
        <w:tc>
          <w:tcPr>
            <w:tcW w:w="606" w:type="pct"/>
            <w:vAlign w:val="center"/>
          </w:tcPr>
          <w:p w14:paraId="62B09C71" w14:textId="232EE275"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9A1388" w:rsidRPr="009A1388">
              <w:rPr>
                <w:rFonts w:cs="Arial" w:hint="eastAsia"/>
                <w:iCs/>
                <w:color w:val="000000"/>
                <w:w w:val="15"/>
                <w:szCs w:val="20"/>
                <w:shd w:val="solid" w:color="000000" w:fill="000000"/>
                <w:fitText w:val="70" w:id="-1500866809"/>
                <w14:textFill>
                  <w14:solidFill>
                    <w14:srgbClr w14:val="000000">
                      <w14:alpha w14:val="100000"/>
                    </w14:srgbClr>
                  </w14:solidFill>
                </w14:textFill>
              </w:rPr>
              <w:t xml:space="preserve">　</w:t>
            </w:r>
            <w:r w:rsidR="009A1388" w:rsidRPr="009A1388">
              <w:rPr>
                <w:rFonts w:cs="Arial"/>
                <w:iCs/>
                <w:noProof/>
                <w:color w:val="000000"/>
                <w:w w:val="15"/>
                <w:szCs w:val="20"/>
                <w:shd w:val="solid" w:color="000000" w:fill="000000"/>
                <w:fitText w:val="70" w:id="-1500866809"/>
                <w14:textFill>
                  <w14:solidFill>
                    <w14:srgbClr w14:val="000000">
                      <w14:alpha w14:val="100000"/>
                    </w14:srgbClr>
                  </w14:solidFill>
                </w14:textFill>
              </w:rPr>
              <w:t>|</w:t>
            </w:r>
            <w:r w:rsidR="009A1388" w:rsidRPr="009A1388">
              <w:rPr>
                <w:rFonts w:cs="Arial" w:hint="eastAsia"/>
                <w:iCs/>
                <w:noProof/>
                <w:color w:val="000000"/>
                <w:spacing w:val="4"/>
                <w:w w:val="15"/>
                <w:szCs w:val="20"/>
                <w:shd w:val="solid" w:color="000000" w:fill="000000"/>
                <w:fitText w:val="70" w:id="-1500866809"/>
                <w14:textFill>
                  <w14:solidFill>
                    <w14:srgbClr w14:val="000000">
                      <w14:alpha w14:val="100000"/>
                    </w14:srgbClr>
                  </w14:solidFill>
                </w14:textFill>
              </w:rPr>
              <w:t xml:space="preserve">　</w:t>
            </w:r>
            <w:r w:rsidR="00F90286">
              <w:rPr>
                <w:vertAlign w:val="superscript"/>
              </w:rPr>
              <w:t>4</w:t>
            </w:r>
          </w:p>
        </w:tc>
      </w:tr>
      <w:tr w:rsidR="00D7609F" w:rsidRPr="0017405A" w14:paraId="3C301310" w14:textId="77777777" w:rsidTr="005A49F3">
        <w:tc>
          <w:tcPr>
            <w:tcW w:w="1361" w:type="pct"/>
            <w:shd w:val="clear" w:color="auto" w:fill="auto"/>
            <w:vAlign w:val="center"/>
          </w:tcPr>
          <w:p w14:paraId="2658CB8D" w14:textId="77777777" w:rsidR="00D7609F" w:rsidRPr="0017405A" w:rsidRDefault="00D7609F" w:rsidP="003B0685">
            <w:pPr>
              <w:pStyle w:val="TableText"/>
              <w:keepNext/>
              <w:keepLines/>
              <w:spacing w:before="0" w:after="0"/>
              <w:rPr>
                <w:szCs w:val="20"/>
              </w:rPr>
            </w:pPr>
            <w:r w:rsidRPr="0017405A">
              <w:rPr>
                <w:szCs w:val="20"/>
              </w:rPr>
              <w:t xml:space="preserve">Cost of CPS testing </w:t>
            </w:r>
            <w:r w:rsidR="00FA7F4F" w:rsidRPr="0017405A">
              <w:rPr>
                <w:szCs w:val="20"/>
                <w:vertAlign w:val="superscript"/>
              </w:rPr>
              <w:t>e</w:t>
            </w:r>
          </w:p>
        </w:tc>
        <w:tc>
          <w:tcPr>
            <w:tcW w:w="606" w:type="pct"/>
            <w:shd w:val="clear" w:color="auto" w:fill="auto"/>
            <w:vAlign w:val="center"/>
          </w:tcPr>
          <w:p w14:paraId="3785AA2D" w14:textId="1E36EF64" w:rsidR="00D7609F" w:rsidRPr="0017405A" w:rsidRDefault="009A1388" w:rsidP="003B0685">
            <w:pPr>
              <w:pStyle w:val="TableText"/>
              <w:keepNext/>
              <w:keepLines/>
              <w:spacing w:before="0" w:after="0"/>
              <w:jc w:val="center"/>
              <w:rPr>
                <w:rFonts w:cs="Arial"/>
                <w:szCs w:val="20"/>
              </w:rPr>
            </w:pPr>
            <w:r w:rsidRPr="009A1388">
              <w:rPr>
                <w:rFonts w:cs="Arial" w:hint="eastAsia"/>
                <w:iCs/>
                <w:noProof/>
                <w:color w:val="000000"/>
                <w:w w:val="15"/>
                <w:szCs w:val="20"/>
                <w:shd w:val="solid" w:color="000000" w:fill="000000"/>
                <w:fitText w:val="40" w:id="-150086680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8"/>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1DDE64E7" w14:textId="640DD24E" w:rsidR="00D7609F" w:rsidRPr="0017405A" w:rsidRDefault="009A1388" w:rsidP="003B0685">
            <w:pPr>
              <w:pStyle w:val="TableText"/>
              <w:keepNext/>
              <w:keepLines/>
              <w:spacing w:before="0" w:after="0"/>
              <w:jc w:val="center"/>
              <w:rPr>
                <w:rFonts w:cs="Arial"/>
                <w:szCs w:val="20"/>
              </w:rPr>
            </w:pPr>
            <w:r w:rsidRPr="009A1388">
              <w:rPr>
                <w:rFonts w:cs="Arial" w:hint="eastAsia"/>
                <w:iCs/>
                <w:noProof/>
                <w:color w:val="000000"/>
                <w:w w:val="15"/>
                <w:szCs w:val="20"/>
                <w:shd w:val="solid" w:color="000000" w:fill="000000"/>
                <w:fitText w:val="40" w:id="-1500866807"/>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7"/>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7"/>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77D1C29D" w14:textId="38F5CD30" w:rsidR="00D7609F" w:rsidRPr="0017405A" w:rsidRDefault="009A1388" w:rsidP="003B0685">
            <w:pPr>
              <w:pStyle w:val="TableText"/>
              <w:keepNext/>
              <w:keepLines/>
              <w:spacing w:before="0" w:after="0"/>
              <w:jc w:val="center"/>
              <w:rPr>
                <w:rFonts w:cs="Arial"/>
                <w:szCs w:val="20"/>
              </w:rPr>
            </w:pPr>
            <w:r w:rsidRPr="009A1388">
              <w:rPr>
                <w:rFonts w:cs="Arial" w:hint="eastAsia"/>
                <w:iCs/>
                <w:noProof/>
                <w:color w:val="000000"/>
                <w:w w:val="15"/>
                <w:szCs w:val="20"/>
                <w:shd w:val="solid" w:color="000000" w:fill="000000"/>
                <w:fitText w:val="30" w:id="-1500866806"/>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06"/>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06"/>
                <w14:textFill>
                  <w14:solidFill>
                    <w14:srgbClr w14:val="000000">
                      <w14:alpha w14:val="100000"/>
                    </w14:srgbClr>
                  </w14:solidFill>
                </w14:textFill>
              </w:rPr>
              <w:t xml:space="preserve">　</w:t>
            </w:r>
            <w:r w:rsidR="00F90286">
              <w:rPr>
                <w:vertAlign w:val="superscript"/>
              </w:rPr>
              <w:t>4</w:t>
            </w:r>
          </w:p>
        </w:tc>
        <w:tc>
          <w:tcPr>
            <w:tcW w:w="611" w:type="pct"/>
            <w:shd w:val="clear" w:color="auto" w:fill="auto"/>
            <w:vAlign w:val="center"/>
          </w:tcPr>
          <w:p w14:paraId="4523F2ED" w14:textId="76D4DA13" w:rsidR="00D7609F" w:rsidRPr="0017405A" w:rsidRDefault="009A1388" w:rsidP="003B0685">
            <w:pPr>
              <w:pStyle w:val="TableText"/>
              <w:keepNext/>
              <w:keepLines/>
              <w:spacing w:before="0" w:after="0"/>
              <w:jc w:val="center"/>
              <w:rPr>
                <w:rFonts w:cs="Arial"/>
                <w:szCs w:val="20"/>
              </w:rPr>
            </w:pPr>
            <w:r w:rsidRPr="009A1388">
              <w:rPr>
                <w:rFonts w:cs="Arial" w:hint="eastAsia"/>
                <w:iCs/>
                <w:noProof/>
                <w:color w:val="000000"/>
                <w:w w:val="15"/>
                <w:szCs w:val="20"/>
                <w:shd w:val="solid" w:color="000000" w:fill="000000"/>
                <w:fitText w:val="30" w:id="-1500866805"/>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05"/>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05"/>
                <w14:textFill>
                  <w14:solidFill>
                    <w14:srgbClr w14:val="000000">
                      <w14:alpha w14:val="100000"/>
                    </w14:srgbClr>
                  </w14:solidFill>
                </w14:textFill>
              </w:rPr>
              <w:t xml:space="preserve">　</w:t>
            </w:r>
            <w:r w:rsidR="00F90286">
              <w:rPr>
                <w:vertAlign w:val="superscript"/>
              </w:rPr>
              <w:t>4</w:t>
            </w:r>
          </w:p>
        </w:tc>
        <w:tc>
          <w:tcPr>
            <w:tcW w:w="606" w:type="pct"/>
            <w:shd w:val="clear" w:color="auto" w:fill="auto"/>
            <w:vAlign w:val="center"/>
          </w:tcPr>
          <w:p w14:paraId="0F2B4B89" w14:textId="3210CBC6" w:rsidR="00D7609F" w:rsidRPr="0017405A" w:rsidRDefault="009A1388" w:rsidP="003B0685">
            <w:pPr>
              <w:pStyle w:val="TableText"/>
              <w:keepNext/>
              <w:keepLines/>
              <w:spacing w:before="0" w:after="0"/>
              <w:jc w:val="center"/>
              <w:rPr>
                <w:rFonts w:cs="Arial"/>
                <w:szCs w:val="20"/>
              </w:rPr>
            </w:pPr>
            <w:r w:rsidRPr="009A1388">
              <w:rPr>
                <w:rFonts w:cs="Arial" w:hint="eastAsia"/>
                <w:iCs/>
                <w:noProof/>
                <w:color w:val="000000"/>
                <w:w w:val="15"/>
                <w:szCs w:val="20"/>
                <w:shd w:val="solid" w:color="000000" w:fill="000000"/>
                <w:fitText w:val="40" w:id="-1500866804"/>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4"/>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4"/>
                <w14:textFill>
                  <w14:solidFill>
                    <w14:srgbClr w14:val="000000">
                      <w14:alpha w14:val="100000"/>
                    </w14:srgbClr>
                  </w14:solidFill>
                </w14:textFill>
              </w:rPr>
              <w:t xml:space="preserve">　</w:t>
            </w:r>
            <w:r w:rsidR="00F90286">
              <w:rPr>
                <w:vertAlign w:val="superscript"/>
              </w:rPr>
              <w:t>4</w:t>
            </w:r>
          </w:p>
        </w:tc>
        <w:tc>
          <w:tcPr>
            <w:tcW w:w="606" w:type="pct"/>
            <w:vAlign w:val="center"/>
          </w:tcPr>
          <w:p w14:paraId="0AFD8DA8" w14:textId="3F52A49E" w:rsidR="00D7609F" w:rsidRPr="0017405A" w:rsidRDefault="009A1388" w:rsidP="003B0685">
            <w:pPr>
              <w:pStyle w:val="TableText"/>
              <w:keepNext/>
              <w:keepLines/>
              <w:spacing w:before="0" w:after="0"/>
              <w:jc w:val="center"/>
              <w:rPr>
                <w:rFonts w:cs="Arial"/>
                <w:szCs w:val="20"/>
              </w:rPr>
            </w:pPr>
            <w:r w:rsidRPr="009A1388">
              <w:rPr>
                <w:rFonts w:cs="Arial" w:hint="eastAsia"/>
                <w:iCs/>
                <w:noProof/>
                <w:color w:val="000000"/>
                <w:w w:val="15"/>
                <w:szCs w:val="20"/>
                <w:shd w:val="solid" w:color="000000" w:fill="000000"/>
                <w:fitText w:val="40" w:id="-1500866803"/>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3"/>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3"/>
                <w14:textFill>
                  <w14:solidFill>
                    <w14:srgbClr w14:val="000000">
                      <w14:alpha w14:val="100000"/>
                    </w14:srgbClr>
                  </w14:solidFill>
                </w14:textFill>
              </w:rPr>
              <w:t xml:space="preserve">　</w:t>
            </w:r>
            <w:r w:rsidR="00F90286">
              <w:rPr>
                <w:vertAlign w:val="superscript"/>
              </w:rPr>
              <w:t>4</w:t>
            </w:r>
          </w:p>
        </w:tc>
      </w:tr>
      <w:tr w:rsidR="00D7609F" w:rsidRPr="0017405A" w14:paraId="4AD02C70" w14:textId="77777777" w:rsidTr="005A49F3">
        <w:tc>
          <w:tcPr>
            <w:tcW w:w="1361" w:type="pct"/>
            <w:shd w:val="clear" w:color="auto" w:fill="auto"/>
            <w:vAlign w:val="center"/>
          </w:tcPr>
          <w:p w14:paraId="1B582D06" w14:textId="77777777" w:rsidR="00D7609F" w:rsidRPr="0017405A" w:rsidRDefault="00D7609F" w:rsidP="003B0685">
            <w:pPr>
              <w:pStyle w:val="TableText"/>
              <w:keepNext/>
              <w:keepLines/>
              <w:spacing w:before="0" w:after="0"/>
              <w:rPr>
                <w:rFonts w:eastAsia="Times New Roman" w:cs="Times New Roman"/>
                <w:szCs w:val="20"/>
                <w:vertAlign w:val="superscript"/>
              </w:rPr>
            </w:pPr>
            <w:r w:rsidRPr="0017405A">
              <w:rPr>
                <w:szCs w:val="20"/>
              </w:rPr>
              <w:t xml:space="preserve">Net cost to MBS </w:t>
            </w:r>
            <w:r w:rsidR="00FA7F4F" w:rsidRPr="0017405A">
              <w:rPr>
                <w:szCs w:val="20"/>
                <w:vertAlign w:val="superscript"/>
              </w:rPr>
              <w:t>f</w:t>
            </w:r>
          </w:p>
        </w:tc>
        <w:tc>
          <w:tcPr>
            <w:tcW w:w="606" w:type="pct"/>
            <w:shd w:val="clear" w:color="auto" w:fill="auto"/>
            <w:vAlign w:val="center"/>
          </w:tcPr>
          <w:p w14:paraId="20C3FB59" w14:textId="3B1EB4FD" w:rsidR="00D7609F" w:rsidRPr="0017405A" w:rsidRDefault="00D7609F" w:rsidP="003B0685">
            <w:pPr>
              <w:pStyle w:val="TableText"/>
              <w:keepNext/>
              <w:keepLines/>
              <w:spacing w:before="0" w:after="0"/>
              <w:jc w:val="center"/>
              <w:rPr>
                <w:szCs w:val="20"/>
              </w:rPr>
            </w:pPr>
            <w:r w:rsidRPr="0017405A">
              <w:rPr>
                <w:rFonts w:cs="Arial"/>
                <w:szCs w:val="20"/>
              </w:rPr>
              <w:t>-</w:t>
            </w:r>
            <w:r w:rsidR="009A1388" w:rsidRPr="009A1388">
              <w:rPr>
                <w:rFonts w:cs="Arial" w:hint="eastAsia"/>
                <w:color w:val="000000"/>
                <w:w w:val="15"/>
                <w:szCs w:val="20"/>
                <w:shd w:val="solid" w:color="000000" w:fill="000000"/>
                <w:fitText w:val="60" w:id="-1500866802"/>
                <w14:textFill>
                  <w14:solidFill>
                    <w14:srgbClr w14:val="000000">
                      <w14:alpha w14:val="100000"/>
                    </w14:srgbClr>
                  </w14:solidFill>
                </w14:textFill>
              </w:rPr>
              <w:t xml:space="preserve">　</w:t>
            </w:r>
            <w:r w:rsidR="009A1388" w:rsidRPr="009A1388">
              <w:rPr>
                <w:rFonts w:cs="Arial"/>
                <w:noProof/>
                <w:color w:val="000000"/>
                <w:w w:val="15"/>
                <w:szCs w:val="20"/>
                <w:shd w:val="solid" w:color="000000" w:fill="000000"/>
                <w:fitText w:val="60" w:id="-1500866802"/>
                <w14:textFill>
                  <w14:solidFill>
                    <w14:srgbClr w14:val="000000">
                      <w14:alpha w14:val="100000"/>
                    </w14:srgbClr>
                  </w14:solidFill>
                </w14:textFill>
              </w:rPr>
              <w:t>|</w:t>
            </w:r>
            <w:r w:rsidR="009A1388" w:rsidRPr="009A1388">
              <w:rPr>
                <w:rFonts w:cs="Arial" w:hint="eastAsia"/>
                <w:noProof/>
                <w:color w:val="000000"/>
                <w:spacing w:val="-5"/>
                <w:w w:val="15"/>
                <w:szCs w:val="20"/>
                <w:shd w:val="solid" w:color="000000" w:fill="000000"/>
                <w:fitText w:val="60" w:id="-1500866802"/>
                <w14:textFill>
                  <w14:solidFill>
                    <w14:srgbClr w14:val="000000">
                      <w14:alpha w14:val="100000"/>
                    </w14:srgbClr>
                  </w14:solidFill>
                </w14:textFill>
              </w:rPr>
              <w:t xml:space="preserve">　</w:t>
            </w:r>
            <w:r w:rsidR="005A3CEC">
              <w:rPr>
                <w:vertAlign w:val="superscript"/>
              </w:rPr>
              <w:t>4</w:t>
            </w:r>
          </w:p>
        </w:tc>
        <w:tc>
          <w:tcPr>
            <w:tcW w:w="607" w:type="pct"/>
            <w:shd w:val="clear" w:color="auto" w:fill="auto"/>
            <w:vAlign w:val="center"/>
          </w:tcPr>
          <w:p w14:paraId="198E59B4" w14:textId="664DC0C3" w:rsidR="00D7609F" w:rsidRPr="0017405A" w:rsidRDefault="00D7609F" w:rsidP="003B0685">
            <w:pPr>
              <w:pStyle w:val="TableText"/>
              <w:keepNext/>
              <w:keepLines/>
              <w:spacing w:before="0" w:after="0"/>
              <w:jc w:val="center"/>
              <w:rPr>
                <w:szCs w:val="20"/>
              </w:rPr>
            </w:pPr>
            <w:r w:rsidRPr="0017405A">
              <w:rPr>
                <w:rFonts w:cs="Arial"/>
                <w:szCs w:val="20"/>
              </w:rPr>
              <w:t>-</w:t>
            </w:r>
            <w:r w:rsidR="009A1388" w:rsidRPr="009A1388">
              <w:rPr>
                <w:rFonts w:cs="Arial" w:hint="eastAsia"/>
                <w:color w:val="000000"/>
                <w:w w:val="15"/>
                <w:szCs w:val="20"/>
                <w:shd w:val="solid" w:color="000000" w:fill="000000"/>
                <w:fitText w:val="70" w:id="-1500866801"/>
                <w14:textFill>
                  <w14:solidFill>
                    <w14:srgbClr w14:val="000000">
                      <w14:alpha w14:val="100000"/>
                    </w14:srgbClr>
                  </w14:solidFill>
                </w14:textFill>
              </w:rPr>
              <w:t xml:space="preserve">　</w:t>
            </w:r>
            <w:r w:rsidR="009A1388" w:rsidRPr="009A1388">
              <w:rPr>
                <w:rFonts w:cs="Arial"/>
                <w:noProof/>
                <w:color w:val="000000"/>
                <w:w w:val="15"/>
                <w:szCs w:val="20"/>
                <w:shd w:val="solid" w:color="000000" w:fill="000000"/>
                <w:fitText w:val="70" w:id="-1500866801"/>
                <w14:textFill>
                  <w14:solidFill>
                    <w14:srgbClr w14:val="000000">
                      <w14:alpha w14:val="100000"/>
                    </w14:srgbClr>
                  </w14:solidFill>
                </w14:textFill>
              </w:rPr>
              <w:t>|</w:t>
            </w:r>
            <w:r w:rsidR="009A1388" w:rsidRPr="009A1388">
              <w:rPr>
                <w:rFonts w:cs="Arial" w:hint="eastAsia"/>
                <w:noProof/>
                <w:color w:val="000000"/>
                <w:spacing w:val="4"/>
                <w:w w:val="15"/>
                <w:szCs w:val="20"/>
                <w:shd w:val="solid" w:color="000000" w:fill="000000"/>
                <w:fitText w:val="70" w:id="-1500866801"/>
                <w14:textFill>
                  <w14:solidFill>
                    <w14:srgbClr w14:val="000000">
                      <w14:alpha w14:val="100000"/>
                    </w14:srgbClr>
                  </w14:solidFill>
                </w14:textFill>
              </w:rPr>
              <w:t xml:space="preserve">　</w:t>
            </w:r>
            <w:r w:rsidR="005A3CEC">
              <w:rPr>
                <w:vertAlign w:val="superscript"/>
              </w:rPr>
              <w:t>4</w:t>
            </w:r>
          </w:p>
        </w:tc>
        <w:tc>
          <w:tcPr>
            <w:tcW w:w="602" w:type="pct"/>
            <w:shd w:val="clear" w:color="auto" w:fill="auto"/>
            <w:vAlign w:val="center"/>
          </w:tcPr>
          <w:p w14:paraId="0514161A" w14:textId="6FAF4C9A" w:rsidR="00D7609F" w:rsidRPr="0017405A" w:rsidRDefault="00D7609F" w:rsidP="003B0685">
            <w:pPr>
              <w:pStyle w:val="TableText"/>
              <w:keepNext/>
              <w:keepLines/>
              <w:spacing w:before="0" w:after="0"/>
              <w:jc w:val="center"/>
              <w:rPr>
                <w:szCs w:val="20"/>
              </w:rPr>
            </w:pPr>
            <w:r w:rsidRPr="0017405A">
              <w:rPr>
                <w:rFonts w:cs="Arial"/>
                <w:szCs w:val="20"/>
              </w:rPr>
              <w:t>-</w:t>
            </w:r>
            <w:r w:rsidR="009A1388" w:rsidRPr="009A1388">
              <w:rPr>
                <w:rFonts w:cs="Arial" w:hint="eastAsia"/>
                <w:color w:val="000000"/>
                <w:w w:val="15"/>
                <w:szCs w:val="20"/>
                <w:shd w:val="solid" w:color="000000" w:fill="000000"/>
                <w:fitText w:val="70" w:id="-1500866800"/>
                <w14:textFill>
                  <w14:solidFill>
                    <w14:srgbClr w14:val="000000">
                      <w14:alpha w14:val="100000"/>
                    </w14:srgbClr>
                  </w14:solidFill>
                </w14:textFill>
              </w:rPr>
              <w:t xml:space="preserve">　</w:t>
            </w:r>
            <w:r w:rsidR="009A1388" w:rsidRPr="009A1388">
              <w:rPr>
                <w:rFonts w:cs="Arial"/>
                <w:noProof/>
                <w:color w:val="000000"/>
                <w:w w:val="15"/>
                <w:szCs w:val="20"/>
                <w:shd w:val="solid" w:color="000000" w:fill="000000"/>
                <w:fitText w:val="70" w:id="-1500866800"/>
                <w14:textFill>
                  <w14:solidFill>
                    <w14:srgbClr w14:val="000000">
                      <w14:alpha w14:val="100000"/>
                    </w14:srgbClr>
                  </w14:solidFill>
                </w14:textFill>
              </w:rPr>
              <w:t>|</w:t>
            </w:r>
            <w:r w:rsidR="009A1388" w:rsidRPr="009A1388">
              <w:rPr>
                <w:rFonts w:cs="Arial" w:hint="eastAsia"/>
                <w:noProof/>
                <w:color w:val="000000"/>
                <w:spacing w:val="4"/>
                <w:w w:val="15"/>
                <w:szCs w:val="20"/>
                <w:shd w:val="solid" w:color="000000" w:fill="000000"/>
                <w:fitText w:val="70" w:id="-1500866800"/>
                <w14:textFill>
                  <w14:solidFill>
                    <w14:srgbClr w14:val="000000">
                      <w14:alpha w14:val="100000"/>
                    </w14:srgbClr>
                  </w14:solidFill>
                </w14:textFill>
              </w:rPr>
              <w:t xml:space="preserve">　</w:t>
            </w:r>
            <w:r w:rsidR="00F90286">
              <w:rPr>
                <w:vertAlign w:val="superscript"/>
              </w:rPr>
              <w:t>4</w:t>
            </w:r>
          </w:p>
        </w:tc>
        <w:tc>
          <w:tcPr>
            <w:tcW w:w="611" w:type="pct"/>
            <w:shd w:val="clear" w:color="auto" w:fill="auto"/>
            <w:vAlign w:val="center"/>
          </w:tcPr>
          <w:p w14:paraId="6EA09066" w14:textId="71EEF5C0" w:rsidR="00D7609F" w:rsidRPr="0017405A" w:rsidRDefault="00D7609F" w:rsidP="003B0685">
            <w:pPr>
              <w:pStyle w:val="TableText"/>
              <w:keepNext/>
              <w:keepLines/>
              <w:spacing w:before="0" w:after="0"/>
              <w:jc w:val="center"/>
              <w:rPr>
                <w:szCs w:val="20"/>
              </w:rPr>
            </w:pPr>
            <w:r w:rsidRPr="0017405A">
              <w:rPr>
                <w:rFonts w:cs="Arial"/>
                <w:szCs w:val="20"/>
              </w:rPr>
              <w:t>-</w:t>
            </w:r>
            <w:r w:rsidR="009A1388" w:rsidRPr="009A1388">
              <w:rPr>
                <w:rFonts w:cs="Arial" w:hint="eastAsia"/>
                <w:color w:val="000000"/>
                <w:w w:val="15"/>
                <w:szCs w:val="20"/>
                <w:shd w:val="solid" w:color="000000" w:fill="000000"/>
                <w:fitText w:val="60" w:id="-1500866816"/>
                <w14:textFill>
                  <w14:solidFill>
                    <w14:srgbClr w14:val="000000">
                      <w14:alpha w14:val="100000"/>
                    </w14:srgbClr>
                  </w14:solidFill>
                </w14:textFill>
              </w:rPr>
              <w:t xml:space="preserve">　</w:t>
            </w:r>
            <w:r w:rsidR="009A1388" w:rsidRPr="009A1388">
              <w:rPr>
                <w:rFonts w:cs="Arial"/>
                <w:noProof/>
                <w:color w:val="000000"/>
                <w:w w:val="15"/>
                <w:szCs w:val="20"/>
                <w:shd w:val="solid" w:color="000000" w:fill="000000"/>
                <w:fitText w:val="60" w:id="-1500866816"/>
                <w14:textFill>
                  <w14:solidFill>
                    <w14:srgbClr w14:val="000000">
                      <w14:alpha w14:val="100000"/>
                    </w14:srgbClr>
                  </w14:solidFill>
                </w14:textFill>
              </w:rPr>
              <w:t>|</w:t>
            </w:r>
            <w:r w:rsidR="009A1388" w:rsidRPr="009A1388">
              <w:rPr>
                <w:rFonts w:cs="Arial" w:hint="eastAsia"/>
                <w:noProof/>
                <w:color w:val="000000"/>
                <w:spacing w:val="-5"/>
                <w:w w:val="15"/>
                <w:szCs w:val="20"/>
                <w:shd w:val="solid" w:color="000000" w:fill="000000"/>
                <w:fitText w:val="60" w:id="-1500866816"/>
                <w14:textFill>
                  <w14:solidFill>
                    <w14:srgbClr w14:val="000000">
                      <w14:alpha w14:val="100000"/>
                    </w14:srgbClr>
                  </w14:solidFill>
                </w14:textFill>
              </w:rPr>
              <w:t xml:space="preserve">　</w:t>
            </w:r>
            <w:r w:rsidR="00F90286">
              <w:rPr>
                <w:vertAlign w:val="superscript"/>
              </w:rPr>
              <w:t>4</w:t>
            </w:r>
          </w:p>
        </w:tc>
        <w:tc>
          <w:tcPr>
            <w:tcW w:w="606" w:type="pct"/>
            <w:shd w:val="clear" w:color="auto" w:fill="auto"/>
            <w:vAlign w:val="center"/>
          </w:tcPr>
          <w:p w14:paraId="20D098A9" w14:textId="03D56F59" w:rsidR="00D7609F" w:rsidRPr="0017405A" w:rsidRDefault="00D7609F" w:rsidP="003B0685">
            <w:pPr>
              <w:pStyle w:val="TableText"/>
              <w:keepNext/>
              <w:keepLines/>
              <w:spacing w:before="0" w:after="0"/>
              <w:jc w:val="center"/>
              <w:rPr>
                <w:szCs w:val="20"/>
              </w:rPr>
            </w:pPr>
            <w:r w:rsidRPr="0017405A">
              <w:rPr>
                <w:rFonts w:cs="Arial"/>
                <w:szCs w:val="20"/>
              </w:rPr>
              <w:t>-</w:t>
            </w:r>
            <w:r w:rsidR="009A1388" w:rsidRPr="009A1388">
              <w:rPr>
                <w:rFonts w:cs="Arial" w:hint="eastAsia"/>
                <w:color w:val="000000"/>
                <w:w w:val="15"/>
                <w:szCs w:val="20"/>
                <w:shd w:val="solid" w:color="000000" w:fill="000000"/>
                <w:fitText w:val="60" w:id="-1500866815"/>
                <w14:textFill>
                  <w14:solidFill>
                    <w14:srgbClr w14:val="000000">
                      <w14:alpha w14:val="100000"/>
                    </w14:srgbClr>
                  </w14:solidFill>
                </w14:textFill>
              </w:rPr>
              <w:t xml:space="preserve">　</w:t>
            </w:r>
            <w:r w:rsidR="009A1388" w:rsidRPr="009A1388">
              <w:rPr>
                <w:rFonts w:cs="Arial"/>
                <w:noProof/>
                <w:color w:val="000000"/>
                <w:w w:val="15"/>
                <w:szCs w:val="20"/>
                <w:shd w:val="solid" w:color="000000" w:fill="000000"/>
                <w:fitText w:val="60" w:id="-1500866815"/>
                <w14:textFill>
                  <w14:solidFill>
                    <w14:srgbClr w14:val="000000">
                      <w14:alpha w14:val="100000"/>
                    </w14:srgbClr>
                  </w14:solidFill>
                </w14:textFill>
              </w:rPr>
              <w:t>|</w:t>
            </w:r>
            <w:r w:rsidR="009A1388" w:rsidRPr="009A1388">
              <w:rPr>
                <w:rFonts w:cs="Arial" w:hint="eastAsia"/>
                <w:noProof/>
                <w:color w:val="000000"/>
                <w:spacing w:val="-5"/>
                <w:w w:val="15"/>
                <w:szCs w:val="20"/>
                <w:shd w:val="solid" w:color="000000" w:fill="000000"/>
                <w:fitText w:val="60" w:id="-1500866815"/>
                <w14:textFill>
                  <w14:solidFill>
                    <w14:srgbClr w14:val="000000">
                      <w14:alpha w14:val="100000"/>
                    </w14:srgbClr>
                  </w14:solidFill>
                </w14:textFill>
              </w:rPr>
              <w:t xml:space="preserve">　</w:t>
            </w:r>
            <w:r w:rsidR="00F90286">
              <w:rPr>
                <w:vertAlign w:val="superscript"/>
              </w:rPr>
              <w:t>4</w:t>
            </w:r>
          </w:p>
        </w:tc>
        <w:tc>
          <w:tcPr>
            <w:tcW w:w="606" w:type="pct"/>
            <w:vAlign w:val="center"/>
          </w:tcPr>
          <w:p w14:paraId="7D7D4BC1" w14:textId="3F04104E" w:rsidR="00D7609F" w:rsidRPr="0017405A" w:rsidRDefault="00D7609F" w:rsidP="003B0685">
            <w:pPr>
              <w:pStyle w:val="TableText"/>
              <w:keepNext/>
              <w:keepLines/>
              <w:spacing w:before="0" w:after="0"/>
              <w:jc w:val="center"/>
              <w:rPr>
                <w:szCs w:val="20"/>
              </w:rPr>
            </w:pPr>
            <w:r w:rsidRPr="0017405A">
              <w:rPr>
                <w:rFonts w:cs="Arial"/>
                <w:szCs w:val="20"/>
              </w:rPr>
              <w:t>-</w:t>
            </w:r>
            <w:r w:rsidR="009A1388" w:rsidRPr="009A1388">
              <w:rPr>
                <w:rFonts w:cs="Arial" w:hint="eastAsia"/>
                <w:color w:val="000000"/>
                <w:w w:val="15"/>
                <w:szCs w:val="20"/>
                <w:shd w:val="solid" w:color="000000" w:fill="000000"/>
                <w:fitText w:val="70" w:id="-1500866814"/>
                <w14:textFill>
                  <w14:solidFill>
                    <w14:srgbClr w14:val="000000">
                      <w14:alpha w14:val="100000"/>
                    </w14:srgbClr>
                  </w14:solidFill>
                </w14:textFill>
              </w:rPr>
              <w:t xml:space="preserve">　</w:t>
            </w:r>
            <w:r w:rsidR="009A1388" w:rsidRPr="009A1388">
              <w:rPr>
                <w:rFonts w:cs="Arial"/>
                <w:noProof/>
                <w:color w:val="000000"/>
                <w:w w:val="15"/>
                <w:szCs w:val="20"/>
                <w:shd w:val="solid" w:color="000000" w:fill="000000"/>
                <w:fitText w:val="70" w:id="-1500866814"/>
                <w14:textFill>
                  <w14:solidFill>
                    <w14:srgbClr w14:val="000000">
                      <w14:alpha w14:val="100000"/>
                    </w14:srgbClr>
                  </w14:solidFill>
                </w14:textFill>
              </w:rPr>
              <w:t>|</w:t>
            </w:r>
            <w:r w:rsidR="009A1388" w:rsidRPr="009A1388">
              <w:rPr>
                <w:rFonts w:cs="Arial" w:hint="eastAsia"/>
                <w:noProof/>
                <w:color w:val="000000"/>
                <w:spacing w:val="4"/>
                <w:w w:val="15"/>
                <w:szCs w:val="20"/>
                <w:shd w:val="solid" w:color="000000" w:fill="000000"/>
                <w:fitText w:val="70" w:id="-1500866814"/>
                <w14:textFill>
                  <w14:solidFill>
                    <w14:srgbClr w14:val="000000">
                      <w14:alpha w14:val="100000"/>
                    </w14:srgbClr>
                  </w14:solidFill>
                </w14:textFill>
              </w:rPr>
              <w:t xml:space="preserve">　</w:t>
            </w:r>
            <w:r w:rsidR="00F90286">
              <w:rPr>
                <w:vertAlign w:val="superscript"/>
              </w:rPr>
              <w:t>4</w:t>
            </w:r>
          </w:p>
        </w:tc>
      </w:tr>
      <w:tr w:rsidR="00D7609F" w:rsidRPr="0017405A" w14:paraId="013C2B42" w14:textId="77777777" w:rsidTr="005A49F3">
        <w:tc>
          <w:tcPr>
            <w:tcW w:w="1361" w:type="pct"/>
            <w:shd w:val="clear" w:color="auto" w:fill="auto"/>
            <w:vAlign w:val="center"/>
          </w:tcPr>
          <w:p w14:paraId="2F45B24F" w14:textId="77777777" w:rsidR="00D7609F" w:rsidRPr="0017405A" w:rsidRDefault="00D7609F" w:rsidP="003B0685">
            <w:pPr>
              <w:pStyle w:val="TableText"/>
              <w:keepNext/>
              <w:keepLines/>
              <w:spacing w:before="0" w:after="0"/>
              <w:rPr>
                <w:szCs w:val="20"/>
              </w:rPr>
            </w:pPr>
            <w:r w:rsidRPr="0017405A">
              <w:rPr>
                <w:szCs w:val="20"/>
              </w:rPr>
              <w:t>Net cost to PBS/RPBS/MBS</w:t>
            </w:r>
          </w:p>
        </w:tc>
        <w:tc>
          <w:tcPr>
            <w:tcW w:w="606" w:type="pct"/>
            <w:shd w:val="clear" w:color="auto" w:fill="auto"/>
            <w:vAlign w:val="center"/>
          </w:tcPr>
          <w:p w14:paraId="1FD65093" w14:textId="31B654D9"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3"/>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3"/>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3"/>
                <w14:textFill>
                  <w14:solidFill>
                    <w14:srgbClr w14:val="000000">
                      <w14:alpha w14:val="100000"/>
                    </w14:srgbClr>
                  </w14:solidFill>
                </w14:textFill>
              </w:rPr>
              <w:t xml:space="preserve">　</w:t>
            </w:r>
            <w:r w:rsidR="006F24DE" w:rsidRPr="006F24DE">
              <w:rPr>
                <w:rFonts w:cs="Arial"/>
                <w:szCs w:val="20"/>
                <w:vertAlign w:val="superscript"/>
              </w:rPr>
              <w:t>5</w:t>
            </w:r>
          </w:p>
        </w:tc>
        <w:tc>
          <w:tcPr>
            <w:tcW w:w="607" w:type="pct"/>
            <w:shd w:val="clear" w:color="auto" w:fill="auto"/>
            <w:vAlign w:val="center"/>
          </w:tcPr>
          <w:p w14:paraId="7BDDE300" w14:textId="6A99ADD1"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12"/>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12"/>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12"/>
                <w14:textFill>
                  <w14:solidFill>
                    <w14:srgbClr w14:val="000000">
                      <w14:alpha w14:val="100000"/>
                    </w14:srgbClr>
                  </w14:solidFill>
                </w14:textFill>
              </w:rPr>
              <w:t xml:space="preserve">　</w:t>
            </w:r>
            <w:r w:rsidR="006F24DE" w:rsidRPr="006F24DE">
              <w:rPr>
                <w:rFonts w:cs="Arial"/>
                <w:szCs w:val="20"/>
                <w:vertAlign w:val="superscript"/>
              </w:rPr>
              <w:t>5</w:t>
            </w:r>
          </w:p>
        </w:tc>
        <w:tc>
          <w:tcPr>
            <w:tcW w:w="602" w:type="pct"/>
            <w:shd w:val="clear" w:color="auto" w:fill="auto"/>
            <w:vAlign w:val="center"/>
          </w:tcPr>
          <w:p w14:paraId="0A5A81C5" w14:textId="1BE24AB3"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11"/>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11"/>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11"/>
                <w14:textFill>
                  <w14:solidFill>
                    <w14:srgbClr w14:val="000000">
                      <w14:alpha w14:val="100000"/>
                    </w14:srgbClr>
                  </w14:solidFill>
                </w14:textFill>
              </w:rPr>
              <w:t xml:space="preserve">　</w:t>
            </w:r>
            <w:r w:rsidR="006F24DE" w:rsidRPr="006F24DE">
              <w:rPr>
                <w:rFonts w:cs="Arial"/>
                <w:szCs w:val="20"/>
                <w:vertAlign w:val="superscript"/>
              </w:rPr>
              <w:t>5</w:t>
            </w:r>
          </w:p>
        </w:tc>
        <w:tc>
          <w:tcPr>
            <w:tcW w:w="611" w:type="pct"/>
            <w:shd w:val="clear" w:color="auto" w:fill="auto"/>
            <w:vAlign w:val="center"/>
          </w:tcPr>
          <w:p w14:paraId="4D312554" w14:textId="1059E214"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30" w:id="-1500866810"/>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30" w:id="-1500866810"/>
                <w14:textFill>
                  <w14:solidFill>
                    <w14:srgbClr w14:val="000000">
                      <w14:alpha w14:val="100000"/>
                    </w14:srgbClr>
                  </w14:solidFill>
                </w14:textFill>
              </w:rPr>
              <w:t>|</w:t>
            </w:r>
            <w:r w:rsidRPr="009A1388">
              <w:rPr>
                <w:rFonts w:cs="Arial" w:hint="eastAsia"/>
                <w:iCs/>
                <w:noProof/>
                <w:color w:val="000000"/>
                <w:spacing w:val="-35"/>
                <w:w w:val="15"/>
                <w:szCs w:val="20"/>
                <w:shd w:val="solid" w:color="000000" w:fill="000000"/>
                <w:fitText w:val="30" w:id="-1500866810"/>
                <w14:textFill>
                  <w14:solidFill>
                    <w14:srgbClr w14:val="000000">
                      <w14:alpha w14:val="100000"/>
                    </w14:srgbClr>
                  </w14:solidFill>
                </w14:textFill>
              </w:rPr>
              <w:t xml:space="preserve">　</w:t>
            </w:r>
            <w:r w:rsidR="006F24DE" w:rsidRPr="006F24DE">
              <w:rPr>
                <w:rFonts w:cs="Arial"/>
                <w:szCs w:val="20"/>
                <w:vertAlign w:val="superscript"/>
              </w:rPr>
              <w:t>5</w:t>
            </w:r>
          </w:p>
        </w:tc>
        <w:tc>
          <w:tcPr>
            <w:tcW w:w="606" w:type="pct"/>
            <w:shd w:val="clear" w:color="auto" w:fill="auto"/>
            <w:vAlign w:val="center"/>
          </w:tcPr>
          <w:p w14:paraId="7171DB48" w14:textId="41CBE6A3"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9"/>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9"/>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9"/>
                <w14:textFill>
                  <w14:solidFill>
                    <w14:srgbClr w14:val="000000">
                      <w14:alpha w14:val="100000"/>
                    </w14:srgbClr>
                  </w14:solidFill>
                </w14:textFill>
              </w:rPr>
              <w:t xml:space="preserve">　</w:t>
            </w:r>
            <w:r w:rsidR="006F24DE" w:rsidRPr="006F24DE">
              <w:rPr>
                <w:rFonts w:cs="Arial"/>
                <w:szCs w:val="20"/>
                <w:vertAlign w:val="superscript"/>
              </w:rPr>
              <w:t>5</w:t>
            </w:r>
          </w:p>
        </w:tc>
        <w:tc>
          <w:tcPr>
            <w:tcW w:w="606" w:type="pct"/>
            <w:vAlign w:val="center"/>
          </w:tcPr>
          <w:p w14:paraId="37F65C35" w14:textId="53D43CA0" w:rsidR="00D7609F" w:rsidRPr="0017405A" w:rsidRDefault="009A1388" w:rsidP="003B0685">
            <w:pPr>
              <w:pStyle w:val="TableText"/>
              <w:keepNext/>
              <w:keepLines/>
              <w:spacing w:before="0" w:after="0"/>
              <w:jc w:val="center"/>
              <w:rPr>
                <w:szCs w:val="20"/>
              </w:rPr>
            </w:pPr>
            <w:r w:rsidRPr="009A1388">
              <w:rPr>
                <w:rFonts w:cs="Arial" w:hint="eastAsia"/>
                <w:iCs/>
                <w:noProof/>
                <w:color w:val="000000"/>
                <w:w w:val="15"/>
                <w:szCs w:val="20"/>
                <w:shd w:val="solid" w:color="000000" w:fill="000000"/>
                <w:fitText w:val="40" w:id="-1500866808"/>
                <w14:textFill>
                  <w14:solidFill>
                    <w14:srgbClr w14:val="000000">
                      <w14:alpha w14:val="100000"/>
                    </w14:srgbClr>
                  </w14:solidFill>
                </w14:textFill>
              </w:rPr>
              <w:t xml:space="preserve">　</w:t>
            </w:r>
            <w:r w:rsidRPr="009A1388">
              <w:rPr>
                <w:rFonts w:cs="Arial"/>
                <w:iCs/>
                <w:noProof/>
                <w:color w:val="000000"/>
                <w:w w:val="15"/>
                <w:szCs w:val="20"/>
                <w:shd w:val="solid" w:color="000000" w:fill="000000"/>
                <w:fitText w:val="40" w:id="-1500866808"/>
                <w14:textFill>
                  <w14:solidFill>
                    <w14:srgbClr w14:val="000000">
                      <w14:alpha w14:val="100000"/>
                    </w14:srgbClr>
                  </w14:solidFill>
                </w14:textFill>
              </w:rPr>
              <w:t>|</w:t>
            </w:r>
            <w:r w:rsidRPr="009A1388">
              <w:rPr>
                <w:rFonts w:cs="Arial" w:hint="eastAsia"/>
                <w:iCs/>
                <w:noProof/>
                <w:color w:val="000000"/>
                <w:spacing w:val="-25"/>
                <w:w w:val="15"/>
                <w:szCs w:val="20"/>
                <w:shd w:val="solid" w:color="000000" w:fill="000000"/>
                <w:fitText w:val="40" w:id="-1500866808"/>
                <w14:textFill>
                  <w14:solidFill>
                    <w14:srgbClr w14:val="000000">
                      <w14:alpha w14:val="100000"/>
                    </w14:srgbClr>
                  </w14:solidFill>
                </w14:textFill>
              </w:rPr>
              <w:t xml:space="preserve">　</w:t>
            </w:r>
            <w:r w:rsidR="006F24DE" w:rsidRPr="006F24DE">
              <w:rPr>
                <w:rFonts w:cs="Arial"/>
                <w:szCs w:val="20"/>
                <w:vertAlign w:val="superscript"/>
              </w:rPr>
              <w:t>5</w:t>
            </w:r>
          </w:p>
        </w:tc>
      </w:tr>
    </w:tbl>
    <w:p w14:paraId="7C5439D2" w14:textId="77777777" w:rsidR="0023171F" w:rsidRDefault="0023171F" w:rsidP="0023171F">
      <w:pPr>
        <w:pStyle w:val="TableFooter"/>
        <w:keepNext/>
        <w:keepLines/>
        <w:tabs>
          <w:tab w:val="left" w:pos="284"/>
        </w:tabs>
        <w:ind w:left="284" w:hanging="284"/>
      </w:pPr>
      <w:proofErr w:type="spellStart"/>
      <w:r w:rsidRPr="00A24A89">
        <w:rPr>
          <w:vertAlign w:val="superscript"/>
        </w:rPr>
        <w:t>a</w:t>
      </w:r>
      <w:proofErr w:type="spellEnd"/>
      <w:r>
        <w:t xml:space="preserve"> </w:t>
      </w:r>
      <w:proofErr w:type="gramStart"/>
      <w:r>
        <w:t>In</w:t>
      </w:r>
      <w:proofErr w:type="gramEnd"/>
      <w:r>
        <w:t xml:space="preserve"> year 1 the </w:t>
      </w:r>
      <w:r w:rsidR="00630C9F">
        <w:t>&lt; 500</w:t>
      </w:r>
      <w:r>
        <w:t>grandfathered patients were removed from the prevalent R/M HNSCC population to avoid double counting.</w:t>
      </w:r>
    </w:p>
    <w:p w14:paraId="463B2BFE" w14:textId="4646A7F4" w:rsidR="00D7609F" w:rsidRPr="00A24A89" w:rsidRDefault="00FA7F4F" w:rsidP="003B0685">
      <w:pPr>
        <w:pStyle w:val="TableFooter"/>
        <w:keepNext/>
        <w:keepLines/>
        <w:tabs>
          <w:tab w:val="left" w:pos="284"/>
        </w:tabs>
        <w:ind w:left="284" w:hanging="284"/>
      </w:pPr>
      <w:r w:rsidRPr="00A24A89">
        <w:rPr>
          <w:vertAlign w:val="superscript"/>
        </w:rPr>
        <w:t>b</w:t>
      </w:r>
      <w:r w:rsidRPr="00A24A89">
        <w:t xml:space="preserve"> </w:t>
      </w:r>
      <w:r w:rsidR="00D7609F" w:rsidRPr="00A24A89">
        <w:t>Assume</w:t>
      </w:r>
      <w:r w:rsidR="009D05FA">
        <w:t>s</w:t>
      </w:r>
      <w:r w:rsidR="00D7609F" w:rsidRPr="00A24A89">
        <w:t xml:space="preserve"> </w:t>
      </w:r>
      <w:r w:rsidR="009A1388" w:rsidRPr="009A1388">
        <w:rPr>
          <w:noProof/>
          <w:color w:val="000000"/>
          <w:spacing w:val="40"/>
          <w:shd w:val="solid" w:color="000000" w:fill="000000"/>
          <w:fitText w:val="280" w:id="-1500866807"/>
          <w14:textFill>
            <w14:solidFill>
              <w14:srgbClr w14:val="000000">
                <w14:alpha w14:val="100000"/>
              </w14:srgbClr>
            </w14:solidFill>
          </w14:textFill>
        </w:rPr>
        <w:t xml:space="preserve">|  </w:t>
      </w:r>
      <w:r w:rsidR="009A1388" w:rsidRPr="009A1388">
        <w:rPr>
          <w:noProof/>
          <w:color w:val="000000"/>
          <w:spacing w:val="2"/>
          <w:shd w:val="solid" w:color="000000" w:fill="000000"/>
          <w:fitText w:val="280" w:id="-1500866807"/>
          <w14:textFill>
            <w14:solidFill>
              <w14:srgbClr w14:val="000000">
                <w14:alpha w14:val="100000"/>
              </w14:srgbClr>
            </w14:solidFill>
          </w14:textFill>
        </w:rPr>
        <w:t>|</w:t>
      </w:r>
      <w:r w:rsidR="00D7609F" w:rsidRPr="00A24A89">
        <w:t>% uptake in all eligible patients</w:t>
      </w:r>
    </w:p>
    <w:p w14:paraId="67139AA5" w14:textId="5615233F" w:rsidR="00D7609F" w:rsidRPr="00A24A89" w:rsidRDefault="00FA7F4F" w:rsidP="003B0685">
      <w:pPr>
        <w:pStyle w:val="TableFooter"/>
        <w:keepNext/>
        <w:keepLines/>
        <w:tabs>
          <w:tab w:val="left" w:pos="284"/>
        </w:tabs>
        <w:ind w:left="284" w:hanging="284"/>
      </w:pPr>
      <w:r w:rsidRPr="00A24A89">
        <w:rPr>
          <w:vertAlign w:val="superscript"/>
        </w:rPr>
        <w:t>c</w:t>
      </w:r>
      <w:r w:rsidRPr="00A24A89" w:rsidDel="00FA7F4F">
        <w:rPr>
          <w:vertAlign w:val="superscript"/>
        </w:rPr>
        <w:t xml:space="preserve"> </w:t>
      </w:r>
      <w:r w:rsidR="00D7609F" w:rsidRPr="00A24A89">
        <w:t>Assume</w:t>
      </w:r>
      <w:r w:rsidR="009D05FA">
        <w:t>s</w:t>
      </w:r>
      <w:r w:rsidR="00D7609F" w:rsidRPr="00A24A89">
        <w:t xml:space="preserve"> </w:t>
      </w:r>
      <w:r w:rsidR="009A1388" w:rsidRPr="009A1388">
        <w:rPr>
          <w:noProof/>
          <w:color w:val="000000"/>
          <w:spacing w:val="40"/>
          <w:shd w:val="solid" w:color="000000" w:fill="000000"/>
          <w:fitText w:val="280" w:id="-1500866806"/>
          <w14:textFill>
            <w14:solidFill>
              <w14:srgbClr w14:val="000000">
                <w14:alpha w14:val="100000"/>
              </w14:srgbClr>
            </w14:solidFill>
          </w14:textFill>
        </w:rPr>
        <w:t xml:space="preserve">|  </w:t>
      </w:r>
      <w:r w:rsidR="009A1388" w:rsidRPr="009A1388">
        <w:rPr>
          <w:noProof/>
          <w:color w:val="000000"/>
          <w:spacing w:val="2"/>
          <w:shd w:val="solid" w:color="000000" w:fill="000000"/>
          <w:fitText w:val="280" w:id="-1500866806"/>
          <w14:textFill>
            <w14:solidFill>
              <w14:srgbClr w14:val="000000">
                <w14:alpha w14:val="100000"/>
              </w14:srgbClr>
            </w14:solidFill>
          </w14:textFill>
        </w:rPr>
        <w:t>|</w:t>
      </w:r>
      <w:r w:rsidR="00D7609F" w:rsidRPr="00A24A89">
        <w:t>% of patients use pembrolizumab plus chemotherapy</w:t>
      </w:r>
    </w:p>
    <w:p w14:paraId="762090F1" w14:textId="50DDA877" w:rsidR="00D7609F" w:rsidRPr="00A24A89" w:rsidRDefault="00FA7F4F" w:rsidP="003B0685">
      <w:pPr>
        <w:pStyle w:val="TableFooter"/>
        <w:keepNext/>
        <w:keepLines/>
        <w:tabs>
          <w:tab w:val="left" w:pos="284"/>
        </w:tabs>
        <w:ind w:left="284" w:hanging="284"/>
      </w:pPr>
      <w:r w:rsidRPr="00A24A89">
        <w:rPr>
          <w:vertAlign w:val="superscript"/>
        </w:rPr>
        <w:t>d</w:t>
      </w:r>
      <w:r w:rsidRPr="00A24A89" w:rsidDel="00FA7F4F">
        <w:rPr>
          <w:vertAlign w:val="superscript"/>
        </w:rPr>
        <w:t xml:space="preserve"> </w:t>
      </w:r>
      <w:r w:rsidR="00D7609F" w:rsidRPr="00A24A89">
        <w:t>Assume</w:t>
      </w:r>
      <w:r w:rsidR="009D05FA">
        <w:t>s</w:t>
      </w:r>
      <w:r w:rsidR="00D7609F" w:rsidRPr="00A24A89">
        <w:t xml:space="preserve"> </w:t>
      </w:r>
      <w:r w:rsidR="009A1388" w:rsidRPr="009A1388">
        <w:rPr>
          <w:noProof/>
          <w:color w:val="000000"/>
          <w:spacing w:val="37"/>
          <w:shd w:val="solid" w:color="000000" w:fill="000000"/>
          <w:fitText w:val="270" w:id="-1500866805"/>
          <w14:textFill>
            <w14:solidFill>
              <w14:srgbClr w14:val="000000">
                <w14:alpha w14:val="100000"/>
              </w14:srgbClr>
            </w14:solidFill>
          </w14:textFill>
        </w:rPr>
        <w:t xml:space="preserve">|  </w:t>
      </w:r>
      <w:r w:rsidR="009A1388" w:rsidRPr="009A1388">
        <w:rPr>
          <w:noProof/>
          <w:color w:val="000000"/>
          <w:spacing w:val="1"/>
          <w:shd w:val="solid" w:color="000000" w:fill="000000"/>
          <w:fitText w:val="270" w:id="-1500866805"/>
          <w14:textFill>
            <w14:solidFill>
              <w14:srgbClr w14:val="000000">
                <w14:alpha w14:val="100000"/>
              </w14:srgbClr>
            </w14:solidFill>
          </w14:textFill>
        </w:rPr>
        <w:t>|</w:t>
      </w:r>
      <w:r w:rsidR="00D7609F" w:rsidRPr="00A24A89">
        <w:t>% of patients use 2L nivolumab</w:t>
      </w:r>
    </w:p>
    <w:p w14:paraId="5A65680F" w14:textId="77777777" w:rsidR="00D7609F" w:rsidRPr="00A24A89" w:rsidRDefault="00FA7F4F" w:rsidP="009D05FA">
      <w:pPr>
        <w:pStyle w:val="TableFooter"/>
        <w:keepNext/>
        <w:keepLines/>
      </w:pPr>
      <w:r w:rsidRPr="00A24A89">
        <w:rPr>
          <w:vertAlign w:val="superscript"/>
        </w:rPr>
        <w:t>e</w:t>
      </w:r>
      <w:r w:rsidRPr="00A24A89" w:rsidDel="00FA7F4F">
        <w:rPr>
          <w:vertAlign w:val="superscript"/>
        </w:rPr>
        <w:t xml:space="preserve"> </w:t>
      </w:r>
      <w:r w:rsidR="00D7609F" w:rsidRPr="00A24A89">
        <w:rPr>
          <w:bCs/>
          <w:szCs w:val="18"/>
        </w:rPr>
        <w:t xml:space="preserve">Resubmission erroneously applied cost of PD-L1 testing only to patients treated with pembrolizumab instead of all patients diagnosed with R/M HNSCC. Number of patients with R/M HNSCC crudely estimated by taking number of patients treated with pembrolizumab divided by the prevalence of </w:t>
      </w:r>
      <w:r w:rsidR="002B1C15" w:rsidRPr="00A24A89">
        <w:rPr>
          <w:bCs/>
          <w:szCs w:val="18"/>
        </w:rPr>
        <w:t>CPS ≥1</w:t>
      </w:r>
      <w:r w:rsidR="00D7609F" w:rsidRPr="00A24A89">
        <w:rPr>
          <w:bCs/>
          <w:szCs w:val="18"/>
        </w:rPr>
        <w:t xml:space="preserve"> (80%) and the uptake rate (85%). Cost of CPS testing= $59.60 × number of patients with R/M HNSCC.</w:t>
      </w:r>
    </w:p>
    <w:p w14:paraId="7F55E0AF" w14:textId="77777777" w:rsidR="00D7609F" w:rsidRDefault="00FA7F4F" w:rsidP="003B0685">
      <w:pPr>
        <w:pStyle w:val="TableFooter"/>
        <w:keepNext/>
        <w:keepLines/>
        <w:tabs>
          <w:tab w:val="left" w:pos="284"/>
        </w:tabs>
        <w:ind w:left="284" w:hanging="284"/>
      </w:pPr>
      <w:r>
        <w:rPr>
          <w:vertAlign w:val="superscript"/>
        </w:rPr>
        <w:t>f</w:t>
      </w:r>
      <w:r w:rsidR="00926EC7">
        <w:t xml:space="preserve"> </w:t>
      </w:r>
      <w:r w:rsidR="00D7609F" w:rsidRPr="00A24A89">
        <w:t>PD-L1 test and cost of administration for pembrolizumab minus cost of SoC administration</w:t>
      </w:r>
    </w:p>
    <w:p w14:paraId="1C99A697" w14:textId="77777777" w:rsidR="003B0685" w:rsidRPr="00A24A89" w:rsidRDefault="003B0685" w:rsidP="003B0685">
      <w:pPr>
        <w:pStyle w:val="TableFooter"/>
        <w:keepNext/>
        <w:keepLines/>
        <w:tabs>
          <w:tab w:val="left" w:pos="284"/>
        </w:tabs>
        <w:ind w:left="284" w:hanging="284"/>
      </w:pPr>
      <w:r>
        <w:t>Text in italics indicate values calculated during evaluation</w:t>
      </w:r>
    </w:p>
    <w:p w14:paraId="4D98C300" w14:textId="77777777" w:rsidR="00D7609F" w:rsidRDefault="00D7609F" w:rsidP="00D12886">
      <w:pPr>
        <w:pStyle w:val="TableFooter"/>
      </w:pPr>
      <w:r w:rsidRPr="00A24A89">
        <w:t>Source: constructed during evaluation using information from Section 4 Workbook (1L HNSCC).xlsx</w:t>
      </w:r>
    </w:p>
    <w:p w14:paraId="787DB029" w14:textId="77777777" w:rsidR="00E32A58" w:rsidRPr="00203DB1" w:rsidRDefault="00E32A58" w:rsidP="00D12886">
      <w:pPr>
        <w:pStyle w:val="TableFooter"/>
        <w:rPr>
          <w:i/>
        </w:rPr>
      </w:pPr>
      <w:r w:rsidRPr="00203DB1">
        <w:rPr>
          <w:i/>
        </w:rPr>
        <w:t>The redacted values correspond to the following ranges:</w:t>
      </w:r>
    </w:p>
    <w:p w14:paraId="08DC1AF2" w14:textId="77777777" w:rsidR="00E32A58" w:rsidRPr="00203DB1" w:rsidRDefault="00E32A58" w:rsidP="00D12886">
      <w:pPr>
        <w:pStyle w:val="TableFooter"/>
        <w:rPr>
          <w:i/>
        </w:rPr>
      </w:pPr>
      <w:r w:rsidRPr="00203DB1">
        <w:rPr>
          <w:i/>
          <w:vertAlign w:val="superscript"/>
        </w:rPr>
        <w:t>1</w:t>
      </w:r>
      <w:r w:rsidRPr="00203DB1">
        <w:rPr>
          <w:i/>
        </w:rPr>
        <w:t xml:space="preserve"> 500 to &lt; 5,000</w:t>
      </w:r>
    </w:p>
    <w:p w14:paraId="7F0267BD" w14:textId="77777777" w:rsidR="00BF05C3" w:rsidRPr="00203DB1" w:rsidRDefault="00E32A58" w:rsidP="00D12886">
      <w:pPr>
        <w:pStyle w:val="TableFooter"/>
        <w:rPr>
          <w:i/>
        </w:rPr>
      </w:pPr>
      <w:r w:rsidRPr="00203DB1">
        <w:rPr>
          <w:i/>
          <w:vertAlign w:val="superscript"/>
        </w:rPr>
        <w:t>2</w:t>
      </w:r>
      <w:r w:rsidRPr="00203DB1">
        <w:rPr>
          <w:i/>
        </w:rPr>
        <w:t xml:space="preserve"> &lt;500</w:t>
      </w:r>
    </w:p>
    <w:p w14:paraId="1A52B5D9" w14:textId="77777777" w:rsidR="005A49F3" w:rsidRPr="00203DB1" w:rsidRDefault="005A49F3" w:rsidP="00D12886">
      <w:pPr>
        <w:pStyle w:val="TableFooter"/>
        <w:rPr>
          <w:i/>
        </w:rPr>
      </w:pPr>
      <w:r w:rsidRPr="00203DB1">
        <w:rPr>
          <w:i/>
          <w:vertAlign w:val="superscript"/>
        </w:rPr>
        <w:lastRenderedPageBreak/>
        <w:t>3</w:t>
      </w:r>
      <w:r w:rsidRPr="00203DB1">
        <w:rPr>
          <w:i/>
        </w:rPr>
        <w:t xml:space="preserve"> $20 million to &lt; $30 million</w:t>
      </w:r>
    </w:p>
    <w:p w14:paraId="721706CB" w14:textId="77777777" w:rsidR="005A49F3" w:rsidRPr="00203DB1" w:rsidRDefault="005A49F3" w:rsidP="00D12886">
      <w:pPr>
        <w:pStyle w:val="TableFooter"/>
        <w:rPr>
          <w:i/>
        </w:rPr>
      </w:pPr>
      <w:r w:rsidRPr="00203DB1">
        <w:rPr>
          <w:i/>
          <w:vertAlign w:val="superscript"/>
        </w:rPr>
        <w:t>4</w:t>
      </w:r>
      <w:r w:rsidRPr="00203DB1">
        <w:rPr>
          <w:i/>
        </w:rPr>
        <w:t xml:space="preserve"> </w:t>
      </w:r>
      <w:r w:rsidR="005A3CEC" w:rsidRPr="00203DB1">
        <w:rPr>
          <w:i/>
        </w:rPr>
        <w:t xml:space="preserve">$0 to &lt; $10 million </w:t>
      </w:r>
    </w:p>
    <w:p w14:paraId="786C8617" w14:textId="77777777" w:rsidR="00F90286" w:rsidRPr="00203DB1" w:rsidRDefault="00F90286" w:rsidP="00D12886">
      <w:pPr>
        <w:pStyle w:val="TableFooter"/>
        <w:rPr>
          <w:i/>
        </w:rPr>
      </w:pPr>
      <w:r w:rsidRPr="00203DB1">
        <w:rPr>
          <w:i/>
          <w:vertAlign w:val="superscript"/>
        </w:rPr>
        <w:t>5</w:t>
      </w:r>
      <w:r w:rsidRPr="00203DB1">
        <w:rPr>
          <w:i/>
        </w:rPr>
        <w:t xml:space="preserve"> $10 million to &lt; $20 million </w:t>
      </w:r>
    </w:p>
    <w:p w14:paraId="7661135E" w14:textId="77777777" w:rsidR="00F640DC" w:rsidRPr="0017405A" w:rsidRDefault="00F640DC" w:rsidP="00F640DC">
      <w:pPr>
        <w:pStyle w:val="ListParagraph"/>
        <w:numPr>
          <w:ilvl w:val="4"/>
          <w:numId w:val="1"/>
        </w:numPr>
        <w:rPr>
          <w:iCs/>
          <w:color w:val="auto"/>
        </w:rPr>
      </w:pPr>
      <w:r w:rsidRPr="000924DC">
        <w:rPr>
          <w:rFonts w:cs="Arial"/>
          <w:bCs/>
        </w:rPr>
        <w:t xml:space="preserve">At year 6, the estimated number of patients was </w:t>
      </w:r>
      <w:r w:rsidR="00203DB1">
        <w:rPr>
          <w:rFonts w:cs="Arial"/>
          <w:bCs/>
        </w:rPr>
        <w:t>500 to &lt; 5,000</w:t>
      </w:r>
      <w:r w:rsidRPr="000924DC">
        <w:rPr>
          <w:rFonts w:cs="Arial"/>
          <w:bCs/>
        </w:rPr>
        <w:t xml:space="preserve"> and the net cost to the PBS</w:t>
      </w:r>
      <w:r>
        <w:rPr>
          <w:rFonts w:cs="Arial"/>
          <w:bCs/>
        </w:rPr>
        <w:t>/RPBS</w:t>
      </w:r>
      <w:r w:rsidRPr="000924DC">
        <w:rPr>
          <w:rFonts w:cs="Arial"/>
          <w:bCs/>
        </w:rPr>
        <w:t xml:space="preserve"> would be $</w:t>
      </w:r>
      <w:r w:rsidR="00203DB1">
        <w:rPr>
          <w:rFonts w:cs="Arial"/>
          <w:bCs/>
        </w:rPr>
        <w:t>10 million to &lt; $20 million</w:t>
      </w:r>
      <w:r w:rsidRPr="000924DC">
        <w:rPr>
          <w:rFonts w:cs="Arial"/>
          <w:bCs/>
        </w:rPr>
        <w:t xml:space="preserve">. This was reduced from </w:t>
      </w:r>
      <w:r>
        <w:rPr>
          <w:rFonts w:cs="Arial"/>
          <w:bCs/>
        </w:rPr>
        <w:t xml:space="preserve">the previous submission where at year 6 the estimated number of patients was </w:t>
      </w:r>
      <w:r w:rsidR="00203DB1">
        <w:rPr>
          <w:rFonts w:cs="Arial"/>
          <w:bCs/>
        </w:rPr>
        <w:t>500 to &lt; 5,000</w:t>
      </w:r>
      <w:r>
        <w:rPr>
          <w:rFonts w:cs="Arial"/>
          <w:bCs/>
        </w:rPr>
        <w:t xml:space="preserve"> and the estimated net cost to PBS/RPBS was $</w:t>
      </w:r>
      <w:r w:rsidR="00203DB1">
        <w:rPr>
          <w:rFonts w:cs="Arial"/>
          <w:bCs/>
        </w:rPr>
        <w:t>20 million to &lt; $30 million</w:t>
      </w:r>
      <w:r>
        <w:rPr>
          <w:rFonts w:cs="Arial"/>
          <w:bCs/>
        </w:rPr>
        <w:t xml:space="preserve">. </w:t>
      </w:r>
      <w:r w:rsidRPr="000924DC">
        <w:rPr>
          <w:rFonts w:cs="Arial"/>
          <w:bCs/>
        </w:rPr>
        <w:t xml:space="preserve">The PBAC noted that the overall estimates were lower than in the previous submission due to the lower unit cost of pembrolizumab and higher offsets. The </w:t>
      </w:r>
      <w:r>
        <w:rPr>
          <w:rFonts w:cs="Arial"/>
          <w:bCs/>
        </w:rPr>
        <w:t>patient numbers were slightly</w:t>
      </w:r>
      <w:r w:rsidRPr="000924DC">
        <w:rPr>
          <w:rFonts w:cs="Arial"/>
          <w:bCs/>
        </w:rPr>
        <w:t xml:space="preserve"> lower due to a lower CPS ≥1 prevalence</w:t>
      </w:r>
      <w:r w:rsidRPr="0017405A">
        <w:rPr>
          <w:iCs/>
          <w:color w:val="auto"/>
        </w:rPr>
        <w:t xml:space="preserve"> assumed, and </w:t>
      </w:r>
      <w:r>
        <w:rPr>
          <w:iCs/>
          <w:color w:val="auto"/>
        </w:rPr>
        <w:t xml:space="preserve">a </w:t>
      </w:r>
      <w:r w:rsidRPr="0017405A">
        <w:rPr>
          <w:iCs/>
          <w:color w:val="auto"/>
        </w:rPr>
        <w:t xml:space="preserve">lower average number of </w:t>
      </w:r>
      <w:r>
        <w:rPr>
          <w:iCs/>
          <w:color w:val="auto"/>
        </w:rPr>
        <w:t xml:space="preserve">pembrolizumab </w:t>
      </w:r>
      <w:r w:rsidRPr="0017405A">
        <w:rPr>
          <w:iCs/>
          <w:color w:val="auto"/>
        </w:rPr>
        <w:t xml:space="preserve">doses </w:t>
      </w:r>
      <w:r>
        <w:rPr>
          <w:iCs/>
          <w:color w:val="auto"/>
        </w:rPr>
        <w:t xml:space="preserve">was </w:t>
      </w:r>
      <w:r w:rsidRPr="0017405A">
        <w:rPr>
          <w:iCs/>
          <w:color w:val="auto"/>
        </w:rPr>
        <w:t xml:space="preserve">assumed (10.49 instead of 10.743 in prevalent and incident patients and 5.25 instead of 10.743 in grandfathered patients). </w:t>
      </w:r>
      <w:proofErr w:type="gramStart"/>
      <w:r w:rsidRPr="0017405A">
        <w:rPr>
          <w:iCs/>
          <w:color w:val="auto"/>
        </w:rPr>
        <w:t>However</w:t>
      </w:r>
      <w:proofErr w:type="gramEnd"/>
      <w:r w:rsidRPr="0017405A">
        <w:rPr>
          <w:iCs/>
          <w:color w:val="auto"/>
        </w:rPr>
        <w:t xml:space="preserve"> the cost of chemotherapy (when used with pembrolizumab) increased due to increased number of doses assumed (7.19 instead of 4.98). Administration cost also increased due to the change in the MBS item unit costs.</w:t>
      </w:r>
    </w:p>
    <w:p w14:paraId="0530F676" w14:textId="77777777" w:rsidR="00D7609F" w:rsidRPr="0017405A" w:rsidRDefault="00F640DC" w:rsidP="00D12886">
      <w:pPr>
        <w:pStyle w:val="ListParagraph"/>
        <w:numPr>
          <w:ilvl w:val="4"/>
          <w:numId w:val="1"/>
        </w:numPr>
        <w:rPr>
          <w:iCs/>
          <w:color w:val="auto"/>
        </w:rPr>
      </w:pPr>
      <w:r>
        <w:rPr>
          <w:iCs/>
          <w:color w:val="auto"/>
        </w:rPr>
        <w:t>E</w:t>
      </w:r>
      <w:r w:rsidR="00D7609F" w:rsidRPr="0017405A">
        <w:rPr>
          <w:iCs/>
          <w:color w:val="auto"/>
        </w:rPr>
        <w:t xml:space="preserve">rrors in the estimation of cost offsets </w:t>
      </w:r>
      <w:r>
        <w:rPr>
          <w:iCs/>
          <w:color w:val="auto"/>
        </w:rPr>
        <w:t>from</w:t>
      </w:r>
      <w:r w:rsidR="00D7609F" w:rsidRPr="0017405A">
        <w:rPr>
          <w:iCs/>
          <w:color w:val="auto"/>
        </w:rPr>
        <w:t xml:space="preserve"> other medicines </w:t>
      </w:r>
      <w:r w:rsidR="003B0685" w:rsidRPr="0017405A">
        <w:rPr>
          <w:iCs/>
          <w:color w:val="auto"/>
        </w:rPr>
        <w:t xml:space="preserve">were </w:t>
      </w:r>
      <w:r w:rsidR="00D7609F" w:rsidRPr="0017405A">
        <w:rPr>
          <w:iCs/>
          <w:color w:val="auto"/>
        </w:rPr>
        <w:t xml:space="preserve">corrected during the evaluation, </w:t>
      </w:r>
      <w:r>
        <w:rPr>
          <w:iCs/>
          <w:color w:val="auto"/>
        </w:rPr>
        <w:t xml:space="preserve">however </w:t>
      </w:r>
      <w:r w:rsidR="00D7609F" w:rsidRPr="0017405A">
        <w:rPr>
          <w:iCs/>
          <w:color w:val="auto"/>
        </w:rPr>
        <w:t>the following issues remain</w:t>
      </w:r>
      <w:r>
        <w:rPr>
          <w:iCs/>
          <w:color w:val="auto"/>
        </w:rPr>
        <w:t>ed</w:t>
      </w:r>
      <w:r w:rsidR="00D7609F" w:rsidRPr="0017405A">
        <w:rPr>
          <w:iCs/>
          <w:color w:val="auto"/>
        </w:rPr>
        <w:t>:</w:t>
      </w:r>
    </w:p>
    <w:p w14:paraId="426BC357" w14:textId="77777777" w:rsidR="003B0685" w:rsidRPr="0017405A" w:rsidRDefault="003B0685" w:rsidP="00DD3D4A">
      <w:pPr>
        <w:pStyle w:val="ListParagraph"/>
        <w:numPr>
          <w:ilvl w:val="0"/>
          <w:numId w:val="19"/>
        </w:numPr>
        <w:ind w:left="993" w:hanging="284"/>
        <w:rPr>
          <w:iCs/>
          <w:color w:val="auto"/>
        </w:rPr>
      </w:pPr>
      <w:r w:rsidRPr="0017405A">
        <w:rPr>
          <w:iCs/>
          <w:color w:val="auto"/>
        </w:rPr>
        <w:t xml:space="preserve">The proportion of prevalent patients </w:t>
      </w:r>
      <w:r w:rsidR="009D05FA">
        <w:rPr>
          <w:iCs/>
          <w:color w:val="auto"/>
        </w:rPr>
        <w:t>may be</w:t>
      </w:r>
      <w:r w:rsidRPr="0017405A">
        <w:rPr>
          <w:iCs/>
          <w:color w:val="auto"/>
        </w:rPr>
        <w:t xml:space="preserve"> underestimated. As in the previous submission, a five-year mortality rate of 5.3% was </w:t>
      </w:r>
      <w:r w:rsidRPr="0017405A">
        <w:rPr>
          <w:color w:val="auto"/>
        </w:rPr>
        <w:t xml:space="preserve">inappropriately </w:t>
      </w:r>
      <w:r w:rsidRPr="0017405A">
        <w:rPr>
          <w:iCs/>
          <w:color w:val="auto"/>
        </w:rPr>
        <w:t xml:space="preserve">applied to estimate the proportion of prevalent patients who would be alive after two years (and could experience a recurrence), </w:t>
      </w:r>
      <w:r w:rsidR="00F640DC">
        <w:rPr>
          <w:iCs/>
          <w:color w:val="auto"/>
        </w:rPr>
        <w:t xml:space="preserve">however the PBAC considered that the methods for estimation of the incident population were also uncertain and the overall population appears </w:t>
      </w:r>
      <w:proofErr w:type="gramStart"/>
      <w:r w:rsidR="00F640DC">
        <w:rPr>
          <w:iCs/>
          <w:color w:val="auto"/>
        </w:rPr>
        <w:t>overestimated</w:t>
      </w:r>
      <w:r w:rsidRPr="0017405A">
        <w:rPr>
          <w:iCs/>
          <w:color w:val="auto"/>
        </w:rPr>
        <w:t>;</w:t>
      </w:r>
      <w:proofErr w:type="gramEnd"/>
      <w:r w:rsidRPr="0017405A">
        <w:rPr>
          <w:iCs/>
          <w:color w:val="auto"/>
        </w:rPr>
        <w:t xml:space="preserve"> </w:t>
      </w:r>
    </w:p>
    <w:p w14:paraId="3B31BC78" w14:textId="77777777" w:rsidR="00D7609F" w:rsidRPr="0017405A" w:rsidRDefault="00D7609F" w:rsidP="00DD3D4A">
      <w:pPr>
        <w:pStyle w:val="ListParagraph"/>
        <w:numPr>
          <w:ilvl w:val="0"/>
          <w:numId w:val="19"/>
        </w:numPr>
        <w:ind w:left="993" w:hanging="284"/>
        <w:rPr>
          <w:iCs/>
          <w:color w:val="auto"/>
        </w:rPr>
      </w:pPr>
      <w:r w:rsidRPr="0017405A">
        <w:rPr>
          <w:iCs/>
          <w:color w:val="auto"/>
        </w:rPr>
        <w:t>The number of doses of chemotherapy assumed exceeds the recommended number of cycles</w:t>
      </w:r>
      <w:r w:rsidR="00B42E92">
        <w:rPr>
          <w:iCs/>
          <w:color w:val="auto"/>
        </w:rPr>
        <w:t xml:space="preserve"> </w:t>
      </w:r>
      <w:r w:rsidR="003B0685" w:rsidRPr="0017405A">
        <w:rPr>
          <w:iCs/>
          <w:color w:val="auto"/>
        </w:rPr>
        <w:t>(six)</w:t>
      </w:r>
      <w:r w:rsidR="00CC231C">
        <w:rPr>
          <w:iCs/>
          <w:color w:val="auto"/>
        </w:rPr>
        <w:t>, however chemotherapy costs were relatively small</w:t>
      </w:r>
      <w:r w:rsidRPr="0017405A">
        <w:rPr>
          <w:iCs/>
          <w:color w:val="auto"/>
        </w:rPr>
        <w:t>; and</w:t>
      </w:r>
    </w:p>
    <w:p w14:paraId="7E181597" w14:textId="77777777" w:rsidR="00D7609F" w:rsidRPr="0017405A" w:rsidRDefault="00D7609F" w:rsidP="00DD3D4A">
      <w:pPr>
        <w:pStyle w:val="ListParagraph"/>
        <w:numPr>
          <w:ilvl w:val="0"/>
          <w:numId w:val="19"/>
        </w:numPr>
        <w:ind w:left="993" w:hanging="284"/>
        <w:rPr>
          <w:iCs/>
          <w:color w:val="auto"/>
        </w:rPr>
      </w:pPr>
      <w:r w:rsidRPr="0017405A">
        <w:rPr>
          <w:iCs/>
          <w:color w:val="auto"/>
        </w:rPr>
        <w:t>The administration cost of nivolumab may be overestimated as the resubmission assumed nivolumab would be given every two weeks instead of every four weeks.</w:t>
      </w:r>
    </w:p>
    <w:p w14:paraId="7D01456D" w14:textId="77777777" w:rsidR="00D7609F" w:rsidRPr="00CC231C" w:rsidRDefault="00D7609F" w:rsidP="00CC231C">
      <w:pPr>
        <w:pStyle w:val="ListParagraph"/>
        <w:numPr>
          <w:ilvl w:val="4"/>
          <w:numId w:val="1"/>
        </w:numPr>
        <w:rPr>
          <w:iCs/>
          <w:color w:val="auto"/>
        </w:rPr>
      </w:pPr>
      <w:r w:rsidRPr="00CC231C">
        <w:rPr>
          <w:iCs/>
          <w:color w:val="auto"/>
        </w:rPr>
        <w:t>Compared to the previous submission, the cost offsets were of a higher magnitude due to increased number of doses assumed for nivolumab (12.05 every two weeks instead of 4.06 every four weeks) and chemotherapy (9.52 instead of 4.6) and higher administration costs</w:t>
      </w:r>
      <w:r w:rsidR="003B0685" w:rsidRPr="00CC231C">
        <w:rPr>
          <w:iCs/>
          <w:color w:val="auto"/>
        </w:rPr>
        <w:t xml:space="preserve"> due to updated MBS item numbers</w:t>
      </w:r>
      <w:r w:rsidR="00597F13">
        <w:rPr>
          <w:iCs/>
          <w:color w:val="auto"/>
        </w:rPr>
        <w:t>, however a</w:t>
      </w:r>
      <w:r w:rsidR="00CC231C" w:rsidRPr="00CC231C">
        <w:rPr>
          <w:iCs/>
          <w:color w:val="auto"/>
        </w:rPr>
        <w:t xml:space="preserve"> </w:t>
      </w:r>
      <w:r w:rsidRPr="00CC231C">
        <w:rPr>
          <w:iCs/>
          <w:color w:val="auto"/>
        </w:rPr>
        <w:t xml:space="preserve">lower proportion of patients using nivolumab </w:t>
      </w:r>
      <w:r w:rsidR="00597F13">
        <w:rPr>
          <w:iCs/>
          <w:color w:val="auto"/>
        </w:rPr>
        <w:t xml:space="preserve">was assumed </w:t>
      </w:r>
      <w:r w:rsidRPr="00CC231C">
        <w:rPr>
          <w:iCs/>
          <w:color w:val="auto"/>
        </w:rPr>
        <w:t>(50% instead of 66.7%)</w:t>
      </w:r>
      <w:r w:rsidR="00597F13">
        <w:rPr>
          <w:iCs/>
          <w:color w:val="auto"/>
        </w:rPr>
        <w:t xml:space="preserve">. The PBAC considered that around 80% of patients would receive nivolumab, therefore the cost offsets from nivolumab are likely to be substantially underestimated. </w:t>
      </w:r>
    </w:p>
    <w:p w14:paraId="34D1654D" w14:textId="77777777" w:rsidR="00D7609F" w:rsidRDefault="00D7609F" w:rsidP="00D12886">
      <w:pPr>
        <w:pStyle w:val="ListParagraph"/>
        <w:numPr>
          <w:ilvl w:val="4"/>
          <w:numId w:val="1"/>
        </w:numPr>
        <w:rPr>
          <w:iCs/>
          <w:color w:val="auto"/>
        </w:rPr>
      </w:pPr>
      <w:r w:rsidRPr="0017405A">
        <w:rPr>
          <w:iCs/>
          <w:color w:val="auto"/>
        </w:rPr>
        <w:t xml:space="preserve">The financial estimates were sensitive to changes in the number of doses of pembrolizumab and 2L nivolumab assumed. Using the average doses from </w:t>
      </w:r>
      <w:r w:rsidR="00A15BE8" w:rsidRPr="0017405A">
        <w:rPr>
          <w:iCs/>
          <w:color w:val="auto"/>
        </w:rPr>
        <w:t>pembrolizumab plus</w:t>
      </w:r>
      <w:r w:rsidRPr="0017405A">
        <w:rPr>
          <w:iCs/>
          <w:color w:val="auto"/>
        </w:rPr>
        <w:t xml:space="preserve"> chemotherapy instead of pembrolizumab monotherapy (</w:t>
      </w:r>
      <w:r w:rsidR="003B0685" w:rsidRPr="0017405A">
        <w:rPr>
          <w:iCs/>
          <w:color w:val="auto"/>
        </w:rPr>
        <w:t xml:space="preserve">11.7 doses, </w:t>
      </w:r>
      <w:r w:rsidRPr="0017405A">
        <w:rPr>
          <w:iCs/>
          <w:color w:val="auto"/>
        </w:rPr>
        <w:t>a proportion</w:t>
      </w:r>
      <w:r w:rsidR="003B0685" w:rsidRPr="0017405A">
        <w:rPr>
          <w:iCs/>
          <w:color w:val="auto"/>
        </w:rPr>
        <w:t>al</w:t>
      </w:r>
      <w:r w:rsidRPr="0017405A">
        <w:rPr>
          <w:iCs/>
          <w:color w:val="auto"/>
        </w:rPr>
        <w:t xml:space="preserve"> increase of 11.5%</w:t>
      </w:r>
      <w:r w:rsidR="003B0685" w:rsidRPr="0017405A">
        <w:rPr>
          <w:iCs/>
          <w:color w:val="auto"/>
        </w:rPr>
        <w:t xml:space="preserve"> from 10.46 doses in the base case</w:t>
      </w:r>
      <w:r w:rsidRPr="0017405A">
        <w:rPr>
          <w:iCs/>
          <w:color w:val="auto"/>
        </w:rPr>
        <w:t xml:space="preserve">) in </w:t>
      </w:r>
      <w:proofErr w:type="gramStart"/>
      <w:r w:rsidRPr="0017405A">
        <w:rPr>
          <w:iCs/>
          <w:color w:val="auto"/>
        </w:rPr>
        <w:t>KN048, or</w:t>
      </w:r>
      <w:proofErr w:type="gramEnd"/>
      <w:r w:rsidRPr="0017405A">
        <w:rPr>
          <w:iCs/>
          <w:color w:val="auto"/>
        </w:rPr>
        <w:t xml:space="preserve"> using the number of 2L nivolumab </w:t>
      </w:r>
      <w:r w:rsidR="003B0685" w:rsidRPr="0017405A">
        <w:rPr>
          <w:iCs/>
          <w:color w:val="auto"/>
        </w:rPr>
        <w:t xml:space="preserve">doses from the previous submission </w:t>
      </w:r>
      <w:r w:rsidRPr="0017405A">
        <w:rPr>
          <w:iCs/>
          <w:color w:val="auto"/>
        </w:rPr>
        <w:t>(8.</w:t>
      </w:r>
      <w:r w:rsidR="003B0685" w:rsidRPr="0017405A">
        <w:rPr>
          <w:iCs/>
          <w:color w:val="auto"/>
        </w:rPr>
        <w:t>80 doses over 4.06 months</w:t>
      </w:r>
      <w:r w:rsidRPr="0017405A">
        <w:rPr>
          <w:iCs/>
          <w:color w:val="auto"/>
        </w:rPr>
        <w:t xml:space="preserve">) increased expenditure each year by </w:t>
      </w:r>
      <w:r w:rsidR="003B0685" w:rsidRPr="0017405A">
        <w:rPr>
          <w:iCs/>
          <w:color w:val="auto"/>
        </w:rPr>
        <w:t>19</w:t>
      </w:r>
      <w:r w:rsidRPr="0017405A">
        <w:rPr>
          <w:iCs/>
          <w:color w:val="auto"/>
        </w:rPr>
        <w:t xml:space="preserve">-22%. Higher uptake (100%) </w:t>
      </w:r>
      <w:r w:rsidRPr="0017405A">
        <w:rPr>
          <w:iCs/>
          <w:color w:val="auto"/>
        </w:rPr>
        <w:lastRenderedPageBreak/>
        <w:t xml:space="preserve">or if all patients were considered eligible irrespective of CPS, also increased the financial estimates by at least 17% per annum. </w:t>
      </w:r>
    </w:p>
    <w:p w14:paraId="60281ACE" w14:textId="77777777" w:rsidR="003A1AF5" w:rsidRPr="00E31F5B" w:rsidRDefault="003A1AF5" w:rsidP="00D12886">
      <w:pPr>
        <w:pStyle w:val="ListParagraph"/>
        <w:numPr>
          <w:ilvl w:val="4"/>
          <w:numId w:val="1"/>
        </w:numPr>
        <w:rPr>
          <w:rFonts w:cstheme="minorHAnsi"/>
          <w:bCs/>
          <w:color w:val="auto"/>
          <w:szCs w:val="24"/>
        </w:rPr>
      </w:pPr>
      <w:r w:rsidRPr="00E31F5B">
        <w:rPr>
          <w:rFonts w:cstheme="minorHAnsi"/>
          <w:bCs/>
          <w:color w:val="auto"/>
          <w:szCs w:val="24"/>
        </w:rPr>
        <w:t>The PSCR provided updated financial estimates incorporating the following changes:</w:t>
      </w:r>
    </w:p>
    <w:p w14:paraId="7D9936E3" w14:textId="77777777" w:rsidR="003A1AF5" w:rsidRPr="00E31F5B" w:rsidRDefault="003A1AF5" w:rsidP="00DD3D4A">
      <w:pPr>
        <w:pStyle w:val="ListParagraph"/>
        <w:numPr>
          <w:ilvl w:val="0"/>
          <w:numId w:val="19"/>
        </w:numPr>
        <w:ind w:left="993" w:hanging="284"/>
        <w:rPr>
          <w:color w:val="auto"/>
        </w:rPr>
      </w:pPr>
      <w:r w:rsidRPr="00E31F5B">
        <w:rPr>
          <w:color w:val="auto"/>
        </w:rPr>
        <w:t xml:space="preserve">Revised pembrolizumab </w:t>
      </w:r>
      <w:proofErr w:type="gramStart"/>
      <w:r w:rsidRPr="00E31F5B">
        <w:rPr>
          <w:color w:val="auto"/>
        </w:rPr>
        <w:t>prices;</w:t>
      </w:r>
      <w:proofErr w:type="gramEnd"/>
    </w:p>
    <w:p w14:paraId="79DB8B70" w14:textId="77777777" w:rsidR="003A1AF5" w:rsidRPr="00E31F5B" w:rsidRDefault="003A1AF5" w:rsidP="00DD3D4A">
      <w:pPr>
        <w:pStyle w:val="ListParagraph"/>
        <w:numPr>
          <w:ilvl w:val="0"/>
          <w:numId w:val="19"/>
        </w:numPr>
        <w:ind w:left="993" w:hanging="284"/>
        <w:rPr>
          <w:color w:val="auto"/>
        </w:rPr>
      </w:pPr>
      <w:r w:rsidRPr="00E31F5B">
        <w:rPr>
          <w:color w:val="auto"/>
        </w:rPr>
        <w:t>Revised split of monotherapy to combination therapy to reflect the increased CPS threshold for CPS monotherapy (from 60% to 40% monotherapy), which the ESCs considered was not well-</w:t>
      </w:r>
      <w:proofErr w:type="gramStart"/>
      <w:r w:rsidRPr="00E31F5B">
        <w:rPr>
          <w:color w:val="auto"/>
        </w:rPr>
        <w:t>justified;</w:t>
      </w:r>
      <w:proofErr w:type="gramEnd"/>
    </w:p>
    <w:p w14:paraId="768133F5" w14:textId="77777777" w:rsidR="003A1AF5" w:rsidRPr="00E31F5B" w:rsidRDefault="003A1AF5" w:rsidP="00DD3D4A">
      <w:pPr>
        <w:pStyle w:val="ListParagraph"/>
        <w:numPr>
          <w:ilvl w:val="0"/>
          <w:numId w:val="19"/>
        </w:numPr>
        <w:ind w:left="993" w:hanging="284"/>
        <w:rPr>
          <w:color w:val="auto"/>
        </w:rPr>
      </w:pPr>
      <w:r w:rsidRPr="00E31F5B">
        <w:rPr>
          <w:color w:val="auto"/>
        </w:rPr>
        <w:t>Decrease in the duration of nivolumab (from 24.09 weeks to ~16.6 weeks</w:t>
      </w:r>
      <w:proofErr w:type="gramStart"/>
      <w:r w:rsidRPr="00E31F5B">
        <w:rPr>
          <w:color w:val="auto"/>
        </w:rPr>
        <w:t>);</w:t>
      </w:r>
      <w:proofErr w:type="gramEnd"/>
    </w:p>
    <w:p w14:paraId="55B329F9" w14:textId="77777777" w:rsidR="003A1AF5" w:rsidRPr="00E31F5B" w:rsidRDefault="003A1AF5" w:rsidP="00DD3D4A">
      <w:pPr>
        <w:pStyle w:val="ListParagraph"/>
        <w:numPr>
          <w:ilvl w:val="0"/>
          <w:numId w:val="19"/>
        </w:numPr>
        <w:ind w:left="993" w:hanging="284"/>
        <w:rPr>
          <w:color w:val="auto"/>
        </w:rPr>
      </w:pPr>
      <w:r w:rsidRPr="00E31F5B">
        <w:rPr>
          <w:color w:val="auto"/>
        </w:rPr>
        <w:t>Increase in the number of pembrolizumab doses assumed (from 10.49 up to 11.22</w:t>
      </w:r>
      <w:proofErr w:type="gramStart"/>
      <w:r w:rsidRPr="00E31F5B">
        <w:rPr>
          <w:color w:val="auto"/>
        </w:rPr>
        <w:t>);</w:t>
      </w:r>
      <w:proofErr w:type="gramEnd"/>
    </w:p>
    <w:p w14:paraId="555E2BEB" w14:textId="77777777" w:rsidR="003A1AF5" w:rsidRPr="00E31F5B" w:rsidRDefault="003A1AF5" w:rsidP="00DD3D4A">
      <w:pPr>
        <w:pStyle w:val="ListParagraph"/>
        <w:numPr>
          <w:ilvl w:val="0"/>
          <w:numId w:val="19"/>
        </w:numPr>
        <w:ind w:left="993" w:hanging="284"/>
        <w:rPr>
          <w:color w:val="auto"/>
        </w:rPr>
      </w:pPr>
      <w:r w:rsidRPr="00E31F5B">
        <w:rPr>
          <w:color w:val="auto"/>
        </w:rPr>
        <w:t xml:space="preserve">Increase in the number of patients in year 1 due to changes in prevalent patient estimate to use the 2-year survival of 27% (estimated from the SoC arm of EXTREME) from the previous 5-year survival of 5.3%. This increased the eligible patient pool in year 1 from </w:t>
      </w:r>
      <w:r w:rsidR="00630C9F">
        <w:rPr>
          <w:color w:val="auto"/>
        </w:rPr>
        <w:t>&lt; 500</w:t>
      </w:r>
      <w:r w:rsidRPr="00E31F5B">
        <w:rPr>
          <w:color w:val="auto"/>
        </w:rPr>
        <w:t>to</w:t>
      </w:r>
      <w:r w:rsidR="00630C9F">
        <w:rPr>
          <w:color w:val="auto"/>
        </w:rPr>
        <w:t xml:space="preserve"> &lt; 500</w:t>
      </w:r>
      <w:r w:rsidRPr="00E31F5B">
        <w:rPr>
          <w:color w:val="auto"/>
        </w:rPr>
        <w:t xml:space="preserve"> and</w:t>
      </w:r>
    </w:p>
    <w:p w14:paraId="18C7B6E2" w14:textId="77777777" w:rsidR="003A1AF5" w:rsidRPr="00E31F5B" w:rsidRDefault="003A1AF5" w:rsidP="00DD3D4A">
      <w:pPr>
        <w:pStyle w:val="ListParagraph"/>
        <w:numPr>
          <w:ilvl w:val="0"/>
          <w:numId w:val="19"/>
        </w:numPr>
        <w:ind w:left="993" w:hanging="284"/>
        <w:rPr>
          <w:color w:val="auto"/>
        </w:rPr>
      </w:pPr>
      <w:r w:rsidRPr="00E31F5B">
        <w:rPr>
          <w:color w:val="auto"/>
        </w:rPr>
        <w:t>Changes to chemotherapy use so that it did not exceed six cycles</w:t>
      </w:r>
      <w:r w:rsidR="00234780" w:rsidRPr="00E31F5B">
        <w:rPr>
          <w:color w:val="auto"/>
        </w:rPr>
        <w:t xml:space="preserve"> (</w:t>
      </w:r>
      <w:r w:rsidRPr="00E31F5B">
        <w:rPr>
          <w:color w:val="auto"/>
        </w:rPr>
        <w:t>18 weeks</w:t>
      </w:r>
      <w:r w:rsidR="00234780" w:rsidRPr="00E31F5B">
        <w:rPr>
          <w:color w:val="auto"/>
        </w:rPr>
        <w:t>)</w:t>
      </w:r>
      <w:r w:rsidRPr="00E31F5B">
        <w:rPr>
          <w:color w:val="auto"/>
        </w:rPr>
        <w:t xml:space="preserve"> for both pemb</w:t>
      </w:r>
      <w:r w:rsidR="00D12886" w:rsidRPr="00E31F5B">
        <w:rPr>
          <w:color w:val="auto"/>
        </w:rPr>
        <w:t>r</w:t>
      </w:r>
      <w:r w:rsidRPr="00E31F5B">
        <w:rPr>
          <w:color w:val="auto"/>
        </w:rPr>
        <w:t>olizumab + chemotherapy (resubmission: 21.58 weeks) and for offsets (resubmission: 28.58 weeks, PSCR 14.28 weeks assumed).</w:t>
      </w:r>
    </w:p>
    <w:p w14:paraId="40BFADC8" w14:textId="77777777" w:rsidR="006A1BDD" w:rsidRPr="00E31F5B" w:rsidRDefault="006A1BDD" w:rsidP="005A4A9D">
      <w:pPr>
        <w:pStyle w:val="ListParagraph"/>
        <w:numPr>
          <w:ilvl w:val="4"/>
          <w:numId w:val="1"/>
        </w:numPr>
        <w:rPr>
          <w:rFonts w:cstheme="minorHAnsi"/>
          <w:bCs/>
          <w:color w:val="auto"/>
          <w:szCs w:val="24"/>
        </w:rPr>
      </w:pPr>
      <w:r w:rsidRPr="00E31F5B">
        <w:rPr>
          <w:rFonts w:cstheme="minorHAnsi"/>
          <w:bCs/>
          <w:color w:val="auto"/>
          <w:szCs w:val="24"/>
        </w:rPr>
        <w:t>The revised financial estimates are shown in</w:t>
      </w:r>
      <w:r w:rsidR="00E31F5B">
        <w:rPr>
          <w:rFonts w:cstheme="minorHAnsi"/>
          <w:bCs/>
          <w:color w:val="auto"/>
          <w:szCs w:val="24"/>
        </w:rPr>
        <w:t xml:space="preserve"> </w:t>
      </w:r>
      <w:r w:rsidR="008D43ED">
        <w:t xml:space="preserve">Table </w:t>
      </w:r>
      <w:r w:rsidR="008D43ED">
        <w:rPr>
          <w:noProof/>
        </w:rPr>
        <w:t>25</w:t>
      </w:r>
      <w:r w:rsidRPr="00E31F5B">
        <w:rPr>
          <w:rFonts w:cstheme="minorHAnsi"/>
          <w:bCs/>
          <w:color w:val="auto"/>
          <w:szCs w:val="24"/>
        </w:rPr>
        <w:t>.</w:t>
      </w:r>
      <w:r w:rsidR="001E56C5" w:rsidRPr="00E31F5B">
        <w:rPr>
          <w:rFonts w:cstheme="minorHAnsi"/>
          <w:bCs/>
          <w:color w:val="auto"/>
          <w:szCs w:val="24"/>
        </w:rPr>
        <w:t xml:space="preserve"> </w:t>
      </w:r>
      <w:r w:rsidRPr="00E31F5B">
        <w:rPr>
          <w:rFonts w:cstheme="minorHAnsi"/>
          <w:bCs/>
          <w:color w:val="auto"/>
          <w:szCs w:val="24"/>
        </w:rPr>
        <w:t>The ESC</w:t>
      </w:r>
      <w:r w:rsidR="003824BB" w:rsidRPr="00E31F5B">
        <w:rPr>
          <w:rFonts w:cstheme="minorHAnsi"/>
          <w:bCs/>
          <w:color w:val="auto"/>
          <w:szCs w:val="24"/>
        </w:rPr>
        <w:t>s</w:t>
      </w:r>
      <w:r w:rsidRPr="00E31F5B">
        <w:rPr>
          <w:rFonts w:cstheme="minorHAnsi"/>
          <w:bCs/>
          <w:color w:val="auto"/>
          <w:szCs w:val="24"/>
        </w:rPr>
        <w:t xml:space="preserve"> noted that the </w:t>
      </w:r>
      <w:r w:rsidR="00693A1B" w:rsidRPr="00E31F5B">
        <w:rPr>
          <w:rFonts w:cstheme="minorHAnsi"/>
          <w:bCs/>
          <w:color w:val="auto"/>
          <w:szCs w:val="24"/>
        </w:rPr>
        <w:t xml:space="preserve">net </w:t>
      </w:r>
      <w:r w:rsidRPr="00E31F5B">
        <w:rPr>
          <w:rFonts w:cstheme="minorHAnsi"/>
          <w:bCs/>
          <w:color w:val="auto"/>
          <w:szCs w:val="24"/>
        </w:rPr>
        <w:t>cost to the PB</w:t>
      </w:r>
      <w:r w:rsidR="00D12886" w:rsidRPr="00E31F5B">
        <w:rPr>
          <w:rFonts w:cstheme="minorHAnsi"/>
          <w:bCs/>
          <w:color w:val="auto"/>
          <w:szCs w:val="24"/>
        </w:rPr>
        <w:t>S</w:t>
      </w:r>
      <w:r w:rsidRPr="00E31F5B">
        <w:rPr>
          <w:rFonts w:cstheme="minorHAnsi"/>
          <w:bCs/>
          <w:color w:val="auto"/>
          <w:szCs w:val="24"/>
        </w:rPr>
        <w:t xml:space="preserve"> </w:t>
      </w:r>
      <w:r w:rsidR="00C45D0A" w:rsidRPr="00E31F5B">
        <w:rPr>
          <w:rFonts w:cstheme="minorHAnsi"/>
          <w:bCs/>
          <w:color w:val="auto"/>
          <w:szCs w:val="24"/>
        </w:rPr>
        <w:t xml:space="preserve">for pembrolizumab </w:t>
      </w:r>
      <w:r w:rsidR="00693A1B" w:rsidRPr="00E31F5B">
        <w:rPr>
          <w:rFonts w:cstheme="minorHAnsi"/>
          <w:bCs/>
          <w:color w:val="auto"/>
          <w:szCs w:val="24"/>
        </w:rPr>
        <w:t xml:space="preserve">± chemotherapy </w:t>
      </w:r>
      <w:r w:rsidRPr="00E31F5B">
        <w:rPr>
          <w:rFonts w:cstheme="minorHAnsi"/>
          <w:bCs/>
          <w:color w:val="auto"/>
          <w:szCs w:val="24"/>
        </w:rPr>
        <w:t xml:space="preserve">was </w:t>
      </w:r>
      <w:r w:rsidR="00693A1B" w:rsidRPr="00E31F5B">
        <w:rPr>
          <w:rFonts w:cstheme="minorHAnsi"/>
          <w:bCs/>
          <w:color w:val="auto"/>
          <w:szCs w:val="24"/>
        </w:rPr>
        <w:t>increased</w:t>
      </w:r>
      <w:r w:rsidRPr="00E31F5B">
        <w:rPr>
          <w:rFonts w:cstheme="minorHAnsi"/>
          <w:bCs/>
          <w:color w:val="auto"/>
          <w:szCs w:val="24"/>
        </w:rPr>
        <w:t xml:space="preserve"> in the </w:t>
      </w:r>
      <w:r w:rsidR="00693A1B" w:rsidRPr="00E31F5B">
        <w:rPr>
          <w:rFonts w:cstheme="minorHAnsi"/>
          <w:bCs/>
          <w:color w:val="auto"/>
          <w:szCs w:val="24"/>
        </w:rPr>
        <w:t xml:space="preserve">PSCR’s </w:t>
      </w:r>
      <w:r w:rsidRPr="00E31F5B">
        <w:rPr>
          <w:rFonts w:cstheme="minorHAnsi"/>
          <w:bCs/>
          <w:color w:val="auto"/>
          <w:szCs w:val="24"/>
        </w:rPr>
        <w:t>revised financial estimates.</w:t>
      </w:r>
    </w:p>
    <w:p w14:paraId="147A958B" w14:textId="77777777" w:rsidR="006A1BDD" w:rsidRPr="00C45D0A" w:rsidRDefault="00E31F5B" w:rsidP="00024DCD">
      <w:pPr>
        <w:pStyle w:val="Caption"/>
      </w:pPr>
      <w:bookmarkStart w:id="92" w:name="_Ref86738698"/>
      <w:r>
        <w:t xml:space="preserve">Table </w:t>
      </w:r>
      <w:r w:rsidR="008D43ED">
        <w:rPr>
          <w:noProof/>
        </w:rPr>
        <w:t>25</w:t>
      </w:r>
      <w:bookmarkEnd w:id="92"/>
      <w:r w:rsidR="00024DCD">
        <w:t xml:space="preserve">: </w:t>
      </w:r>
      <w:r w:rsidR="006A1BDD" w:rsidRPr="00C45D0A">
        <w:t xml:space="preserve">Overall net cost to PBS/RPBS with 1L </w:t>
      </w:r>
      <w:r w:rsidR="00D12886" w:rsidRPr="00C45D0A">
        <w:t>chemotherapy and 2l niv</w:t>
      </w:r>
      <w:r w:rsidR="006A1BDD" w:rsidRPr="00C45D0A">
        <w:t>olumab offset included</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25: Overall net cost to PBS/RPBS with 1L chemotherapy and 2l nivolumab offset included"/>
      </w:tblPr>
      <w:tblGrid>
        <w:gridCol w:w="1842"/>
        <w:gridCol w:w="1276"/>
        <w:gridCol w:w="1272"/>
        <w:gridCol w:w="1276"/>
        <w:gridCol w:w="1276"/>
        <w:gridCol w:w="1276"/>
        <w:gridCol w:w="1276"/>
      </w:tblGrid>
      <w:tr w:rsidR="00F550DA" w:rsidRPr="00E31F5B" w14:paraId="6DB7C487" w14:textId="77777777" w:rsidTr="005170DD">
        <w:trPr>
          <w:trHeight w:val="329"/>
        </w:trPr>
        <w:tc>
          <w:tcPr>
            <w:tcW w:w="970" w:type="pct"/>
            <w:tcBorders>
              <w:top w:val="single" w:sz="4" w:space="0" w:color="auto"/>
              <w:left w:val="single" w:sz="4" w:space="0" w:color="auto"/>
              <w:bottom w:val="single" w:sz="4" w:space="0" w:color="auto"/>
              <w:right w:val="single" w:sz="4" w:space="0" w:color="auto"/>
            </w:tcBorders>
          </w:tcPr>
          <w:p w14:paraId="3DC7BEB4" w14:textId="77777777" w:rsidR="006A1BDD" w:rsidRPr="00E31F5B" w:rsidRDefault="006A1BDD">
            <w:pPr>
              <w:pStyle w:val="NoSpacing"/>
              <w:keepNext/>
              <w:keepLines/>
              <w:ind w:right="57"/>
              <w:jc w:val="center"/>
              <w:rPr>
                <w:rFonts w:ascii="Arial Narrow" w:eastAsia="Arial" w:hAnsi="Arial Narrow"/>
                <w:b/>
                <w:iCs/>
                <w:sz w:val="20"/>
                <w:highlight w:val="yellow"/>
              </w:rPr>
            </w:pPr>
          </w:p>
        </w:tc>
        <w:tc>
          <w:tcPr>
            <w:tcW w:w="672" w:type="pct"/>
            <w:tcBorders>
              <w:top w:val="single" w:sz="4" w:space="0" w:color="auto"/>
              <w:left w:val="single" w:sz="4" w:space="0" w:color="auto"/>
              <w:bottom w:val="single" w:sz="4" w:space="0" w:color="auto"/>
              <w:right w:val="single" w:sz="4" w:space="0" w:color="auto"/>
            </w:tcBorders>
            <w:hideMark/>
          </w:tcPr>
          <w:p w14:paraId="32EBC4A0"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2022</w:t>
            </w:r>
          </w:p>
        </w:tc>
        <w:tc>
          <w:tcPr>
            <w:tcW w:w="670" w:type="pct"/>
            <w:tcBorders>
              <w:top w:val="single" w:sz="4" w:space="0" w:color="auto"/>
              <w:left w:val="single" w:sz="4" w:space="0" w:color="auto"/>
              <w:bottom w:val="single" w:sz="4" w:space="0" w:color="auto"/>
              <w:right w:val="single" w:sz="4" w:space="0" w:color="auto"/>
            </w:tcBorders>
            <w:hideMark/>
          </w:tcPr>
          <w:p w14:paraId="19E301AC"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2023</w:t>
            </w:r>
          </w:p>
        </w:tc>
        <w:tc>
          <w:tcPr>
            <w:tcW w:w="672" w:type="pct"/>
            <w:tcBorders>
              <w:top w:val="single" w:sz="4" w:space="0" w:color="auto"/>
              <w:left w:val="single" w:sz="4" w:space="0" w:color="auto"/>
              <w:bottom w:val="single" w:sz="4" w:space="0" w:color="auto"/>
              <w:right w:val="single" w:sz="4" w:space="0" w:color="auto"/>
            </w:tcBorders>
            <w:hideMark/>
          </w:tcPr>
          <w:p w14:paraId="34C3EB44"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2024</w:t>
            </w:r>
          </w:p>
        </w:tc>
        <w:tc>
          <w:tcPr>
            <w:tcW w:w="672" w:type="pct"/>
            <w:tcBorders>
              <w:top w:val="single" w:sz="4" w:space="0" w:color="auto"/>
              <w:left w:val="single" w:sz="4" w:space="0" w:color="auto"/>
              <w:bottom w:val="single" w:sz="4" w:space="0" w:color="auto"/>
              <w:right w:val="single" w:sz="4" w:space="0" w:color="auto"/>
            </w:tcBorders>
            <w:hideMark/>
          </w:tcPr>
          <w:p w14:paraId="5B2569FE"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2025</w:t>
            </w:r>
          </w:p>
        </w:tc>
        <w:tc>
          <w:tcPr>
            <w:tcW w:w="672" w:type="pct"/>
            <w:tcBorders>
              <w:top w:val="single" w:sz="4" w:space="0" w:color="auto"/>
              <w:left w:val="single" w:sz="4" w:space="0" w:color="auto"/>
              <w:bottom w:val="single" w:sz="4" w:space="0" w:color="auto"/>
              <w:right w:val="single" w:sz="4" w:space="0" w:color="auto"/>
            </w:tcBorders>
            <w:hideMark/>
          </w:tcPr>
          <w:p w14:paraId="45600A64"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2026</w:t>
            </w:r>
          </w:p>
        </w:tc>
        <w:tc>
          <w:tcPr>
            <w:tcW w:w="672" w:type="pct"/>
            <w:tcBorders>
              <w:top w:val="single" w:sz="4" w:space="0" w:color="auto"/>
              <w:left w:val="single" w:sz="4" w:space="0" w:color="auto"/>
              <w:bottom w:val="single" w:sz="4" w:space="0" w:color="auto"/>
              <w:right w:val="single" w:sz="4" w:space="0" w:color="auto"/>
            </w:tcBorders>
            <w:noWrap/>
            <w:hideMark/>
          </w:tcPr>
          <w:p w14:paraId="107B855C"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2027</w:t>
            </w:r>
          </w:p>
        </w:tc>
      </w:tr>
      <w:tr w:rsidR="00F550DA" w:rsidRPr="00E31F5B" w14:paraId="0C5DED72" w14:textId="77777777" w:rsidTr="005170DD">
        <w:trPr>
          <w:trHeight w:val="235"/>
        </w:trPr>
        <w:tc>
          <w:tcPr>
            <w:tcW w:w="970" w:type="pct"/>
            <w:tcBorders>
              <w:top w:val="single" w:sz="4" w:space="0" w:color="auto"/>
              <w:left w:val="single" w:sz="4" w:space="0" w:color="auto"/>
              <w:bottom w:val="single" w:sz="4" w:space="0" w:color="auto"/>
              <w:right w:val="single" w:sz="4" w:space="0" w:color="auto"/>
            </w:tcBorders>
            <w:hideMark/>
          </w:tcPr>
          <w:p w14:paraId="3DFB7265" w14:textId="77777777" w:rsidR="00F550DA" w:rsidRPr="00E31F5B" w:rsidRDefault="00F550DA" w:rsidP="00F550DA">
            <w:pPr>
              <w:pStyle w:val="NoSpacing"/>
              <w:keepNext/>
              <w:keepLines/>
              <w:ind w:right="57"/>
              <w:jc w:val="left"/>
              <w:rPr>
                <w:rFonts w:ascii="Arial Narrow" w:eastAsia="Arial" w:hAnsi="Arial Narrow"/>
                <w:bCs/>
                <w:iCs/>
                <w:sz w:val="20"/>
              </w:rPr>
            </w:pPr>
            <w:r w:rsidRPr="00E31F5B">
              <w:rPr>
                <w:rFonts w:ascii="Arial Narrow" w:eastAsia="Arial" w:hAnsi="Arial Narrow"/>
                <w:bCs/>
                <w:iCs/>
                <w:sz w:val="20"/>
              </w:rPr>
              <w:t>Cost to PBS/RPBS of 1L pembrolizumab listing PSCR (no offsets for SoC)</w:t>
            </w:r>
          </w:p>
        </w:tc>
        <w:tc>
          <w:tcPr>
            <w:tcW w:w="672" w:type="pct"/>
            <w:tcBorders>
              <w:top w:val="single" w:sz="4" w:space="0" w:color="auto"/>
              <w:left w:val="single" w:sz="4" w:space="0" w:color="auto"/>
              <w:bottom w:val="single" w:sz="4" w:space="0" w:color="auto"/>
              <w:right w:val="single" w:sz="4" w:space="0" w:color="auto"/>
            </w:tcBorders>
            <w:vAlign w:val="center"/>
          </w:tcPr>
          <w:p w14:paraId="72605033" w14:textId="239338DF" w:rsidR="00F550DA" w:rsidRPr="00203DB1"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4"/>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4"/>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4"/>
                <w14:textFill>
                  <w14:solidFill>
                    <w14:srgbClr w14:val="000000">
                      <w14:alpha w14:val="100000"/>
                    </w14:srgbClr>
                  </w14:solidFill>
                </w14:textFill>
              </w:rPr>
              <w:t xml:space="preserve">　</w:t>
            </w:r>
            <w:r w:rsidR="00203DB1" w:rsidRPr="00203DB1">
              <w:rPr>
                <w:rFonts w:ascii="Arial Narrow" w:eastAsia="Arial" w:hAnsi="Arial Narrow"/>
                <w:bCs/>
                <w:iCs/>
                <w:color w:val="000000"/>
                <w:sz w:val="20"/>
                <w:vertAlign w:val="superscript"/>
              </w:rPr>
              <w:t>1</w:t>
            </w:r>
          </w:p>
        </w:tc>
        <w:tc>
          <w:tcPr>
            <w:tcW w:w="670" w:type="pct"/>
            <w:tcBorders>
              <w:top w:val="single" w:sz="4" w:space="0" w:color="auto"/>
              <w:left w:val="single" w:sz="4" w:space="0" w:color="auto"/>
              <w:bottom w:val="single" w:sz="4" w:space="0" w:color="auto"/>
              <w:right w:val="single" w:sz="4" w:space="0" w:color="auto"/>
            </w:tcBorders>
            <w:vAlign w:val="center"/>
          </w:tcPr>
          <w:p w14:paraId="73F1A79D" w14:textId="10912DE2"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3"/>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3"/>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3"/>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vAlign w:val="center"/>
          </w:tcPr>
          <w:p w14:paraId="18B8323D" w14:textId="66913DC7"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2"/>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2"/>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2"/>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vAlign w:val="center"/>
          </w:tcPr>
          <w:p w14:paraId="6D6C1FE8" w14:textId="6BDD2F7A"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1"/>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1"/>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1"/>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vAlign w:val="center"/>
          </w:tcPr>
          <w:p w14:paraId="6810E7A3" w14:textId="4EAA35DC"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0"/>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0"/>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0"/>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noWrap/>
            <w:vAlign w:val="center"/>
          </w:tcPr>
          <w:p w14:paraId="6B9348D4" w14:textId="6DD64583"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16"/>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16"/>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16"/>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2</w:t>
            </w:r>
          </w:p>
        </w:tc>
      </w:tr>
      <w:tr w:rsidR="00F550DA" w:rsidRPr="00E31F5B" w14:paraId="342ABE1A" w14:textId="77777777" w:rsidTr="005170DD">
        <w:trPr>
          <w:trHeight w:val="235"/>
        </w:trPr>
        <w:tc>
          <w:tcPr>
            <w:tcW w:w="970" w:type="pct"/>
            <w:tcBorders>
              <w:top w:val="single" w:sz="4" w:space="0" w:color="auto"/>
              <w:left w:val="single" w:sz="4" w:space="0" w:color="auto"/>
              <w:bottom w:val="single" w:sz="4" w:space="0" w:color="auto"/>
              <w:right w:val="single" w:sz="4" w:space="0" w:color="auto"/>
            </w:tcBorders>
          </w:tcPr>
          <w:p w14:paraId="0A6AEEC8" w14:textId="77777777" w:rsidR="00F550DA" w:rsidRPr="00E31F5B" w:rsidDel="003415E1" w:rsidRDefault="00F550DA" w:rsidP="005A4A9D">
            <w:pPr>
              <w:pStyle w:val="NoSpacing"/>
              <w:keepNext/>
              <w:keepLines/>
              <w:ind w:right="57"/>
              <w:jc w:val="left"/>
              <w:rPr>
                <w:rFonts w:ascii="Arial Narrow" w:eastAsia="Arial" w:hAnsi="Arial Narrow"/>
                <w:bCs/>
                <w:iCs/>
                <w:sz w:val="20"/>
              </w:rPr>
            </w:pPr>
            <w:r w:rsidRPr="00E31F5B">
              <w:rPr>
                <w:rFonts w:ascii="Arial Narrow" w:eastAsia="Arial" w:hAnsi="Arial Narrow"/>
                <w:bCs/>
                <w:iCs/>
                <w:sz w:val="20"/>
              </w:rPr>
              <w:t>SoC offsets to PBS/RPBS PSCR</w:t>
            </w:r>
          </w:p>
        </w:tc>
        <w:tc>
          <w:tcPr>
            <w:tcW w:w="672" w:type="pct"/>
            <w:tcBorders>
              <w:top w:val="single" w:sz="4" w:space="0" w:color="auto"/>
              <w:left w:val="single" w:sz="4" w:space="0" w:color="auto"/>
              <w:bottom w:val="single" w:sz="4" w:space="0" w:color="auto"/>
              <w:right w:val="single" w:sz="4" w:space="0" w:color="auto"/>
            </w:tcBorders>
            <w:vAlign w:val="center"/>
          </w:tcPr>
          <w:p w14:paraId="43572342" w14:textId="61AAE697" w:rsidR="00F550DA" w:rsidRPr="00E31F5B" w:rsidDel="00F550DA" w:rsidRDefault="009A1388" w:rsidP="005A4A9D">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15"/>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15"/>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15"/>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3</w:t>
            </w:r>
          </w:p>
        </w:tc>
        <w:tc>
          <w:tcPr>
            <w:tcW w:w="670" w:type="pct"/>
            <w:tcBorders>
              <w:top w:val="single" w:sz="4" w:space="0" w:color="auto"/>
              <w:left w:val="single" w:sz="4" w:space="0" w:color="auto"/>
              <w:bottom w:val="single" w:sz="4" w:space="0" w:color="auto"/>
              <w:right w:val="single" w:sz="4" w:space="0" w:color="auto"/>
            </w:tcBorders>
            <w:vAlign w:val="center"/>
          </w:tcPr>
          <w:p w14:paraId="00F06216" w14:textId="6A4564B5" w:rsidR="00F550DA" w:rsidRPr="00E31F5B" w:rsidDel="00F550DA" w:rsidRDefault="009A1388" w:rsidP="005A4A9D">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14"/>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14"/>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14"/>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vAlign w:val="center"/>
          </w:tcPr>
          <w:p w14:paraId="20EFA7EE" w14:textId="1A70D34B" w:rsidR="00F550DA" w:rsidRPr="00E31F5B" w:rsidDel="00F550DA" w:rsidRDefault="009A1388" w:rsidP="005A4A9D">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13"/>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13"/>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13"/>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vAlign w:val="center"/>
          </w:tcPr>
          <w:p w14:paraId="250A294F" w14:textId="02C913F1" w:rsidR="00F550DA" w:rsidRPr="00E31F5B" w:rsidDel="00F550DA" w:rsidRDefault="009A1388" w:rsidP="005A4A9D">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12"/>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12"/>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12"/>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vAlign w:val="center"/>
          </w:tcPr>
          <w:p w14:paraId="11DF847F" w14:textId="690CC5B9" w:rsidR="00F550DA" w:rsidRPr="00E31F5B" w:rsidDel="00F550DA" w:rsidRDefault="009A1388" w:rsidP="005A4A9D">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11"/>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11"/>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11"/>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noWrap/>
            <w:vAlign w:val="center"/>
          </w:tcPr>
          <w:p w14:paraId="46EAAE3A" w14:textId="662E1F01" w:rsidR="00F550DA" w:rsidRPr="00E31F5B" w:rsidDel="00F550DA" w:rsidRDefault="009A1388" w:rsidP="005A4A9D">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10"/>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10"/>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10"/>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3</w:t>
            </w:r>
          </w:p>
        </w:tc>
      </w:tr>
      <w:tr w:rsidR="00F550DA" w:rsidRPr="00E31F5B" w14:paraId="20902F15" w14:textId="77777777" w:rsidTr="005170DD">
        <w:trPr>
          <w:trHeight w:val="235"/>
        </w:trPr>
        <w:tc>
          <w:tcPr>
            <w:tcW w:w="970" w:type="pct"/>
            <w:tcBorders>
              <w:top w:val="single" w:sz="4" w:space="0" w:color="auto"/>
              <w:left w:val="single" w:sz="4" w:space="0" w:color="auto"/>
              <w:bottom w:val="single" w:sz="4" w:space="0" w:color="auto"/>
              <w:right w:val="single" w:sz="4" w:space="0" w:color="auto"/>
            </w:tcBorders>
          </w:tcPr>
          <w:p w14:paraId="66CBB120" w14:textId="77777777" w:rsidR="00F550DA" w:rsidRPr="00E31F5B" w:rsidDel="003415E1" w:rsidRDefault="00F550DA" w:rsidP="00F550DA">
            <w:pPr>
              <w:pStyle w:val="NoSpacing"/>
              <w:keepNext/>
              <w:keepLines/>
              <w:ind w:right="57"/>
              <w:jc w:val="left"/>
              <w:rPr>
                <w:rFonts w:ascii="Arial Narrow" w:eastAsia="Arial" w:hAnsi="Arial Narrow"/>
                <w:bCs/>
                <w:iCs/>
                <w:sz w:val="20"/>
              </w:rPr>
            </w:pPr>
            <w:r w:rsidRPr="00E31F5B">
              <w:rPr>
                <w:rFonts w:ascii="Arial Narrow" w:eastAsia="Arial" w:hAnsi="Arial Narrow"/>
                <w:bCs/>
                <w:iCs/>
                <w:sz w:val="20"/>
              </w:rPr>
              <w:t>Net cost to PBS/RPBS (PSCR)</w:t>
            </w:r>
          </w:p>
        </w:tc>
        <w:tc>
          <w:tcPr>
            <w:tcW w:w="672" w:type="pct"/>
            <w:tcBorders>
              <w:top w:val="single" w:sz="4" w:space="0" w:color="auto"/>
              <w:left w:val="single" w:sz="4" w:space="0" w:color="auto"/>
              <w:bottom w:val="single" w:sz="4" w:space="0" w:color="auto"/>
              <w:right w:val="single" w:sz="4" w:space="0" w:color="auto"/>
            </w:tcBorders>
            <w:vAlign w:val="center"/>
          </w:tcPr>
          <w:p w14:paraId="2F5715FB" w14:textId="71ED72C0"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9"/>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9"/>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9"/>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2</w:t>
            </w:r>
          </w:p>
        </w:tc>
        <w:tc>
          <w:tcPr>
            <w:tcW w:w="670" w:type="pct"/>
            <w:tcBorders>
              <w:top w:val="single" w:sz="4" w:space="0" w:color="auto"/>
              <w:left w:val="single" w:sz="4" w:space="0" w:color="auto"/>
              <w:bottom w:val="single" w:sz="4" w:space="0" w:color="auto"/>
              <w:right w:val="single" w:sz="4" w:space="0" w:color="auto"/>
            </w:tcBorders>
            <w:vAlign w:val="center"/>
          </w:tcPr>
          <w:p w14:paraId="3AF3139A" w14:textId="7A9F226A"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8"/>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8"/>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8"/>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vAlign w:val="center"/>
          </w:tcPr>
          <w:p w14:paraId="1A43D77C" w14:textId="0A61D96B"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7"/>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7"/>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7"/>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vAlign w:val="center"/>
          </w:tcPr>
          <w:p w14:paraId="37AE7009" w14:textId="3F6EB343"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6"/>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6"/>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6"/>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vAlign w:val="center"/>
          </w:tcPr>
          <w:p w14:paraId="3A0CE7C1" w14:textId="4B635A2A"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5"/>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5"/>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5"/>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noWrap/>
            <w:vAlign w:val="center"/>
          </w:tcPr>
          <w:p w14:paraId="1C23B2D4" w14:textId="5864A419" w:rsidR="00F550DA" w:rsidRPr="00E31F5B" w:rsidRDefault="009A1388" w:rsidP="00F550DA">
            <w:pPr>
              <w:pStyle w:val="NoSpacing"/>
              <w:keepNext/>
              <w:keepLines/>
              <w:ind w:right="57"/>
              <w:jc w:val="center"/>
              <w:rPr>
                <w:rFonts w:ascii="Arial Narrow" w:eastAsia="Arial" w:hAnsi="Arial Narrow"/>
                <w:bCs/>
                <w:iCs/>
                <w:color w:val="000000"/>
                <w:sz w:val="20"/>
              </w:rPr>
            </w:pPr>
            <w:r w:rsidRPr="009A1388">
              <w:rPr>
                <w:rFonts w:ascii="Arial Narrow" w:eastAsia="Arial" w:hAnsi="Arial Narrow" w:hint="eastAsia"/>
                <w:bCs/>
                <w:iCs/>
                <w:noProof/>
                <w:color w:val="000000"/>
                <w:w w:val="15"/>
                <w:sz w:val="20"/>
                <w:shd w:val="solid" w:color="000000" w:fill="000000"/>
                <w:fitText w:val="30" w:id="-1500866804"/>
                <w14:textFill>
                  <w14:solidFill>
                    <w14:srgbClr w14:val="000000">
                      <w14:alpha w14:val="100000"/>
                    </w14:srgbClr>
                  </w14:solidFill>
                </w14:textFill>
              </w:rPr>
              <w:t xml:space="preserve">　</w:t>
            </w:r>
            <w:r w:rsidRPr="009A1388">
              <w:rPr>
                <w:rFonts w:ascii="Arial Narrow" w:eastAsia="Arial" w:hAnsi="Arial Narrow"/>
                <w:bCs/>
                <w:iCs/>
                <w:noProof/>
                <w:color w:val="000000"/>
                <w:w w:val="15"/>
                <w:sz w:val="20"/>
                <w:shd w:val="solid" w:color="000000" w:fill="000000"/>
                <w:fitText w:val="30" w:id="-1500866804"/>
                <w14:textFill>
                  <w14:solidFill>
                    <w14:srgbClr w14:val="000000">
                      <w14:alpha w14:val="100000"/>
                    </w14:srgbClr>
                  </w14:solidFill>
                </w14:textFill>
              </w:rPr>
              <w:t>|</w:t>
            </w:r>
            <w:r w:rsidRPr="009A1388">
              <w:rPr>
                <w:rFonts w:ascii="Arial Narrow" w:eastAsia="Arial" w:hAnsi="Arial Narrow" w:hint="eastAsia"/>
                <w:bCs/>
                <w:iCs/>
                <w:noProof/>
                <w:color w:val="000000"/>
                <w:spacing w:val="-35"/>
                <w:w w:val="15"/>
                <w:sz w:val="20"/>
                <w:shd w:val="solid" w:color="000000" w:fill="000000"/>
                <w:fitText w:val="30" w:id="-1500866804"/>
                <w14:textFill>
                  <w14:solidFill>
                    <w14:srgbClr w14:val="000000">
                      <w14:alpha w14:val="100000"/>
                    </w14:srgbClr>
                  </w14:solidFill>
                </w14:textFill>
              </w:rPr>
              <w:t xml:space="preserve">　</w:t>
            </w:r>
            <w:r w:rsidR="00203DB1">
              <w:rPr>
                <w:rFonts w:ascii="Arial Narrow" w:eastAsia="Arial" w:hAnsi="Arial Narrow"/>
                <w:bCs/>
                <w:iCs/>
                <w:color w:val="000000"/>
                <w:sz w:val="20"/>
                <w:vertAlign w:val="superscript"/>
              </w:rPr>
              <w:t>4</w:t>
            </w:r>
          </w:p>
        </w:tc>
      </w:tr>
    </w:tbl>
    <w:p w14:paraId="566AF7B8" w14:textId="77777777" w:rsidR="006A1BDD" w:rsidRPr="00E31F5B" w:rsidRDefault="006A1BDD" w:rsidP="00D12886">
      <w:pPr>
        <w:pStyle w:val="TableFooter"/>
        <w:rPr>
          <w:iCs/>
        </w:rPr>
      </w:pPr>
      <w:r w:rsidRPr="00E31F5B">
        <w:rPr>
          <w:iCs/>
        </w:rPr>
        <w:t xml:space="preserve">1L = first line; 2L = second line </w:t>
      </w:r>
    </w:p>
    <w:p w14:paraId="60AE256F" w14:textId="77777777" w:rsidR="0002528F" w:rsidRDefault="006A1BDD" w:rsidP="0002528F">
      <w:pPr>
        <w:pStyle w:val="TableFooter"/>
        <w:rPr>
          <w:iCs/>
        </w:rPr>
      </w:pPr>
      <w:r w:rsidRPr="00E31F5B">
        <w:rPr>
          <w:iCs/>
        </w:rPr>
        <w:t>Source: Table 3 of the PSCR, Table PBAC.23, MSAC 1522.1/PBAC 7.09.COM.72</w:t>
      </w:r>
      <w:r w:rsidR="00693A1B" w:rsidRPr="00E31F5B">
        <w:rPr>
          <w:iCs/>
        </w:rPr>
        <w:t>, PSCR revised financial estimates worksheet</w:t>
      </w:r>
      <w:bookmarkStart w:id="93" w:name="_Toc81727560"/>
      <w:bookmarkStart w:id="94" w:name="_Toc82600109"/>
    </w:p>
    <w:p w14:paraId="13DEFA21" w14:textId="77777777" w:rsidR="00203DB1" w:rsidRPr="00EF0352" w:rsidRDefault="00203DB1" w:rsidP="0002528F">
      <w:pPr>
        <w:pStyle w:val="TableFooter"/>
        <w:rPr>
          <w:i/>
          <w:iCs/>
        </w:rPr>
      </w:pPr>
      <w:r w:rsidRPr="00EF0352">
        <w:rPr>
          <w:i/>
          <w:iCs/>
        </w:rPr>
        <w:t>The redacted values correspond to the following ranges:</w:t>
      </w:r>
    </w:p>
    <w:p w14:paraId="6C2E7F8E" w14:textId="77777777" w:rsidR="00203DB1" w:rsidRPr="00EF0352" w:rsidRDefault="00203DB1" w:rsidP="0002528F">
      <w:pPr>
        <w:pStyle w:val="TableFooter"/>
        <w:rPr>
          <w:i/>
          <w:iCs/>
        </w:rPr>
      </w:pPr>
      <w:r w:rsidRPr="00EF0352">
        <w:rPr>
          <w:i/>
          <w:iCs/>
          <w:vertAlign w:val="superscript"/>
        </w:rPr>
        <w:t>1</w:t>
      </w:r>
      <w:r w:rsidRPr="00EF0352">
        <w:rPr>
          <w:i/>
          <w:iCs/>
        </w:rPr>
        <w:t xml:space="preserve"> $30 million to &lt; $40 million</w:t>
      </w:r>
    </w:p>
    <w:p w14:paraId="4EE053EF" w14:textId="77777777" w:rsidR="00203DB1" w:rsidRPr="00EF0352" w:rsidRDefault="00203DB1" w:rsidP="0002528F">
      <w:pPr>
        <w:pStyle w:val="TableFooter"/>
        <w:rPr>
          <w:i/>
        </w:rPr>
      </w:pPr>
      <w:r w:rsidRPr="00EF0352">
        <w:rPr>
          <w:i/>
          <w:vertAlign w:val="superscript"/>
        </w:rPr>
        <w:t>2</w:t>
      </w:r>
      <w:r w:rsidRPr="00EF0352">
        <w:rPr>
          <w:i/>
        </w:rPr>
        <w:t xml:space="preserve"> $20 million to &lt; $30 million</w:t>
      </w:r>
    </w:p>
    <w:p w14:paraId="0F00E0A7" w14:textId="77777777" w:rsidR="00203DB1" w:rsidRPr="00EF0352" w:rsidRDefault="00203DB1" w:rsidP="0002528F">
      <w:pPr>
        <w:pStyle w:val="TableFooter"/>
        <w:rPr>
          <w:i/>
        </w:rPr>
      </w:pPr>
      <w:r w:rsidRPr="00EF0352">
        <w:rPr>
          <w:i/>
          <w:vertAlign w:val="superscript"/>
        </w:rPr>
        <w:t>3</w:t>
      </w:r>
      <w:r w:rsidRPr="00EF0352">
        <w:rPr>
          <w:i/>
        </w:rPr>
        <w:t xml:space="preserve"> $0 to &lt; $10 million</w:t>
      </w:r>
    </w:p>
    <w:p w14:paraId="2FB71E91" w14:textId="77777777" w:rsidR="00203DB1" w:rsidRPr="00EF0352" w:rsidRDefault="00203DB1" w:rsidP="0002528F">
      <w:pPr>
        <w:pStyle w:val="TableFooter"/>
        <w:rPr>
          <w:i/>
        </w:rPr>
      </w:pPr>
      <w:r w:rsidRPr="00EF0352">
        <w:rPr>
          <w:i/>
          <w:vertAlign w:val="superscript"/>
        </w:rPr>
        <w:t>4</w:t>
      </w:r>
      <w:r w:rsidRPr="00EF0352">
        <w:rPr>
          <w:i/>
        </w:rPr>
        <w:t xml:space="preserve"> $10 million to &lt; $20 million</w:t>
      </w:r>
    </w:p>
    <w:p w14:paraId="1F1C677C" w14:textId="77777777" w:rsidR="00C95F92" w:rsidRPr="001E7D27" w:rsidRDefault="001A448F" w:rsidP="001E7D27">
      <w:pPr>
        <w:pStyle w:val="ListParagraph"/>
        <w:numPr>
          <w:ilvl w:val="4"/>
          <w:numId w:val="1"/>
        </w:numPr>
        <w:rPr>
          <w:iCs/>
          <w:color w:val="auto"/>
        </w:rPr>
      </w:pPr>
      <w:r w:rsidRPr="001E7D27">
        <w:rPr>
          <w:iCs/>
          <w:color w:val="auto"/>
        </w:rPr>
        <w:t>Due to the compl</w:t>
      </w:r>
      <w:r w:rsidR="00A3233F">
        <w:rPr>
          <w:iCs/>
          <w:color w:val="auto"/>
        </w:rPr>
        <w:t>icated</w:t>
      </w:r>
      <w:r w:rsidR="0058464A">
        <w:rPr>
          <w:iCs/>
          <w:color w:val="auto"/>
        </w:rPr>
        <w:t xml:space="preserve"> </w:t>
      </w:r>
      <w:r w:rsidRPr="001E7D27">
        <w:rPr>
          <w:iCs/>
          <w:color w:val="auto"/>
        </w:rPr>
        <w:t xml:space="preserve">nature of the epidemiological approach and the large number of assumptions (many of which could not be independently verified), the PBAC considered that the net financial impact of listing pembrolizumab as presented in the resubmission was highly uncertain. </w:t>
      </w:r>
      <w:r w:rsidR="001E7D27" w:rsidRPr="001E7D27">
        <w:rPr>
          <w:iCs/>
          <w:color w:val="auto"/>
        </w:rPr>
        <w:t xml:space="preserve">The PBAC considered that a more reliable approach would be to estimate the proportion of HNSCC patients treated with 2L </w:t>
      </w:r>
      <w:r w:rsidR="001E7D27" w:rsidRPr="001E7D27">
        <w:rPr>
          <w:iCs/>
          <w:color w:val="auto"/>
        </w:rPr>
        <w:lastRenderedPageBreak/>
        <w:t xml:space="preserve">nivolumab and apply this to the 2L nivolumab PBS patient numbers to estimate the 1L population eligible for treatment with pembrolizumab. </w:t>
      </w:r>
      <w:r w:rsidRPr="001E7D27">
        <w:rPr>
          <w:iCs/>
          <w:color w:val="auto"/>
        </w:rPr>
        <w:t xml:space="preserve">The PBAC considered that based on the number of patients treated with nivolumab as second line treatment for R/M HNSCC the number of incident patients appeared to be substantially overestimated. </w:t>
      </w:r>
    </w:p>
    <w:p w14:paraId="1FBACC7A" w14:textId="77777777" w:rsidR="002D3C5B" w:rsidRDefault="00C95F92" w:rsidP="002D344E">
      <w:pPr>
        <w:pStyle w:val="ListParagraph"/>
        <w:numPr>
          <w:ilvl w:val="4"/>
          <w:numId w:val="1"/>
        </w:numPr>
        <w:rPr>
          <w:iCs/>
          <w:color w:val="auto"/>
        </w:rPr>
      </w:pPr>
      <w:bookmarkStart w:id="95" w:name="_Ref89776052"/>
      <w:bookmarkStart w:id="96" w:name="_Hlk89770772"/>
      <w:r w:rsidRPr="002D3C5B">
        <w:rPr>
          <w:iCs/>
          <w:color w:val="auto"/>
        </w:rPr>
        <w:t xml:space="preserve">The PBAC noted that values from DUSC indicated that </w:t>
      </w:r>
      <w:r w:rsidR="00946BF9">
        <w:rPr>
          <w:iCs/>
          <w:color w:val="auto"/>
        </w:rPr>
        <w:t>&lt; 500</w:t>
      </w:r>
      <w:r w:rsidRPr="002D3C5B">
        <w:rPr>
          <w:iCs/>
          <w:color w:val="auto"/>
        </w:rPr>
        <w:t xml:space="preserve"> patients were treated with nivolumab for HNSCC in 2019. Assuming </w:t>
      </w:r>
      <w:r w:rsidR="006F2669" w:rsidRPr="002D3C5B">
        <w:rPr>
          <w:iCs/>
          <w:color w:val="auto"/>
        </w:rPr>
        <w:t xml:space="preserve">20% </w:t>
      </w:r>
      <w:r w:rsidR="002D3C5B">
        <w:rPr>
          <w:iCs/>
          <w:color w:val="auto"/>
        </w:rPr>
        <w:t>(</w:t>
      </w:r>
      <w:r w:rsidR="00946BF9">
        <w:rPr>
          <w:iCs/>
          <w:color w:val="auto"/>
        </w:rPr>
        <w:t>&lt;500</w:t>
      </w:r>
      <w:r w:rsidR="0026605D">
        <w:rPr>
          <w:iCs/>
          <w:color w:val="auto"/>
        </w:rPr>
        <w:t xml:space="preserve">) </w:t>
      </w:r>
      <w:r w:rsidR="006F2669" w:rsidRPr="002D3C5B">
        <w:rPr>
          <w:iCs/>
          <w:color w:val="auto"/>
        </w:rPr>
        <w:t xml:space="preserve">of these patients were in the early recurrent setting, </w:t>
      </w:r>
      <w:r w:rsidR="00946BF9">
        <w:rPr>
          <w:iCs/>
          <w:color w:val="auto"/>
        </w:rPr>
        <w:t>&lt; 500</w:t>
      </w:r>
      <w:r w:rsidR="006F2669" w:rsidRPr="002D3C5B">
        <w:rPr>
          <w:iCs/>
          <w:color w:val="auto"/>
        </w:rPr>
        <w:t xml:space="preserve"> patients (</w:t>
      </w:r>
      <w:r w:rsidR="00946BF9">
        <w:rPr>
          <w:iCs/>
          <w:color w:val="auto"/>
        </w:rPr>
        <w:t>&lt; 500</w:t>
      </w:r>
      <w:r w:rsidR="00D607DE" w:rsidRPr="002D3C5B">
        <w:rPr>
          <w:iCs/>
          <w:color w:val="auto"/>
        </w:rPr>
        <w:t>x80%</w:t>
      </w:r>
      <w:r w:rsidR="006F2669" w:rsidRPr="002D3C5B">
        <w:rPr>
          <w:iCs/>
          <w:color w:val="auto"/>
        </w:rPr>
        <w:t>) would be receiving nivolumab in the 2L R/M HNSCC setting. Assuming 80% of 1L R/M HNSCC patients would be treated with 2L nivolumab t</w:t>
      </w:r>
      <w:r w:rsidR="007874E7" w:rsidRPr="002D3C5B">
        <w:rPr>
          <w:iCs/>
          <w:color w:val="auto"/>
        </w:rPr>
        <w:t>he</w:t>
      </w:r>
      <w:r w:rsidR="006F2669" w:rsidRPr="002D3C5B">
        <w:rPr>
          <w:iCs/>
          <w:color w:val="auto"/>
        </w:rPr>
        <w:t xml:space="preserve"> number of 1L R/M HNSCC patients </w:t>
      </w:r>
      <w:r w:rsidR="001B5EE9" w:rsidRPr="002D3C5B">
        <w:rPr>
          <w:iCs/>
          <w:color w:val="auto"/>
        </w:rPr>
        <w:t xml:space="preserve">eligible for pembrolizumab treatment (without applying a PD-L1 cut-off) </w:t>
      </w:r>
      <w:r w:rsidR="006F2669" w:rsidRPr="002D3C5B">
        <w:rPr>
          <w:iCs/>
          <w:color w:val="auto"/>
        </w:rPr>
        <w:t xml:space="preserve">would be </w:t>
      </w:r>
      <w:r w:rsidR="00946BF9">
        <w:rPr>
          <w:iCs/>
          <w:color w:val="auto"/>
        </w:rPr>
        <w:t>&lt; 500</w:t>
      </w:r>
      <w:r w:rsidR="007874E7" w:rsidRPr="002D3C5B">
        <w:rPr>
          <w:iCs/>
          <w:color w:val="auto"/>
        </w:rPr>
        <w:t xml:space="preserve"> (</w:t>
      </w:r>
      <w:r w:rsidR="00946BF9">
        <w:rPr>
          <w:iCs/>
          <w:color w:val="auto"/>
        </w:rPr>
        <w:t>&lt; 500</w:t>
      </w:r>
      <w:r w:rsidR="00D607DE" w:rsidRPr="002D3C5B">
        <w:rPr>
          <w:iCs/>
          <w:color w:val="auto"/>
        </w:rPr>
        <w:t>/80%</w:t>
      </w:r>
      <w:r w:rsidR="007874E7" w:rsidRPr="002D3C5B">
        <w:rPr>
          <w:iCs/>
          <w:color w:val="auto"/>
        </w:rPr>
        <w:t>)</w:t>
      </w:r>
      <w:r w:rsidR="00D607DE" w:rsidRPr="002D3C5B">
        <w:rPr>
          <w:iCs/>
          <w:color w:val="auto"/>
        </w:rPr>
        <w:t xml:space="preserve">. </w:t>
      </w:r>
      <w:r w:rsidR="0026605D" w:rsidRPr="002D3C5B">
        <w:rPr>
          <w:iCs/>
          <w:color w:val="auto"/>
        </w:rPr>
        <w:t>The PBAC considered that this would be the maximum number of patients eligible for pembrolizumab treatment</w:t>
      </w:r>
      <w:r w:rsidR="000C7EA0">
        <w:rPr>
          <w:iCs/>
          <w:color w:val="auto"/>
        </w:rPr>
        <w:t xml:space="preserve"> and the financial estimates shoul</w:t>
      </w:r>
      <w:r w:rsidR="000C7EA0" w:rsidRPr="00B7761D">
        <w:rPr>
          <w:iCs/>
          <w:color w:val="auto"/>
        </w:rPr>
        <w:t>d be revised to reflect this</w:t>
      </w:r>
      <w:r w:rsidR="0058464A" w:rsidRPr="00B7761D">
        <w:rPr>
          <w:iCs/>
          <w:color w:val="auto"/>
        </w:rPr>
        <w:t>, with adjustment for annual changes to patient numbers</w:t>
      </w:r>
      <w:r w:rsidR="000C7EA0" w:rsidRPr="00B7761D">
        <w:rPr>
          <w:iCs/>
          <w:color w:val="auto"/>
        </w:rPr>
        <w:t>. H</w:t>
      </w:r>
      <w:r w:rsidR="0026605D" w:rsidRPr="00B7761D">
        <w:rPr>
          <w:iCs/>
          <w:color w:val="auto"/>
        </w:rPr>
        <w:t>owever</w:t>
      </w:r>
      <w:r w:rsidR="000C7EA0">
        <w:rPr>
          <w:iCs/>
          <w:color w:val="auto"/>
        </w:rPr>
        <w:t>,</w:t>
      </w:r>
      <w:r w:rsidR="0026605D" w:rsidRPr="002D3C5B">
        <w:rPr>
          <w:iCs/>
          <w:color w:val="auto"/>
        </w:rPr>
        <w:t xml:space="preserve"> not all patients would be suitable for treatment with pembrolizumab plus chemotherapy and the number of patients eligible for monotherapy with pembrolizumab would be dependent on the proportion of patients with CPS </w:t>
      </w:r>
      <w:r w:rsidR="0026605D" w:rsidRPr="002D3C5B">
        <w:rPr>
          <w:rFonts w:cstheme="minorHAnsi"/>
          <w:iCs/>
          <w:color w:val="auto"/>
        </w:rPr>
        <w:t>≥</w:t>
      </w:r>
      <w:r w:rsidR="0026605D" w:rsidRPr="002D3C5B">
        <w:rPr>
          <w:iCs/>
          <w:color w:val="auto"/>
        </w:rPr>
        <w:t xml:space="preserve">20 and requested that the MSAC provide advice regarding the population size based on the different CPS thresholds (see paragraph </w:t>
      </w:r>
      <w:r w:rsidR="008D43ED">
        <w:rPr>
          <w:iCs/>
          <w:color w:val="auto"/>
        </w:rPr>
        <w:t>1.6</w:t>
      </w:r>
      <w:r w:rsidR="0026605D" w:rsidRPr="002D3C5B">
        <w:rPr>
          <w:iCs/>
          <w:color w:val="auto"/>
        </w:rPr>
        <w:t>).</w:t>
      </w:r>
      <w:bookmarkEnd w:id="95"/>
    </w:p>
    <w:p w14:paraId="5C432249" w14:textId="77777777" w:rsidR="002D3C5B" w:rsidRPr="002D3C5B" w:rsidRDefault="002D3C5B" w:rsidP="002D3C5B">
      <w:pPr>
        <w:pStyle w:val="ListParagraph"/>
        <w:numPr>
          <w:ilvl w:val="4"/>
          <w:numId w:val="1"/>
        </w:numPr>
        <w:rPr>
          <w:iCs/>
          <w:color w:val="auto"/>
        </w:rPr>
      </w:pPr>
      <w:bookmarkStart w:id="97" w:name="_Ref89771573"/>
      <w:r>
        <w:rPr>
          <w:iCs/>
          <w:color w:val="auto"/>
        </w:rPr>
        <w:t>The PBAC considered that on this basis a small increase in the caps for 2L nivolumab would be warranted to account for</w:t>
      </w:r>
      <w:r w:rsidR="0026605D">
        <w:rPr>
          <w:iCs/>
          <w:color w:val="auto"/>
        </w:rPr>
        <w:t>:</w:t>
      </w:r>
      <w:r>
        <w:rPr>
          <w:iCs/>
          <w:color w:val="auto"/>
        </w:rPr>
        <w:t xml:space="preserve"> (1) up to 20% total additional patients (including 1L pembrolizumab patients + early relapse patients treated with nivolumab</w:t>
      </w:r>
      <w:r w:rsidR="0026605D">
        <w:rPr>
          <w:iCs/>
          <w:color w:val="auto"/>
        </w:rPr>
        <w:t xml:space="preserve">) and (2) a longer treatment duration expected in the 1L setting. </w:t>
      </w:r>
      <w:r w:rsidR="000A1DCD">
        <w:rPr>
          <w:iCs/>
          <w:color w:val="auto"/>
        </w:rPr>
        <w:t xml:space="preserve">The PBAC noted that the increase to caps would be reduced if the listing for pembrolizumab plus chemotherapy is restricted to the CPS </w:t>
      </w:r>
      <w:r w:rsidR="000A1DCD">
        <w:rPr>
          <w:rFonts w:cstheme="minorHAnsi"/>
          <w:iCs/>
          <w:color w:val="auto"/>
        </w:rPr>
        <w:t>≥</w:t>
      </w:r>
      <w:r w:rsidR="000A1DCD">
        <w:rPr>
          <w:iCs/>
          <w:color w:val="auto"/>
        </w:rPr>
        <w:t xml:space="preserve">1 population. </w:t>
      </w:r>
      <w:bookmarkEnd w:id="97"/>
    </w:p>
    <w:bookmarkEnd w:id="96"/>
    <w:p w14:paraId="16872CAE" w14:textId="77777777" w:rsidR="00D7609F" w:rsidRPr="00A24A89" w:rsidRDefault="00D7609F" w:rsidP="00DD3D4A">
      <w:pPr>
        <w:pStyle w:val="PBACESHeading2"/>
        <w:numPr>
          <w:ilvl w:val="2"/>
          <w:numId w:val="26"/>
        </w:numPr>
      </w:pPr>
      <w:r w:rsidRPr="00A24A89">
        <w:t>Quality use of medicines</w:t>
      </w:r>
      <w:bookmarkEnd w:id="93"/>
      <w:bookmarkEnd w:id="94"/>
    </w:p>
    <w:p w14:paraId="5AC9C0BD" w14:textId="778D7DF3" w:rsidR="00D7609F" w:rsidRPr="00A24A89" w:rsidRDefault="00D7609F" w:rsidP="00D12886">
      <w:pPr>
        <w:pStyle w:val="ListParagraph"/>
        <w:numPr>
          <w:ilvl w:val="4"/>
          <w:numId w:val="1"/>
        </w:numPr>
        <w:rPr>
          <w:color w:val="auto"/>
        </w:rPr>
      </w:pPr>
      <w:r w:rsidRPr="00A24A89">
        <w:rPr>
          <w:color w:val="auto"/>
        </w:rPr>
        <w:t xml:space="preserve">The resubmission stated that as pembrolizumab belongs to a new immunotherapy class it is important that resources are devoted to ensuring appropriate use in clinical practice. The sponsor noted that </w:t>
      </w:r>
      <w:r w:rsidR="002A4F7D">
        <w:rPr>
          <w:color w:val="auto"/>
        </w:rPr>
        <w:t>it</w:t>
      </w:r>
      <w:r w:rsidR="002A4F7D" w:rsidRPr="00A24A89">
        <w:rPr>
          <w:color w:val="auto"/>
        </w:rPr>
        <w:t xml:space="preserve"> </w:t>
      </w:r>
      <w:r w:rsidRPr="00A24A89">
        <w:rPr>
          <w:color w:val="auto"/>
        </w:rPr>
        <w:t xml:space="preserve">will develop education materials on how to identify and manage adverse events, with educational programs and activities including face to face workshop sessions at conferences </w:t>
      </w:r>
      <w:proofErr w:type="gramStart"/>
      <w:r w:rsidRPr="00A24A89">
        <w:rPr>
          <w:color w:val="auto"/>
        </w:rPr>
        <w:t>and also</w:t>
      </w:r>
      <w:proofErr w:type="gramEnd"/>
      <w:r w:rsidRPr="00A24A89">
        <w:rPr>
          <w:color w:val="auto"/>
        </w:rPr>
        <w:t xml:space="preserve"> a medical information service hotline.</w:t>
      </w:r>
    </w:p>
    <w:p w14:paraId="08F3EEFA" w14:textId="77777777" w:rsidR="00D7609F" w:rsidRPr="00A24A89" w:rsidRDefault="00D7609F" w:rsidP="00DD3D4A">
      <w:pPr>
        <w:pStyle w:val="PBACESHeading2"/>
        <w:numPr>
          <w:ilvl w:val="2"/>
          <w:numId w:val="26"/>
        </w:numPr>
      </w:pPr>
      <w:bookmarkStart w:id="98" w:name="_Toc81727561"/>
      <w:bookmarkStart w:id="99" w:name="_Toc82600110"/>
      <w:r w:rsidRPr="00A24A89">
        <w:t>Financial management – risk sharing arrangements</w:t>
      </w:r>
      <w:bookmarkEnd w:id="98"/>
      <w:bookmarkEnd w:id="99"/>
    </w:p>
    <w:p w14:paraId="112397E8" w14:textId="77777777" w:rsidR="00D7609F" w:rsidRDefault="0026605D" w:rsidP="00D12886">
      <w:pPr>
        <w:pStyle w:val="ListParagraph"/>
        <w:numPr>
          <w:ilvl w:val="4"/>
          <w:numId w:val="1"/>
        </w:numPr>
        <w:rPr>
          <w:iCs/>
          <w:color w:val="auto"/>
        </w:rPr>
      </w:pPr>
      <w:bookmarkStart w:id="100" w:name="_Ref89093467"/>
      <w:r>
        <w:rPr>
          <w:color w:val="auto"/>
        </w:rPr>
        <w:t>T</w:t>
      </w:r>
      <w:r w:rsidR="00D7609F" w:rsidRPr="00A24A89">
        <w:rPr>
          <w:color w:val="auto"/>
        </w:rPr>
        <w:t xml:space="preserve">he resubmission indicated that the sponsor </w:t>
      </w:r>
      <w:r w:rsidR="002A4F7D">
        <w:rPr>
          <w:color w:val="auto"/>
        </w:rPr>
        <w:t>is</w:t>
      </w:r>
      <w:r w:rsidR="002A4F7D" w:rsidRPr="00A24A89">
        <w:rPr>
          <w:color w:val="auto"/>
        </w:rPr>
        <w:t xml:space="preserve"> </w:t>
      </w:r>
      <w:r w:rsidR="00D7609F" w:rsidRPr="00A24A89">
        <w:rPr>
          <w:color w:val="auto"/>
        </w:rPr>
        <w:t xml:space="preserve">willing to </w:t>
      </w:r>
      <w:proofErr w:type="gramStart"/>
      <w:r w:rsidR="00D7609F" w:rsidRPr="00A24A89">
        <w:rPr>
          <w:color w:val="auto"/>
        </w:rPr>
        <w:t>enter into</w:t>
      </w:r>
      <w:proofErr w:type="gramEnd"/>
      <w:r w:rsidR="00D7609F" w:rsidRPr="00A24A89">
        <w:rPr>
          <w:color w:val="auto"/>
        </w:rPr>
        <w:t xml:space="preserve"> a risk</w:t>
      </w:r>
      <w:r w:rsidR="00C60563">
        <w:rPr>
          <w:color w:val="auto"/>
        </w:rPr>
        <w:t xml:space="preserve"> </w:t>
      </w:r>
      <w:r w:rsidR="00D7609F" w:rsidRPr="00A24A89">
        <w:rPr>
          <w:color w:val="auto"/>
        </w:rPr>
        <w:t xml:space="preserve">sharing arrangement (RSA) with the Commonwealth to manage any risks to the overall costs to the PBS. The sponsor noted that there is currently an RSA in place for nivolumab for the 2L treatment of HNSCC and the sponsor proposed joining this RSA whereby the current annual subsidisation caps are increased to reflect the additional number of </w:t>
      </w:r>
      <w:r w:rsidR="00D7609F" w:rsidRPr="00A24A89">
        <w:rPr>
          <w:color w:val="auto"/>
        </w:rPr>
        <w:lastRenderedPageBreak/>
        <w:t>patients receiving pembrolizumab and the increased cost of treatment with pembrolizumab net of the nivolumab offset. The expanded annual subsidisation caps would then be shared between nivolumab and pembrolizumab in their relevant lines of therapy. The resubmission stated that for the purpose of the RSA, the sponsor has agreed to reimburse the Commonwealth with a “considerable proportion of the treatment costs of pembrolizumab, should use exceed the subsidisation cap in that year”.</w:t>
      </w:r>
      <w:r>
        <w:rPr>
          <w:iCs/>
          <w:color w:val="auto"/>
        </w:rPr>
        <w:t xml:space="preserve"> The PBAC considered that a small increase in the existing caps for nivolumab would be justified as outlined in paragraph</w:t>
      </w:r>
      <w:bookmarkEnd w:id="100"/>
      <w:r>
        <w:rPr>
          <w:iCs/>
          <w:color w:val="auto"/>
        </w:rPr>
        <w:t xml:space="preserve"> </w:t>
      </w:r>
      <w:r w:rsidR="00994721">
        <w:rPr>
          <w:iCs/>
          <w:color w:val="auto"/>
        </w:rPr>
        <w:t>6.96.</w:t>
      </w:r>
    </w:p>
    <w:p w14:paraId="1D8763C5" w14:textId="77777777" w:rsidR="00DD3D4A" w:rsidRPr="00C33D30" w:rsidRDefault="00DD3D4A" w:rsidP="00DD3D4A">
      <w:pPr>
        <w:ind w:firstLine="709"/>
        <w:rPr>
          <w:i/>
        </w:rPr>
      </w:pPr>
      <w:r w:rsidRPr="00C33D30">
        <w:rPr>
          <w:i/>
        </w:rPr>
        <w:t>For more detail on PBAC’s view, see section 7 PBAC outcome.</w:t>
      </w:r>
    </w:p>
    <w:p w14:paraId="6E0B30CA" w14:textId="77777777" w:rsidR="00DD3D4A" w:rsidRPr="001F42BE" w:rsidRDefault="00DD3D4A" w:rsidP="001F42BE">
      <w:pPr>
        <w:pStyle w:val="PBACESHeading1"/>
        <w:numPr>
          <w:ilvl w:val="0"/>
          <w:numId w:val="1"/>
        </w:numPr>
        <w:tabs>
          <w:tab w:val="clear" w:pos="1077"/>
          <w:tab w:val="left" w:pos="709"/>
        </w:tabs>
        <w:ind w:left="0" w:firstLine="0"/>
      </w:pPr>
      <w:bookmarkStart w:id="101" w:name="_Hlk76381249"/>
      <w:bookmarkStart w:id="102" w:name="_Hlk76377955"/>
      <w:r w:rsidRPr="001F42BE">
        <w:t>PBAC Outcome</w:t>
      </w:r>
    </w:p>
    <w:p w14:paraId="3E5BA660" w14:textId="0A25C40C" w:rsidR="00AF7896" w:rsidRPr="00CE7A91" w:rsidRDefault="00AF7896" w:rsidP="00CE7A91">
      <w:pPr>
        <w:pStyle w:val="ListParagraph"/>
        <w:numPr>
          <w:ilvl w:val="4"/>
          <w:numId w:val="1"/>
        </w:numPr>
        <w:rPr>
          <w:color w:val="auto"/>
        </w:rPr>
      </w:pPr>
      <w:r w:rsidRPr="00CE7A91">
        <w:t xml:space="preserve">The PBAC deferred its decision regarding pembrolizumab for first line treatment of </w:t>
      </w:r>
      <w:r w:rsidRPr="00CE7A91">
        <w:rPr>
          <w:color w:val="auto"/>
        </w:rPr>
        <w:t xml:space="preserve">R/M </w:t>
      </w:r>
      <w:r w:rsidRPr="00CE7A91">
        <w:t>SCCHN</w:t>
      </w:r>
      <w:r w:rsidRPr="00CE7A91">
        <w:rPr>
          <w:color w:val="auto"/>
        </w:rPr>
        <w:t xml:space="preserve">. </w:t>
      </w:r>
      <w:r w:rsidRPr="00CE7A91">
        <w:t>The PBAC considered that, based on the data provided, pembrolizumab plus chemotherapy was clinically superior to first-line chemotherapy alone in the CPS</w:t>
      </w:r>
      <w:r w:rsidR="00F11856">
        <w:t> </w:t>
      </w:r>
      <w:r w:rsidRPr="00CE7A91">
        <w:t xml:space="preserve">≥1 population </w:t>
      </w:r>
      <w:proofErr w:type="gramStart"/>
      <w:r w:rsidRPr="00CE7A91">
        <w:t>and also</w:t>
      </w:r>
      <w:proofErr w:type="gramEnd"/>
      <w:r w:rsidRPr="00CE7A91">
        <w:t xml:space="preserve"> in the allcomers population (regardless of </w:t>
      </w:r>
      <w:r w:rsidR="00EE6794">
        <w:t>PD-L1 status</w:t>
      </w:r>
      <w:r w:rsidRPr="00CE7A91">
        <w:t xml:space="preserve">). </w:t>
      </w:r>
      <w:r w:rsidRPr="00CE7A91">
        <w:rPr>
          <w:color w:val="auto"/>
        </w:rPr>
        <w:t xml:space="preserve">The PBAC considered that, based on the results of the Keynote 048 trial, it is not possible to </w:t>
      </w:r>
      <w:r w:rsidR="00852722">
        <w:rPr>
          <w:color w:val="auto"/>
        </w:rPr>
        <w:t>conclude that</w:t>
      </w:r>
      <w:r w:rsidRPr="00CE7A91">
        <w:rPr>
          <w:color w:val="auto"/>
        </w:rPr>
        <w:t xml:space="preserve"> patients with CPS &lt;1 derive </w:t>
      </w:r>
      <w:r w:rsidR="00852722">
        <w:rPr>
          <w:color w:val="auto"/>
        </w:rPr>
        <w:t xml:space="preserve">no </w:t>
      </w:r>
      <w:r w:rsidRPr="00CE7A91">
        <w:rPr>
          <w:color w:val="auto"/>
        </w:rPr>
        <w:t xml:space="preserve">benefit from </w:t>
      </w:r>
      <w:proofErr w:type="spellStart"/>
      <w:r w:rsidRPr="00CE7A91">
        <w:rPr>
          <w:color w:val="auto"/>
        </w:rPr>
        <w:t>pembolizumab</w:t>
      </w:r>
      <w:proofErr w:type="spellEnd"/>
      <w:r w:rsidRPr="00CE7A91">
        <w:rPr>
          <w:color w:val="auto"/>
        </w:rPr>
        <w:t xml:space="preserve"> plus chemotherapy. A statistically significant survival benefit was observed in the allcomers population treated with pembrolizumab plus chemotherapy at the interim analysis, final analysis and at </w:t>
      </w:r>
      <w:r w:rsidR="00CE7A91" w:rsidRPr="00CE7A91">
        <w:rPr>
          <w:color w:val="auto"/>
        </w:rPr>
        <w:t>four years follow-up</w:t>
      </w:r>
      <w:r w:rsidRPr="00CE7A91">
        <w:rPr>
          <w:color w:val="auto"/>
        </w:rPr>
        <w:t>. The PBAC advised that, on this</w:t>
      </w:r>
      <w:r w:rsidRPr="00AF7896">
        <w:rPr>
          <w:color w:val="auto"/>
        </w:rPr>
        <w:t xml:space="preserve"> basis, it was preferable that listing of pembrolizumab in combination with chemotherapy not exclude patients with CPS &lt;1. </w:t>
      </w:r>
      <w:r w:rsidRPr="00CE7A91">
        <w:t xml:space="preserve">The PBAC considered that the claim of superior comparative effectiveness for pembrolizumab monotherapy was adequately supported by the data for patients with CPS ≥20. The PBAC was of a mind to recommend listing of pembrolizumab for these populations as the committee considered that the incremental cost-effectiveness ratios could be brought into an acceptable range with a price reduction, noting that the areas of uncertainty in the economic model had been somewhat reduced </w:t>
      </w:r>
      <w:r w:rsidR="0054761D">
        <w:t>by</w:t>
      </w:r>
      <w:r w:rsidR="0054761D" w:rsidRPr="00CE7A91">
        <w:t xml:space="preserve"> </w:t>
      </w:r>
      <w:r w:rsidRPr="00CE7A91">
        <w:t xml:space="preserve">the resubmission. The PBAC noted that advice from the Medical Services Advisory Committee (MSAC) was required regarding the PD-L1 testing component of the </w:t>
      </w:r>
      <w:proofErr w:type="spellStart"/>
      <w:r w:rsidRPr="00CE7A91">
        <w:t>codependent</w:t>
      </w:r>
      <w:proofErr w:type="spellEnd"/>
      <w:r w:rsidRPr="00CE7A91">
        <w:t xml:space="preserve"> submission. Subject to this advice, the PBAC expressed a preference for recommending the CPS ≥20 threshold for pembrolizumab monotherapy and an allcomers population for pembrolizumab plus chemotherapy, noting that a greater price reduction would be required for the latter </w:t>
      </w:r>
      <w:r w:rsidR="0054761D">
        <w:t xml:space="preserve">broader population compared to </w:t>
      </w:r>
      <w:r w:rsidRPr="00CE7A91">
        <w:t>restricting to a CPS ≥1 threshold.</w:t>
      </w:r>
    </w:p>
    <w:p w14:paraId="5D0A876A" w14:textId="77777777" w:rsidR="009A205F" w:rsidRPr="009A205F" w:rsidRDefault="001F42BE" w:rsidP="00A20FF6">
      <w:pPr>
        <w:pStyle w:val="ListParagraph"/>
        <w:numPr>
          <w:ilvl w:val="4"/>
          <w:numId w:val="1"/>
        </w:numPr>
        <w:rPr>
          <w:iCs/>
        </w:rPr>
      </w:pPr>
      <w:r w:rsidRPr="009A205F">
        <w:rPr>
          <w:color w:val="auto"/>
        </w:rPr>
        <w:t xml:space="preserve">The PBAC considered there is a high clinical need for a first-line immunotherapy treatment option for this difficult to treat cancer. </w:t>
      </w:r>
      <w:r w:rsidR="00A36C39" w:rsidRPr="009A205F">
        <w:rPr>
          <w:color w:val="auto"/>
        </w:rPr>
        <w:t xml:space="preserve">The PBAC noted advice from </w:t>
      </w:r>
      <w:r w:rsidR="009A205F" w:rsidRPr="009A205F">
        <w:rPr>
          <w:color w:val="auto"/>
        </w:rPr>
        <w:t xml:space="preserve">the sponsor hearing and </w:t>
      </w:r>
      <w:r w:rsidR="004C0D96">
        <w:rPr>
          <w:color w:val="auto"/>
        </w:rPr>
        <w:t xml:space="preserve">from </w:t>
      </w:r>
      <w:r w:rsidR="009A205F" w:rsidRPr="009A205F">
        <w:rPr>
          <w:color w:val="auto"/>
        </w:rPr>
        <w:t xml:space="preserve">Head and Neck Cancers Australia indicating that </w:t>
      </w:r>
      <w:r w:rsidR="009A205F">
        <w:t xml:space="preserve">there has been a shift from older patients with disease related to smoking and alcohol exposure to a younger patient population who are otherwise well, with disease related to exposure to HPV. </w:t>
      </w:r>
    </w:p>
    <w:p w14:paraId="77F9E5D7" w14:textId="77777777" w:rsidR="001F42BE" w:rsidRPr="009A205F" w:rsidRDefault="001F42BE" w:rsidP="00A20FF6">
      <w:pPr>
        <w:pStyle w:val="ListParagraph"/>
        <w:numPr>
          <w:ilvl w:val="4"/>
          <w:numId w:val="1"/>
        </w:numPr>
        <w:rPr>
          <w:iCs/>
        </w:rPr>
      </w:pPr>
      <w:r>
        <w:lastRenderedPageBreak/>
        <w:t xml:space="preserve">The PBAC noted that the resubmission requested PBS listing for 1L treatment of </w:t>
      </w:r>
      <w:r w:rsidRPr="00A24A89">
        <w:t xml:space="preserve">R/M HNSCC </w:t>
      </w:r>
      <w:r>
        <w:t xml:space="preserve">in </w:t>
      </w:r>
      <w:r w:rsidRPr="00A24A89">
        <w:t>patients whose tumours express PD-L1 CPS ≥1</w:t>
      </w:r>
      <w:r>
        <w:t>. In the PSCR</w:t>
      </w:r>
      <w:r w:rsidR="00B221D9">
        <w:t>,</w:t>
      </w:r>
      <w:r>
        <w:t xml:space="preserve"> the requested population was revised to patients whose tumours express PD-L1 CPS </w:t>
      </w:r>
      <w:r w:rsidRPr="009A205F">
        <w:rPr>
          <w:rFonts w:cstheme="minorHAnsi"/>
        </w:rPr>
        <w:t xml:space="preserve">≥20 for pembrolizumab monotherapy. </w:t>
      </w:r>
      <w:r w:rsidRPr="009A205F">
        <w:rPr>
          <w:color w:val="auto"/>
        </w:rPr>
        <w:t xml:space="preserve">The PBAC </w:t>
      </w:r>
      <w:r w:rsidR="002F2E30">
        <w:rPr>
          <w:color w:val="auto"/>
        </w:rPr>
        <w:t>recalled</w:t>
      </w:r>
      <w:r w:rsidRPr="009A205F">
        <w:rPr>
          <w:color w:val="auto"/>
        </w:rPr>
        <w:t xml:space="preserve"> that</w:t>
      </w:r>
      <w:r w:rsidR="002F2E30">
        <w:rPr>
          <w:color w:val="auto"/>
        </w:rPr>
        <w:t xml:space="preserve"> the</w:t>
      </w:r>
      <w:r w:rsidRPr="009A205F">
        <w:rPr>
          <w:color w:val="auto"/>
        </w:rPr>
        <w:t xml:space="preserve"> NCCN guidelines recommend use of pembrolizumab monotherapy in patients with CPS ≥20.</w:t>
      </w:r>
      <w:r w:rsidRPr="009A205F">
        <w:rPr>
          <w:iCs/>
        </w:rPr>
        <w:t xml:space="preserve"> The PBAC considered that the requested CPS cut-off of </w:t>
      </w:r>
      <w:r w:rsidRPr="009A205F">
        <w:rPr>
          <w:rFonts w:cstheme="minorHAnsi"/>
          <w:iCs/>
        </w:rPr>
        <w:t>≥</w:t>
      </w:r>
      <w:r w:rsidRPr="009A205F">
        <w:rPr>
          <w:iCs/>
        </w:rPr>
        <w:t xml:space="preserve">20 for patients treated with monotherapy appeared appropriate and addressed its previous concerns regarding the clinical effectiveness for monotherapy in patients with low </w:t>
      </w:r>
      <w:r w:rsidRPr="009A205F">
        <w:rPr>
          <w:rFonts w:cstheme="minorHAnsi"/>
          <w:iCs/>
        </w:rPr>
        <w:t>CPS scores (1-20)</w:t>
      </w:r>
      <w:r w:rsidRPr="009A205F">
        <w:rPr>
          <w:iCs/>
        </w:rPr>
        <w:t xml:space="preserve"> and the potential for worse outcomes in patients with false positive CPS results.</w:t>
      </w:r>
      <w:r w:rsidR="00C3038E" w:rsidRPr="009A205F">
        <w:rPr>
          <w:iCs/>
        </w:rPr>
        <w:t xml:space="preserve"> The PBAC </w:t>
      </w:r>
      <w:r w:rsidR="00B221D9">
        <w:rPr>
          <w:iCs/>
        </w:rPr>
        <w:t>requested</w:t>
      </w:r>
      <w:r w:rsidR="00C3038E" w:rsidRPr="009A205F">
        <w:rPr>
          <w:iCs/>
        </w:rPr>
        <w:t xml:space="preserve"> advice</w:t>
      </w:r>
      <w:r w:rsidR="00B221D9">
        <w:rPr>
          <w:iCs/>
        </w:rPr>
        <w:t xml:space="preserve"> from MSAC</w:t>
      </w:r>
      <w:r w:rsidR="00C3038E" w:rsidRPr="009A205F">
        <w:rPr>
          <w:iCs/>
        </w:rPr>
        <w:t xml:space="preserve"> regarding the PD-L1 testing </w:t>
      </w:r>
      <w:r w:rsidR="00B221D9">
        <w:rPr>
          <w:iCs/>
        </w:rPr>
        <w:t>prerequisite</w:t>
      </w:r>
      <w:r w:rsidR="00C3038E" w:rsidRPr="009A205F">
        <w:rPr>
          <w:iCs/>
        </w:rPr>
        <w:t xml:space="preserve">, specifically around the practical difference between CPS thresholds of </w:t>
      </w:r>
      <w:r w:rsidR="00C3038E" w:rsidRPr="009A205F">
        <w:rPr>
          <w:rFonts w:cstheme="minorHAnsi"/>
          <w:iCs/>
        </w:rPr>
        <w:t>≥</w:t>
      </w:r>
      <w:r w:rsidR="00C3038E" w:rsidRPr="009A205F">
        <w:rPr>
          <w:iCs/>
        </w:rPr>
        <w:t xml:space="preserve">1 and </w:t>
      </w:r>
      <w:r w:rsidR="00C3038E" w:rsidRPr="009A205F">
        <w:rPr>
          <w:rFonts w:cstheme="minorHAnsi"/>
          <w:iCs/>
        </w:rPr>
        <w:t>≥</w:t>
      </w:r>
      <w:r w:rsidR="00C3038E" w:rsidRPr="009A205F">
        <w:rPr>
          <w:iCs/>
        </w:rPr>
        <w:t xml:space="preserve">20. </w:t>
      </w:r>
    </w:p>
    <w:p w14:paraId="48F35E5E" w14:textId="77777777" w:rsidR="00C3038E" w:rsidRPr="00193EFF" w:rsidRDefault="00C3038E" w:rsidP="00C3038E">
      <w:pPr>
        <w:pStyle w:val="ListParagraph"/>
        <w:numPr>
          <w:ilvl w:val="4"/>
          <w:numId w:val="1"/>
        </w:numPr>
        <w:rPr>
          <w:rStyle w:val="null1"/>
          <w:iCs/>
        </w:rPr>
      </w:pPr>
      <w:r w:rsidRPr="00193EFF">
        <w:rPr>
          <w:color w:val="auto"/>
        </w:rPr>
        <w:t xml:space="preserve">The PBAC </w:t>
      </w:r>
      <w:r>
        <w:rPr>
          <w:color w:val="auto"/>
        </w:rPr>
        <w:t xml:space="preserve">also </w:t>
      </w:r>
      <w:r w:rsidRPr="00193EFF">
        <w:rPr>
          <w:color w:val="auto"/>
        </w:rPr>
        <w:t xml:space="preserve">recalled </w:t>
      </w:r>
      <w:r>
        <w:rPr>
          <w:color w:val="auto"/>
        </w:rPr>
        <w:t>it had previously noted</w:t>
      </w:r>
      <w:r w:rsidRPr="00193EFF">
        <w:rPr>
          <w:color w:val="auto"/>
        </w:rPr>
        <w:t xml:space="preserve"> that </w:t>
      </w:r>
      <w:r w:rsidR="002F2E30">
        <w:rPr>
          <w:color w:val="auto"/>
        </w:rPr>
        <w:t xml:space="preserve">the </w:t>
      </w:r>
      <w:r w:rsidRPr="00193EFF">
        <w:rPr>
          <w:color w:val="auto"/>
        </w:rPr>
        <w:t>NCCN guidelines recommend first</w:t>
      </w:r>
      <w:r>
        <w:rPr>
          <w:color w:val="auto"/>
        </w:rPr>
        <w:noBreakHyphen/>
      </w:r>
      <w:r w:rsidRPr="00193EFF">
        <w:rPr>
          <w:color w:val="auto"/>
        </w:rPr>
        <w:t>line pembrolizumab plus chemotherapy regardless of PD-L1 status and the CPS</w:t>
      </w:r>
      <w:r>
        <w:rPr>
          <w:color w:val="auto"/>
        </w:rPr>
        <w:t> </w:t>
      </w:r>
      <w:r w:rsidRPr="00193EFF">
        <w:rPr>
          <w:color w:val="auto"/>
        </w:rPr>
        <w:t xml:space="preserve">&lt;1 subgroup in KN048 was too small to conclude that pembrolizumab plus chemotherapy had no effect in this subgroup (paragraph 7.9, pembrolizumab PSD, November 2020 PBAC Meeting). The PBAC noted that the OS HR for pembrolizumab plus chemotherapy in the ITT population at the final analysis (0.72 95%CI: 0.60, 0.87) and four year follow up (0.71 95%CI: 0.59, 0.85) were consistent with the </w:t>
      </w:r>
      <w:r>
        <w:rPr>
          <w:color w:val="auto"/>
        </w:rPr>
        <w:t xml:space="preserve">statistically significant </w:t>
      </w:r>
      <w:r w:rsidRPr="005E5BA0">
        <w:t xml:space="preserve">primary outcome based on IA2 data </w:t>
      </w:r>
      <w:r>
        <w:t>(</w:t>
      </w:r>
      <w:r w:rsidRPr="005E5BA0">
        <w:t>0.71 95% CI: 0.57, 0.88).</w:t>
      </w:r>
      <w:r>
        <w:t xml:space="preserve"> Noting the statistically significant OS benefit in the ITT population of KN048, the PBAC considered that a broad listing for pembrolizumab plus chemotherapy (irrespective of CPS) would be preferable, to ensure subsidised access for all R/M HNSCC patients who would potentially benefit from treatment with pembrolizumab</w:t>
      </w:r>
      <w:r w:rsidR="00B221D9">
        <w:t>, and to avoid any delay to starting treatment whilst waiting for the test results</w:t>
      </w:r>
      <w:r>
        <w:t xml:space="preserve">. </w:t>
      </w:r>
    </w:p>
    <w:p w14:paraId="3B782054" w14:textId="77777777" w:rsidR="004C0D96" w:rsidRPr="006806D7" w:rsidRDefault="00B16BA3" w:rsidP="006806D7">
      <w:pPr>
        <w:pStyle w:val="ListParagraph"/>
        <w:numPr>
          <w:ilvl w:val="4"/>
          <w:numId w:val="1"/>
        </w:numPr>
        <w:rPr>
          <w:color w:val="auto"/>
        </w:rPr>
      </w:pPr>
      <w:r>
        <w:rPr>
          <w:color w:val="auto"/>
        </w:rPr>
        <w:t xml:space="preserve">The PBAC considered that the indication “recurrent </w:t>
      </w:r>
      <w:r w:rsidR="00140A60">
        <w:rPr>
          <w:color w:val="auto"/>
        </w:rPr>
        <w:t xml:space="preserve">or metastatic squamous cell carcinoma of the oral cavity, pharynx or larynx” was appropriate and consistent with the indication for nivolumab in the 2L setting. </w:t>
      </w:r>
      <w:r>
        <w:rPr>
          <w:color w:val="auto"/>
        </w:rPr>
        <w:t xml:space="preserve">The PBAC noted that the requested restrictions concerning PD-L1 CPS would need to be amended to reflect the revised populations. The PBAC also considered that a single listing (rather than separate listings for monotherapy and combination therapy) was preferable as it would be simpler for prescribers. </w:t>
      </w:r>
    </w:p>
    <w:p w14:paraId="0A7D0ABD" w14:textId="77777777" w:rsidR="00B109C0" w:rsidRPr="006806D7" w:rsidRDefault="007157E6" w:rsidP="006806D7">
      <w:pPr>
        <w:pStyle w:val="ListParagraph"/>
        <w:numPr>
          <w:ilvl w:val="4"/>
          <w:numId w:val="1"/>
        </w:numPr>
        <w:rPr>
          <w:color w:val="auto"/>
        </w:rPr>
      </w:pPr>
      <w:r w:rsidRPr="006806D7">
        <w:rPr>
          <w:color w:val="auto"/>
        </w:rPr>
        <w:t xml:space="preserve">The resubmission nominated SoC, defined as 1L chemotherapy followed by 2L nivolumab in 50% of patients, as the comparator. The PBAC had previously accepted that SoC was the appropriate </w:t>
      </w:r>
      <w:proofErr w:type="gramStart"/>
      <w:r w:rsidRPr="006806D7">
        <w:rPr>
          <w:color w:val="auto"/>
        </w:rPr>
        <w:t>comparator, and</w:t>
      </w:r>
      <w:proofErr w:type="gramEnd"/>
      <w:r w:rsidRPr="006806D7">
        <w:rPr>
          <w:color w:val="auto"/>
        </w:rPr>
        <w:t xml:space="preserve"> noted that current SoC consists of 1L chemotherapy alone followed by 2L nivolumab for a proportion of patients. The PBAC considered that the</w:t>
      </w:r>
      <w:r w:rsidR="00C6080B">
        <w:rPr>
          <w:color w:val="auto"/>
        </w:rPr>
        <w:t xml:space="preserve"> use of 2L nivolumab</w:t>
      </w:r>
      <w:r w:rsidRPr="006806D7">
        <w:rPr>
          <w:color w:val="auto"/>
        </w:rPr>
        <w:t xml:space="preserve"> appears to be underestimated in the resubmission’s calculations. </w:t>
      </w:r>
      <w:r w:rsidR="00A36C39" w:rsidRPr="006806D7">
        <w:rPr>
          <w:color w:val="auto"/>
        </w:rPr>
        <w:t xml:space="preserve">The PBAC considered that the resubmission’s estimated proportion of R/M HNSCC patients treated with 2L nivolumab </w:t>
      </w:r>
      <w:r w:rsidR="00A36C39" w:rsidRPr="00A24A89">
        <w:rPr>
          <w:color w:val="auto"/>
        </w:rPr>
        <w:t xml:space="preserve">was </w:t>
      </w:r>
      <w:r w:rsidR="00A36C39">
        <w:rPr>
          <w:color w:val="auto"/>
        </w:rPr>
        <w:t xml:space="preserve">highly </w:t>
      </w:r>
      <w:r w:rsidR="00A36C39" w:rsidRPr="00A24A89">
        <w:rPr>
          <w:color w:val="auto"/>
        </w:rPr>
        <w:t xml:space="preserve">uncertain as the sponsor’s calculations relied on assumptions regarding the number of patients to be treated with pembrolizumab from the </w:t>
      </w:r>
      <w:r w:rsidR="00C6080B">
        <w:rPr>
          <w:color w:val="auto"/>
        </w:rPr>
        <w:t>complicated</w:t>
      </w:r>
      <w:r w:rsidR="00C6080B" w:rsidRPr="00A24A89">
        <w:rPr>
          <w:color w:val="auto"/>
        </w:rPr>
        <w:t xml:space="preserve"> </w:t>
      </w:r>
      <w:r w:rsidR="00A36C39" w:rsidRPr="00A24A89">
        <w:rPr>
          <w:color w:val="auto"/>
        </w:rPr>
        <w:t>epidemiological approach presented in the financial estimates</w:t>
      </w:r>
      <w:r w:rsidR="00A36C39">
        <w:rPr>
          <w:color w:val="auto"/>
        </w:rPr>
        <w:t>.</w:t>
      </w:r>
      <w:r w:rsidR="00A36C39" w:rsidRPr="00A24A89">
        <w:rPr>
          <w:color w:val="auto"/>
        </w:rPr>
        <w:t xml:space="preserve"> </w:t>
      </w:r>
      <w:r w:rsidRPr="006806D7">
        <w:rPr>
          <w:color w:val="auto"/>
        </w:rPr>
        <w:t xml:space="preserve">The PBAC considered that the proportion of R/M HNSCC patients receiving 2L nivolumab in practice would be expected to be closer to </w:t>
      </w:r>
      <w:r w:rsidRPr="006806D7">
        <w:rPr>
          <w:color w:val="auto"/>
        </w:rPr>
        <w:lastRenderedPageBreak/>
        <w:t xml:space="preserve">80% as </w:t>
      </w:r>
      <w:proofErr w:type="gramStart"/>
      <w:r w:rsidRPr="006806D7">
        <w:rPr>
          <w:color w:val="auto"/>
        </w:rPr>
        <w:t>the majority of</w:t>
      </w:r>
      <w:proofErr w:type="gramEnd"/>
      <w:r w:rsidRPr="006806D7">
        <w:rPr>
          <w:color w:val="auto"/>
        </w:rPr>
        <w:t xml:space="preserve"> patients are well enough to receive 2L treatment, especially given the general shift to younger patients who are otherwise well. </w:t>
      </w:r>
    </w:p>
    <w:p w14:paraId="7A11AE6D" w14:textId="77777777" w:rsidR="0025249E" w:rsidRPr="0025249E" w:rsidRDefault="00330F2C" w:rsidP="0025249E">
      <w:pPr>
        <w:pStyle w:val="ListParagraph"/>
        <w:numPr>
          <w:ilvl w:val="4"/>
          <w:numId w:val="1"/>
        </w:numPr>
        <w:rPr>
          <w:color w:val="auto"/>
        </w:rPr>
      </w:pPr>
      <w:r>
        <w:t xml:space="preserve">The PBAC noted that the resubmission based the clinical claim and </w:t>
      </w:r>
      <w:r w:rsidR="00B221D9">
        <w:t xml:space="preserve">clinical outcomes in the </w:t>
      </w:r>
      <w:r>
        <w:t xml:space="preserve">economic model on the results of KN048 alone, using 1L cetuximab + chemotherapy as a proxy for 1L chemotherapy alone. The PBAC </w:t>
      </w:r>
      <w:r w:rsidR="002219ED">
        <w:t xml:space="preserve">noted that the resubmission also </w:t>
      </w:r>
      <w:r w:rsidR="00855DF5">
        <w:t xml:space="preserve">sought to </w:t>
      </w:r>
      <w:r w:rsidR="002219ED">
        <w:t>addres</w:t>
      </w:r>
      <w:r w:rsidR="00855DF5">
        <w:t>s</w:t>
      </w:r>
      <w:r w:rsidR="002219ED">
        <w:t xml:space="preserve"> previous concerns regarding protocol amendments, TPS stratification and the multiplicity strategy </w:t>
      </w:r>
      <w:r w:rsidR="00855DF5">
        <w:t xml:space="preserve">for testing statistical significance </w:t>
      </w:r>
      <w:r w:rsidR="002219ED">
        <w:t xml:space="preserve">applied in KN048. </w:t>
      </w:r>
      <w:r w:rsidR="00BA7572">
        <w:t xml:space="preserve">Results from an additional 12 months of follow-up from KN048 with data </w:t>
      </w:r>
      <w:proofErr w:type="spellStart"/>
      <w:r w:rsidR="00BA7572">
        <w:t>cut off</w:t>
      </w:r>
      <w:proofErr w:type="spellEnd"/>
      <w:r w:rsidR="00BA7572">
        <w:t xml:space="preserve"> date of 18 February 2020 (referred to as </w:t>
      </w:r>
      <w:proofErr w:type="gramStart"/>
      <w:r w:rsidR="00BA7572">
        <w:t>four year</w:t>
      </w:r>
      <w:proofErr w:type="gramEnd"/>
      <w:r w:rsidR="00BA7572">
        <w:t xml:space="preserve"> follow-up) compared to the previous submission were also presented. The PBAC noted that these results were consistent with outcomes reported at the interim analysis and final analysis.</w:t>
      </w:r>
    </w:p>
    <w:p w14:paraId="135D8D87" w14:textId="77777777" w:rsidR="00855DF5" w:rsidRPr="00F92A45" w:rsidRDefault="00855DF5" w:rsidP="00F92A45">
      <w:pPr>
        <w:pStyle w:val="ListParagraph"/>
        <w:numPr>
          <w:ilvl w:val="4"/>
          <w:numId w:val="1"/>
        </w:numPr>
        <w:rPr>
          <w:color w:val="auto"/>
        </w:rPr>
      </w:pPr>
      <w:bookmarkStart w:id="103" w:name="_Ref89266108"/>
      <w:r>
        <w:t xml:space="preserve">In addition, the resubmission sought to address the PBAC’s previous concern </w:t>
      </w:r>
      <w:r w:rsidR="0025249E">
        <w:t xml:space="preserve">that the impact of 2L nivolumab on the incremental efficacy </w:t>
      </w:r>
      <w:r w:rsidR="00B221D9">
        <w:t xml:space="preserve">estimates </w:t>
      </w:r>
      <w:r w:rsidR="0025249E">
        <w:t xml:space="preserve">should be considered to reflect current </w:t>
      </w:r>
      <w:proofErr w:type="spellStart"/>
      <w:r w:rsidR="0025249E">
        <w:t>SoC.</w:t>
      </w:r>
      <w:proofErr w:type="spellEnd"/>
      <w:r w:rsidR="0025249E">
        <w:t xml:space="preserve"> </w:t>
      </w:r>
      <w:r w:rsidR="0025249E" w:rsidRPr="00F92A45">
        <w:t xml:space="preserve">In the absence of </w:t>
      </w:r>
      <w:proofErr w:type="gramStart"/>
      <w:r w:rsidR="0025249E" w:rsidRPr="00F92A45">
        <w:t>head to head</w:t>
      </w:r>
      <w:proofErr w:type="gramEnd"/>
      <w:r w:rsidR="0025249E" w:rsidRPr="00F92A45">
        <w:t xml:space="preserve"> data comparing pembrolizumab ± chemotherapy to chemotherapy followed by 2L nivolumab, the impact of 2L nivolumab was accounted for using a </w:t>
      </w:r>
      <w:r w:rsidR="0025249E">
        <w:t>two-stage model to upscale the proportion of patients with 2L nivolumab use in the comparator arm of the KN048 trial (around 26%). The PBAC noted that when upscaled to 50% as assumed by the resubmission, the adjustment resulted in only minor changes to the hazard ratios (pembrolizumab monotherapy OS HR=0.74, adjusted OS HR=0.77; pembrolizumab plus chemotherapy OS HR=0.65, adjusted OS HR=0.66).</w:t>
      </w:r>
      <w:r w:rsidR="00F92A45">
        <w:t xml:space="preserve"> The PBAC considered that this adjustment appeared to have underestimated the benefit from 2L nivolumab (see paragraph </w:t>
      </w:r>
      <w:r w:rsidR="008D43ED">
        <w:t>6.23</w:t>
      </w:r>
      <w:r w:rsidR="00F92A45">
        <w:t>) and</w:t>
      </w:r>
      <w:r w:rsidR="00C6080B">
        <w:t>,</w:t>
      </w:r>
      <w:r w:rsidR="00F92A45">
        <w:t xml:space="preserve"> as the proportion of 2L nivolumab use was underestimated</w:t>
      </w:r>
      <w:r w:rsidR="00C6080B">
        <w:t>,</w:t>
      </w:r>
      <w:r w:rsidR="00F92A45">
        <w:t xml:space="preserve"> the benefit was further underestimated. In addition, no adjustment was made for </w:t>
      </w:r>
      <w:r w:rsidR="00F92A45" w:rsidRPr="00F92A45">
        <w:t xml:space="preserve">EGFR inhibitors </w:t>
      </w:r>
      <w:r w:rsidR="00F92A45">
        <w:t xml:space="preserve">which </w:t>
      </w:r>
      <w:r w:rsidR="00F92A45" w:rsidRPr="00F92A45">
        <w:t xml:space="preserve">were used as 2L treatment in 18-24% of patients in the pembrolizumab </w:t>
      </w:r>
      <w:r w:rsidR="00F92A45">
        <w:t>arms</w:t>
      </w:r>
      <w:r w:rsidR="00F92A45" w:rsidRPr="00F92A45">
        <w:t xml:space="preserve">, </w:t>
      </w:r>
      <w:r w:rsidR="00F92A45">
        <w:t xml:space="preserve">which potentially </w:t>
      </w:r>
      <w:r w:rsidR="00F92A45" w:rsidRPr="00F92A45">
        <w:t>favour</w:t>
      </w:r>
      <w:r w:rsidR="00F92A45">
        <w:t>ed</w:t>
      </w:r>
      <w:r w:rsidR="00F92A45" w:rsidRPr="00F92A45">
        <w:t xml:space="preserve"> </w:t>
      </w:r>
      <w:r w:rsidR="00F92A45">
        <w:t>pembrolizumab</w:t>
      </w:r>
      <w:r w:rsidR="00F92A45" w:rsidRPr="00F92A45">
        <w:t>.</w:t>
      </w:r>
      <w:r w:rsidR="00F92A45">
        <w:t xml:space="preserve"> However, the PBAC considered that </w:t>
      </w:r>
      <w:proofErr w:type="gramStart"/>
      <w:r w:rsidR="00F92A45">
        <w:t>overall</w:t>
      </w:r>
      <w:proofErr w:type="gramEnd"/>
      <w:r w:rsidR="00F92A45">
        <w:t xml:space="preserve"> these factors may have been somewhat balanced by the use of chemotherapy plus cetuximab as a proxy for </w:t>
      </w:r>
      <w:proofErr w:type="spellStart"/>
      <w:r w:rsidR="00F92A45">
        <w:t>SoC.</w:t>
      </w:r>
      <w:proofErr w:type="spellEnd"/>
      <w:r w:rsidR="00F92A45">
        <w:t xml:space="preserve"> </w:t>
      </w:r>
      <w:proofErr w:type="gramStart"/>
      <w:r w:rsidR="00F92A45">
        <w:t>Overall</w:t>
      </w:r>
      <w:proofErr w:type="gramEnd"/>
      <w:r w:rsidR="00F92A45">
        <w:t xml:space="preserve"> the PBAC considered that there </w:t>
      </w:r>
      <w:r w:rsidR="00BA7572">
        <w:t>remains</w:t>
      </w:r>
      <w:r w:rsidR="00F92A45">
        <w:t xml:space="preserve"> uncertainty regarding the magnitude of </w:t>
      </w:r>
      <w:r w:rsidR="00B221D9">
        <w:t xml:space="preserve">incremental </w:t>
      </w:r>
      <w:r w:rsidR="00F92A45">
        <w:t xml:space="preserve">benefit for pembrolizumab </w:t>
      </w:r>
      <w:r w:rsidR="00F92A45">
        <w:rPr>
          <w:rFonts w:cstheme="minorHAnsi"/>
        </w:rPr>
        <w:t>±</w:t>
      </w:r>
      <w:r w:rsidR="00F92A45">
        <w:t xml:space="preserve"> chemotherapy.</w:t>
      </w:r>
      <w:bookmarkEnd w:id="103"/>
    </w:p>
    <w:p w14:paraId="070B2653" w14:textId="77777777" w:rsidR="00BA7572" w:rsidRPr="00BA7572" w:rsidRDefault="00BA7572" w:rsidP="00E566ED">
      <w:pPr>
        <w:pStyle w:val="ListParagraph"/>
        <w:numPr>
          <w:ilvl w:val="4"/>
          <w:numId w:val="1"/>
        </w:numPr>
      </w:pPr>
      <w:r w:rsidRPr="00E566ED">
        <w:t xml:space="preserve">The PBAC recalled it </w:t>
      </w:r>
      <w:r w:rsidR="00B221D9">
        <w:t xml:space="preserve">had </w:t>
      </w:r>
      <w:r w:rsidRPr="00E566ED">
        <w:t xml:space="preserve">previously accepted the clinical claim of superiority for pembrolizumab plus chemotherapy compared to 1L chemotherapy alone in patients whose tumour express CPS ≥1 (paragraph 7.6, pembrolizumab PSD, November 2020 PBAC Meeting). The PBAC also considered that based on results of the KN048 trial pembrolizumab plus chemotherapy is superior to 1L chemotherapy alone in the full population (regardless of CPS status), though there is likely to be a larger effect with higher CPS score. The PBAC also recalled that it previously considered that pembrolizumab plus chemotherapy was likely inferior in safety to chemotherapy alone and noted that the </w:t>
      </w:r>
      <w:r w:rsidRPr="00BA7572">
        <w:t>basis for this conclusion was unchanged.</w:t>
      </w:r>
    </w:p>
    <w:p w14:paraId="51C9ED0F" w14:textId="77777777" w:rsidR="00BA7572" w:rsidRPr="00BA7572" w:rsidRDefault="00BA7572" w:rsidP="00A20FF6">
      <w:pPr>
        <w:pStyle w:val="ListParagraph"/>
        <w:numPr>
          <w:ilvl w:val="4"/>
          <w:numId w:val="1"/>
        </w:numPr>
      </w:pPr>
      <w:r>
        <w:lastRenderedPageBreak/>
        <w:t>The PBAC considered that the claim of superior comparative effectiveness in the CPS</w:t>
      </w:r>
      <w:r w:rsidR="00A20FF6">
        <w:t> </w:t>
      </w:r>
      <w:r w:rsidRPr="00BA7572">
        <w:t>≥</w:t>
      </w:r>
      <w:r>
        <w:t xml:space="preserve">20 population was reasonable based on the results of the KN048 trial. </w:t>
      </w:r>
      <w:r w:rsidRPr="00BA7572">
        <w:t xml:space="preserve">The PBAC recalled that it previously noted that the safety profile of pembrolizumab monotherapy (mainly immune related) was different to the profile of chemotherapy </w:t>
      </w:r>
      <w:proofErr w:type="gramStart"/>
      <w:r w:rsidRPr="00BA7572">
        <w:t>alone, but</w:t>
      </w:r>
      <w:proofErr w:type="gramEnd"/>
      <w:r w:rsidRPr="00BA7572">
        <w:t xml:space="preserve"> considered that the claim of superior safety was reasonable given the known safety profile and mechanism of action of pembrolizumab (paragraph 7.7, pembrolizumab PSD, November 2020 PBAC Meeting).</w:t>
      </w:r>
      <w:r>
        <w:t xml:space="preserve"> </w:t>
      </w:r>
    </w:p>
    <w:p w14:paraId="4A98270C" w14:textId="77777777" w:rsidR="001E7D27" w:rsidRDefault="00A20FF6" w:rsidP="00E566ED">
      <w:pPr>
        <w:pStyle w:val="ListParagraph"/>
        <w:numPr>
          <w:ilvl w:val="4"/>
          <w:numId w:val="1"/>
        </w:numPr>
      </w:pPr>
      <w:r>
        <w:t xml:space="preserve">The PBAC noted that the resubmission’s economic analysis addressed </w:t>
      </w:r>
      <w:proofErr w:type="gramStart"/>
      <w:r>
        <w:t>a number of</w:t>
      </w:r>
      <w:proofErr w:type="gramEnd"/>
      <w:r>
        <w:t xml:space="preserve"> </w:t>
      </w:r>
      <w:r w:rsidR="00997276">
        <w:t>its previous concerns by using the KM curves from KN048 and including both costs and outcomes from 2L nivolumab treatment.</w:t>
      </w:r>
      <w:r w:rsidR="00411356">
        <w:t xml:space="preserve"> </w:t>
      </w:r>
      <w:r w:rsidR="006806D7">
        <w:t>However, t</w:t>
      </w:r>
      <w:r w:rsidR="00BC6165">
        <w:t xml:space="preserve">he PBAC considered that the economic analysis </w:t>
      </w:r>
      <w:r w:rsidR="000B7C41">
        <w:t xml:space="preserve">was limited by the uncertainty in the magnitude of clinical benefit for pembrolizumab </w:t>
      </w:r>
      <w:r w:rsidR="000B7C41" w:rsidRPr="000B7C41">
        <w:rPr>
          <w:rFonts w:cstheme="minorHAnsi"/>
        </w:rPr>
        <w:t>±</w:t>
      </w:r>
      <w:r w:rsidR="000B7C41">
        <w:t xml:space="preserve"> chemotherapy. </w:t>
      </w:r>
      <w:r w:rsidR="004876BF">
        <w:t xml:space="preserve">The PBAC noted that use of the CPS </w:t>
      </w:r>
      <w:r w:rsidR="004876BF">
        <w:rPr>
          <w:rFonts w:cstheme="minorHAnsi"/>
        </w:rPr>
        <w:t>≥</w:t>
      </w:r>
      <w:r w:rsidR="004876BF">
        <w:t xml:space="preserve">20 population for monotherapy reduced the ICER as pembrolizumab was assumed to have improved efficacy in this group relative to the CPS </w:t>
      </w:r>
      <w:r w:rsidR="004876BF">
        <w:rPr>
          <w:rFonts w:cstheme="minorHAnsi"/>
        </w:rPr>
        <w:t>≥</w:t>
      </w:r>
      <w:r w:rsidR="004876BF">
        <w:t xml:space="preserve">1 population. Conversely the use of the ITT population for combination therapy increased the ICER as efficacy in the broader population was </w:t>
      </w:r>
      <w:r w:rsidR="002A5F50">
        <w:t>lower</w:t>
      </w:r>
      <w:r w:rsidR="004876BF">
        <w:t>.</w:t>
      </w:r>
    </w:p>
    <w:p w14:paraId="4A1EE5F4" w14:textId="77777777" w:rsidR="000B7C41" w:rsidRPr="000B7C41" w:rsidRDefault="00F34A85" w:rsidP="00E566ED">
      <w:pPr>
        <w:pStyle w:val="ListParagraph"/>
        <w:numPr>
          <w:ilvl w:val="4"/>
          <w:numId w:val="1"/>
        </w:numPr>
      </w:pPr>
      <w:r>
        <w:t>T</w:t>
      </w:r>
      <w:r w:rsidR="000B7C41">
        <w:t xml:space="preserve">he </w:t>
      </w:r>
      <w:r w:rsidR="00E566ED" w:rsidRPr="00E566ED">
        <w:t>PBAC noted</w:t>
      </w:r>
      <w:r w:rsidR="000B08C6" w:rsidRPr="000B08C6">
        <w:rPr>
          <w:rFonts w:cstheme="minorHAnsi"/>
          <w:iCs/>
        </w:rPr>
        <w:t xml:space="preserve"> </w:t>
      </w:r>
      <w:r w:rsidR="000B08C6">
        <w:rPr>
          <w:rFonts w:cstheme="minorHAnsi"/>
          <w:iCs/>
        </w:rPr>
        <w:t>that none of the tested extrapolations appeared to be a good visual fit to the Kaplan-Meier data and t</w:t>
      </w:r>
      <w:r w:rsidR="000B08C6">
        <w:rPr>
          <w:iCs/>
        </w:rPr>
        <w:t>he choice of the extrapolation function had a large impact on the ICER. T</w:t>
      </w:r>
      <w:r w:rsidR="000B7C41">
        <w:rPr>
          <w:rFonts w:cstheme="minorHAnsi"/>
          <w:iCs/>
        </w:rPr>
        <w:t xml:space="preserve">he </w:t>
      </w:r>
      <w:proofErr w:type="spellStart"/>
      <w:r w:rsidR="000B7C41">
        <w:rPr>
          <w:rFonts w:cstheme="minorHAnsi"/>
          <w:iCs/>
        </w:rPr>
        <w:t>Gompertz</w:t>
      </w:r>
      <w:proofErr w:type="spellEnd"/>
      <w:r w:rsidR="000B7C41">
        <w:rPr>
          <w:rFonts w:cstheme="minorHAnsi"/>
          <w:iCs/>
        </w:rPr>
        <w:t xml:space="preserve"> function</w:t>
      </w:r>
      <w:r w:rsidR="00633033">
        <w:rPr>
          <w:rFonts w:cstheme="minorHAnsi"/>
          <w:iCs/>
        </w:rPr>
        <w:t xml:space="preserve"> chosen in the base case</w:t>
      </w:r>
      <w:r w:rsidR="000B7C41">
        <w:rPr>
          <w:rFonts w:cstheme="minorHAnsi"/>
          <w:iCs/>
        </w:rPr>
        <w:t xml:space="preserve"> was the most favourable for pembrolizumab. </w:t>
      </w:r>
      <w:r w:rsidR="001E7D27">
        <w:rPr>
          <w:rFonts w:cstheme="minorHAnsi"/>
          <w:iCs/>
        </w:rPr>
        <w:t>T</w:t>
      </w:r>
      <w:r>
        <w:rPr>
          <w:iCs/>
        </w:rPr>
        <w:t>he model did not include any convergence which increased the uncertainty of the model over a longer time horizon.</w:t>
      </w:r>
      <w:r w:rsidR="001E7D27">
        <w:rPr>
          <w:iCs/>
        </w:rPr>
        <w:t xml:space="preserve"> The PBAC also noted that extrapolation functions for the CPS </w:t>
      </w:r>
      <w:r w:rsidR="001E7D27">
        <w:rPr>
          <w:rFonts w:cstheme="minorHAnsi"/>
          <w:iCs/>
        </w:rPr>
        <w:t>≥</w:t>
      </w:r>
      <w:r w:rsidR="001E7D27">
        <w:rPr>
          <w:iCs/>
        </w:rPr>
        <w:t xml:space="preserve">20 and ITT populations had not been </w:t>
      </w:r>
      <w:r w:rsidR="007D348D">
        <w:rPr>
          <w:iCs/>
        </w:rPr>
        <w:t xml:space="preserve">assessed in detail as the resubmission initially requested the CPS </w:t>
      </w:r>
      <w:r w:rsidR="007D348D">
        <w:rPr>
          <w:rFonts w:cstheme="minorHAnsi"/>
          <w:iCs/>
        </w:rPr>
        <w:t>≥</w:t>
      </w:r>
      <w:r w:rsidR="007D348D">
        <w:rPr>
          <w:iCs/>
        </w:rPr>
        <w:t xml:space="preserve">1 population for pembrolizumab </w:t>
      </w:r>
      <w:r w:rsidR="007D348D">
        <w:rPr>
          <w:rFonts w:cstheme="minorHAnsi"/>
          <w:iCs/>
        </w:rPr>
        <w:t>±</w:t>
      </w:r>
      <w:r w:rsidR="007D348D">
        <w:rPr>
          <w:iCs/>
        </w:rPr>
        <w:t xml:space="preserve"> chemotherapy.</w:t>
      </w:r>
    </w:p>
    <w:p w14:paraId="1E689F61" w14:textId="77777777" w:rsidR="00E566ED" w:rsidRDefault="000B7C41" w:rsidP="007D348D">
      <w:pPr>
        <w:pStyle w:val="ListParagraph"/>
        <w:numPr>
          <w:ilvl w:val="4"/>
          <w:numId w:val="1"/>
        </w:numPr>
      </w:pPr>
      <w:r>
        <w:rPr>
          <w:iCs/>
        </w:rPr>
        <w:t>The PBAC recalled it previously considered that</w:t>
      </w:r>
      <w:r w:rsidR="00B221D9">
        <w:rPr>
          <w:iCs/>
        </w:rPr>
        <w:t>, based on the currently available evidence</w:t>
      </w:r>
      <w:r w:rsidR="0058464A">
        <w:rPr>
          <w:iCs/>
        </w:rPr>
        <w:t>,</w:t>
      </w:r>
      <w:r>
        <w:rPr>
          <w:iCs/>
        </w:rPr>
        <w:t xml:space="preserve"> the use of a base case </w:t>
      </w:r>
      <w:proofErr w:type="gramStart"/>
      <w:r>
        <w:rPr>
          <w:iCs/>
        </w:rPr>
        <w:t>7.5 year</w:t>
      </w:r>
      <w:proofErr w:type="gramEnd"/>
      <w:r>
        <w:rPr>
          <w:iCs/>
        </w:rPr>
        <w:t xml:space="preserve"> time horizon was not reasonable</w:t>
      </w:r>
      <w:r w:rsidR="009F6A3A">
        <w:rPr>
          <w:iCs/>
        </w:rPr>
        <w:t>,</w:t>
      </w:r>
      <w:r>
        <w:rPr>
          <w:iCs/>
        </w:rPr>
        <w:t xml:space="preserve"> but that it may be supported with longer follow up for KN048 (paragraph 7.10, pembrolizumab PSD, November 2020 PBAC Meeting). Although additional follow-up was provided from KN048</w:t>
      </w:r>
      <w:r w:rsidR="007D348D">
        <w:rPr>
          <w:iCs/>
        </w:rPr>
        <w:t>,</w:t>
      </w:r>
      <w:r>
        <w:rPr>
          <w:iCs/>
        </w:rPr>
        <w:t xml:space="preserve"> </w:t>
      </w:r>
      <w:r w:rsidR="00E566ED" w:rsidRPr="00E566ED">
        <w:t>the</w:t>
      </w:r>
      <w:r w:rsidR="007D348D">
        <w:t xml:space="preserve"> PBAC noted that the</w:t>
      </w:r>
      <w:r w:rsidR="00E566ED" w:rsidRPr="00E566ED">
        <w:t xml:space="preserve"> </w:t>
      </w:r>
      <w:r w:rsidR="007D348D">
        <w:t>sensitivity of the model to the</w:t>
      </w:r>
      <w:r w:rsidR="00E566ED" w:rsidRPr="00E566ED">
        <w:t xml:space="preserve"> choice of extrapolation </w:t>
      </w:r>
      <w:r>
        <w:t xml:space="preserve">function </w:t>
      </w:r>
      <w:r w:rsidR="00E566ED" w:rsidRPr="00E566ED">
        <w:t xml:space="preserve">was dependent on the time horizon and </w:t>
      </w:r>
      <w:r w:rsidR="000B08C6">
        <w:t xml:space="preserve">the impact of the extrapolation function </w:t>
      </w:r>
      <w:r w:rsidR="00E566ED" w:rsidRPr="00E566ED">
        <w:t xml:space="preserve">was substantially reduced when a time horizon of 5 years was used. </w:t>
      </w:r>
    </w:p>
    <w:p w14:paraId="2EB708A2" w14:textId="77777777" w:rsidR="007D348D" w:rsidRDefault="007D348D" w:rsidP="00BF03C7">
      <w:pPr>
        <w:pStyle w:val="ListParagraph"/>
        <w:numPr>
          <w:ilvl w:val="4"/>
          <w:numId w:val="1"/>
        </w:numPr>
        <w:rPr>
          <w:rFonts w:cstheme="minorHAnsi"/>
          <w:bCs/>
          <w:iCs/>
          <w:color w:val="auto"/>
          <w:szCs w:val="24"/>
        </w:rPr>
      </w:pPr>
      <w:r>
        <w:rPr>
          <w:rFonts w:cstheme="minorHAnsi"/>
          <w:bCs/>
          <w:iCs/>
          <w:color w:val="auto"/>
          <w:szCs w:val="24"/>
        </w:rPr>
        <w:t>The PBAC considered that</w:t>
      </w:r>
      <w:r w:rsidR="0058464A">
        <w:rPr>
          <w:rFonts w:cstheme="minorHAnsi"/>
          <w:bCs/>
          <w:iCs/>
          <w:color w:val="auto"/>
          <w:szCs w:val="24"/>
        </w:rPr>
        <w:t>,</w:t>
      </w:r>
      <w:r>
        <w:rPr>
          <w:rFonts w:cstheme="minorHAnsi"/>
          <w:bCs/>
          <w:iCs/>
          <w:color w:val="auto"/>
          <w:szCs w:val="24"/>
        </w:rPr>
        <w:t xml:space="preserve"> </w:t>
      </w:r>
      <w:r w:rsidR="007266EE">
        <w:rPr>
          <w:rFonts w:cstheme="minorHAnsi"/>
          <w:bCs/>
          <w:iCs/>
          <w:color w:val="auto"/>
          <w:szCs w:val="24"/>
        </w:rPr>
        <w:t xml:space="preserve">to reflect </w:t>
      </w:r>
      <w:r w:rsidR="0049608A">
        <w:rPr>
          <w:rFonts w:cstheme="minorHAnsi"/>
          <w:bCs/>
          <w:iCs/>
          <w:color w:val="auto"/>
          <w:szCs w:val="24"/>
        </w:rPr>
        <w:t xml:space="preserve">its preferred </w:t>
      </w:r>
      <w:r w:rsidR="0058464A">
        <w:rPr>
          <w:rFonts w:cstheme="minorHAnsi"/>
          <w:bCs/>
          <w:iCs/>
          <w:color w:val="auto"/>
          <w:szCs w:val="24"/>
        </w:rPr>
        <w:t xml:space="preserve">eligible </w:t>
      </w:r>
      <w:r w:rsidR="0049608A">
        <w:rPr>
          <w:rFonts w:cstheme="minorHAnsi"/>
          <w:bCs/>
          <w:iCs/>
          <w:color w:val="auto"/>
          <w:szCs w:val="24"/>
        </w:rPr>
        <w:t>populations</w:t>
      </w:r>
      <w:r w:rsidR="0058464A">
        <w:rPr>
          <w:rFonts w:cstheme="minorHAnsi"/>
          <w:bCs/>
          <w:iCs/>
          <w:color w:val="auto"/>
          <w:szCs w:val="24"/>
        </w:rPr>
        <w:t>,</w:t>
      </w:r>
      <w:r w:rsidR="0049608A">
        <w:rPr>
          <w:rFonts w:cstheme="minorHAnsi"/>
          <w:bCs/>
          <w:iCs/>
          <w:color w:val="auto"/>
          <w:szCs w:val="24"/>
        </w:rPr>
        <w:t xml:space="preserve"> </w:t>
      </w:r>
      <w:r>
        <w:rPr>
          <w:rFonts w:cstheme="minorHAnsi"/>
          <w:bCs/>
          <w:iCs/>
          <w:color w:val="auto"/>
          <w:szCs w:val="24"/>
        </w:rPr>
        <w:t>the inputs for the respecified base case model and weighting calculations should be revised in the following ways:</w:t>
      </w:r>
    </w:p>
    <w:p w14:paraId="3ED2F1C3" w14:textId="77777777" w:rsidR="007D348D" w:rsidRDefault="007D348D" w:rsidP="007266EE">
      <w:pPr>
        <w:pStyle w:val="ListParagraph"/>
        <w:numPr>
          <w:ilvl w:val="0"/>
          <w:numId w:val="50"/>
        </w:numPr>
        <w:spacing w:before="0" w:after="40"/>
        <w:ind w:left="993" w:hanging="284"/>
        <w:rPr>
          <w:iCs/>
        </w:rPr>
      </w:pPr>
      <w:r>
        <w:rPr>
          <w:iCs/>
        </w:rPr>
        <w:t xml:space="preserve">Assume a cut-off of CPS </w:t>
      </w:r>
      <w:r>
        <w:rPr>
          <w:rFonts w:cstheme="minorHAnsi"/>
          <w:iCs/>
        </w:rPr>
        <w:t>≥</w:t>
      </w:r>
      <w:r>
        <w:rPr>
          <w:iCs/>
        </w:rPr>
        <w:t xml:space="preserve">20 for pembrolizumab monotherapy and an allcomers population for pembrolizumab plus chemotherapy as reflects the preferred clinical approach to treatment, as described in paragraphs </w:t>
      </w:r>
      <w:r w:rsidR="008D43ED">
        <w:rPr>
          <w:iCs/>
        </w:rPr>
        <w:t>1.4</w:t>
      </w:r>
      <w:r>
        <w:rPr>
          <w:iCs/>
        </w:rPr>
        <w:t>-</w:t>
      </w:r>
      <w:r w:rsidR="008D43ED">
        <w:rPr>
          <w:iCs/>
        </w:rPr>
        <w:t>1.5</w:t>
      </w:r>
      <w:proofErr w:type="gramStart"/>
      <w:r>
        <w:rPr>
          <w:iCs/>
        </w:rPr>
        <w:t>);</w:t>
      </w:r>
      <w:proofErr w:type="gramEnd"/>
    </w:p>
    <w:p w14:paraId="3D91A78C" w14:textId="77777777" w:rsidR="007D348D" w:rsidRDefault="007D348D" w:rsidP="007266EE">
      <w:pPr>
        <w:pStyle w:val="ListParagraph"/>
        <w:numPr>
          <w:ilvl w:val="0"/>
          <w:numId w:val="50"/>
        </w:numPr>
        <w:spacing w:before="0" w:after="40"/>
        <w:ind w:left="993" w:hanging="284"/>
        <w:rPr>
          <w:iCs/>
        </w:rPr>
      </w:pPr>
      <w:r>
        <w:rPr>
          <w:iCs/>
        </w:rPr>
        <w:t xml:space="preserve">Reduce the time horizon to five years to address the uncertainty in extrapolations, especially given the additional uncertainty in extrapolations introduced by </w:t>
      </w:r>
      <w:r>
        <w:rPr>
          <w:iCs/>
        </w:rPr>
        <w:lastRenderedPageBreak/>
        <w:t>changing the CPS cut-off for the monotherapy</w:t>
      </w:r>
      <w:r w:rsidR="0058464A">
        <w:rPr>
          <w:iCs/>
        </w:rPr>
        <w:t xml:space="preserve"> population</w:t>
      </w:r>
      <w:r>
        <w:rPr>
          <w:iCs/>
        </w:rPr>
        <w:t xml:space="preserve">, as described in paragraphs </w:t>
      </w:r>
      <w:r w:rsidR="008D43ED">
        <w:rPr>
          <w:iCs/>
        </w:rPr>
        <w:t>6.62</w:t>
      </w:r>
      <w:r>
        <w:rPr>
          <w:iCs/>
        </w:rPr>
        <w:t xml:space="preserve"> and </w:t>
      </w:r>
      <w:proofErr w:type="gramStart"/>
      <w:r w:rsidR="008D43ED">
        <w:rPr>
          <w:iCs/>
        </w:rPr>
        <w:t>6.66</w:t>
      </w:r>
      <w:r>
        <w:rPr>
          <w:iCs/>
        </w:rPr>
        <w:t>;</w:t>
      </w:r>
      <w:proofErr w:type="gramEnd"/>
    </w:p>
    <w:p w14:paraId="17D57A4E" w14:textId="77777777" w:rsidR="007D348D" w:rsidRDefault="007D348D" w:rsidP="007266EE">
      <w:pPr>
        <w:pStyle w:val="ListParagraph"/>
        <w:numPr>
          <w:ilvl w:val="0"/>
          <w:numId w:val="50"/>
        </w:numPr>
        <w:spacing w:before="0" w:after="40"/>
        <w:ind w:left="993" w:hanging="284"/>
        <w:rPr>
          <w:iCs/>
        </w:rPr>
      </w:pPr>
      <w:r>
        <w:rPr>
          <w:iCs/>
        </w:rPr>
        <w:t xml:space="preserve">Increase the proportion of patients treated with 2L nivolumab to 80% to reflect clinical practice, as described in paragraphs </w:t>
      </w:r>
      <w:r w:rsidR="008D43ED">
        <w:rPr>
          <w:iCs/>
        </w:rPr>
        <w:t>5.6</w:t>
      </w:r>
      <w:r>
        <w:rPr>
          <w:iCs/>
        </w:rPr>
        <w:t xml:space="preserve"> and </w:t>
      </w:r>
      <w:r w:rsidR="008D43ED">
        <w:rPr>
          <w:iCs/>
        </w:rPr>
        <w:t>6.68</w:t>
      </w:r>
      <w:r>
        <w:rPr>
          <w:iCs/>
        </w:rPr>
        <w:t>;</w:t>
      </w:r>
      <w:r w:rsidR="008D07B5">
        <w:rPr>
          <w:iCs/>
        </w:rPr>
        <w:t xml:space="preserve"> and</w:t>
      </w:r>
    </w:p>
    <w:p w14:paraId="73C1D102" w14:textId="77777777" w:rsidR="007D348D" w:rsidRPr="00EC43D4" w:rsidRDefault="007D348D" w:rsidP="00EC43D4">
      <w:pPr>
        <w:pStyle w:val="ListParagraph"/>
        <w:numPr>
          <w:ilvl w:val="0"/>
          <w:numId w:val="50"/>
        </w:numPr>
        <w:spacing w:before="0" w:after="40"/>
        <w:ind w:left="993" w:hanging="284"/>
        <w:rPr>
          <w:iCs/>
        </w:rPr>
      </w:pPr>
      <w:r>
        <w:rPr>
          <w:iCs/>
        </w:rPr>
        <w:t xml:space="preserve">Revise the ICER weighting to 30% monotherapy use, as described in paragraph </w:t>
      </w:r>
      <w:r w:rsidR="008D43ED">
        <w:rPr>
          <w:iCs/>
        </w:rPr>
        <w:t>1.8</w:t>
      </w:r>
      <w:r w:rsidR="008D07B5">
        <w:rPr>
          <w:iCs/>
        </w:rPr>
        <w:t>.</w:t>
      </w:r>
      <w:r>
        <w:rPr>
          <w:iCs/>
        </w:rPr>
        <w:t xml:space="preserve"> </w:t>
      </w:r>
    </w:p>
    <w:p w14:paraId="6D7C2F49" w14:textId="1F2B0757" w:rsidR="007D348D" w:rsidRPr="007266EE" w:rsidRDefault="007D348D" w:rsidP="00BF03C7">
      <w:pPr>
        <w:pStyle w:val="ListParagraph"/>
        <w:numPr>
          <w:ilvl w:val="4"/>
          <w:numId w:val="1"/>
        </w:numPr>
        <w:rPr>
          <w:rFonts w:cstheme="minorHAnsi"/>
          <w:bCs/>
          <w:iCs/>
          <w:color w:val="auto"/>
          <w:szCs w:val="24"/>
        </w:rPr>
      </w:pPr>
      <w:bookmarkStart w:id="104" w:name="_Hlk89955605"/>
      <w:r>
        <w:rPr>
          <w:rFonts w:cstheme="minorHAnsi"/>
          <w:bCs/>
          <w:iCs/>
          <w:color w:val="auto"/>
          <w:szCs w:val="24"/>
        </w:rPr>
        <w:t>The PBAC noted that when respecified in this way</w:t>
      </w:r>
      <w:r w:rsidR="008D07B5">
        <w:rPr>
          <w:rFonts w:cstheme="minorHAnsi"/>
          <w:bCs/>
          <w:iCs/>
          <w:color w:val="auto"/>
          <w:szCs w:val="24"/>
        </w:rPr>
        <w:t xml:space="preserve">, and using the price proposed in the pre-PBAC response </w:t>
      </w:r>
      <w:r w:rsidR="008D07B5">
        <w:rPr>
          <w:iCs/>
        </w:rPr>
        <w:t>($</w:t>
      </w:r>
      <w:r w:rsidR="009A1388" w:rsidRPr="008B464E">
        <w:rPr>
          <w:iCs/>
          <w:noProof/>
          <w:color w:val="000000"/>
          <w:w w:val="15"/>
          <w:shd w:val="solid" w:color="000000" w:fill="000000"/>
          <w:fitText w:val="-20" w:id="-1500866803"/>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6803"/>
          <w14:textFill>
            <w14:solidFill>
              <w14:srgbClr w14:val="000000">
                <w14:alpha w14:val="100000"/>
              </w14:srgbClr>
            </w14:solidFill>
          </w14:textFill>
        </w:rPr>
        <w:t>|</w:t>
      </w:r>
      <w:r w:rsidR="008D07B5">
        <w:rPr>
          <w:iCs/>
        </w:rPr>
        <w:t>/</w:t>
      </w:r>
      <w:r w:rsidR="00994721">
        <w:rPr>
          <w:iCs/>
        </w:rPr>
        <w:t>2</w:t>
      </w:r>
      <w:r w:rsidR="008D07B5">
        <w:rPr>
          <w:iCs/>
        </w:rPr>
        <w:t xml:space="preserve">00 mg), </w:t>
      </w:r>
      <w:r>
        <w:rPr>
          <w:rFonts w:cstheme="minorHAnsi"/>
          <w:bCs/>
          <w:iCs/>
          <w:color w:val="auto"/>
          <w:szCs w:val="24"/>
        </w:rPr>
        <w:t>the models resulted in a weighted ICER of $</w:t>
      </w:r>
      <w:r w:rsidR="00AA3ACA">
        <w:rPr>
          <w:rFonts w:cstheme="minorHAnsi"/>
          <w:bCs/>
          <w:iCs/>
          <w:color w:val="auto"/>
          <w:szCs w:val="24"/>
        </w:rPr>
        <w:t>75,000 to &lt; $95,000/QALY gained</w:t>
      </w:r>
      <w:r w:rsidR="002A5F50">
        <w:rPr>
          <w:rFonts w:cstheme="minorHAnsi"/>
          <w:bCs/>
          <w:iCs/>
          <w:color w:val="auto"/>
          <w:szCs w:val="24"/>
        </w:rPr>
        <w:t>. A</w:t>
      </w:r>
      <w:r>
        <w:rPr>
          <w:rFonts w:cstheme="minorHAnsi"/>
          <w:bCs/>
          <w:iCs/>
          <w:color w:val="auto"/>
          <w:szCs w:val="24"/>
        </w:rPr>
        <w:t xml:space="preserve"> </w:t>
      </w:r>
      <w:r w:rsidR="002A5F50">
        <w:rPr>
          <w:rFonts w:cstheme="minorHAnsi"/>
          <w:bCs/>
          <w:iCs/>
          <w:color w:val="auto"/>
          <w:szCs w:val="24"/>
        </w:rPr>
        <w:t xml:space="preserve">further </w:t>
      </w:r>
      <w:r>
        <w:rPr>
          <w:rFonts w:cstheme="minorHAnsi"/>
          <w:bCs/>
          <w:iCs/>
          <w:color w:val="auto"/>
          <w:szCs w:val="24"/>
        </w:rPr>
        <w:t>reduction in the pembrolizumab price of around 17% would be required to reach an ICER of $</w:t>
      </w:r>
      <w:r w:rsidR="00AA3ACA">
        <w:rPr>
          <w:rFonts w:cstheme="minorHAnsi"/>
          <w:bCs/>
          <w:iCs/>
          <w:color w:val="auto"/>
          <w:szCs w:val="24"/>
        </w:rPr>
        <w:t>55,000 to &lt; $75,000/QALY gained</w:t>
      </w:r>
      <w:r>
        <w:rPr>
          <w:rFonts w:cstheme="minorHAnsi"/>
          <w:bCs/>
          <w:iCs/>
          <w:color w:val="auto"/>
          <w:szCs w:val="24"/>
        </w:rPr>
        <w:t xml:space="preserve">. The PBAC also noted that </w:t>
      </w:r>
      <w:r w:rsidR="002A5F50">
        <w:rPr>
          <w:rFonts w:cstheme="minorHAnsi"/>
          <w:bCs/>
          <w:iCs/>
          <w:color w:val="auto"/>
          <w:szCs w:val="24"/>
        </w:rPr>
        <w:t xml:space="preserve">if </w:t>
      </w:r>
      <w:r>
        <w:rPr>
          <w:rFonts w:cstheme="minorHAnsi"/>
          <w:bCs/>
          <w:iCs/>
          <w:color w:val="auto"/>
          <w:szCs w:val="24"/>
        </w:rPr>
        <w:t xml:space="preserve">a CPS ≥1 threshold </w:t>
      </w:r>
      <w:r w:rsidR="002A5F50">
        <w:rPr>
          <w:rFonts w:cstheme="minorHAnsi"/>
          <w:bCs/>
          <w:iCs/>
          <w:color w:val="auto"/>
          <w:szCs w:val="24"/>
        </w:rPr>
        <w:t xml:space="preserve">was used </w:t>
      </w:r>
      <w:r>
        <w:rPr>
          <w:rFonts w:cstheme="minorHAnsi"/>
          <w:bCs/>
          <w:iCs/>
          <w:color w:val="auto"/>
          <w:szCs w:val="24"/>
        </w:rPr>
        <w:t>for pembrolizumab plus chemotherapy and assuming 40% monotherapy</w:t>
      </w:r>
      <w:r w:rsidR="002A5F50">
        <w:rPr>
          <w:rFonts w:cstheme="minorHAnsi"/>
          <w:bCs/>
          <w:iCs/>
          <w:color w:val="auto"/>
          <w:szCs w:val="24"/>
        </w:rPr>
        <w:t>,</w:t>
      </w:r>
      <w:r>
        <w:rPr>
          <w:rFonts w:cstheme="minorHAnsi"/>
          <w:bCs/>
          <w:iCs/>
          <w:color w:val="auto"/>
          <w:szCs w:val="24"/>
        </w:rPr>
        <w:t xml:space="preserve"> a weighted ICER of $</w:t>
      </w:r>
      <w:r w:rsidR="00AA3ACA">
        <w:rPr>
          <w:rFonts w:cstheme="minorHAnsi"/>
          <w:bCs/>
          <w:iCs/>
          <w:color w:val="auto"/>
          <w:szCs w:val="24"/>
        </w:rPr>
        <w:t>55,000 to &lt; $75,000/QALY gained</w:t>
      </w:r>
      <w:r w:rsidR="002A5F50">
        <w:rPr>
          <w:rFonts w:cstheme="minorHAnsi"/>
          <w:bCs/>
          <w:iCs/>
          <w:color w:val="auto"/>
          <w:szCs w:val="24"/>
        </w:rPr>
        <w:t xml:space="preserve"> resulted</w:t>
      </w:r>
      <w:r>
        <w:rPr>
          <w:rFonts w:cstheme="minorHAnsi"/>
          <w:bCs/>
          <w:iCs/>
          <w:color w:val="auto"/>
          <w:szCs w:val="24"/>
        </w:rPr>
        <w:t xml:space="preserve">. </w:t>
      </w:r>
      <w:r w:rsidR="007266EE">
        <w:rPr>
          <w:rFonts w:cstheme="minorHAnsi"/>
          <w:bCs/>
          <w:iCs/>
          <w:color w:val="auto"/>
          <w:szCs w:val="24"/>
        </w:rPr>
        <w:t>With these inputs a</w:t>
      </w:r>
      <w:r>
        <w:rPr>
          <w:rFonts w:cstheme="minorHAnsi"/>
          <w:bCs/>
          <w:iCs/>
          <w:color w:val="auto"/>
          <w:szCs w:val="24"/>
        </w:rPr>
        <w:t xml:space="preserve"> price reduction for pembrolizumab of around 6% would be required to reach an ICER of $</w:t>
      </w:r>
      <w:r w:rsidR="00AA3ACA">
        <w:rPr>
          <w:rFonts w:cstheme="minorHAnsi"/>
          <w:bCs/>
          <w:iCs/>
          <w:color w:val="auto"/>
          <w:szCs w:val="24"/>
        </w:rPr>
        <w:t>55,000 to &lt; $75,000/QALY gained</w:t>
      </w:r>
      <w:r w:rsidR="004B0893">
        <w:rPr>
          <w:rFonts w:cstheme="minorHAnsi"/>
          <w:bCs/>
          <w:iCs/>
          <w:color w:val="auto"/>
          <w:szCs w:val="24"/>
        </w:rPr>
        <w:t>.</w:t>
      </w:r>
      <w:r w:rsidR="004876BF">
        <w:rPr>
          <w:rFonts w:cstheme="minorHAnsi"/>
          <w:bCs/>
          <w:iCs/>
          <w:color w:val="auto"/>
          <w:szCs w:val="24"/>
        </w:rPr>
        <w:t xml:space="preserve"> </w:t>
      </w:r>
      <w:proofErr w:type="gramStart"/>
      <w:r w:rsidR="002A5F50">
        <w:rPr>
          <w:rFonts w:cstheme="minorHAnsi"/>
          <w:bCs/>
          <w:iCs/>
          <w:color w:val="auto"/>
          <w:szCs w:val="24"/>
        </w:rPr>
        <w:t>Therefore</w:t>
      </w:r>
      <w:proofErr w:type="gramEnd"/>
      <w:r w:rsidR="002A5F50">
        <w:rPr>
          <w:rFonts w:cstheme="minorHAnsi"/>
          <w:bCs/>
          <w:iCs/>
          <w:color w:val="auto"/>
          <w:szCs w:val="24"/>
        </w:rPr>
        <w:t xml:space="preserve"> t</w:t>
      </w:r>
      <w:r w:rsidR="004876BF">
        <w:rPr>
          <w:rFonts w:cstheme="minorHAnsi"/>
          <w:bCs/>
          <w:iCs/>
          <w:color w:val="auto"/>
          <w:szCs w:val="24"/>
        </w:rPr>
        <w:t>he PBAC considered that a further price reduction from the pre-PBAC proposed price ($</w:t>
      </w:r>
      <w:r w:rsidR="009A1388" w:rsidRPr="008B464E">
        <w:rPr>
          <w:rFonts w:cstheme="minorHAnsi"/>
          <w:bCs/>
          <w:iCs/>
          <w:noProof/>
          <w:color w:val="000000"/>
          <w:w w:val="15"/>
          <w:szCs w:val="24"/>
          <w:shd w:val="solid" w:color="000000" w:fill="000000"/>
          <w:fitText w:val="-20" w:id="-1500866802"/>
          <w14:textFill>
            <w14:solidFill>
              <w14:srgbClr w14:val="000000">
                <w14:alpha w14:val="100000"/>
              </w14:srgbClr>
            </w14:solidFill>
          </w14:textFill>
        </w:rPr>
        <w:t xml:space="preserve">|  </w:t>
      </w:r>
      <w:r w:rsidR="009A1388" w:rsidRPr="008B464E">
        <w:rPr>
          <w:rFonts w:cstheme="minorHAnsi"/>
          <w:bCs/>
          <w:iCs/>
          <w:noProof/>
          <w:color w:val="000000"/>
          <w:spacing w:val="-69"/>
          <w:w w:val="15"/>
          <w:szCs w:val="24"/>
          <w:shd w:val="solid" w:color="000000" w:fill="000000"/>
          <w:fitText w:val="-20" w:id="-1500866802"/>
          <w14:textFill>
            <w14:solidFill>
              <w14:srgbClr w14:val="000000">
                <w14:alpha w14:val="100000"/>
              </w14:srgbClr>
            </w14:solidFill>
          </w14:textFill>
        </w:rPr>
        <w:t>|</w:t>
      </w:r>
      <w:r w:rsidR="004876BF">
        <w:rPr>
          <w:rFonts w:cstheme="minorHAnsi"/>
          <w:bCs/>
          <w:iCs/>
          <w:color w:val="auto"/>
          <w:szCs w:val="24"/>
        </w:rPr>
        <w:t>/</w:t>
      </w:r>
      <w:r w:rsidR="00994721">
        <w:rPr>
          <w:rFonts w:cstheme="minorHAnsi"/>
          <w:bCs/>
          <w:iCs/>
          <w:color w:val="auto"/>
          <w:szCs w:val="24"/>
        </w:rPr>
        <w:t>2</w:t>
      </w:r>
      <w:r w:rsidR="004876BF">
        <w:rPr>
          <w:rFonts w:cstheme="minorHAnsi"/>
          <w:bCs/>
          <w:iCs/>
          <w:color w:val="auto"/>
          <w:szCs w:val="24"/>
        </w:rPr>
        <w:t>00 mg DP</w:t>
      </w:r>
      <w:r w:rsidR="003C0EC8">
        <w:rPr>
          <w:rFonts w:cstheme="minorHAnsi"/>
          <w:bCs/>
          <w:iCs/>
          <w:color w:val="auto"/>
          <w:szCs w:val="24"/>
        </w:rPr>
        <w:t>M</w:t>
      </w:r>
      <w:r w:rsidR="0058464A">
        <w:rPr>
          <w:rFonts w:cstheme="minorHAnsi"/>
          <w:bCs/>
          <w:iCs/>
          <w:color w:val="auto"/>
          <w:szCs w:val="24"/>
        </w:rPr>
        <w:t>A</w:t>
      </w:r>
      <w:r w:rsidR="004876BF">
        <w:rPr>
          <w:rFonts w:cstheme="minorHAnsi"/>
          <w:bCs/>
          <w:iCs/>
          <w:color w:val="auto"/>
          <w:szCs w:val="24"/>
        </w:rPr>
        <w:t>) of 10% would result in a</w:t>
      </w:r>
      <w:r w:rsidR="008D07B5">
        <w:rPr>
          <w:rFonts w:cstheme="minorHAnsi"/>
          <w:bCs/>
          <w:iCs/>
          <w:color w:val="auto"/>
          <w:szCs w:val="24"/>
        </w:rPr>
        <w:t xml:space="preserve"> weighted</w:t>
      </w:r>
      <w:r w:rsidR="004876BF">
        <w:rPr>
          <w:rFonts w:cstheme="minorHAnsi"/>
          <w:bCs/>
          <w:iCs/>
          <w:color w:val="auto"/>
          <w:szCs w:val="24"/>
        </w:rPr>
        <w:t xml:space="preserve"> ICER </w:t>
      </w:r>
      <w:r w:rsidR="0077454A">
        <w:rPr>
          <w:rFonts w:cstheme="minorHAnsi"/>
          <w:bCs/>
          <w:iCs/>
          <w:color w:val="auto"/>
          <w:szCs w:val="24"/>
        </w:rPr>
        <w:t xml:space="preserve">that is </w:t>
      </w:r>
      <w:r w:rsidR="004876BF">
        <w:rPr>
          <w:rFonts w:cstheme="minorHAnsi"/>
          <w:bCs/>
          <w:iCs/>
          <w:color w:val="auto"/>
          <w:szCs w:val="24"/>
        </w:rPr>
        <w:t>within an acceptable cost-effectiveness range</w:t>
      </w:r>
      <w:r w:rsidR="005268C6">
        <w:rPr>
          <w:rFonts w:cstheme="minorHAnsi"/>
          <w:bCs/>
          <w:iCs/>
          <w:color w:val="auto"/>
          <w:szCs w:val="24"/>
        </w:rPr>
        <w:t xml:space="preserve"> </w:t>
      </w:r>
      <w:r w:rsidR="00E64845">
        <w:rPr>
          <w:rFonts w:cstheme="minorHAnsi"/>
          <w:bCs/>
          <w:iCs/>
          <w:color w:val="auto"/>
          <w:szCs w:val="24"/>
        </w:rPr>
        <w:t>for the PBAC’s preferred population</w:t>
      </w:r>
      <w:r w:rsidR="00C7229F">
        <w:rPr>
          <w:rFonts w:cstheme="minorHAnsi"/>
          <w:bCs/>
          <w:iCs/>
          <w:color w:val="auto"/>
          <w:szCs w:val="24"/>
        </w:rPr>
        <w:t xml:space="preserve"> (</w:t>
      </w:r>
      <w:r w:rsidR="00C7229F">
        <w:rPr>
          <w:iCs/>
        </w:rPr>
        <w:t xml:space="preserve">CPS </w:t>
      </w:r>
      <w:r w:rsidR="00C7229F">
        <w:rPr>
          <w:rFonts w:cstheme="minorHAnsi"/>
          <w:iCs/>
        </w:rPr>
        <w:t>≥</w:t>
      </w:r>
      <w:r w:rsidR="00C7229F">
        <w:rPr>
          <w:iCs/>
        </w:rPr>
        <w:t>20 for pembrolizumab monotherapy and allcomers for pembrolizumab plus chemotherapy)</w:t>
      </w:r>
      <w:r w:rsidR="004876BF">
        <w:rPr>
          <w:rFonts w:cstheme="minorHAnsi"/>
          <w:bCs/>
          <w:iCs/>
          <w:color w:val="auto"/>
          <w:szCs w:val="24"/>
        </w:rPr>
        <w:t>.</w:t>
      </w:r>
    </w:p>
    <w:bookmarkEnd w:id="104"/>
    <w:p w14:paraId="502F0392" w14:textId="77777777" w:rsidR="00E566ED" w:rsidRPr="0058464A" w:rsidRDefault="00994721" w:rsidP="00844076">
      <w:pPr>
        <w:pStyle w:val="ListParagraph"/>
        <w:numPr>
          <w:ilvl w:val="4"/>
          <w:numId w:val="1"/>
        </w:numPr>
        <w:rPr>
          <w:iCs/>
          <w:color w:val="auto"/>
        </w:rPr>
      </w:pPr>
      <w:r w:rsidRPr="0058464A">
        <w:rPr>
          <w:iCs/>
          <w:color w:val="auto"/>
        </w:rPr>
        <w:t>T</w:t>
      </w:r>
      <w:r w:rsidR="001E7D27" w:rsidRPr="0058464A">
        <w:rPr>
          <w:iCs/>
          <w:color w:val="auto"/>
        </w:rPr>
        <w:t xml:space="preserve">he </w:t>
      </w:r>
      <w:r w:rsidRPr="0058464A">
        <w:rPr>
          <w:iCs/>
          <w:color w:val="auto"/>
        </w:rPr>
        <w:t xml:space="preserve">PBAC considered the </w:t>
      </w:r>
      <w:r w:rsidR="001E7D27" w:rsidRPr="0058464A">
        <w:rPr>
          <w:iCs/>
          <w:color w:val="auto"/>
        </w:rPr>
        <w:t xml:space="preserve">epidemiological approach </w:t>
      </w:r>
      <w:r w:rsidRPr="0058464A">
        <w:rPr>
          <w:iCs/>
          <w:color w:val="auto"/>
        </w:rPr>
        <w:t>was not reliable and</w:t>
      </w:r>
      <w:r w:rsidR="001E7D27" w:rsidRPr="0058464A">
        <w:rPr>
          <w:iCs/>
          <w:color w:val="auto"/>
        </w:rPr>
        <w:t xml:space="preserve"> the net financial impact of listing pembrolizumab as presented in the resubmission was highly uncertain. The PBAC considered that a more reliable approach would be to estimate the proportion of HNSCC patients treated with 2L nivolumab and apply this to the 2L nivolumab PBS patient numbers to estimate the 1L population eligible for treatment with pembrolizumab</w:t>
      </w:r>
      <w:r w:rsidR="0058464A">
        <w:rPr>
          <w:iCs/>
          <w:color w:val="auto"/>
        </w:rPr>
        <w:t xml:space="preserve"> (as described in paragraph 6.95)</w:t>
      </w:r>
      <w:r w:rsidR="001E7D27" w:rsidRPr="0058464A">
        <w:rPr>
          <w:iCs/>
          <w:color w:val="auto"/>
        </w:rPr>
        <w:t>. The PBAC considered that based on the number of patients treated with nivolumab as second line treatment for R/M HNSCC the number of incident patients appeared to be substantially overestimated</w:t>
      </w:r>
      <w:r w:rsidR="007266EE" w:rsidRPr="0058464A">
        <w:rPr>
          <w:iCs/>
          <w:color w:val="auto"/>
        </w:rPr>
        <w:t xml:space="preserve"> in the resubmission</w:t>
      </w:r>
      <w:r w:rsidR="001E7D27" w:rsidRPr="0058464A">
        <w:rPr>
          <w:iCs/>
          <w:color w:val="auto"/>
        </w:rPr>
        <w:t xml:space="preserve">. </w:t>
      </w:r>
      <w:r w:rsidR="00F71047" w:rsidRPr="0058464A">
        <w:rPr>
          <w:iCs/>
          <w:color w:val="auto"/>
        </w:rPr>
        <w:t>The PBAC considered that the patient numbers should be revised in the financial estimates to reflect this.</w:t>
      </w:r>
      <w:r w:rsidR="0058464A">
        <w:rPr>
          <w:iCs/>
          <w:color w:val="auto"/>
        </w:rPr>
        <w:t xml:space="preserve"> </w:t>
      </w:r>
      <w:r w:rsidR="007266EE" w:rsidRPr="0058464A">
        <w:rPr>
          <w:iCs/>
          <w:color w:val="auto"/>
        </w:rPr>
        <w:t>The PBAC also noted that the financial estimate</w:t>
      </w:r>
      <w:r w:rsidR="0058464A">
        <w:rPr>
          <w:iCs/>
          <w:color w:val="auto"/>
        </w:rPr>
        <w:t>s</w:t>
      </w:r>
      <w:r w:rsidR="007266EE" w:rsidRPr="0058464A">
        <w:rPr>
          <w:iCs/>
          <w:color w:val="auto"/>
        </w:rPr>
        <w:t xml:space="preserve"> were </w:t>
      </w:r>
      <w:r w:rsidR="00467280" w:rsidRPr="0058464A">
        <w:rPr>
          <w:iCs/>
          <w:color w:val="auto"/>
        </w:rPr>
        <w:t>sensitive</w:t>
      </w:r>
      <w:r w:rsidR="007266EE" w:rsidRPr="0058464A">
        <w:rPr>
          <w:iCs/>
          <w:color w:val="auto"/>
        </w:rPr>
        <w:t xml:space="preserve"> to the duration of treatment, which is impacted by the CPS cut-off for the PBS population. </w:t>
      </w:r>
    </w:p>
    <w:p w14:paraId="36A8E237" w14:textId="1A0DB2C9" w:rsidR="00BE7B51" w:rsidRPr="002D3C5B" w:rsidRDefault="00551735" w:rsidP="00BE7B51">
      <w:pPr>
        <w:pStyle w:val="ListParagraph"/>
        <w:numPr>
          <w:ilvl w:val="4"/>
          <w:numId w:val="1"/>
        </w:numPr>
        <w:rPr>
          <w:iCs/>
          <w:color w:val="auto"/>
        </w:rPr>
      </w:pPr>
      <w:r>
        <w:rPr>
          <w:iCs/>
          <w:color w:val="auto"/>
        </w:rPr>
        <w:t xml:space="preserve">The PBAC considered it would be appropriate for there to be a combined RSA for both pembrolizumab and nivolumab for HNSCC. </w:t>
      </w:r>
      <w:r w:rsidR="00BE7B51">
        <w:rPr>
          <w:iCs/>
          <w:color w:val="auto"/>
        </w:rPr>
        <w:t>The PBAC considered that a small increase in the</w:t>
      </w:r>
      <w:r>
        <w:rPr>
          <w:iCs/>
          <w:color w:val="auto"/>
        </w:rPr>
        <w:t xml:space="preserve"> existing</w:t>
      </w:r>
      <w:r w:rsidR="00BE7B51">
        <w:rPr>
          <w:iCs/>
          <w:color w:val="auto"/>
        </w:rPr>
        <w:t xml:space="preserve"> </w:t>
      </w:r>
      <w:r>
        <w:rPr>
          <w:iCs/>
          <w:color w:val="auto"/>
        </w:rPr>
        <w:t xml:space="preserve">financial </w:t>
      </w:r>
      <w:r w:rsidR="00BE7B51">
        <w:rPr>
          <w:iCs/>
          <w:color w:val="auto"/>
        </w:rPr>
        <w:t xml:space="preserve">caps for 2L nivolumab would be warranted to account for: (1) up to </w:t>
      </w:r>
      <w:r w:rsidR="009A1388" w:rsidRPr="008B464E">
        <w:rPr>
          <w:iCs/>
          <w:noProof/>
          <w:color w:val="000000"/>
          <w:w w:val="15"/>
          <w:shd w:val="solid" w:color="000000" w:fill="000000"/>
          <w:fitText w:val="-20" w:id="-1500866801"/>
          <w14:textFill>
            <w14:solidFill>
              <w14:srgbClr w14:val="000000">
                <w14:alpha w14:val="100000"/>
              </w14:srgbClr>
            </w14:solidFill>
          </w14:textFill>
        </w:rPr>
        <w:t xml:space="preserve">|  </w:t>
      </w:r>
      <w:r w:rsidR="009A1388" w:rsidRPr="008B464E">
        <w:rPr>
          <w:iCs/>
          <w:noProof/>
          <w:color w:val="000000"/>
          <w:spacing w:val="-69"/>
          <w:w w:val="15"/>
          <w:shd w:val="solid" w:color="000000" w:fill="000000"/>
          <w:fitText w:val="-20" w:id="-1500866801"/>
          <w14:textFill>
            <w14:solidFill>
              <w14:srgbClr w14:val="000000">
                <w14:alpha w14:val="100000"/>
              </w14:srgbClr>
            </w14:solidFill>
          </w14:textFill>
        </w:rPr>
        <w:t>|</w:t>
      </w:r>
      <w:r w:rsidR="00BE7B51">
        <w:rPr>
          <w:iCs/>
          <w:color w:val="auto"/>
        </w:rPr>
        <w:t xml:space="preserve">% total additional patients (including 1L pembrolizumab patients + early relapse patients treated with nivolumab) and (2) a longer treatment duration expected in the 1L setting. </w:t>
      </w:r>
      <w:r w:rsidR="009C7349" w:rsidRPr="002D3C5B">
        <w:rPr>
          <w:iCs/>
          <w:color w:val="auto"/>
        </w:rPr>
        <w:t xml:space="preserve">The PBAC considered that not all patients would be suitable for treatment with </w:t>
      </w:r>
      <w:r w:rsidR="009C7349">
        <w:rPr>
          <w:iCs/>
          <w:color w:val="auto"/>
        </w:rPr>
        <w:t>combination therapy</w:t>
      </w:r>
      <w:r w:rsidR="009C7349" w:rsidRPr="002D3C5B">
        <w:rPr>
          <w:iCs/>
          <w:color w:val="auto"/>
        </w:rPr>
        <w:t xml:space="preserve"> and the number of patients eligible for monotherapy with pembrolizumab would be dependent on the proportion of patients with CPS </w:t>
      </w:r>
      <w:r w:rsidR="009C7349" w:rsidRPr="002D3C5B">
        <w:rPr>
          <w:rFonts w:cstheme="minorHAnsi"/>
          <w:iCs/>
          <w:color w:val="auto"/>
        </w:rPr>
        <w:t>≥</w:t>
      </w:r>
      <w:r w:rsidR="009C7349" w:rsidRPr="002D3C5B">
        <w:rPr>
          <w:iCs/>
          <w:color w:val="auto"/>
        </w:rPr>
        <w:t>20</w:t>
      </w:r>
      <w:r w:rsidR="009C7349">
        <w:rPr>
          <w:iCs/>
          <w:color w:val="auto"/>
        </w:rPr>
        <w:t>. The PBAC</w:t>
      </w:r>
      <w:r w:rsidR="009C7349" w:rsidRPr="002D3C5B">
        <w:rPr>
          <w:iCs/>
          <w:color w:val="auto"/>
        </w:rPr>
        <w:t xml:space="preserve"> requested that the MSAC provide advice regarding the population size based on the different CPS thresholds (see paragraph </w:t>
      </w:r>
      <w:r w:rsidR="008D43ED">
        <w:rPr>
          <w:iCs/>
          <w:color w:val="auto"/>
        </w:rPr>
        <w:t>1.6</w:t>
      </w:r>
      <w:r w:rsidR="009C7349" w:rsidRPr="002D3C5B">
        <w:rPr>
          <w:iCs/>
          <w:color w:val="auto"/>
        </w:rPr>
        <w:t>).</w:t>
      </w:r>
      <w:r w:rsidR="009C7349" w:rsidRPr="009C7349">
        <w:rPr>
          <w:iCs/>
          <w:color w:val="auto"/>
        </w:rPr>
        <w:t xml:space="preserve"> </w:t>
      </w:r>
      <w:r w:rsidR="009C7349">
        <w:rPr>
          <w:iCs/>
          <w:color w:val="auto"/>
        </w:rPr>
        <w:t xml:space="preserve">The PBAC noted that the increase to </w:t>
      </w:r>
      <w:r w:rsidR="009C7349">
        <w:rPr>
          <w:iCs/>
          <w:color w:val="auto"/>
        </w:rPr>
        <w:lastRenderedPageBreak/>
        <w:t xml:space="preserve">caps would be reduced if the listing for pembrolizumab plus chemotherapy is restricted to the CPS </w:t>
      </w:r>
      <w:r w:rsidR="009C7349">
        <w:rPr>
          <w:rFonts w:cstheme="minorHAnsi"/>
          <w:iCs/>
          <w:color w:val="auto"/>
        </w:rPr>
        <w:t>≥</w:t>
      </w:r>
      <w:r w:rsidR="009C7349">
        <w:rPr>
          <w:iCs/>
          <w:color w:val="auto"/>
        </w:rPr>
        <w:t>1 population.</w:t>
      </w:r>
    </w:p>
    <w:p w14:paraId="07FB1A39" w14:textId="77777777" w:rsidR="00DD3D4A" w:rsidRPr="00E566ED" w:rsidRDefault="00DD3D4A" w:rsidP="00E566ED">
      <w:pPr>
        <w:pStyle w:val="ListParagraph"/>
        <w:numPr>
          <w:ilvl w:val="4"/>
          <w:numId w:val="1"/>
        </w:numPr>
      </w:pPr>
      <w:r w:rsidRPr="00E566ED">
        <w:t xml:space="preserve">The PBAC noted that this submission is not eligible for an Independent Review. </w:t>
      </w:r>
    </w:p>
    <w:p w14:paraId="47299FB3" w14:textId="77777777" w:rsidR="00DD3D4A" w:rsidRPr="00DD3D4A" w:rsidRDefault="00DD3D4A" w:rsidP="00DD3D4A">
      <w:pPr>
        <w:spacing w:before="240" w:after="0"/>
        <w:rPr>
          <w:rFonts w:ascii="Calibri" w:eastAsia="Times New Roman" w:hAnsi="Calibri" w:cs="Arial"/>
          <w:b/>
          <w:bCs/>
          <w:snapToGrid w:val="0"/>
          <w:szCs w:val="24"/>
          <w:lang w:val="en-GB"/>
        </w:rPr>
      </w:pPr>
      <w:r w:rsidRPr="00DD3D4A">
        <w:rPr>
          <w:rFonts w:ascii="Calibri" w:eastAsia="Times New Roman" w:hAnsi="Calibri" w:cs="Arial"/>
          <w:b/>
          <w:bCs/>
          <w:snapToGrid w:val="0"/>
          <w:szCs w:val="24"/>
          <w:lang w:val="en-GB"/>
        </w:rPr>
        <w:t>Outcome:</w:t>
      </w:r>
    </w:p>
    <w:p w14:paraId="22E06933" w14:textId="77777777" w:rsidR="00A86DAC" w:rsidRDefault="00DD3D4A" w:rsidP="00DD48C6">
      <w:pPr>
        <w:spacing w:before="0" w:after="120"/>
        <w:rPr>
          <w:rFonts w:ascii="Calibri" w:eastAsia="Times New Roman" w:hAnsi="Calibri" w:cs="Arial"/>
          <w:bCs/>
          <w:snapToGrid w:val="0"/>
          <w:szCs w:val="24"/>
          <w:lang w:val="en-GB"/>
        </w:rPr>
      </w:pPr>
      <w:r w:rsidRPr="00DD3D4A">
        <w:rPr>
          <w:rFonts w:ascii="Calibri" w:eastAsia="Times New Roman" w:hAnsi="Calibri" w:cs="Arial"/>
          <w:bCs/>
          <w:snapToGrid w:val="0"/>
          <w:szCs w:val="24"/>
          <w:lang w:val="en-GB"/>
        </w:rPr>
        <w:t>Deferred</w:t>
      </w:r>
      <w:bookmarkEnd w:id="101"/>
      <w:bookmarkEnd w:id="102"/>
    </w:p>
    <w:p w14:paraId="163094D5" w14:textId="77777777" w:rsidR="00A86DAC" w:rsidRPr="00A86DAC" w:rsidRDefault="00A86DAC" w:rsidP="00A86DAC">
      <w:pPr>
        <w:pStyle w:val="PBACESHeading1"/>
        <w:numPr>
          <w:ilvl w:val="0"/>
          <w:numId w:val="1"/>
        </w:numPr>
        <w:tabs>
          <w:tab w:val="clear" w:pos="1077"/>
          <w:tab w:val="left" w:pos="709"/>
        </w:tabs>
        <w:ind w:left="0" w:firstLine="0"/>
      </w:pPr>
      <w:r w:rsidRPr="00C07617">
        <w:t>Context for Decision</w:t>
      </w:r>
    </w:p>
    <w:p w14:paraId="60CA77E8" w14:textId="77777777" w:rsidR="00A86DAC" w:rsidRPr="007129F2" w:rsidRDefault="00A86DAC" w:rsidP="00A86DAC">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266F8E4" w14:textId="77777777" w:rsidR="00A86DAC" w:rsidRPr="00A86DAC" w:rsidRDefault="00A86DAC" w:rsidP="00A86DAC">
      <w:pPr>
        <w:pStyle w:val="PBACESHeading1"/>
        <w:numPr>
          <w:ilvl w:val="0"/>
          <w:numId w:val="1"/>
        </w:numPr>
        <w:tabs>
          <w:tab w:val="clear" w:pos="1077"/>
          <w:tab w:val="left" w:pos="709"/>
        </w:tabs>
        <w:ind w:left="0" w:firstLine="0"/>
      </w:pPr>
      <w:r>
        <w:t>Sponsor’s Comment</w:t>
      </w:r>
    </w:p>
    <w:p w14:paraId="53671519" w14:textId="77777777" w:rsidR="00D9238A" w:rsidRPr="001179AC" w:rsidRDefault="00D9238A" w:rsidP="00D9238A">
      <w:pPr>
        <w:spacing w:after="120"/>
        <w:ind w:left="720"/>
        <w:rPr>
          <w:rFonts w:cs="Arial"/>
          <w:bCs/>
        </w:rPr>
      </w:pPr>
      <w:r w:rsidRPr="008A1B5F">
        <w:rPr>
          <w:rFonts w:cs="Arial"/>
          <w:bCs/>
        </w:rPr>
        <w:t>MSD welcomes the opportunity to work with PBAC and MSAC to expedite availability of pembrolizumab for patients with recurrent or metastatic squamous cell carcinoma of the head and neck.</w:t>
      </w:r>
    </w:p>
    <w:p w14:paraId="4B8A5481" w14:textId="0E4E0A1B" w:rsidR="001613F7" w:rsidRPr="00F04141" w:rsidRDefault="001613F7" w:rsidP="001613F7">
      <w:pPr>
        <w:pStyle w:val="2-SectionHeading"/>
        <w:rPr>
          <w:color w:val="FF0000"/>
        </w:rPr>
      </w:pPr>
      <w:r w:rsidRPr="00F04141">
        <w:rPr>
          <w:color w:val="FF0000"/>
        </w:rPr>
        <w:t>Addendum to the November 2021 PBAC</w:t>
      </w:r>
      <w:r w:rsidR="00A96938">
        <w:rPr>
          <w:color w:val="FF0000"/>
        </w:rPr>
        <w:t xml:space="preserve"> PSD</w:t>
      </w:r>
      <w:r w:rsidRPr="00F04141">
        <w:rPr>
          <w:color w:val="FF0000"/>
        </w:rPr>
        <w:t>:</w:t>
      </w:r>
    </w:p>
    <w:p w14:paraId="09967A46" w14:textId="77777777" w:rsidR="001613F7" w:rsidRPr="00F04141" w:rsidRDefault="001613F7" w:rsidP="001613F7">
      <w:pPr>
        <w:pStyle w:val="2-SectionHeading"/>
        <w:numPr>
          <w:ilvl w:val="0"/>
          <w:numId w:val="11"/>
        </w:numPr>
        <w:snapToGrid w:val="0"/>
      </w:pPr>
      <w:r w:rsidRPr="00F04141">
        <w:t>PBAC Outcome</w:t>
      </w:r>
    </w:p>
    <w:p w14:paraId="6CDD7C02" w14:textId="77777777" w:rsidR="001613F7" w:rsidRPr="00F04141" w:rsidRDefault="001613F7" w:rsidP="001613F7">
      <w:pPr>
        <w:pStyle w:val="ListParagraph"/>
        <w:numPr>
          <w:ilvl w:val="4"/>
          <w:numId w:val="1"/>
        </w:numPr>
        <w:rPr>
          <w:iCs/>
          <w:color w:val="auto"/>
        </w:rPr>
      </w:pPr>
      <w:r w:rsidRPr="00F04141">
        <w:rPr>
          <w:iCs/>
          <w:color w:val="auto"/>
        </w:rPr>
        <w:t>The PBAC recommended listing of pembrolizumab monotherapy for first line (1L) treatment of recurrent or metastatic (R/M) SCCHN patients with CPS ≥20 in their tumour sample, and pembrolizumab in combination with platinum-based chemotherapy irrespective of CPS score. The PBAC is satisfied that pembrolizumab provides, for some patients, a significant improvement in efficacy over chemotherapy alone. The PBAC noted that the MSAC supported its preferred approach of a CPS ≥20 threshold for pembrolizumab monotherapy and an allcomers population for pembrolizumab plus chemotherapy.</w:t>
      </w:r>
    </w:p>
    <w:p w14:paraId="07EB5BDB" w14:textId="77777777" w:rsidR="001613F7" w:rsidRPr="00F04141" w:rsidRDefault="001613F7" w:rsidP="001613F7">
      <w:pPr>
        <w:pStyle w:val="ListParagraph"/>
        <w:numPr>
          <w:ilvl w:val="4"/>
          <w:numId w:val="1"/>
        </w:numPr>
        <w:rPr>
          <w:iCs/>
          <w:color w:val="auto"/>
        </w:rPr>
      </w:pPr>
      <w:r w:rsidRPr="00F04141">
        <w:rPr>
          <w:iCs/>
          <w:color w:val="auto"/>
        </w:rPr>
        <w:t xml:space="preserve">The PBAC noted the MSAC’s advice that indicated 40-50% of all patients would have tumours with CPS ≥20. The sponsor’s response to the PBAC and MSAC minutes argued that this suggests that the assumption of 40% use of pembrolizumab monotherapy is reasonable. The PBAC considered that approximately 5-10% of patients with CPS </w:t>
      </w:r>
      <w:r w:rsidRPr="00F04141">
        <w:rPr>
          <w:rFonts w:cstheme="minorHAnsi"/>
          <w:iCs/>
          <w:color w:val="auto"/>
        </w:rPr>
        <w:t>≥</w:t>
      </w:r>
      <w:r w:rsidRPr="00F04141">
        <w:rPr>
          <w:iCs/>
          <w:color w:val="auto"/>
        </w:rPr>
        <w:t xml:space="preserve">20 would have rapidly progressive disease requiring rapid response and would be treated with pembrolizumab in combination with chemotherapy. The PBAC agreed that 40% </w:t>
      </w:r>
      <w:r w:rsidRPr="00F04141">
        <w:rPr>
          <w:iCs/>
          <w:color w:val="auto"/>
        </w:rPr>
        <w:lastRenderedPageBreak/>
        <w:t xml:space="preserve">use of pembrolizumab monotherapy appeared reasonable based on the MSAC’s advice. </w:t>
      </w:r>
    </w:p>
    <w:p w14:paraId="6B2F8F3D" w14:textId="77777777" w:rsidR="001613F7" w:rsidRPr="00F04141" w:rsidRDefault="001613F7" w:rsidP="001613F7">
      <w:pPr>
        <w:pStyle w:val="ListParagraph"/>
        <w:numPr>
          <w:ilvl w:val="4"/>
          <w:numId w:val="1"/>
        </w:numPr>
        <w:rPr>
          <w:iCs/>
          <w:color w:val="auto"/>
        </w:rPr>
      </w:pPr>
      <w:r w:rsidRPr="00F04141">
        <w:rPr>
          <w:iCs/>
          <w:color w:val="auto"/>
        </w:rPr>
        <w:t>Following receipt of the PBAC minutes the sponsor provided a response to the PBAC with revised financial estimates including the following changes:</w:t>
      </w:r>
    </w:p>
    <w:p w14:paraId="1A96F739" w14:textId="677A4C13" w:rsidR="001613F7" w:rsidRPr="00F04141" w:rsidRDefault="001613F7" w:rsidP="001613F7">
      <w:pPr>
        <w:pStyle w:val="MainBodyBulletPoint"/>
        <w:ind w:left="993" w:hanging="357"/>
        <w:contextualSpacing/>
      </w:pPr>
      <w:r w:rsidRPr="00F04141">
        <w:t xml:space="preserve">a </w:t>
      </w:r>
      <w:r w:rsidR="009A1388" w:rsidRPr="009A1388">
        <w:rPr>
          <w:color w:val="000000"/>
          <w:shd w:val="solid" w:color="000000" w:fill="000000"/>
          <w14:textFill>
            <w14:solidFill>
              <w14:srgbClr w14:val="000000">
                <w14:alpha w14:val="100000"/>
              </w14:srgbClr>
            </w14:solidFill>
          </w14:textFill>
        </w:rPr>
        <w:t>|</w:t>
      </w:r>
      <w:r w:rsidRPr="00F04141">
        <w:t xml:space="preserve">% reduction in the price of pembrolizumab per 100 mg </w:t>
      </w:r>
      <w:proofErr w:type="gramStart"/>
      <w:r w:rsidRPr="00F04141">
        <w:t>vial;</w:t>
      </w:r>
      <w:proofErr w:type="gramEnd"/>
      <w:r w:rsidRPr="00F04141">
        <w:t xml:space="preserve"> </w:t>
      </w:r>
    </w:p>
    <w:p w14:paraId="2C96F417" w14:textId="77777777" w:rsidR="001613F7" w:rsidRPr="00F04141" w:rsidRDefault="001613F7" w:rsidP="001613F7">
      <w:pPr>
        <w:pStyle w:val="MainBodyBulletPoint"/>
        <w:ind w:left="993" w:hanging="357"/>
        <w:contextualSpacing/>
      </w:pPr>
      <w:r w:rsidRPr="00F04141">
        <w:t>a minor update to the dispensing fee calculations; and</w:t>
      </w:r>
    </w:p>
    <w:p w14:paraId="361EDA8B" w14:textId="77777777" w:rsidR="001613F7" w:rsidRPr="00F04141" w:rsidRDefault="001613F7" w:rsidP="001613F7">
      <w:pPr>
        <w:pStyle w:val="MainBodyBulletPoint"/>
        <w:ind w:left="993" w:hanging="357"/>
        <w:contextualSpacing/>
      </w:pPr>
      <w:r w:rsidRPr="00F04141">
        <w:t xml:space="preserve">to reflect the PBAC preference for an all-comers population, the proportion with a CPS </w:t>
      </w:r>
      <w:r w:rsidRPr="00F04141">
        <w:rPr>
          <w:u w:val="single"/>
        </w:rPr>
        <w:t>&gt;</w:t>
      </w:r>
      <w:r w:rsidRPr="00F04141">
        <w:t>1 has been removed thereby increasing the patient population</w:t>
      </w:r>
      <w:r w:rsidRPr="00F04141">
        <w:rPr>
          <w:rFonts w:ascii="Arial" w:hAnsi="Arial" w:cs="Arial"/>
          <w:sz w:val="22"/>
        </w:rPr>
        <w:t>.</w:t>
      </w:r>
      <w:r w:rsidRPr="00F04141">
        <w:t xml:space="preserve"> </w:t>
      </w:r>
    </w:p>
    <w:p w14:paraId="58B2C536" w14:textId="7FD96246" w:rsidR="001613F7" w:rsidRPr="00F04141" w:rsidRDefault="001613F7" w:rsidP="001613F7">
      <w:pPr>
        <w:pStyle w:val="ListParagraph"/>
        <w:numPr>
          <w:ilvl w:val="4"/>
          <w:numId w:val="1"/>
        </w:numPr>
        <w:rPr>
          <w:iCs/>
          <w:color w:val="auto"/>
        </w:rPr>
      </w:pPr>
      <w:r w:rsidRPr="00F04141">
        <w:rPr>
          <w:iCs/>
          <w:color w:val="auto"/>
        </w:rPr>
        <w:t>The PBAC considered that the revised price would result in a weighted ICER that is within an acceptable</w:t>
      </w:r>
      <w:r w:rsidRPr="00F04141">
        <w:rPr>
          <w:rFonts w:cstheme="minorHAnsi"/>
          <w:bCs/>
          <w:iCs/>
          <w:color w:val="auto"/>
          <w:szCs w:val="24"/>
        </w:rPr>
        <w:t xml:space="preserve"> cost-effectiveness range for the PBAC’s recommended population as per its previous advice </w:t>
      </w:r>
      <w:r w:rsidRPr="00F04141">
        <w:t xml:space="preserve">(paragraph </w:t>
      </w:r>
      <w:r w:rsidRPr="00F04141">
        <w:fldChar w:fldCharType="begin"/>
      </w:r>
      <w:r w:rsidRPr="00F04141">
        <w:instrText xml:space="preserve"> REF _Ref99111065 \r \h </w:instrText>
      </w:r>
      <w:r w:rsidRPr="00F04141">
        <w:fldChar w:fldCharType="separate"/>
      </w:r>
      <w:r w:rsidR="008B464E">
        <w:rPr>
          <w:b/>
          <w:bCs/>
          <w:lang w:val="en-US"/>
        </w:rPr>
        <w:t>Error! Reference source not found.</w:t>
      </w:r>
      <w:r w:rsidRPr="00F04141">
        <w:fldChar w:fldCharType="end"/>
      </w:r>
      <w:r w:rsidRPr="00F04141">
        <w:t>).</w:t>
      </w:r>
    </w:p>
    <w:p w14:paraId="5D4483BB" w14:textId="2CB7A890" w:rsidR="001613F7" w:rsidRPr="00F04141" w:rsidRDefault="001613F7" w:rsidP="001613F7">
      <w:pPr>
        <w:pStyle w:val="ListParagraph"/>
        <w:numPr>
          <w:ilvl w:val="4"/>
          <w:numId w:val="1"/>
        </w:numPr>
        <w:spacing w:after="120"/>
        <w:rPr>
          <w:iCs/>
          <w:color w:val="auto"/>
        </w:rPr>
      </w:pPr>
      <w:r w:rsidRPr="00F04141">
        <w:rPr>
          <w:iCs/>
          <w:color w:val="auto"/>
        </w:rPr>
        <w:t xml:space="preserve">At its November 2021 meeting the PBAC considered that estimating the proportion of HNSCC patients treated with second line (2L) nivolumab and applying this to the 2L nivolumab PBS patient numbers was a more reliable approach to estimate the 1L population eligible for treatment with pembrolizumab (paragraph </w:t>
      </w:r>
      <w:r w:rsidRPr="00F04141">
        <w:rPr>
          <w:iCs/>
          <w:color w:val="auto"/>
        </w:rPr>
        <w:fldChar w:fldCharType="begin"/>
      </w:r>
      <w:r w:rsidRPr="00F04141">
        <w:rPr>
          <w:iCs/>
          <w:color w:val="auto"/>
        </w:rPr>
        <w:instrText xml:space="preserve"> REF _Ref99102827 \r \h  \* MERGEFORMAT </w:instrText>
      </w:r>
      <w:r w:rsidRPr="00F04141">
        <w:rPr>
          <w:iCs/>
          <w:color w:val="auto"/>
        </w:rPr>
        <w:fldChar w:fldCharType="separate"/>
      </w:r>
      <w:r w:rsidR="008B464E">
        <w:rPr>
          <w:b/>
          <w:bCs/>
          <w:iCs/>
          <w:color w:val="auto"/>
          <w:lang w:val="en-US"/>
        </w:rPr>
        <w:t>Error! Reference source not found.</w:t>
      </w:r>
      <w:r w:rsidRPr="00F04141">
        <w:rPr>
          <w:iCs/>
          <w:color w:val="auto"/>
        </w:rPr>
        <w:fldChar w:fldCharType="end"/>
      </w:r>
      <w:r w:rsidRPr="00F04141">
        <w:rPr>
          <w:iCs/>
          <w:color w:val="auto"/>
        </w:rPr>
        <w:t xml:space="preserve">) than using the epidemiological approach included in the submission. The sponsor argued the PBAC’s approach underestimated the eligible patient pool due to: </w:t>
      </w:r>
    </w:p>
    <w:p w14:paraId="287E71FB" w14:textId="77777777" w:rsidR="001613F7" w:rsidRPr="00F04141" w:rsidRDefault="001613F7" w:rsidP="001613F7">
      <w:pPr>
        <w:pStyle w:val="MainBodyBulletPoint"/>
        <w:spacing w:before="0"/>
        <w:ind w:left="992" w:hanging="357"/>
        <w:contextualSpacing/>
        <w:jc w:val="both"/>
      </w:pPr>
      <w:r w:rsidRPr="00F04141">
        <w:t>not accounting for a significant proportion of patients who do not receive first line platinum</w:t>
      </w:r>
      <w:r w:rsidRPr="00F04141">
        <w:noBreakHyphen/>
        <w:t xml:space="preserve">based </w:t>
      </w:r>
      <w:proofErr w:type="gramStart"/>
      <w:r w:rsidRPr="00F04141">
        <w:t>therapy;</w:t>
      </w:r>
      <w:proofErr w:type="gramEnd"/>
      <w:r w:rsidRPr="00F04141">
        <w:t xml:space="preserve"> </w:t>
      </w:r>
    </w:p>
    <w:p w14:paraId="15E763E2" w14:textId="77777777" w:rsidR="001613F7" w:rsidRPr="00F04141" w:rsidRDefault="001613F7" w:rsidP="001613F7">
      <w:pPr>
        <w:pStyle w:val="MainBodyBulletPoint"/>
        <w:ind w:left="993" w:hanging="357"/>
        <w:contextualSpacing/>
      </w:pPr>
      <w:r w:rsidRPr="00F04141">
        <w:t>not including patients who progress beyond 6 months; and</w:t>
      </w:r>
    </w:p>
    <w:p w14:paraId="68EF8355" w14:textId="77777777" w:rsidR="001613F7" w:rsidRPr="00F04141" w:rsidRDefault="001613F7" w:rsidP="001613F7">
      <w:pPr>
        <w:pStyle w:val="MainBodyBulletPoint"/>
        <w:ind w:left="993" w:hanging="357"/>
        <w:contextualSpacing/>
      </w:pPr>
      <w:r w:rsidRPr="00F04141">
        <w:t>not accounting for patients who die prior to, or who are too fragile to consider a second line treatment (</w:t>
      </w:r>
      <w:proofErr w:type="gramStart"/>
      <w:r w:rsidRPr="00F04141">
        <w:t>i.e.</w:t>
      </w:r>
      <w:proofErr w:type="gramEnd"/>
      <w:r w:rsidRPr="00F04141">
        <w:t xml:space="preserve"> worsening ECOG status).</w:t>
      </w:r>
    </w:p>
    <w:p w14:paraId="478E307D" w14:textId="77777777" w:rsidR="001613F7" w:rsidRPr="00F04141" w:rsidRDefault="001613F7" w:rsidP="001613F7">
      <w:pPr>
        <w:pStyle w:val="ListParagraph"/>
        <w:numPr>
          <w:ilvl w:val="4"/>
          <w:numId w:val="1"/>
        </w:numPr>
        <w:rPr>
          <w:iCs/>
          <w:color w:val="auto"/>
        </w:rPr>
      </w:pPr>
      <w:r w:rsidRPr="00F04141">
        <w:rPr>
          <w:iCs/>
          <w:color w:val="auto"/>
        </w:rPr>
        <w:t xml:space="preserve">The PBAC considered that these patients were adequately accounted for in its estimate of a 20% increase in the number of patients eligible for 1L treatment with pembrolizumab compared with 2L nivolumab. </w:t>
      </w:r>
    </w:p>
    <w:p w14:paraId="34E718BB" w14:textId="77777777" w:rsidR="001613F7" w:rsidRPr="00F04141" w:rsidRDefault="001613F7" w:rsidP="001613F7">
      <w:pPr>
        <w:pStyle w:val="ListParagraph"/>
        <w:numPr>
          <w:ilvl w:val="4"/>
          <w:numId w:val="1"/>
        </w:numPr>
        <w:rPr>
          <w:rFonts w:cstheme="minorHAnsi"/>
          <w:sz w:val="22"/>
        </w:rPr>
      </w:pPr>
      <w:r w:rsidRPr="00F04141">
        <w:rPr>
          <w:iCs/>
          <w:color w:val="auto"/>
        </w:rPr>
        <w:t xml:space="preserve">The sponsor also argued that using PBS data from 2019, the first year of nivolumab use on the PBS, will underestimate the likely use of nivolumab as patient numbers will not have reached steady state. In addition, the sponsor argued that patient numbers across 2020 and 2021 cover a period significantly impacted by the COVID-19 pandemic. The PBAC considered that the first year of use of nivolumab would include a prevalent pool of patients and that this is likely to counter any underestimate of the incident population due to the listing being new. The PBAC considered that the impacts from the COVID-19 pandemic are unlikely to have substantially reduced the number of patients treated with 2L nivolumab for HNSCC. </w:t>
      </w:r>
      <w:r w:rsidRPr="00F04141">
        <w:rPr>
          <w:iCs/>
        </w:rPr>
        <w:t xml:space="preserve">The PBAC maintained its view that the actual use of 2L nivolumab on the PBS provided a more reliable basis for estimating the 1L population eligible for treatment with pembrolizumab than the multi-step epidemiological approach in the resubmission. The PBAC considered the </w:t>
      </w:r>
      <w:r w:rsidRPr="00F04141">
        <w:rPr>
          <w:iCs/>
        </w:rPr>
        <w:lastRenderedPageBreak/>
        <w:t xml:space="preserve">sponsor’s estimates of the patient numbers appeared substantially overestimated based on the PBS use of 2L nivolumab. </w:t>
      </w:r>
    </w:p>
    <w:p w14:paraId="20AC984D" w14:textId="55A08D26" w:rsidR="001613F7" w:rsidRPr="00F04141" w:rsidRDefault="001613F7" w:rsidP="001613F7">
      <w:pPr>
        <w:pStyle w:val="ListParagraph"/>
        <w:numPr>
          <w:ilvl w:val="4"/>
          <w:numId w:val="1"/>
        </w:numPr>
        <w:rPr>
          <w:rFonts w:cstheme="minorHAnsi"/>
          <w:sz w:val="22"/>
        </w:rPr>
      </w:pPr>
      <w:bookmarkStart w:id="105" w:name="_Ref99116142"/>
      <w:r w:rsidRPr="00F04141">
        <w:rPr>
          <w:iCs/>
        </w:rPr>
        <w:t>The PBAC maintained its view that an increase to the HNSCC expenditure caps currently in place for nivolumab, should be calculated based on the incident number of 2L nivolumab PBS patients (</w:t>
      </w:r>
      <w:r>
        <w:rPr>
          <w:iCs/>
        </w:rPr>
        <w:t>&lt;500</w:t>
      </w:r>
      <w:r w:rsidRPr="00F04141">
        <w:rPr>
          <w:iCs/>
        </w:rPr>
        <w:t xml:space="preserve"> per year), with a 20% increase to account for patients eligible for 1L treatment with pembrolizumab who would not have been treated with 2L nivolumab (see paragraphs </w:t>
      </w:r>
      <w:r w:rsidRPr="00F04141">
        <w:rPr>
          <w:iCs/>
        </w:rPr>
        <w:fldChar w:fldCharType="begin"/>
      </w:r>
      <w:r w:rsidRPr="00F04141">
        <w:rPr>
          <w:iCs/>
        </w:rPr>
        <w:instrText xml:space="preserve"> REF _Ref89776052 \r \h </w:instrText>
      </w:r>
      <w:r w:rsidRPr="00F04141">
        <w:rPr>
          <w:iCs/>
        </w:rPr>
      </w:r>
      <w:r w:rsidRPr="00F04141">
        <w:rPr>
          <w:iCs/>
        </w:rPr>
        <w:fldChar w:fldCharType="separate"/>
      </w:r>
      <w:r w:rsidR="008B464E">
        <w:rPr>
          <w:iCs/>
        </w:rPr>
        <w:t>6.95</w:t>
      </w:r>
      <w:r w:rsidRPr="00F04141">
        <w:rPr>
          <w:iCs/>
        </w:rPr>
        <w:fldChar w:fldCharType="end"/>
      </w:r>
      <w:r w:rsidRPr="00F04141">
        <w:rPr>
          <w:iCs/>
        </w:rPr>
        <w:t xml:space="preserve"> and </w:t>
      </w:r>
      <w:r w:rsidRPr="00F04141">
        <w:rPr>
          <w:iCs/>
        </w:rPr>
        <w:fldChar w:fldCharType="begin"/>
      </w:r>
      <w:r w:rsidRPr="00F04141">
        <w:rPr>
          <w:iCs/>
        </w:rPr>
        <w:instrText xml:space="preserve"> REF _Ref99102827 \r \h </w:instrText>
      </w:r>
      <w:r w:rsidRPr="00F04141">
        <w:rPr>
          <w:iCs/>
        </w:rPr>
        <w:fldChar w:fldCharType="separate"/>
      </w:r>
      <w:r w:rsidR="008B464E">
        <w:rPr>
          <w:b/>
          <w:bCs/>
          <w:iCs/>
          <w:lang w:val="en-US"/>
        </w:rPr>
        <w:t>Error! Reference source not found.</w:t>
      </w:r>
      <w:r w:rsidRPr="00F04141">
        <w:rPr>
          <w:iCs/>
        </w:rPr>
        <w:fldChar w:fldCharType="end"/>
      </w:r>
      <w:r w:rsidRPr="00F04141">
        <w:rPr>
          <w:iCs/>
        </w:rPr>
        <w:t xml:space="preserve">). The PBAC considered that the pool of prevalent patients in the resubmission’s </w:t>
      </w:r>
      <w:r w:rsidRPr="001613F7">
        <w:rPr>
          <w:iCs/>
        </w:rPr>
        <w:t>estimates (</w:t>
      </w:r>
      <w:r>
        <w:rPr>
          <w:iCs/>
        </w:rPr>
        <w:t>&lt;500</w:t>
      </w:r>
      <w:r w:rsidRPr="001613F7">
        <w:rPr>
          <w:iCs/>
        </w:rPr>
        <w:t xml:space="preserve">) appeared overestimated. </w:t>
      </w:r>
      <w:bookmarkStart w:id="106" w:name="_Hlk99466056"/>
      <w:r w:rsidRPr="001613F7">
        <w:rPr>
          <w:iCs/>
        </w:rPr>
        <w:t>The PBAC considered that the prevalent pool is expected to be small and should be reduced to be consistent with the size of the incident population (approximately a 50% reduction)</w:t>
      </w:r>
      <w:bookmarkEnd w:id="106"/>
      <w:r w:rsidRPr="001613F7">
        <w:rPr>
          <w:iCs/>
        </w:rPr>
        <w:t xml:space="preserve">. The PBAC considered that inclusion of </w:t>
      </w:r>
      <w:r>
        <w:rPr>
          <w:iCs/>
        </w:rPr>
        <w:t>&lt;500</w:t>
      </w:r>
      <w:r w:rsidRPr="00F04141">
        <w:rPr>
          <w:iCs/>
        </w:rPr>
        <w:t xml:space="preserve"> grandfather patients in the financial estimates was reasonable. The PBAC considered that the annual increase in patient numbers of 1.34% (as used in the resubmission’s financial estimates) was reasonable.</w:t>
      </w:r>
      <w:bookmarkEnd w:id="105"/>
    </w:p>
    <w:p w14:paraId="185B77B3" w14:textId="036E6024" w:rsidR="001613F7" w:rsidRPr="00F04141" w:rsidRDefault="001613F7" w:rsidP="001613F7">
      <w:pPr>
        <w:pStyle w:val="ListParagraph"/>
        <w:numPr>
          <w:ilvl w:val="4"/>
          <w:numId w:val="1"/>
        </w:numPr>
        <w:rPr>
          <w:iCs/>
          <w:color w:val="auto"/>
        </w:rPr>
      </w:pPr>
      <w:bookmarkStart w:id="107" w:name="_Ref99116144"/>
      <w:r w:rsidRPr="00F04141">
        <w:rPr>
          <w:iCs/>
          <w:color w:val="auto"/>
        </w:rPr>
        <w:t xml:space="preserve">The PBAC noted that the financial estimates provided with the PSCR to the November 2021 resubmission, and the sponsor’s revised post-PBAC estimates, </w:t>
      </w:r>
      <w:proofErr w:type="gramStart"/>
      <w:r w:rsidRPr="00F04141">
        <w:rPr>
          <w:iCs/>
          <w:color w:val="auto"/>
        </w:rPr>
        <w:t>assumed  a</w:t>
      </w:r>
      <w:proofErr w:type="gramEnd"/>
      <w:r w:rsidRPr="00F04141">
        <w:rPr>
          <w:iCs/>
          <w:color w:val="auto"/>
        </w:rPr>
        <w:t xml:space="preserve"> mean duration of treatment of 11.22 doses of pembrolizumab. The PBAC noted that 40% monotherapy (11.83 mean doses, CPS </w:t>
      </w:r>
      <w:r w:rsidRPr="00F04141">
        <w:rPr>
          <w:rFonts w:cstheme="minorHAnsi"/>
          <w:iCs/>
          <w:color w:val="auto"/>
        </w:rPr>
        <w:t>≥</w:t>
      </w:r>
      <w:r w:rsidRPr="00F04141">
        <w:rPr>
          <w:iCs/>
          <w:color w:val="auto"/>
        </w:rPr>
        <w:t xml:space="preserve">20 population) and 60% combination therapy (11.41 mean doses, allcomers) resulted in a weighted mean of 11.58 doses of pembrolizumab (7.99 months duration), based on the durations of treatment in the model (see paragraph </w:t>
      </w:r>
      <w:r w:rsidRPr="00F04141">
        <w:rPr>
          <w:iCs/>
          <w:color w:val="auto"/>
        </w:rPr>
        <w:fldChar w:fldCharType="begin"/>
      </w:r>
      <w:r w:rsidRPr="00F04141">
        <w:rPr>
          <w:iCs/>
          <w:color w:val="auto"/>
        </w:rPr>
        <w:instrText xml:space="preserve"> REF _Ref99460520 \r \h </w:instrText>
      </w:r>
      <w:r w:rsidRPr="00F04141">
        <w:rPr>
          <w:iCs/>
          <w:color w:val="auto"/>
        </w:rPr>
        <w:fldChar w:fldCharType="separate"/>
      </w:r>
      <w:r w:rsidR="008B464E">
        <w:rPr>
          <w:b/>
          <w:bCs/>
          <w:iCs/>
          <w:color w:val="auto"/>
          <w:lang w:val="en-US"/>
        </w:rPr>
        <w:t>Error! Reference source not found.</w:t>
      </w:r>
      <w:r w:rsidRPr="00F04141">
        <w:rPr>
          <w:iCs/>
          <w:color w:val="auto"/>
        </w:rPr>
        <w:fldChar w:fldCharType="end"/>
      </w:r>
      <w:r w:rsidRPr="00F04141">
        <w:rPr>
          <w:iCs/>
          <w:color w:val="auto"/>
        </w:rPr>
        <w:t>). The PBAC considered it would be reasonable to apply this duration of treatment for pembrolizumab to the financial estimates, consistent with the duration of treatment in the economic evaluation. The PBAC noted that the treatment duration for 2L nivolumab in the economic evaluation was 5.54 months. The PBAC considered that the treatment duration applied in the financial estimates for 2L nivolumab should also be consistent with the duration in the economic evaluation.</w:t>
      </w:r>
      <w:bookmarkEnd w:id="107"/>
      <w:r w:rsidRPr="00F04141">
        <w:rPr>
          <w:iCs/>
          <w:color w:val="auto"/>
        </w:rPr>
        <w:t xml:space="preserve">  </w:t>
      </w:r>
    </w:p>
    <w:p w14:paraId="080BCA93" w14:textId="672198FE" w:rsidR="001613F7" w:rsidRPr="00F04141" w:rsidRDefault="001613F7" w:rsidP="001613F7">
      <w:pPr>
        <w:pStyle w:val="ListParagraph"/>
        <w:numPr>
          <w:ilvl w:val="4"/>
          <w:numId w:val="1"/>
        </w:numPr>
        <w:rPr>
          <w:rFonts w:cs="Arial"/>
          <w:snapToGrid w:val="0"/>
        </w:rPr>
      </w:pPr>
      <w:r w:rsidRPr="00F04141">
        <w:rPr>
          <w:iCs/>
          <w:color w:val="auto"/>
        </w:rPr>
        <w:t xml:space="preserve">The PBAC maintained its advice that it would be appropriate for pembrolizumab to join the existing RSA for nivolumab for HNSCC (paragraph </w:t>
      </w:r>
      <w:r w:rsidRPr="00F04141">
        <w:rPr>
          <w:iCs/>
          <w:color w:val="auto"/>
        </w:rPr>
        <w:fldChar w:fldCharType="begin"/>
      </w:r>
      <w:r w:rsidRPr="00F04141">
        <w:rPr>
          <w:iCs/>
          <w:color w:val="auto"/>
        </w:rPr>
        <w:instrText xml:space="preserve"> REF _Ref99116307 \r \h </w:instrText>
      </w:r>
      <w:r w:rsidRPr="00F04141">
        <w:rPr>
          <w:iCs/>
          <w:color w:val="auto"/>
        </w:rPr>
        <w:fldChar w:fldCharType="separate"/>
      </w:r>
      <w:r w:rsidR="008B464E">
        <w:rPr>
          <w:b/>
          <w:bCs/>
          <w:iCs/>
          <w:color w:val="auto"/>
          <w:lang w:val="en-US"/>
        </w:rPr>
        <w:t>Error! Reference source not found.</w:t>
      </w:r>
      <w:r w:rsidRPr="00F04141">
        <w:rPr>
          <w:iCs/>
          <w:color w:val="auto"/>
        </w:rPr>
        <w:fldChar w:fldCharType="end"/>
      </w:r>
      <w:r w:rsidRPr="00F04141">
        <w:rPr>
          <w:iCs/>
          <w:color w:val="auto"/>
        </w:rPr>
        <w:t xml:space="preserve">). The PBAC considered that the financial estimates, revised as outlined in paragraphs </w:t>
      </w:r>
      <w:r w:rsidRPr="00F04141">
        <w:rPr>
          <w:iCs/>
          <w:color w:val="auto"/>
        </w:rPr>
        <w:fldChar w:fldCharType="begin"/>
      </w:r>
      <w:r w:rsidRPr="00F04141">
        <w:rPr>
          <w:iCs/>
          <w:color w:val="auto"/>
        </w:rPr>
        <w:instrText xml:space="preserve"> REF _Ref99116142 \r \h </w:instrText>
      </w:r>
      <w:r w:rsidRPr="00F04141">
        <w:rPr>
          <w:iCs/>
          <w:color w:val="auto"/>
        </w:rPr>
      </w:r>
      <w:r w:rsidRPr="00F04141">
        <w:rPr>
          <w:iCs/>
          <w:color w:val="auto"/>
        </w:rPr>
        <w:fldChar w:fldCharType="separate"/>
      </w:r>
      <w:r w:rsidR="008B464E">
        <w:rPr>
          <w:iCs/>
          <w:color w:val="auto"/>
        </w:rPr>
        <w:t>10.8</w:t>
      </w:r>
      <w:r w:rsidRPr="00F04141">
        <w:rPr>
          <w:iCs/>
          <w:color w:val="auto"/>
        </w:rPr>
        <w:fldChar w:fldCharType="end"/>
      </w:r>
      <w:r w:rsidRPr="00F04141">
        <w:rPr>
          <w:iCs/>
          <w:color w:val="auto"/>
        </w:rPr>
        <w:t xml:space="preserve"> to </w:t>
      </w:r>
      <w:r w:rsidRPr="00F04141">
        <w:rPr>
          <w:iCs/>
          <w:color w:val="auto"/>
        </w:rPr>
        <w:fldChar w:fldCharType="begin"/>
      </w:r>
      <w:r w:rsidRPr="00F04141">
        <w:rPr>
          <w:iCs/>
          <w:color w:val="auto"/>
        </w:rPr>
        <w:instrText xml:space="preserve"> REF _Ref99116144 \r \h </w:instrText>
      </w:r>
      <w:r w:rsidRPr="00F04141">
        <w:rPr>
          <w:iCs/>
          <w:color w:val="auto"/>
        </w:rPr>
      </w:r>
      <w:r w:rsidRPr="00F04141">
        <w:rPr>
          <w:iCs/>
          <w:color w:val="auto"/>
        </w:rPr>
        <w:fldChar w:fldCharType="separate"/>
      </w:r>
      <w:r w:rsidR="008B464E">
        <w:rPr>
          <w:iCs/>
          <w:color w:val="auto"/>
        </w:rPr>
        <w:t>10.9</w:t>
      </w:r>
      <w:r w:rsidRPr="00F04141">
        <w:rPr>
          <w:iCs/>
          <w:color w:val="auto"/>
        </w:rPr>
        <w:fldChar w:fldCharType="end"/>
      </w:r>
      <w:r w:rsidRPr="00F04141">
        <w:rPr>
          <w:iCs/>
          <w:color w:val="auto"/>
        </w:rPr>
        <w:t xml:space="preserve">, would provide a reasonable basis for the increase to the financial caps.  </w:t>
      </w:r>
    </w:p>
    <w:p w14:paraId="476713E3" w14:textId="77777777" w:rsidR="001613F7" w:rsidRPr="00F04141" w:rsidRDefault="001613F7" w:rsidP="001613F7">
      <w:pPr>
        <w:pStyle w:val="ListParagraph"/>
        <w:numPr>
          <w:ilvl w:val="4"/>
          <w:numId w:val="1"/>
        </w:numPr>
        <w:rPr>
          <w:iCs/>
          <w:color w:val="auto"/>
        </w:rPr>
      </w:pPr>
      <w:r w:rsidRPr="00F04141">
        <w:rPr>
          <w:iCs/>
          <w:color w:val="auto"/>
        </w:rPr>
        <w:t xml:space="preserve">The PBAC found that the criteria prescribed by the National Health (Pharmaceuticals and Vaccines – Cost Recovery) Regulations 2009 for Pricing Pathway A were not met. </w:t>
      </w:r>
      <w:proofErr w:type="gramStart"/>
      <w:r w:rsidRPr="00F04141">
        <w:rPr>
          <w:iCs/>
          <w:color w:val="auto"/>
        </w:rPr>
        <w:t>Specifically</w:t>
      </w:r>
      <w:proofErr w:type="gramEnd"/>
      <w:r w:rsidRPr="00F04141">
        <w:rPr>
          <w:iCs/>
          <w:color w:val="auto"/>
        </w:rPr>
        <w:t xml:space="preserve"> the PBAC found that in the circumstances of its recommendation for pembrolizumab:</w:t>
      </w:r>
    </w:p>
    <w:p w14:paraId="5872C4EE" w14:textId="77777777" w:rsidR="001613F7" w:rsidRPr="00F04141" w:rsidRDefault="001613F7" w:rsidP="001613F7">
      <w:pPr>
        <w:widowControl w:val="0"/>
        <w:numPr>
          <w:ilvl w:val="1"/>
          <w:numId w:val="40"/>
        </w:numPr>
        <w:spacing w:before="0" w:after="120"/>
        <w:rPr>
          <w:rFonts w:cstheme="minorHAnsi"/>
        </w:rPr>
      </w:pPr>
      <w:r w:rsidRPr="00F04141">
        <w:rPr>
          <w:rFonts w:cstheme="minorHAnsi"/>
        </w:rPr>
        <w:t xml:space="preserve">The treatment is expected to provide a substantial and clinically relevant improvement in efficacy over alternative </w:t>
      </w:r>
      <w:proofErr w:type="gramStart"/>
      <w:r w:rsidRPr="00F04141">
        <w:rPr>
          <w:rFonts w:cstheme="minorHAnsi"/>
        </w:rPr>
        <w:t>therapies;</w:t>
      </w:r>
      <w:proofErr w:type="gramEnd"/>
      <w:r w:rsidRPr="00F04141">
        <w:rPr>
          <w:rFonts w:cstheme="minorHAnsi"/>
        </w:rPr>
        <w:t xml:space="preserve"> </w:t>
      </w:r>
    </w:p>
    <w:p w14:paraId="45F9B3A8" w14:textId="77777777" w:rsidR="001613F7" w:rsidRPr="00F04141" w:rsidRDefault="001613F7" w:rsidP="001613F7">
      <w:pPr>
        <w:widowControl w:val="0"/>
        <w:numPr>
          <w:ilvl w:val="1"/>
          <w:numId w:val="40"/>
        </w:numPr>
        <w:spacing w:before="0" w:after="120"/>
        <w:rPr>
          <w:rFonts w:cstheme="minorHAnsi"/>
        </w:rPr>
      </w:pPr>
      <w:r w:rsidRPr="00F04141">
        <w:rPr>
          <w:rFonts w:cstheme="minorHAnsi"/>
        </w:rPr>
        <w:t xml:space="preserve">The treatment is not expected to address a high and urgent unmet clinical need as nivolumab is available as second line </w:t>
      </w:r>
      <w:proofErr w:type="gramStart"/>
      <w:r w:rsidRPr="00F04141">
        <w:rPr>
          <w:rFonts w:cstheme="minorHAnsi"/>
        </w:rPr>
        <w:t>treatment;</w:t>
      </w:r>
      <w:proofErr w:type="gramEnd"/>
    </w:p>
    <w:p w14:paraId="176DFBAA" w14:textId="77777777" w:rsidR="001613F7" w:rsidRPr="00F04141" w:rsidRDefault="001613F7" w:rsidP="001613F7">
      <w:pPr>
        <w:widowControl w:val="0"/>
        <w:numPr>
          <w:ilvl w:val="1"/>
          <w:numId w:val="40"/>
        </w:numPr>
        <w:spacing w:before="0" w:after="120"/>
        <w:rPr>
          <w:rFonts w:cstheme="minorHAnsi"/>
        </w:rPr>
      </w:pPr>
      <w:r w:rsidRPr="00F04141">
        <w:rPr>
          <w:rFonts w:cstheme="minorHAnsi"/>
        </w:rPr>
        <w:lastRenderedPageBreak/>
        <w:t xml:space="preserve">It was not necessary to make a finding in relation to whether it would be in the public interest for the subsequent pricing application to be progressed under Pricing Pathway A because one or more of the preceding tests had failed. </w:t>
      </w:r>
    </w:p>
    <w:p w14:paraId="03059089" w14:textId="7220219B" w:rsidR="001613F7" w:rsidRPr="00A96938" w:rsidRDefault="001613F7" w:rsidP="001613F7">
      <w:pPr>
        <w:pStyle w:val="ListParagraph"/>
        <w:numPr>
          <w:ilvl w:val="4"/>
          <w:numId w:val="1"/>
        </w:numPr>
        <w:rPr>
          <w:rFonts w:cs="Arial"/>
          <w:b/>
          <w:bCs/>
          <w:snapToGrid w:val="0"/>
        </w:rPr>
      </w:pPr>
      <w:r w:rsidRPr="00F04141">
        <w:rPr>
          <w:iCs/>
          <w:color w:val="auto"/>
        </w:rPr>
        <w:t xml:space="preserve">The PBAC noted that this submission is not eligible for an Independent Review as it is a positive recommendation. </w:t>
      </w:r>
    </w:p>
    <w:p w14:paraId="078697D6" w14:textId="77777777" w:rsidR="001613F7" w:rsidRPr="00F04141" w:rsidRDefault="001613F7" w:rsidP="001613F7">
      <w:pPr>
        <w:rPr>
          <w:rFonts w:cs="Arial"/>
          <w:b/>
          <w:bCs/>
          <w:snapToGrid w:val="0"/>
        </w:rPr>
      </w:pPr>
      <w:r w:rsidRPr="00F04141">
        <w:rPr>
          <w:rFonts w:cs="Arial"/>
          <w:b/>
          <w:bCs/>
          <w:snapToGrid w:val="0"/>
        </w:rPr>
        <w:t>Outcome:</w:t>
      </w:r>
    </w:p>
    <w:p w14:paraId="107BF8F8" w14:textId="7436A4CE" w:rsidR="001613F7" w:rsidRPr="00A96938" w:rsidRDefault="001613F7" w:rsidP="00A96938">
      <w:pPr>
        <w:rPr>
          <w:rFonts w:cs="Arial"/>
          <w:bCs/>
          <w:snapToGrid w:val="0"/>
        </w:rPr>
      </w:pPr>
      <w:r w:rsidRPr="00F04141">
        <w:rPr>
          <w:rFonts w:cs="Arial"/>
          <w:bCs/>
          <w:snapToGrid w:val="0"/>
        </w:rPr>
        <w:t>Recommended</w:t>
      </w:r>
    </w:p>
    <w:p w14:paraId="7F0AEA2D" w14:textId="77777777" w:rsidR="001613F7" w:rsidRPr="00F04141" w:rsidRDefault="001613F7" w:rsidP="001613F7">
      <w:pPr>
        <w:pStyle w:val="PBACESHeading1"/>
        <w:numPr>
          <w:ilvl w:val="0"/>
          <w:numId w:val="1"/>
        </w:numPr>
        <w:tabs>
          <w:tab w:val="clear" w:pos="1077"/>
          <w:tab w:val="left" w:pos="709"/>
        </w:tabs>
        <w:ind w:left="0" w:firstLine="0"/>
      </w:pPr>
      <w:r w:rsidRPr="00F04141">
        <w:t>Recommended listing</w:t>
      </w:r>
    </w:p>
    <w:p w14:paraId="60C6C75E" w14:textId="77777777" w:rsidR="001613F7" w:rsidRPr="00F04141" w:rsidRDefault="001613F7" w:rsidP="001613F7">
      <w:pPr>
        <w:widowControl w:val="0"/>
        <w:contextualSpacing/>
        <w:rPr>
          <w:rFonts w:cs="Arial"/>
          <w:bCs/>
          <w:snapToGrid w:val="0"/>
        </w:rPr>
      </w:pPr>
      <w:r w:rsidRPr="00F04141">
        <w:rPr>
          <w:rFonts w:cs="Arial"/>
          <w:bCs/>
          <w:snapToGrid w:val="0"/>
        </w:rPr>
        <w:t>Amend existing/recommended listing as follows:</w:t>
      </w:r>
    </w:p>
    <w:p w14:paraId="44DB4747" w14:textId="77777777" w:rsidR="001613F7" w:rsidRPr="00F04141" w:rsidRDefault="001613F7" w:rsidP="001613F7">
      <w:pPr>
        <w:widowControl w:val="0"/>
        <w:contextualSpacing/>
        <w:rPr>
          <w:rFonts w:cs="Arial"/>
          <w:bCs/>
          <w:snapToGrid w:val="0"/>
        </w:rPr>
      </w:pPr>
    </w:p>
    <w:p w14:paraId="2B4A3860" w14:textId="77777777" w:rsidR="001613F7" w:rsidRPr="00F04141" w:rsidRDefault="001613F7" w:rsidP="001613F7">
      <w:pPr>
        <w:rPr>
          <w:b/>
        </w:rPr>
      </w:pPr>
      <w:r w:rsidRPr="00F04141">
        <w:rPr>
          <w:b/>
        </w:rPr>
        <w:t>Proposed PBS Listing</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
        <w:gridCol w:w="658"/>
        <w:gridCol w:w="2119"/>
        <w:gridCol w:w="2270"/>
        <w:gridCol w:w="1982"/>
        <w:gridCol w:w="1802"/>
      </w:tblGrid>
      <w:tr w:rsidR="001613F7" w:rsidRPr="00F04141" w14:paraId="76288C61" w14:textId="77777777" w:rsidTr="00E26A85">
        <w:trPr>
          <w:cantSplit/>
          <w:trHeight w:val="471"/>
        </w:trPr>
        <w:tc>
          <w:tcPr>
            <w:tcW w:w="1698" w:type="pct"/>
            <w:gridSpan w:val="3"/>
          </w:tcPr>
          <w:p w14:paraId="59617C96" w14:textId="77777777" w:rsidR="001613F7" w:rsidRPr="00F04141" w:rsidRDefault="001613F7" w:rsidP="00E26A85">
            <w:pPr>
              <w:keepNext/>
              <w:spacing w:after="0"/>
              <w:ind w:left="-57"/>
              <w:rPr>
                <w:rFonts w:ascii="Arial Narrow" w:hAnsi="Arial Narrow" w:cs="Arial"/>
                <w:b/>
                <w:sz w:val="20"/>
                <w:szCs w:val="20"/>
              </w:rPr>
            </w:pPr>
            <w:r w:rsidRPr="00F04141">
              <w:rPr>
                <w:rFonts w:ascii="Arial Narrow" w:hAnsi="Arial Narrow" w:cs="Arial"/>
                <w:b/>
                <w:sz w:val="20"/>
                <w:szCs w:val="20"/>
              </w:rPr>
              <w:t>MEDICINAL PRODUCT</w:t>
            </w:r>
          </w:p>
          <w:p w14:paraId="0BF56BCC" w14:textId="77777777" w:rsidR="001613F7" w:rsidRPr="00F04141" w:rsidRDefault="001613F7" w:rsidP="00E26A85">
            <w:pPr>
              <w:keepNext/>
              <w:spacing w:after="0"/>
              <w:ind w:left="-57"/>
              <w:rPr>
                <w:rFonts w:ascii="Arial Narrow" w:hAnsi="Arial Narrow" w:cs="Arial"/>
                <w:b/>
                <w:sz w:val="20"/>
                <w:szCs w:val="20"/>
              </w:rPr>
            </w:pPr>
            <w:r w:rsidRPr="00F04141">
              <w:rPr>
                <w:rFonts w:ascii="Arial Narrow" w:hAnsi="Arial Narrow" w:cs="Arial"/>
                <w:b/>
                <w:sz w:val="20"/>
                <w:szCs w:val="20"/>
              </w:rPr>
              <w:t>Form</w:t>
            </w:r>
          </w:p>
        </w:tc>
        <w:tc>
          <w:tcPr>
            <w:tcW w:w="1238" w:type="pct"/>
          </w:tcPr>
          <w:p w14:paraId="61353AC3" w14:textId="77777777" w:rsidR="001613F7" w:rsidRPr="00F04141" w:rsidRDefault="001613F7" w:rsidP="00E26A85">
            <w:pPr>
              <w:keepNext/>
              <w:spacing w:after="0"/>
              <w:ind w:left="-108"/>
              <w:jc w:val="center"/>
              <w:rPr>
                <w:rFonts w:ascii="Arial Narrow" w:hAnsi="Arial Narrow" w:cs="Arial"/>
                <w:b/>
                <w:sz w:val="20"/>
                <w:szCs w:val="20"/>
              </w:rPr>
            </w:pPr>
            <w:r w:rsidRPr="00F04141">
              <w:rPr>
                <w:rFonts w:ascii="Arial Narrow" w:hAnsi="Arial Narrow" w:cs="Arial"/>
                <w:b/>
                <w:sz w:val="20"/>
                <w:szCs w:val="20"/>
              </w:rPr>
              <w:t>PBS item code</w:t>
            </w:r>
          </w:p>
        </w:tc>
        <w:tc>
          <w:tcPr>
            <w:tcW w:w="1081" w:type="pct"/>
          </w:tcPr>
          <w:p w14:paraId="521C39E2" w14:textId="77777777" w:rsidR="001613F7" w:rsidRPr="00F04141" w:rsidRDefault="001613F7" w:rsidP="00E26A85">
            <w:pPr>
              <w:keepNext/>
              <w:spacing w:after="0"/>
              <w:ind w:left="-108"/>
              <w:jc w:val="center"/>
              <w:rPr>
                <w:rFonts w:ascii="Arial Narrow" w:hAnsi="Arial Narrow" w:cs="Arial"/>
                <w:b/>
                <w:sz w:val="20"/>
                <w:szCs w:val="20"/>
              </w:rPr>
            </w:pPr>
            <w:r w:rsidRPr="00F04141">
              <w:rPr>
                <w:rFonts w:ascii="Arial Narrow" w:hAnsi="Arial Narrow" w:cs="Arial"/>
                <w:b/>
                <w:sz w:val="20"/>
                <w:szCs w:val="20"/>
              </w:rPr>
              <w:t>Max.</w:t>
            </w:r>
          </w:p>
          <w:p w14:paraId="1FE57449" w14:textId="77777777" w:rsidR="001613F7" w:rsidRPr="00F04141" w:rsidRDefault="001613F7" w:rsidP="00E26A85">
            <w:pPr>
              <w:keepNext/>
              <w:spacing w:after="0"/>
              <w:ind w:left="-108"/>
              <w:jc w:val="center"/>
              <w:rPr>
                <w:rFonts w:ascii="Arial Narrow" w:hAnsi="Arial Narrow" w:cs="Arial"/>
                <w:b/>
                <w:sz w:val="20"/>
                <w:szCs w:val="20"/>
              </w:rPr>
            </w:pPr>
            <w:r w:rsidRPr="00F04141">
              <w:rPr>
                <w:rFonts w:ascii="Arial Narrow" w:hAnsi="Arial Narrow" w:cs="Arial"/>
                <w:b/>
                <w:sz w:val="20"/>
                <w:szCs w:val="20"/>
              </w:rPr>
              <w:t>Amount</w:t>
            </w:r>
          </w:p>
        </w:tc>
        <w:tc>
          <w:tcPr>
            <w:tcW w:w="983" w:type="pct"/>
          </w:tcPr>
          <w:p w14:paraId="40AADE8D" w14:textId="77777777" w:rsidR="001613F7" w:rsidRPr="00F04141" w:rsidRDefault="001613F7" w:rsidP="00E26A85">
            <w:pPr>
              <w:keepNext/>
              <w:spacing w:after="0"/>
              <w:ind w:left="-108"/>
              <w:jc w:val="center"/>
              <w:rPr>
                <w:rFonts w:ascii="Arial Narrow" w:hAnsi="Arial Narrow" w:cs="Arial"/>
                <w:b/>
                <w:sz w:val="20"/>
                <w:szCs w:val="20"/>
              </w:rPr>
            </w:pPr>
            <w:proofErr w:type="gramStart"/>
            <w:r w:rsidRPr="00F04141">
              <w:rPr>
                <w:rFonts w:ascii="Arial Narrow" w:hAnsi="Arial Narrow" w:cs="Arial"/>
                <w:b/>
                <w:sz w:val="20"/>
                <w:szCs w:val="20"/>
              </w:rPr>
              <w:t>№.of</w:t>
            </w:r>
            <w:proofErr w:type="gramEnd"/>
            <w:r w:rsidRPr="00F04141">
              <w:rPr>
                <w:rFonts w:ascii="Arial Narrow" w:hAnsi="Arial Narrow" w:cs="Arial"/>
                <w:b/>
                <w:sz w:val="20"/>
                <w:szCs w:val="20"/>
              </w:rPr>
              <w:t xml:space="preserve"> </w:t>
            </w:r>
            <w:proofErr w:type="spellStart"/>
            <w:r w:rsidRPr="00F04141">
              <w:rPr>
                <w:rFonts w:ascii="Arial Narrow" w:hAnsi="Arial Narrow" w:cs="Arial"/>
                <w:b/>
                <w:sz w:val="20"/>
                <w:szCs w:val="20"/>
              </w:rPr>
              <w:t>Rpts</w:t>
            </w:r>
            <w:proofErr w:type="spellEnd"/>
          </w:p>
        </w:tc>
      </w:tr>
      <w:tr w:rsidR="001613F7" w:rsidRPr="00F04141" w14:paraId="50DF6AC1" w14:textId="77777777" w:rsidTr="00E26A85">
        <w:trPr>
          <w:cantSplit/>
          <w:trHeight w:val="577"/>
        </w:trPr>
        <w:tc>
          <w:tcPr>
            <w:tcW w:w="1698" w:type="pct"/>
            <w:gridSpan w:val="3"/>
          </w:tcPr>
          <w:p w14:paraId="0C9E582F" w14:textId="77777777" w:rsidR="001613F7" w:rsidRPr="00F04141" w:rsidRDefault="001613F7" w:rsidP="00E26A85">
            <w:pPr>
              <w:keepNext/>
              <w:spacing w:after="0"/>
              <w:ind w:left="-57"/>
              <w:rPr>
                <w:rFonts w:ascii="Arial Narrow" w:hAnsi="Arial Narrow" w:cs="Arial"/>
                <w:sz w:val="20"/>
                <w:szCs w:val="20"/>
              </w:rPr>
            </w:pPr>
            <w:r w:rsidRPr="00F04141">
              <w:rPr>
                <w:rFonts w:ascii="Arial Narrow" w:hAnsi="Arial Narrow" w:cs="Arial"/>
                <w:sz w:val="20"/>
                <w:szCs w:val="20"/>
              </w:rPr>
              <w:t xml:space="preserve">PEMBROLIZUMAB 100 mg/4 mL injection, </w:t>
            </w:r>
          </w:p>
          <w:p w14:paraId="31A9A8C4" w14:textId="77777777" w:rsidR="001613F7" w:rsidRPr="00F04141" w:rsidRDefault="001613F7" w:rsidP="00E26A85">
            <w:pPr>
              <w:keepNext/>
              <w:spacing w:after="0"/>
              <w:ind w:left="-57"/>
              <w:rPr>
                <w:rFonts w:ascii="Arial Narrow" w:hAnsi="Arial Narrow" w:cs="Arial"/>
                <w:sz w:val="20"/>
                <w:szCs w:val="20"/>
              </w:rPr>
            </w:pPr>
            <w:r w:rsidRPr="00F04141">
              <w:rPr>
                <w:rFonts w:ascii="Arial Narrow" w:hAnsi="Arial Narrow" w:cs="Arial"/>
                <w:sz w:val="20"/>
                <w:szCs w:val="20"/>
              </w:rPr>
              <w:t>4 mL vial</w:t>
            </w:r>
          </w:p>
        </w:tc>
        <w:tc>
          <w:tcPr>
            <w:tcW w:w="1238" w:type="pct"/>
          </w:tcPr>
          <w:p w14:paraId="54BC28B1" w14:textId="77777777" w:rsidR="001613F7" w:rsidRPr="00F04141" w:rsidRDefault="001613F7" w:rsidP="00E26A85">
            <w:pPr>
              <w:keepNext/>
              <w:spacing w:after="0"/>
              <w:ind w:left="-108"/>
              <w:jc w:val="center"/>
              <w:rPr>
                <w:rFonts w:ascii="Arial Narrow" w:hAnsi="Arial Narrow" w:cs="Arial"/>
                <w:sz w:val="20"/>
                <w:szCs w:val="20"/>
              </w:rPr>
            </w:pPr>
            <w:r w:rsidRPr="00F04141">
              <w:rPr>
                <w:rFonts w:ascii="Arial Narrow" w:hAnsi="Arial Narrow" w:cs="Arial"/>
                <w:sz w:val="20"/>
                <w:szCs w:val="20"/>
              </w:rPr>
              <w:t>NEW (Public)</w:t>
            </w:r>
          </w:p>
          <w:p w14:paraId="5171DEB3" w14:textId="77777777" w:rsidR="001613F7" w:rsidRPr="00F04141" w:rsidRDefault="001613F7" w:rsidP="00E26A85">
            <w:pPr>
              <w:keepNext/>
              <w:spacing w:after="0"/>
              <w:ind w:left="-108"/>
              <w:jc w:val="center"/>
              <w:rPr>
                <w:rFonts w:ascii="Arial Narrow" w:hAnsi="Arial Narrow" w:cs="Arial"/>
                <w:sz w:val="20"/>
                <w:szCs w:val="20"/>
              </w:rPr>
            </w:pPr>
            <w:r w:rsidRPr="00F04141">
              <w:rPr>
                <w:rFonts w:ascii="Arial Narrow" w:hAnsi="Arial Narrow" w:cs="Arial"/>
                <w:sz w:val="20"/>
                <w:szCs w:val="20"/>
              </w:rPr>
              <w:t>NEW (Private)</w:t>
            </w:r>
          </w:p>
        </w:tc>
        <w:tc>
          <w:tcPr>
            <w:tcW w:w="1081" w:type="pct"/>
          </w:tcPr>
          <w:p w14:paraId="18794F0C" w14:textId="77777777" w:rsidR="001613F7" w:rsidRPr="00F04141" w:rsidRDefault="001613F7" w:rsidP="00E26A85">
            <w:pPr>
              <w:keepNext/>
              <w:spacing w:after="0"/>
              <w:jc w:val="center"/>
              <w:rPr>
                <w:rFonts w:ascii="Arial Narrow" w:hAnsi="Arial Narrow" w:cs="Arial"/>
                <w:sz w:val="20"/>
                <w:szCs w:val="20"/>
              </w:rPr>
            </w:pPr>
            <w:r w:rsidRPr="00F04141">
              <w:rPr>
                <w:rFonts w:ascii="Arial Narrow" w:hAnsi="Arial Narrow" w:cs="Arial"/>
                <w:sz w:val="20"/>
                <w:szCs w:val="20"/>
              </w:rPr>
              <w:t>200 mg</w:t>
            </w:r>
          </w:p>
        </w:tc>
        <w:tc>
          <w:tcPr>
            <w:tcW w:w="983" w:type="pct"/>
          </w:tcPr>
          <w:p w14:paraId="00DA46EC" w14:textId="77777777" w:rsidR="001613F7" w:rsidRPr="00F04141" w:rsidRDefault="001613F7" w:rsidP="00E26A85">
            <w:pPr>
              <w:keepNext/>
              <w:spacing w:after="0"/>
              <w:jc w:val="center"/>
              <w:rPr>
                <w:rFonts w:ascii="Arial Narrow" w:hAnsi="Arial Narrow" w:cs="Arial"/>
                <w:sz w:val="20"/>
                <w:szCs w:val="20"/>
              </w:rPr>
            </w:pPr>
            <w:r w:rsidRPr="00F04141">
              <w:rPr>
                <w:rFonts w:ascii="Arial Narrow" w:hAnsi="Arial Narrow" w:cs="Arial"/>
                <w:sz w:val="20"/>
                <w:szCs w:val="20"/>
              </w:rPr>
              <w:t>6</w:t>
            </w:r>
          </w:p>
        </w:tc>
      </w:tr>
      <w:tr w:rsidR="001613F7" w:rsidRPr="00F04141" w14:paraId="346D6B96" w14:textId="77777777" w:rsidTr="00E26A85">
        <w:trPr>
          <w:cantSplit/>
          <w:trHeight w:val="225"/>
        </w:trPr>
        <w:tc>
          <w:tcPr>
            <w:tcW w:w="5000" w:type="pct"/>
            <w:gridSpan w:val="6"/>
          </w:tcPr>
          <w:p w14:paraId="260F4F99" w14:textId="77777777" w:rsidR="001613F7" w:rsidRPr="00F04141" w:rsidRDefault="001613F7" w:rsidP="00E26A85">
            <w:pPr>
              <w:keepNext/>
              <w:spacing w:after="0"/>
              <w:ind w:left="-57"/>
              <w:rPr>
                <w:rFonts w:ascii="Arial Narrow" w:hAnsi="Arial Narrow"/>
                <w:b/>
                <w:sz w:val="20"/>
                <w:szCs w:val="20"/>
              </w:rPr>
            </w:pPr>
            <w:r w:rsidRPr="00F04141">
              <w:rPr>
                <w:rFonts w:ascii="Arial Narrow" w:hAnsi="Arial Narrow"/>
                <w:b/>
                <w:sz w:val="20"/>
                <w:szCs w:val="20"/>
              </w:rPr>
              <w:t xml:space="preserve">Available brands </w:t>
            </w:r>
          </w:p>
        </w:tc>
      </w:tr>
      <w:tr w:rsidR="001613F7" w:rsidRPr="00F04141" w14:paraId="7B498151" w14:textId="77777777" w:rsidTr="00E26A85">
        <w:trPr>
          <w:cantSplit/>
          <w:trHeight w:val="360"/>
        </w:trPr>
        <w:tc>
          <w:tcPr>
            <w:tcW w:w="5000" w:type="pct"/>
            <w:gridSpan w:val="6"/>
          </w:tcPr>
          <w:p w14:paraId="64C52C83" w14:textId="77777777" w:rsidR="001613F7" w:rsidRPr="00F04141" w:rsidRDefault="001613F7" w:rsidP="00E26A85">
            <w:pPr>
              <w:spacing w:after="0"/>
              <w:ind w:left="-57"/>
              <w:rPr>
                <w:rFonts w:ascii="Arial Narrow" w:hAnsi="Arial Narrow" w:cs="Arial"/>
                <w:sz w:val="20"/>
                <w:szCs w:val="20"/>
              </w:rPr>
            </w:pPr>
            <w:r w:rsidRPr="00F04141">
              <w:rPr>
                <w:rFonts w:ascii="Arial Narrow" w:hAnsi="Arial Narrow" w:cs="Arial"/>
                <w:sz w:val="20"/>
                <w:szCs w:val="20"/>
              </w:rPr>
              <w:t xml:space="preserve">Keytruda </w:t>
            </w:r>
          </w:p>
        </w:tc>
      </w:tr>
      <w:tr w:rsidR="001613F7" w:rsidRPr="00F04141" w14:paraId="7D1021F4" w14:textId="77777777" w:rsidTr="00E26A8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4DF2F790" w14:textId="77777777" w:rsidR="001613F7" w:rsidRPr="00F04141" w:rsidRDefault="001613F7" w:rsidP="00E26A85">
            <w:pPr>
              <w:spacing w:before="0" w:after="0"/>
              <w:rPr>
                <w:rFonts w:ascii="Arial Narrow" w:hAnsi="Arial Narrow" w:cs="Arial"/>
                <w:b/>
                <w:color w:val="000000" w:themeColor="text1"/>
                <w:sz w:val="20"/>
                <w:szCs w:val="20"/>
              </w:rPr>
            </w:pPr>
            <w:r w:rsidRPr="00F04141">
              <w:rPr>
                <w:rFonts w:ascii="Arial Narrow" w:hAnsi="Arial Narrow"/>
                <w:b/>
                <w:color w:val="000000" w:themeColor="text1"/>
                <w:sz w:val="20"/>
                <w:szCs w:val="20"/>
              </w:rPr>
              <w:t xml:space="preserve">Restriction Summary [new] / Treatment of Concept: [new] </w:t>
            </w:r>
          </w:p>
        </w:tc>
      </w:tr>
      <w:tr w:rsidR="001613F7" w:rsidRPr="00F04141" w14:paraId="61DFAD3D"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Merge w:val="restart"/>
            <w:tcBorders>
              <w:top w:val="single" w:sz="4" w:space="0" w:color="auto"/>
              <w:left w:val="single" w:sz="4" w:space="0" w:color="auto"/>
              <w:right w:val="single" w:sz="4" w:space="0" w:color="auto"/>
            </w:tcBorders>
          </w:tcPr>
          <w:p w14:paraId="6EF39B41" w14:textId="77777777" w:rsidR="001613F7" w:rsidRPr="00F04141" w:rsidRDefault="001613F7" w:rsidP="00E26A85">
            <w:pPr>
              <w:spacing w:before="0" w:after="0"/>
              <w:jc w:val="center"/>
              <w:rPr>
                <w:rFonts w:ascii="Arial Narrow" w:hAnsi="Arial Narrow" w:cs="Arial"/>
                <w:b/>
                <w:color w:val="000000" w:themeColor="text1"/>
                <w:sz w:val="20"/>
                <w:szCs w:val="20"/>
              </w:rPr>
            </w:pPr>
            <w:r w:rsidRPr="00F04141">
              <w:rPr>
                <w:rFonts w:ascii="Arial Narrow" w:hAnsi="Arial Narrow" w:cs="Arial"/>
                <w:b/>
                <w:color w:val="000000" w:themeColor="text1"/>
                <w:sz w:val="20"/>
                <w:szCs w:val="20"/>
              </w:rPr>
              <w:t>Concept ID</w:t>
            </w:r>
          </w:p>
          <w:p w14:paraId="1297F225" w14:textId="77777777" w:rsidR="001613F7" w:rsidRPr="00F04141" w:rsidRDefault="001613F7" w:rsidP="00E26A85">
            <w:pPr>
              <w:spacing w:before="0" w:after="0"/>
              <w:rPr>
                <w:rFonts w:ascii="Arial Narrow" w:hAnsi="Arial Narrow" w:cs="Arial"/>
                <w:i/>
                <w:color w:val="000000" w:themeColor="text1"/>
                <w:sz w:val="20"/>
                <w:szCs w:val="20"/>
              </w:rPr>
            </w:pPr>
          </w:p>
          <w:p w14:paraId="6A312DB6" w14:textId="77777777" w:rsidR="001613F7" w:rsidRPr="00F04141" w:rsidRDefault="001613F7" w:rsidP="00E26A85">
            <w:pPr>
              <w:spacing w:before="0" w:after="0"/>
              <w:jc w:val="center"/>
              <w:rPr>
                <w:rFonts w:ascii="Arial Narrow" w:hAnsi="Arial Narrow" w:cs="Arial"/>
                <w:color w:val="000000" w:themeColor="text1"/>
                <w:sz w:val="20"/>
                <w:szCs w:val="20"/>
              </w:rPr>
            </w:pPr>
            <w:r w:rsidRPr="00F04141">
              <w:rPr>
                <w:rFonts w:ascii="Arial Narrow" w:hAnsi="Arial Narrow" w:cs="Arial"/>
                <w:color w:val="000000" w:themeColor="text1"/>
                <w:sz w:val="20"/>
                <w:szCs w:val="20"/>
              </w:rPr>
              <w:t>(for internal Dept. use)</w:t>
            </w:r>
          </w:p>
          <w:p w14:paraId="7BB388C3" w14:textId="77777777" w:rsidR="001613F7" w:rsidRPr="00F04141" w:rsidRDefault="001613F7" w:rsidP="00E26A85">
            <w:pPr>
              <w:spacing w:before="0" w:after="0"/>
              <w:rPr>
                <w:rFonts w:ascii="Arial Narrow" w:hAnsi="Arial Narrow" w:cs="Arial"/>
                <w:b/>
                <w:color w:val="000000" w:themeColor="text1"/>
                <w:sz w:val="20"/>
                <w:szCs w:val="20"/>
              </w:rPr>
            </w:pPr>
          </w:p>
        </w:tc>
        <w:tc>
          <w:tcPr>
            <w:tcW w:w="4458" w:type="pct"/>
            <w:gridSpan w:val="4"/>
            <w:tcBorders>
              <w:top w:val="single" w:sz="4" w:space="0" w:color="auto"/>
              <w:left w:val="single" w:sz="4" w:space="0" w:color="auto"/>
              <w:bottom w:val="single" w:sz="4" w:space="0" w:color="auto"/>
              <w:right w:val="single" w:sz="4" w:space="0" w:color="auto"/>
            </w:tcBorders>
          </w:tcPr>
          <w:p w14:paraId="3192A564" w14:textId="77777777" w:rsidR="001613F7" w:rsidRPr="00F04141" w:rsidRDefault="001613F7" w:rsidP="00E26A85">
            <w:pPr>
              <w:spacing w:before="0" w:after="0"/>
              <w:rPr>
                <w:rFonts w:ascii="Arial Narrow" w:hAnsi="Arial Narrow" w:cs="Arial"/>
                <w:color w:val="000000" w:themeColor="text1"/>
                <w:sz w:val="20"/>
                <w:szCs w:val="20"/>
              </w:rPr>
            </w:pPr>
            <w:r w:rsidRPr="00F04141">
              <w:rPr>
                <w:rFonts w:ascii="Arial Narrow" w:hAnsi="Arial Narrow" w:cs="Arial"/>
                <w:b/>
                <w:color w:val="000000" w:themeColor="text1"/>
                <w:sz w:val="20"/>
                <w:szCs w:val="20"/>
              </w:rPr>
              <w:t xml:space="preserve">Category / Program: </w:t>
            </w:r>
            <w:r w:rsidRPr="00F04141">
              <w:rPr>
                <w:rFonts w:ascii="Arial Narrow" w:hAnsi="Arial Narrow" w:cs="Arial"/>
                <w:color w:val="000000" w:themeColor="text1"/>
                <w:sz w:val="20"/>
                <w:szCs w:val="20"/>
              </w:rPr>
              <w:t>Section 100 – Efficient Funding of Chemotherapy Public/Private hospitals (Related Benefits)</w:t>
            </w:r>
          </w:p>
        </w:tc>
      </w:tr>
      <w:tr w:rsidR="001613F7" w:rsidRPr="00F04141" w14:paraId="4A725148" w14:textId="77777777" w:rsidTr="00E26A85">
        <w:tblPrEx>
          <w:tblCellMar>
            <w:top w:w="15" w:type="dxa"/>
            <w:left w:w="15" w:type="dxa"/>
            <w:bottom w:w="15" w:type="dxa"/>
            <w:right w:w="15" w:type="dxa"/>
          </w:tblCellMar>
          <w:tblLook w:val="04A0" w:firstRow="1" w:lastRow="0" w:firstColumn="1" w:lastColumn="0" w:noHBand="0" w:noVBand="1"/>
        </w:tblPrEx>
        <w:trPr>
          <w:trHeight w:val="240"/>
        </w:trPr>
        <w:tc>
          <w:tcPr>
            <w:tcW w:w="542" w:type="pct"/>
            <w:gridSpan w:val="2"/>
            <w:vMerge/>
            <w:tcBorders>
              <w:left w:val="single" w:sz="4" w:space="0" w:color="auto"/>
              <w:right w:val="single" w:sz="4" w:space="0" w:color="auto"/>
            </w:tcBorders>
          </w:tcPr>
          <w:p w14:paraId="5D05FB0A" w14:textId="77777777" w:rsidR="001613F7" w:rsidRPr="00F04141" w:rsidRDefault="001613F7" w:rsidP="00E26A85">
            <w:pPr>
              <w:spacing w:before="0" w:after="0"/>
              <w:rPr>
                <w:rFonts w:ascii="Arial Narrow" w:hAnsi="Arial Narrow" w:cs="Arial"/>
                <w:color w:val="000000" w:themeColor="text1"/>
                <w:sz w:val="20"/>
                <w:szCs w:val="20"/>
              </w:rPr>
            </w:pPr>
          </w:p>
        </w:tc>
        <w:tc>
          <w:tcPr>
            <w:tcW w:w="4458" w:type="pct"/>
            <w:gridSpan w:val="4"/>
            <w:tcBorders>
              <w:top w:val="single" w:sz="4" w:space="0" w:color="auto"/>
              <w:left w:val="single" w:sz="4" w:space="0" w:color="auto"/>
              <w:bottom w:val="single" w:sz="4" w:space="0" w:color="auto"/>
              <w:right w:val="single" w:sz="4" w:space="0" w:color="auto"/>
            </w:tcBorders>
          </w:tcPr>
          <w:p w14:paraId="497C8E77" w14:textId="77777777" w:rsidR="001613F7" w:rsidRPr="00F04141" w:rsidRDefault="001613F7" w:rsidP="00E26A85">
            <w:pPr>
              <w:spacing w:before="0" w:after="0"/>
              <w:rPr>
                <w:rFonts w:ascii="Arial Narrow" w:hAnsi="Arial Narrow" w:cs="Arial"/>
                <w:b/>
                <w:color w:val="000000" w:themeColor="text1"/>
                <w:sz w:val="20"/>
                <w:szCs w:val="20"/>
              </w:rPr>
            </w:pPr>
            <w:r w:rsidRPr="00F04141">
              <w:rPr>
                <w:rFonts w:ascii="Arial Narrow" w:hAnsi="Arial Narrow" w:cs="Arial"/>
                <w:b/>
                <w:color w:val="000000" w:themeColor="text1"/>
                <w:sz w:val="20"/>
                <w:szCs w:val="20"/>
              </w:rPr>
              <w:t xml:space="preserve">Prescriber type:   </w:t>
            </w:r>
            <w:r w:rsidRPr="00F04141">
              <w:rPr>
                <w:rFonts w:ascii="Arial Narrow" w:hAnsi="Arial Narrow" w:cs="Arial"/>
                <w:color w:val="000000" w:themeColor="text1"/>
                <w:sz w:val="20"/>
                <w:szCs w:val="20"/>
              </w:rPr>
              <w:fldChar w:fldCharType="begin">
                <w:ffData>
                  <w:name w:val=""/>
                  <w:enabled/>
                  <w:calcOnExit w:val="0"/>
                  <w:checkBox>
                    <w:sizeAuto/>
                    <w:default w:val="1"/>
                  </w:checkBox>
                </w:ffData>
              </w:fldChar>
            </w:r>
            <w:r w:rsidRPr="00F04141">
              <w:rPr>
                <w:rFonts w:ascii="Arial Narrow" w:hAnsi="Arial Narrow" w:cs="Arial"/>
                <w:color w:val="000000" w:themeColor="text1"/>
                <w:sz w:val="20"/>
                <w:szCs w:val="20"/>
              </w:rPr>
              <w:instrText xml:space="preserve"> FORMCHECKBOX </w:instrText>
            </w:r>
            <w:r w:rsidR="008B464E">
              <w:rPr>
                <w:rFonts w:ascii="Arial Narrow" w:hAnsi="Arial Narrow" w:cs="Arial"/>
                <w:color w:val="000000" w:themeColor="text1"/>
                <w:sz w:val="20"/>
                <w:szCs w:val="20"/>
              </w:rPr>
            </w:r>
            <w:r w:rsidR="008B464E">
              <w:rPr>
                <w:rFonts w:ascii="Arial Narrow" w:hAnsi="Arial Narrow" w:cs="Arial"/>
                <w:color w:val="000000" w:themeColor="text1"/>
                <w:sz w:val="20"/>
                <w:szCs w:val="20"/>
              </w:rPr>
              <w:fldChar w:fldCharType="separate"/>
            </w:r>
            <w:r w:rsidRPr="00F04141">
              <w:rPr>
                <w:rFonts w:ascii="Arial Narrow" w:hAnsi="Arial Narrow" w:cs="Arial"/>
                <w:color w:val="000000" w:themeColor="text1"/>
                <w:sz w:val="20"/>
                <w:szCs w:val="20"/>
              </w:rPr>
              <w:fldChar w:fldCharType="end"/>
            </w:r>
            <w:r w:rsidRPr="00F04141">
              <w:rPr>
                <w:rFonts w:ascii="Arial Narrow" w:hAnsi="Arial Narrow" w:cs="Arial"/>
                <w:color w:val="000000" w:themeColor="text1"/>
                <w:sz w:val="20"/>
                <w:szCs w:val="20"/>
              </w:rPr>
              <w:t>Medical Practitioners</w:t>
            </w:r>
          </w:p>
        </w:tc>
      </w:tr>
      <w:tr w:rsidR="001613F7" w:rsidRPr="00F04141" w14:paraId="75121189"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Merge/>
            <w:tcBorders>
              <w:left w:val="single" w:sz="4" w:space="0" w:color="auto"/>
              <w:bottom w:val="single" w:sz="4" w:space="0" w:color="auto"/>
              <w:right w:val="single" w:sz="4" w:space="0" w:color="auto"/>
            </w:tcBorders>
          </w:tcPr>
          <w:p w14:paraId="1EA52022" w14:textId="77777777" w:rsidR="001613F7" w:rsidRPr="00F04141" w:rsidRDefault="001613F7" w:rsidP="00E26A85">
            <w:pPr>
              <w:spacing w:before="0" w:after="0"/>
              <w:rPr>
                <w:rFonts w:ascii="Arial Narrow" w:hAnsi="Arial Narrow" w:cs="Arial"/>
                <w:color w:val="000000" w:themeColor="text1"/>
                <w:sz w:val="20"/>
                <w:szCs w:val="20"/>
              </w:rPr>
            </w:pPr>
          </w:p>
        </w:tc>
        <w:tc>
          <w:tcPr>
            <w:tcW w:w="4458" w:type="pct"/>
            <w:gridSpan w:val="4"/>
            <w:tcBorders>
              <w:top w:val="single" w:sz="4" w:space="0" w:color="auto"/>
              <w:left w:val="single" w:sz="4" w:space="0" w:color="auto"/>
              <w:bottom w:val="single" w:sz="4" w:space="0" w:color="auto"/>
              <w:right w:val="single" w:sz="4" w:space="0" w:color="auto"/>
            </w:tcBorders>
          </w:tcPr>
          <w:p w14:paraId="3FCE7E2F" w14:textId="77777777" w:rsidR="001613F7" w:rsidRPr="00F04141" w:rsidRDefault="001613F7" w:rsidP="00E26A85">
            <w:pPr>
              <w:spacing w:before="0" w:after="0"/>
              <w:rPr>
                <w:rFonts w:ascii="Arial Narrow" w:eastAsia="Calibri" w:hAnsi="Arial Narrow" w:cs="Arial"/>
                <w:color w:val="000000" w:themeColor="text1"/>
                <w:sz w:val="20"/>
                <w:szCs w:val="20"/>
              </w:rPr>
            </w:pPr>
            <w:r w:rsidRPr="00F04141">
              <w:rPr>
                <w:rFonts w:ascii="Arial Narrow" w:hAnsi="Arial Narrow" w:cs="Arial"/>
                <w:b/>
                <w:color w:val="000000" w:themeColor="text1"/>
                <w:sz w:val="20"/>
                <w:szCs w:val="20"/>
              </w:rPr>
              <w:t xml:space="preserve">Restriction type: </w:t>
            </w:r>
          </w:p>
          <w:p w14:paraId="6FCBB600" w14:textId="77777777" w:rsidR="001613F7" w:rsidRPr="00F04141" w:rsidRDefault="001613F7" w:rsidP="00E26A85">
            <w:pPr>
              <w:spacing w:before="0" w:after="0"/>
              <w:rPr>
                <w:rFonts w:ascii="Arial Narrow" w:eastAsia="Calibri" w:hAnsi="Arial Narrow" w:cs="Arial"/>
                <w:color w:val="000000" w:themeColor="text1"/>
                <w:sz w:val="20"/>
                <w:szCs w:val="20"/>
              </w:rPr>
            </w:pPr>
            <w:r w:rsidRPr="00F04141">
              <w:rPr>
                <w:rFonts w:ascii="Arial Narrow" w:eastAsia="Calibri" w:hAnsi="Arial Narrow" w:cs="Arial"/>
                <w:color w:val="000000" w:themeColor="text1"/>
                <w:sz w:val="20"/>
                <w:szCs w:val="20"/>
              </w:rPr>
              <w:fldChar w:fldCharType="begin">
                <w:ffData>
                  <w:name w:val=""/>
                  <w:enabled/>
                  <w:calcOnExit w:val="0"/>
                  <w:checkBox>
                    <w:sizeAuto/>
                    <w:default w:val="1"/>
                  </w:checkBox>
                </w:ffData>
              </w:fldChar>
            </w:r>
            <w:r w:rsidRPr="00F04141">
              <w:rPr>
                <w:rFonts w:ascii="Arial Narrow" w:eastAsia="Calibri" w:hAnsi="Arial Narrow" w:cs="Arial"/>
                <w:color w:val="000000" w:themeColor="text1"/>
                <w:sz w:val="20"/>
                <w:szCs w:val="20"/>
              </w:rPr>
              <w:instrText xml:space="preserve"> FORMCHECKBOX </w:instrText>
            </w:r>
            <w:r w:rsidR="008B464E">
              <w:rPr>
                <w:rFonts w:ascii="Arial Narrow" w:eastAsia="Calibri" w:hAnsi="Arial Narrow" w:cs="Arial"/>
                <w:color w:val="000000" w:themeColor="text1"/>
                <w:sz w:val="20"/>
                <w:szCs w:val="20"/>
              </w:rPr>
            </w:r>
            <w:r w:rsidR="008B464E">
              <w:rPr>
                <w:rFonts w:ascii="Arial Narrow" w:eastAsia="Calibri" w:hAnsi="Arial Narrow" w:cs="Arial"/>
                <w:color w:val="000000" w:themeColor="text1"/>
                <w:sz w:val="20"/>
                <w:szCs w:val="20"/>
              </w:rPr>
              <w:fldChar w:fldCharType="separate"/>
            </w:r>
            <w:r w:rsidRPr="00F04141">
              <w:rPr>
                <w:rFonts w:ascii="Arial Narrow" w:eastAsia="Calibri" w:hAnsi="Arial Narrow" w:cs="Arial"/>
                <w:color w:val="000000" w:themeColor="text1"/>
                <w:sz w:val="20"/>
                <w:szCs w:val="20"/>
              </w:rPr>
              <w:fldChar w:fldCharType="end"/>
            </w:r>
            <w:r w:rsidRPr="00F04141">
              <w:rPr>
                <w:rFonts w:ascii="Arial Narrow" w:eastAsia="Calibri" w:hAnsi="Arial Narrow" w:cs="Arial"/>
                <w:color w:val="000000" w:themeColor="text1"/>
                <w:sz w:val="20"/>
                <w:szCs w:val="20"/>
              </w:rPr>
              <w:t xml:space="preserve">Authority Required (STREAMLINED) </w:t>
            </w:r>
          </w:p>
        </w:tc>
      </w:tr>
      <w:tr w:rsidR="001613F7" w:rsidRPr="00F04141" w14:paraId="0DB3EEE7" w14:textId="77777777" w:rsidTr="00E26A85">
        <w:tblPrEx>
          <w:tblCellMar>
            <w:top w:w="15" w:type="dxa"/>
            <w:left w:w="15" w:type="dxa"/>
            <w:bottom w:w="15" w:type="dxa"/>
            <w:right w:w="15" w:type="dxa"/>
          </w:tblCellMar>
          <w:tblLook w:val="04A0" w:firstRow="1" w:lastRow="0" w:firstColumn="1" w:lastColumn="0" w:noHBand="0" w:noVBand="1"/>
        </w:tblPrEx>
        <w:tc>
          <w:tcPr>
            <w:tcW w:w="183" w:type="pct"/>
            <w:vMerge w:val="restart"/>
            <w:textDirection w:val="btLr"/>
            <w:vAlign w:val="center"/>
          </w:tcPr>
          <w:p w14:paraId="5137B891" w14:textId="77777777" w:rsidR="001613F7" w:rsidRPr="00F04141" w:rsidRDefault="001613F7" w:rsidP="00E26A85">
            <w:pPr>
              <w:spacing w:before="0" w:after="0"/>
              <w:ind w:left="113" w:right="113"/>
              <w:jc w:val="center"/>
              <w:rPr>
                <w:rFonts w:ascii="Arial Narrow" w:eastAsia="Times New Roman" w:hAnsi="Arial Narrow"/>
                <w:color w:val="000000" w:themeColor="text1"/>
                <w:sz w:val="20"/>
                <w:szCs w:val="20"/>
                <w:lang w:eastAsia="en-AU"/>
              </w:rPr>
            </w:pPr>
            <w:r w:rsidRPr="00F04141">
              <w:rPr>
                <w:rFonts w:ascii="Arial Narrow" w:eastAsia="Times New Roman" w:hAnsi="Arial Narrow"/>
                <w:color w:val="000000" w:themeColor="text1"/>
                <w:sz w:val="20"/>
                <w:szCs w:val="20"/>
                <w:lang w:eastAsia="en-AU"/>
              </w:rPr>
              <w:t>Prescribing rule level</w:t>
            </w:r>
          </w:p>
        </w:tc>
        <w:tc>
          <w:tcPr>
            <w:tcW w:w="359" w:type="pct"/>
            <w:vAlign w:val="center"/>
          </w:tcPr>
          <w:p w14:paraId="61B07FFF" w14:textId="0E24212C"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4B2B3400"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Administrative Advice:</w:t>
            </w:r>
          </w:p>
          <w:p w14:paraId="5376C016"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Cs/>
                <w:color w:val="000000" w:themeColor="text1"/>
                <w:sz w:val="20"/>
                <w:szCs w:val="20"/>
                <w:lang w:eastAsia="en-AU"/>
              </w:rPr>
              <w:t>No increase in the maximum quantity or number of units may be authorised.</w:t>
            </w:r>
          </w:p>
        </w:tc>
      </w:tr>
      <w:tr w:rsidR="001613F7" w:rsidRPr="00F04141" w14:paraId="2DCBC6E0" w14:textId="77777777" w:rsidTr="00E26A85">
        <w:tblPrEx>
          <w:tblCellMar>
            <w:top w:w="15" w:type="dxa"/>
            <w:left w:w="15" w:type="dxa"/>
            <w:bottom w:w="15" w:type="dxa"/>
            <w:right w:w="15" w:type="dxa"/>
          </w:tblCellMar>
          <w:tblLook w:val="04A0" w:firstRow="1" w:lastRow="0" w:firstColumn="1" w:lastColumn="0" w:noHBand="0" w:noVBand="1"/>
        </w:tblPrEx>
        <w:tc>
          <w:tcPr>
            <w:tcW w:w="183" w:type="pct"/>
            <w:vMerge/>
            <w:vAlign w:val="center"/>
          </w:tcPr>
          <w:p w14:paraId="4AE0BE67"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359" w:type="pct"/>
            <w:vAlign w:val="center"/>
          </w:tcPr>
          <w:p w14:paraId="2AF54EE2" w14:textId="1B19514E"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1FE0094C"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Administrative Advice:</w:t>
            </w:r>
          </w:p>
          <w:p w14:paraId="70D1703D"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Cs/>
                <w:color w:val="000000" w:themeColor="text1"/>
                <w:sz w:val="20"/>
                <w:szCs w:val="20"/>
                <w:lang w:eastAsia="en-AU"/>
              </w:rPr>
              <w:t>No increase in the maximum number of repeats may be authorised.</w:t>
            </w:r>
          </w:p>
        </w:tc>
      </w:tr>
      <w:tr w:rsidR="001613F7" w:rsidRPr="00F04141" w14:paraId="62835B09" w14:textId="77777777" w:rsidTr="00E26A85">
        <w:tblPrEx>
          <w:tblCellMar>
            <w:top w:w="15" w:type="dxa"/>
            <w:left w:w="15" w:type="dxa"/>
            <w:bottom w:w="15" w:type="dxa"/>
            <w:right w:w="15" w:type="dxa"/>
          </w:tblCellMar>
          <w:tblLook w:val="04A0" w:firstRow="1" w:lastRow="0" w:firstColumn="1" w:lastColumn="0" w:noHBand="0" w:noVBand="1"/>
        </w:tblPrEx>
        <w:trPr>
          <w:trHeight w:val="521"/>
        </w:trPr>
        <w:tc>
          <w:tcPr>
            <w:tcW w:w="183" w:type="pct"/>
            <w:vMerge/>
            <w:vAlign w:val="center"/>
          </w:tcPr>
          <w:p w14:paraId="7D995CCF"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359" w:type="pct"/>
            <w:vAlign w:val="center"/>
          </w:tcPr>
          <w:p w14:paraId="7F8A5E71" w14:textId="3550D948"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7A560EF5"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Administrative Advice:</w:t>
            </w:r>
          </w:p>
          <w:p w14:paraId="5288BB39"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Cs/>
                <w:color w:val="000000" w:themeColor="text1"/>
                <w:sz w:val="20"/>
                <w:szCs w:val="20"/>
                <w:lang w:eastAsia="en-AU"/>
              </w:rPr>
              <w:t>Special Pricing Arrangements apply</w:t>
            </w:r>
          </w:p>
        </w:tc>
      </w:tr>
      <w:tr w:rsidR="001613F7" w:rsidRPr="00F04141" w14:paraId="1F654043" w14:textId="77777777" w:rsidTr="00E26A85">
        <w:tblPrEx>
          <w:tblCellMar>
            <w:top w:w="15" w:type="dxa"/>
            <w:left w:w="15" w:type="dxa"/>
            <w:bottom w:w="15" w:type="dxa"/>
            <w:right w:w="15" w:type="dxa"/>
          </w:tblCellMar>
          <w:tblLook w:val="04A0" w:firstRow="1" w:lastRow="0" w:firstColumn="1" w:lastColumn="0" w:noHBand="0" w:noVBand="1"/>
        </w:tblPrEx>
        <w:trPr>
          <w:trHeight w:val="521"/>
        </w:trPr>
        <w:tc>
          <w:tcPr>
            <w:tcW w:w="183" w:type="pct"/>
            <w:vMerge/>
            <w:vAlign w:val="center"/>
          </w:tcPr>
          <w:p w14:paraId="64486699"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359" w:type="pct"/>
            <w:vAlign w:val="center"/>
          </w:tcPr>
          <w:p w14:paraId="4894DEDD" w14:textId="79AC5E9E"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1236919D"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Administrative Advice:</w:t>
            </w:r>
          </w:p>
          <w:p w14:paraId="527CF8E5"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Cs/>
                <w:color w:val="000000" w:themeColor="text1"/>
                <w:sz w:val="20"/>
                <w:szCs w:val="20"/>
                <w:lang w:eastAsia="en-AU"/>
              </w:rPr>
              <w:t>Patient should be treated with the recommended dose of pembrolizumab according to the TGA-approved Product Information.</w:t>
            </w:r>
          </w:p>
        </w:tc>
      </w:tr>
      <w:tr w:rsidR="001613F7" w:rsidRPr="00F04141" w14:paraId="35163341" w14:textId="77777777" w:rsidTr="001613F7">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0A5F005E" w14:textId="64B6CDD4"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799DC833"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Indication:</w:t>
            </w:r>
            <w:r w:rsidRPr="00F04141">
              <w:rPr>
                <w:rFonts w:ascii="Arial Narrow" w:eastAsia="Times New Roman" w:hAnsi="Arial Narrow"/>
                <w:color w:val="000000" w:themeColor="text1"/>
                <w:sz w:val="20"/>
                <w:szCs w:val="20"/>
                <w:lang w:eastAsia="en-AU"/>
              </w:rPr>
              <w:t xml:space="preserve"> </w:t>
            </w:r>
            <w:r w:rsidRPr="00F04141">
              <w:rPr>
                <w:rFonts w:ascii="Arial Narrow" w:eastAsia="Times New Roman" w:hAnsi="Arial Narrow"/>
                <w:bCs/>
                <w:color w:val="000000" w:themeColor="text1"/>
                <w:sz w:val="20"/>
                <w:szCs w:val="20"/>
                <w:lang w:eastAsia="en-AU"/>
              </w:rPr>
              <w:t xml:space="preserve">Recurrent or metastatic squamous cell carcinoma of the oral cavity, </w:t>
            </w:r>
            <w:proofErr w:type="gramStart"/>
            <w:r w:rsidRPr="00F04141">
              <w:rPr>
                <w:rFonts w:ascii="Arial Narrow" w:eastAsia="Times New Roman" w:hAnsi="Arial Narrow"/>
                <w:bCs/>
                <w:color w:val="000000" w:themeColor="text1"/>
                <w:sz w:val="20"/>
                <w:szCs w:val="20"/>
                <w:lang w:eastAsia="en-AU"/>
              </w:rPr>
              <w:t>pharynx</w:t>
            </w:r>
            <w:proofErr w:type="gramEnd"/>
            <w:r w:rsidRPr="00F04141">
              <w:rPr>
                <w:rFonts w:ascii="Arial Narrow" w:eastAsia="Times New Roman" w:hAnsi="Arial Narrow"/>
                <w:bCs/>
                <w:color w:val="000000" w:themeColor="text1"/>
                <w:sz w:val="20"/>
                <w:szCs w:val="20"/>
                <w:lang w:eastAsia="en-AU"/>
              </w:rPr>
              <w:t xml:space="preserve"> or larynx</w:t>
            </w:r>
          </w:p>
        </w:tc>
      </w:tr>
      <w:tr w:rsidR="001613F7" w:rsidRPr="00F04141" w14:paraId="5A9BB834" w14:textId="77777777" w:rsidTr="001613F7">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2FB91FA7"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6C0017BE"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Treatment Phase:</w:t>
            </w:r>
            <w:r w:rsidRPr="00F04141">
              <w:rPr>
                <w:rFonts w:ascii="Arial Narrow" w:eastAsia="Times New Roman" w:hAnsi="Arial Narrow"/>
                <w:color w:val="000000" w:themeColor="text1"/>
                <w:sz w:val="20"/>
                <w:szCs w:val="20"/>
                <w:lang w:eastAsia="en-AU"/>
              </w:rPr>
              <w:t xml:space="preserve"> </w:t>
            </w:r>
            <w:r w:rsidRPr="00F04141">
              <w:rPr>
                <w:rFonts w:ascii="Arial Narrow" w:eastAsia="Times New Roman" w:hAnsi="Arial Narrow"/>
                <w:bCs/>
                <w:color w:val="000000" w:themeColor="text1"/>
                <w:sz w:val="20"/>
                <w:szCs w:val="20"/>
                <w:lang w:eastAsia="en-AU"/>
              </w:rPr>
              <w:t>Initial treatment</w:t>
            </w:r>
          </w:p>
        </w:tc>
      </w:tr>
      <w:tr w:rsidR="001613F7" w:rsidRPr="00F04141" w14:paraId="199CEECB"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22F67730" w14:textId="540336B9"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64472D2C"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Clinical criteria:</w:t>
            </w:r>
          </w:p>
        </w:tc>
      </w:tr>
      <w:tr w:rsidR="001613F7" w:rsidRPr="00F04141" w14:paraId="13B16B0D"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34819440" w14:textId="1A5748F3"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6A211F0F"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Cs/>
                <w:color w:val="000000" w:themeColor="text1"/>
                <w:sz w:val="20"/>
                <w:szCs w:val="20"/>
                <w:lang w:eastAsia="en-AU"/>
              </w:rPr>
              <w:t>The condition must be incurable by local therapies in the locally advanced setting</w:t>
            </w:r>
          </w:p>
        </w:tc>
      </w:tr>
      <w:tr w:rsidR="001613F7" w:rsidRPr="00F04141" w14:paraId="5B7590FD"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18649B15"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669E216F"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AND</w:t>
            </w:r>
          </w:p>
        </w:tc>
      </w:tr>
      <w:tr w:rsidR="001613F7" w:rsidRPr="00F04141" w14:paraId="548B09E6"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484828CE"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13523A16" w14:textId="77777777" w:rsidR="001613F7" w:rsidRPr="00F04141" w:rsidRDefault="001613F7" w:rsidP="00E26A85">
            <w:pPr>
              <w:pStyle w:val="Tabletext0"/>
              <w:rPr>
                <w:rFonts w:cstheme="minorBidi"/>
                <w:bCs/>
                <w:color w:val="000000" w:themeColor="text1"/>
                <w:szCs w:val="20"/>
                <w:lang w:eastAsia="en-AU"/>
              </w:rPr>
            </w:pPr>
            <w:r w:rsidRPr="00F04141">
              <w:rPr>
                <w:b/>
                <w:bCs/>
                <w:color w:val="000000" w:themeColor="text1"/>
                <w:szCs w:val="20"/>
                <w:lang w:eastAsia="en-AU"/>
              </w:rPr>
              <w:t>Clinical criteria:</w:t>
            </w:r>
          </w:p>
        </w:tc>
      </w:tr>
      <w:tr w:rsidR="001613F7" w:rsidRPr="00F04141" w14:paraId="5B56AE77"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7507A753" w14:textId="219661C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41AB1523" w14:textId="77777777" w:rsidR="001613F7" w:rsidRPr="00F04141" w:rsidRDefault="001613F7" w:rsidP="00E26A85">
            <w:pPr>
              <w:pStyle w:val="Tabletext0"/>
              <w:rPr>
                <w:rFonts w:eastAsia="Calibri" w:cs="Calibri"/>
                <w:b/>
                <w:strike/>
                <w:color w:val="000000" w:themeColor="text1"/>
                <w:szCs w:val="20"/>
              </w:rPr>
            </w:pPr>
            <w:r w:rsidRPr="00F04141">
              <w:rPr>
                <w:rFonts w:cstheme="minorBidi"/>
                <w:bCs/>
                <w:color w:val="000000" w:themeColor="text1"/>
                <w:szCs w:val="20"/>
                <w:lang w:eastAsia="en-AU"/>
              </w:rPr>
              <w:t>Patient must not have had systemic therapy for this condition in the recurrent or metastatic setting prior to initiating PBS</w:t>
            </w:r>
            <w:r w:rsidRPr="00F04141">
              <w:rPr>
                <w:rFonts w:cstheme="minorBidi"/>
                <w:bCs/>
                <w:color w:val="000000" w:themeColor="text1"/>
                <w:szCs w:val="20"/>
                <w:lang w:eastAsia="en-AU"/>
              </w:rPr>
              <w:noBreakHyphen/>
              <w:t>subsidised treatment with this drug for this condition</w:t>
            </w:r>
            <w:r w:rsidRPr="00F04141">
              <w:rPr>
                <w:rFonts w:cs="Open Sans"/>
                <w:i/>
                <w:color w:val="000000" w:themeColor="text1"/>
                <w:szCs w:val="20"/>
              </w:rPr>
              <w:t xml:space="preserve"> </w:t>
            </w:r>
          </w:p>
        </w:tc>
      </w:tr>
      <w:tr w:rsidR="001613F7" w:rsidRPr="00F04141" w14:paraId="0FC16D5E"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276FE166"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0A26DB8D"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AND</w:t>
            </w:r>
          </w:p>
        </w:tc>
      </w:tr>
      <w:tr w:rsidR="001613F7" w:rsidRPr="00F04141" w14:paraId="74D57040"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0A8D6B05"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6E4F574F" w14:textId="77777777" w:rsidR="001613F7" w:rsidRPr="00F04141" w:rsidRDefault="001613F7" w:rsidP="00E26A85">
            <w:pPr>
              <w:spacing w:before="0" w:after="0"/>
              <w:rPr>
                <w:rFonts w:ascii="Arial Narrow" w:eastAsia="Calibri" w:hAnsi="Arial Narrow" w:cs="Calibri"/>
                <w:sz w:val="20"/>
                <w:szCs w:val="20"/>
              </w:rPr>
            </w:pPr>
            <w:r w:rsidRPr="00F04141">
              <w:rPr>
                <w:rFonts w:ascii="Arial Narrow" w:eastAsia="Times New Roman" w:hAnsi="Arial Narrow"/>
                <w:b/>
                <w:bCs/>
                <w:color w:val="000000" w:themeColor="text1"/>
                <w:sz w:val="20"/>
                <w:szCs w:val="20"/>
                <w:lang w:eastAsia="en-AU"/>
              </w:rPr>
              <w:t>Clinical criteria:</w:t>
            </w:r>
          </w:p>
        </w:tc>
      </w:tr>
      <w:tr w:rsidR="001613F7" w:rsidRPr="00F04141" w14:paraId="3A74526A"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3B403F83" w14:textId="2131DE6B"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2AD14C99"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Calibri" w:hAnsi="Arial Narrow" w:cs="Calibri"/>
                <w:sz w:val="20"/>
                <w:szCs w:val="20"/>
              </w:rPr>
              <w:t>Patient must not have experienced disease recurrence within 6 months of completion of systemic therapy if previously treated in the locally advanced setting</w:t>
            </w:r>
          </w:p>
        </w:tc>
      </w:tr>
      <w:tr w:rsidR="001613F7" w:rsidRPr="00F04141" w14:paraId="7D786EAE"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1B8A7544"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29C1737E"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 xml:space="preserve">AND </w:t>
            </w:r>
          </w:p>
        </w:tc>
      </w:tr>
      <w:tr w:rsidR="001613F7" w:rsidRPr="00F04141" w14:paraId="05AE1ABC"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103AF51C"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40D9FC3A"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Clinical criteria:</w:t>
            </w:r>
          </w:p>
        </w:tc>
      </w:tr>
      <w:tr w:rsidR="001613F7" w:rsidRPr="00F04141" w14:paraId="6AB8B07E"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034453BA" w14:textId="112E8185"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6F4CA73D"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Cs/>
                <w:color w:val="000000" w:themeColor="text1"/>
                <w:sz w:val="20"/>
                <w:szCs w:val="20"/>
                <w:lang w:eastAsia="en-AU"/>
              </w:rPr>
              <w:t>Patient must have had a WHO performance status of 0 or 1</w:t>
            </w:r>
          </w:p>
        </w:tc>
      </w:tr>
      <w:tr w:rsidR="001613F7" w:rsidRPr="00F04141" w14:paraId="0310D950"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4A57C0BE"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p>
        </w:tc>
        <w:tc>
          <w:tcPr>
            <w:tcW w:w="4458" w:type="pct"/>
            <w:gridSpan w:val="4"/>
            <w:vAlign w:val="center"/>
          </w:tcPr>
          <w:p w14:paraId="238A133D"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AND</w:t>
            </w:r>
          </w:p>
        </w:tc>
      </w:tr>
      <w:tr w:rsidR="001613F7" w:rsidRPr="00F04141" w14:paraId="54E8EBF8"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386D96D9" w14:textId="402B8C34"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5F40D2EE" w14:textId="77777777" w:rsidR="001613F7" w:rsidRPr="00F04141" w:rsidDel="00DA5383" w:rsidRDefault="001613F7" w:rsidP="00E26A85">
            <w:pPr>
              <w:spacing w:before="0" w:after="0"/>
              <w:rPr>
                <w:rFonts w:ascii="Arial Narrow" w:eastAsia="Times New Roman" w:hAnsi="Arial Narrow"/>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Clinical criteria:</w:t>
            </w:r>
          </w:p>
        </w:tc>
      </w:tr>
      <w:tr w:rsidR="001613F7" w:rsidRPr="00F04141" w14:paraId="1F687B67"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06B17E6F" w14:textId="61AE8C44"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624C2D08"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r w:rsidRPr="00F04141">
              <w:rPr>
                <w:rFonts w:ascii="Arial Narrow" w:eastAsia="Times New Roman" w:hAnsi="Arial Narrow"/>
                <w:bCs/>
                <w:color w:val="000000" w:themeColor="text1"/>
                <w:sz w:val="20"/>
                <w:szCs w:val="20"/>
                <w:lang w:eastAsia="en-AU"/>
              </w:rPr>
              <w:t xml:space="preserve"> The treatment must be either (</w:t>
            </w:r>
            <w:proofErr w:type="spellStart"/>
            <w:r w:rsidRPr="00F04141">
              <w:rPr>
                <w:rFonts w:ascii="Arial Narrow" w:eastAsia="Times New Roman" w:hAnsi="Arial Narrow"/>
                <w:bCs/>
                <w:color w:val="000000" w:themeColor="text1"/>
                <w:sz w:val="20"/>
                <w:szCs w:val="20"/>
                <w:lang w:eastAsia="en-AU"/>
              </w:rPr>
              <w:t>i</w:t>
            </w:r>
            <w:proofErr w:type="spellEnd"/>
            <w:r w:rsidRPr="00F04141">
              <w:rPr>
                <w:rFonts w:ascii="Arial Narrow" w:eastAsia="Times New Roman" w:hAnsi="Arial Narrow"/>
                <w:bCs/>
                <w:color w:val="000000" w:themeColor="text1"/>
                <w:sz w:val="20"/>
                <w:szCs w:val="20"/>
                <w:lang w:eastAsia="en-AU"/>
              </w:rPr>
              <w:t>) the sole PBS-subsidised therapy where the condition expresses programmed cell death ligand 1 (PD-L1) with a combined positive score (CPS) ≥20 in the tumour sample (ii) in combination with platinum-based chemotherapy, unless contraindicated or not tolerated</w:t>
            </w:r>
          </w:p>
        </w:tc>
      </w:tr>
      <w:tr w:rsidR="001613F7" w:rsidRPr="00F04141" w14:paraId="0C47FAEF"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0652DCB0"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33E8FD3E"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AND</w:t>
            </w:r>
          </w:p>
        </w:tc>
      </w:tr>
      <w:tr w:rsidR="001613F7" w:rsidRPr="00F04141" w14:paraId="1258148A"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40725A45" w14:textId="004803B2"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7DFDF2C9"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Clinical criteria:</w:t>
            </w:r>
          </w:p>
        </w:tc>
      </w:tr>
      <w:tr w:rsidR="001613F7" w:rsidRPr="00F04141" w14:paraId="0DA5141E"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5818AE00" w14:textId="65C261DC"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45D814DC"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r w:rsidRPr="00F04141">
              <w:rPr>
                <w:rFonts w:ascii="Arial Narrow" w:eastAsia="Times New Roman" w:hAnsi="Arial Narrow"/>
                <w:bCs/>
                <w:color w:val="000000" w:themeColor="text1"/>
                <w:sz w:val="20"/>
                <w:szCs w:val="20"/>
                <w:lang w:eastAsia="en-AU"/>
              </w:rPr>
              <w:t>The treatment must not exceed a total of 7 doses under this restriction</w:t>
            </w:r>
          </w:p>
        </w:tc>
      </w:tr>
      <w:tr w:rsidR="001613F7" w:rsidRPr="00F04141" w14:paraId="5E911BF2" w14:textId="77777777" w:rsidTr="001613F7">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11016E5C" w14:textId="6D31167A"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7EF38062"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 xml:space="preserve">Administrative Advice: </w:t>
            </w:r>
            <w:r w:rsidRPr="00F04141">
              <w:rPr>
                <w:rFonts w:ascii="Arial Narrow" w:eastAsia="Times New Roman" w:hAnsi="Arial Narrow"/>
                <w:bCs/>
                <w:color w:val="000000" w:themeColor="text1"/>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1613F7" w:rsidRPr="00F04141" w14:paraId="1DB3E8D3" w14:textId="77777777" w:rsidTr="00E26A85">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FEA05ED"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p>
          <w:p w14:paraId="4FF24E55"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p>
        </w:tc>
      </w:tr>
      <w:tr w:rsidR="001613F7" w:rsidRPr="00F04141" w14:paraId="4CD7BF07" w14:textId="77777777" w:rsidTr="00E26A85">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9F7A73E"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Restriction Summary [new] / Treatment of Concept: [new]</w:t>
            </w:r>
          </w:p>
        </w:tc>
      </w:tr>
      <w:tr w:rsidR="001613F7" w:rsidRPr="00F04141" w14:paraId="670FA436"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hideMark/>
          </w:tcPr>
          <w:p w14:paraId="0BC850A7"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1ECAD9BB"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Treatment Phase:</w:t>
            </w:r>
            <w:r w:rsidRPr="00F04141">
              <w:rPr>
                <w:rFonts w:ascii="Arial Narrow" w:eastAsia="Times New Roman" w:hAnsi="Arial Narrow"/>
                <w:color w:val="000000" w:themeColor="text1"/>
                <w:sz w:val="20"/>
                <w:szCs w:val="20"/>
                <w:lang w:eastAsia="en-AU"/>
              </w:rPr>
              <w:t xml:space="preserve"> Continuing treatment </w:t>
            </w:r>
          </w:p>
        </w:tc>
      </w:tr>
      <w:tr w:rsidR="001613F7" w:rsidRPr="00F04141" w14:paraId="0D0736A9"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5E1B9E2E" w14:textId="0F384195"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6490407F" w14:textId="77777777" w:rsidR="001613F7" w:rsidRPr="00F04141" w:rsidRDefault="001613F7" w:rsidP="00E26A85">
            <w:pPr>
              <w:spacing w:before="0" w:after="0"/>
              <w:jc w:val="left"/>
              <w:rPr>
                <w:rFonts w:ascii="Arial Narrow" w:eastAsia="Times New Roman" w:hAnsi="Arial Narrow"/>
                <w:b/>
                <w:color w:val="000000" w:themeColor="text1"/>
                <w:sz w:val="20"/>
                <w:szCs w:val="20"/>
                <w:lang w:eastAsia="en-AU"/>
              </w:rPr>
            </w:pPr>
            <w:r w:rsidRPr="00F04141">
              <w:rPr>
                <w:rFonts w:ascii="Arial Narrow" w:eastAsia="Times New Roman" w:hAnsi="Arial Narrow"/>
                <w:b/>
                <w:color w:val="000000" w:themeColor="text1"/>
                <w:sz w:val="20"/>
                <w:szCs w:val="20"/>
                <w:lang w:eastAsia="en-AU"/>
              </w:rPr>
              <w:t>Clinical criteria:</w:t>
            </w:r>
          </w:p>
        </w:tc>
      </w:tr>
      <w:tr w:rsidR="001613F7" w:rsidRPr="00F04141" w14:paraId="7130AD72"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68C8A1CC" w14:textId="7C389CF5"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73F3F5FC" w14:textId="77777777" w:rsidR="001613F7" w:rsidRPr="00F04141" w:rsidRDefault="001613F7" w:rsidP="00E26A85">
            <w:pPr>
              <w:spacing w:before="0" w:after="0"/>
              <w:jc w:val="left"/>
              <w:rPr>
                <w:rFonts w:ascii="Arial Narrow" w:eastAsia="Times New Roman" w:hAnsi="Arial Narrow"/>
                <w:color w:val="000000" w:themeColor="text1"/>
                <w:sz w:val="20"/>
                <w:szCs w:val="20"/>
                <w:lang w:eastAsia="en-AU"/>
              </w:rPr>
            </w:pPr>
            <w:r w:rsidRPr="00F04141">
              <w:rPr>
                <w:rFonts w:ascii="Arial Narrow" w:eastAsia="Times New Roman" w:hAnsi="Arial Narrow"/>
                <w:color w:val="000000" w:themeColor="text1"/>
                <w:sz w:val="20"/>
                <w:szCs w:val="20"/>
                <w:lang w:eastAsia="en-AU"/>
              </w:rPr>
              <w:t>Patient must have previously received PBS-subsidised treatment with this drug for this condition</w:t>
            </w:r>
          </w:p>
        </w:tc>
      </w:tr>
      <w:tr w:rsidR="001613F7" w:rsidRPr="00F04141" w14:paraId="4E64843C"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737AD3A4"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4A1623B4" w14:textId="77777777" w:rsidR="001613F7" w:rsidRPr="00F04141" w:rsidRDefault="001613F7" w:rsidP="00E26A85">
            <w:pPr>
              <w:spacing w:before="0" w:after="0"/>
              <w:jc w:val="left"/>
              <w:rPr>
                <w:rFonts w:ascii="Arial Narrow" w:eastAsia="Times New Roman" w:hAnsi="Arial Narrow"/>
                <w:b/>
                <w:color w:val="000000" w:themeColor="text1"/>
                <w:sz w:val="20"/>
                <w:szCs w:val="20"/>
                <w:lang w:eastAsia="en-AU"/>
              </w:rPr>
            </w:pPr>
            <w:r w:rsidRPr="00F04141">
              <w:rPr>
                <w:rFonts w:ascii="Arial Narrow" w:eastAsia="Times New Roman" w:hAnsi="Arial Narrow"/>
                <w:b/>
                <w:color w:val="000000" w:themeColor="text1"/>
                <w:sz w:val="20"/>
                <w:szCs w:val="20"/>
                <w:lang w:eastAsia="en-AU"/>
              </w:rPr>
              <w:t>AND</w:t>
            </w:r>
          </w:p>
        </w:tc>
      </w:tr>
      <w:tr w:rsidR="001613F7" w:rsidRPr="00F04141" w14:paraId="14E9F689"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0131D575" w14:textId="22EA6D2C"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6FD68CF1" w14:textId="77777777" w:rsidR="001613F7" w:rsidRPr="00F04141" w:rsidRDefault="001613F7" w:rsidP="00E26A85">
            <w:pPr>
              <w:spacing w:before="0" w:after="0"/>
              <w:jc w:val="left"/>
              <w:rPr>
                <w:rFonts w:ascii="Arial Narrow" w:eastAsia="Times New Roman" w:hAnsi="Arial Narrow"/>
                <w:b/>
                <w:color w:val="000000" w:themeColor="text1"/>
                <w:sz w:val="20"/>
                <w:szCs w:val="20"/>
                <w:lang w:eastAsia="en-AU"/>
              </w:rPr>
            </w:pPr>
            <w:r w:rsidRPr="00F04141">
              <w:rPr>
                <w:rFonts w:ascii="Arial Narrow" w:eastAsia="Times New Roman" w:hAnsi="Arial Narrow"/>
                <w:b/>
                <w:color w:val="000000" w:themeColor="text1"/>
                <w:sz w:val="20"/>
                <w:szCs w:val="20"/>
                <w:lang w:eastAsia="en-AU"/>
              </w:rPr>
              <w:t>Clinical criteria:</w:t>
            </w:r>
          </w:p>
        </w:tc>
      </w:tr>
      <w:tr w:rsidR="001613F7" w:rsidRPr="00F04141" w14:paraId="387B1ED0"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6EA3A3E2" w14:textId="166B08BA"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16D30532" w14:textId="77777777" w:rsidR="001613F7" w:rsidRPr="00F04141" w:rsidRDefault="001613F7" w:rsidP="00E26A85">
            <w:pPr>
              <w:spacing w:before="0" w:after="0"/>
              <w:jc w:val="left"/>
              <w:rPr>
                <w:rFonts w:ascii="Arial Narrow" w:eastAsia="Times New Roman" w:hAnsi="Arial Narrow"/>
                <w:color w:val="000000" w:themeColor="text1"/>
                <w:sz w:val="20"/>
                <w:szCs w:val="20"/>
                <w:lang w:eastAsia="en-AU"/>
              </w:rPr>
            </w:pPr>
            <w:r w:rsidRPr="00F04141">
              <w:rPr>
                <w:rFonts w:ascii="Arial Narrow" w:eastAsia="Times New Roman" w:hAnsi="Arial Narrow"/>
                <w:color w:val="000000" w:themeColor="text1"/>
                <w:sz w:val="20"/>
                <w:szCs w:val="20"/>
                <w:lang w:eastAsia="en-AU"/>
              </w:rPr>
              <w:t>Patient must not have developed disease progression while being treated with this drug for this condition</w:t>
            </w:r>
          </w:p>
        </w:tc>
      </w:tr>
      <w:tr w:rsidR="001613F7" w:rsidRPr="00F04141" w14:paraId="3FE6350B"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6659EE9F"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23243A88" w14:textId="77777777" w:rsidR="001613F7" w:rsidRPr="00F04141" w:rsidRDefault="001613F7" w:rsidP="00E26A85">
            <w:pPr>
              <w:spacing w:before="0" w:after="0"/>
              <w:jc w:val="left"/>
              <w:rPr>
                <w:rFonts w:ascii="Arial Narrow" w:eastAsia="Times New Roman" w:hAnsi="Arial Narrow"/>
                <w:b/>
                <w:color w:val="000000" w:themeColor="text1"/>
                <w:sz w:val="20"/>
                <w:szCs w:val="20"/>
                <w:lang w:eastAsia="en-AU"/>
              </w:rPr>
            </w:pPr>
            <w:r w:rsidRPr="00F04141">
              <w:rPr>
                <w:rFonts w:ascii="Arial Narrow" w:eastAsia="Times New Roman" w:hAnsi="Arial Narrow"/>
                <w:b/>
                <w:color w:val="000000" w:themeColor="text1"/>
                <w:sz w:val="20"/>
                <w:szCs w:val="20"/>
                <w:lang w:eastAsia="en-AU"/>
              </w:rPr>
              <w:t>AND</w:t>
            </w:r>
          </w:p>
        </w:tc>
      </w:tr>
      <w:tr w:rsidR="001613F7" w:rsidRPr="00F04141" w14:paraId="77A9C47C"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7D8DC554"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42D81BA8" w14:textId="77777777" w:rsidR="001613F7" w:rsidRPr="00F04141" w:rsidRDefault="001613F7" w:rsidP="00E26A85">
            <w:pPr>
              <w:spacing w:before="0" w:after="0"/>
              <w:jc w:val="left"/>
              <w:rPr>
                <w:rFonts w:ascii="Arial Narrow" w:eastAsia="Times New Roman" w:hAnsi="Arial Narrow"/>
                <w:b/>
                <w:color w:val="000000" w:themeColor="text1"/>
                <w:sz w:val="20"/>
                <w:szCs w:val="20"/>
                <w:lang w:eastAsia="en-AU"/>
              </w:rPr>
            </w:pPr>
            <w:r w:rsidRPr="00F04141">
              <w:rPr>
                <w:rFonts w:ascii="Arial Narrow" w:eastAsia="Times New Roman" w:hAnsi="Arial Narrow"/>
                <w:b/>
                <w:color w:val="000000" w:themeColor="text1"/>
                <w:sz w:val="20"/>
                <w:szCs w:val="20"/>
                <w:lang w:eastAsia="en-AU"/>
              </w:rPr>
              <w:t>Clinical criteria:</w:t>
            </w:r>
          </w:p>
        </w:tc>
      </w:tr>
      <w:tr w:rsidR="001613F7" w:rsidRPr="00F04141" w14:paraId="193EB1A8"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46E3BBB0"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29A4257B" w14:textId="77777777" w:rsidR="001613F7" w:rsidRPr="00F04141" w:rsidRDefault="001613F7" w:rsidP="00E26A85">
            <w:pPr>
              <w:spacing w:before="0" w:after="0"/>
              <w:jc w:val="left"/>
              <w:rPr>
                <w:rFonts w:ascii="Arial Narrow" w:eastAsia="Times New Roman" w:hAnsi="Arial Narrow"/>
                <w:color w:val="000000" w:themeColor="text1"/>
                <w:sz w:val="20"/>
                <w:szCs w:val="20"/>
                <w:lang w:eastAsia="en-AU"/>
              </w:rPr>
            </w:pPr>
            <w:r w:rsidRPr="00F04141">
              <w:rPr>
                <w:rFonts w:ascii="Arial Narrow" w:eastAsia="Times New Roman" w:hAnsi="Arial Narrow"/>
                <w:color w:val="000000" w:themeColor="text1"/>
                <w:sz w:val="20"/>
                <w:szCs w:val="20"/>
                <w:lang w:eastAsia="en-AU"/>
              </w:rPr>
              <w:t xml:space="preserve"> </w:t>
            </w:r>
            <w:r w:rsidRPr="00F04141">
              <w:rPr>
                <w:rFonts w:ascii="Arial Narrow" w:hAnsi="Arial Narrow"/>
                <w:sz w:val="20"/>
                <w:szCs w:val="20"/>
              </w:rPr>
              <w:t>The treatment must not exceed a total of 35 doses or up to 24 months of combined initial and continuing treatment in a lifetime for this condition whichever comes first</w:t>
            </w:r>
          </w:p>
        </w:tc>
      </w:tr>
      <w:tr w:rsidR="001613F7" w:rsidRPr="00F04141" w14:paraId="2C7CA5EE" w14:textId="77777777" w:rsidTr="00E26A85">
        <w:tblPrEx>
          <w:tblCellMar>
            <w:top w:w="15" w:type="dxa"/>
            <w:left w:w="15" w:type="dxa"/>
            <w:bottom w:w="15" w:type="dxa"/>
            <w:right w:w="15" w:type="dxa"/>
          </w:tblCellMar>
          <w:tblLook w:val="04A0" w:firstRow="1" w:lastRow="0" w:firstColumn="1" w:lastColumn="0" w:noHBand="0" w:noVBand="1"/>
        </w:tblPrEx>
        <w:tc>
          <w:tcPr>
            <w:tcW w:w="5000" w:type="pct"/>
            <w:gridSpan w:val="6"/>
            <w:tcBorders>
              <w:bottom w:val="single" w:sz="4" w:space="0" w:color="auto"/>
            </w:tcBorders>
            <w:vAlign w:val="center"/>
          </w:tcPr>
          <w:p w14:paraId="153248EF"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p>
          <w:p w14:paraId="4524B691"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p>
        </w:tc>
      </w:tr>
      <w:tr w:rsidR="001613F7" w:rsidRPr="00F04141" w14:paraId="39CEACE2" w14:textId="77777777" w:rsidTr="00E26A85">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4F6595A" w14:textId="77777777" w:rsidR="001613F7" w:rsidRPr="00F04141" w:rsidRDefault="001613F7" w:rsidP="00E26A85">
            <w:pPr>
              <w:spacing w:before="0" w:after="0"/>
              <w:rPr>
                <w:rFonts w:ascii="Arial Narrow" w:eastAsia="Times New Roman" w:hAnsi="Arial Narrow"/>
                <w:b/>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Restriction Summary [new] / Treatment of Concept: [new]</w:t>
            </w:r>
          </w:p>
        </w:tc>
      </w:tr>
      <w:tr w:rsidR="001613F7" w:rsidRPr="00F04141" w14:paraId="768240EC"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hideMark/>
          </w:tcPr>
          <w:p w14:paraId="48CB361D"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hideMark/>
          </w:tcPr>
          <w:p w14:paraId="36E7D279" w14:textId="77777777" w:rsidR="001613F7" w:rsidRPr="00F04141" w:rsidRDefault="001613F7" w:rsidP="00E26A85">
            <w:pPr>
              <w:spacing w:before="0" w:after="0"/>
              <w:rPr>
                <w:rFonts w:ascii="Arial Narrow" w:eastAsia="Times New Roman" w:hAnsi="Arial Narrow"/>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Treatment Phase:</w:t>
            </w:r>
            <w:r w:rsidRPr="00F04141">
              <w:rPr>
                <w:rFonts w:ascii="Arial Narrow" w:eastAsia="Times New Roman" w:hAnsi="Arial Narrow"/>
                <w:color w:val="000000" w:themeColor="text1"/>
                <w:sz w:val="20"/>
                <w:szCs w:val="20"/>
                <w:lang w:eastAsia="en-AU"/>
              </w:rPr>
              <w:t xml:space="preserve"> Transitioning from non-PBS to PBS-subsidised supply - Grandfather arrangements</w:t>
            </w:r>
          </w:p>
        </w:tc>
      </w:tr>
      <w:tr w:rsidR="001613F7" w:rsidRPr="00F04141" w14:paraId="2E067B5A"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7E019D2F" w14:textId="233A95F3"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1EF8133B"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Clinical criteria:</w:t>
            </w:r>
          </w:p>
        </w:tc>
      </w:tr>
      <w:tr w:rsidR="001613F7" w:rsidRPr="00F04141" w14:paraId="33E5F6B3"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49B6F905" w14:textId="19973E9B"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0B7C200B" w14:textId="77777777" w:rsidR="001613F7" w:rsidRPr="00F04141" w:rsidRDefault="001613F7" w:rsidP="00E26A85">
            <w:pPr>
              <w:pStyle w:val="Tabletext0"/>
              <w:rPr>
                <w:rFonts w:cstheme="minorBidi"/>
                <w:color w:val="000000" w:themeColor="text1"/>
                <w:szCs w:val="20"/>
                <w:lang w:eastAsia="en-AU"/>
              </w:rPr>
            </w:pPr>
            <w:r w:rsidRPr="00F04141">
              <w:rPr>
                <w:rFonts w:cstheme="minorBidi"/>
                <w:color w:val="000000" w:themeColor="text1"/>
                <w:szCs w:val="20"/>
                <w:lang w:eastAsia="en-AU"/>
              </w:rPr>
              <w:t xml:space="preserve">Patient must have previously received non-PBS subsidised treatment with this drug for this condition prior to [listing date] </w:t>
            </w:r>
          </w:p>
        </w:tc>
      </w:tr>
      <w:tr w:rsidR="001613F7" w:rsidRPr="00F04141" w14:paraId="55450B76"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18360D6B"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6CAD73EC"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AND</w:t>
            </w:r>
          </w:p>
        </w:tc>
      </w:tr>
      <w:tr w:rsidR="001613F7" w:rsidRPr="00F04141" w14:paraId="441E593D"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54D588E7"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1EF1FA5C" w14:textId="77777777" w:rsidR="001613F7" w:rsidRPr="00F04141" w:rsidRDefault="001613F7" w:rsidP="00E26A85">
            <w:pPr>
              <w:pStyle w:val="Tabletext0"/>
              <w:rPr>
                <w:rFonts w:cstheme="minorBidi"/>
                <w:color w:val="000000" w:themeColor="text1"/>
                <w:szCs w:val="20"/>
                <w:lang w:eastAsia="en-AU"/>
              </w:rPr>
            </w:pPr>
            <w:r w:rsidRPr="00F04141">
              <w:rPr>
                <w:b/>
                <w:bCs/>
                <w:color w:val="000000" w:themeColor="text1"/>
                <w:szCs w:val="20"/>
                <w:lang w:eastAsia="en-AU"/>
              </w:rPr>
              <w:t>Clinical criteria:</w:t>
            </w:r>
          </w:p>
        </w:tc>
      </w:tr>
      <w:tr w:rsidR="001613F7" w:rsidRPr="00F04141" w14:paraId="6F1DB212"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5B524D61" w14:textId="5A49840B"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7F6F625E" w14:textId="77777777" w:rsidR="001613F7" w:rsidRPr="00F04141" w:rsidRDefault="001613F7" w:rsidP="00E26A85">
            <w:pPr>
              <w:pStyle w:val="Tabletext0"/>
              <w:rPr>
                <w:rFonts w:cstheme="minorBidi"/>
                <w:color w:val="000000" w:themeColor="text1"/>
                <w:szCs w:val="20"/>
                <w:lang w:eastAsia="en-AU"/>
              </w:rPr>
            </w:pPr>
            <w:r w:rsidRPr="00F04141">
              <w:rPr>
                <w:rFonts w:cstheme="minorBidi"/>
                <w:color w:val="000000" w:themeColor="text1"/>
                <w:szCs w:val="20"/>
                <w:lang w:eastAsia="en-AU"/>
              </w:rPr>
              <w:t xml:space="preserve">Patient must not have had systemic therapy for this condition in the recurrent or metastatic setting prior to initiating </w:t>
            </w:r>
            <w:proofErr w:type="gramStart"/>
            <w:r w:rsidRPr="00F04141">
              <w:rPr>
                <w:rFonts w:cstheme="minorBidi"/>
                <w:color w:val="000000" w:themeColor="text1"/>
                <w:szCs w:val="20"/>
                <w:lang w:eastAsia="en-AU"/>
              </w:rPr>
              <w:t>non PBS</w:t>
            </w:r>
            <w:proofErr w:type="gramEnd"/>
            <w:r w:rsidRPr="00F04141">
              <w:rPr>
                <w:rFonts w:cstheme="minorBidi"/>
                <w:color w:val="000000" w:themeColor="text1"/>
                <w:szCs w:val="20"/>
                <w:lang w:eastAsia="en-AU"/>
              </w:rPr>
              <w:t>-subsidised treatment with this drug for this condition;</w:t>
            </w:r>
          </w:p>
        </w:tc>
      </w:tr>
      <w:tr w:rsidR="001613F7" w:rsidRPr="00F04141" w14:paraId="6E20E5AC"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61455B8A"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3CD5B8D7"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 xml:space="preserve">AND </w:t>
            </w:r>
          </w:p>
        </w:tc>
      </w:tr>
      <w:tr w:rsidR="001613F7" w:rsidRPr="00F04141" w14:paraId="2211E1B7"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7F17E1F4"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52445230" w14:textId="77777777" w:rsidR="001613F7" w:rsidRPr="00F04141" w:rsidRDefault="001613F7" w:rsidP="00E26A85">
            <w:pPr>
              <w:pStyle w:val="Tabletext0"/>
              <w:rPr>
                <w:rFonts w:cstheme="minorBidi"/>
                <w:color w:val="000000" w:themeColor="text1"/>
                <w:szCs w:val="20"/>
                <w:lang w:eastAsia="en-AU"/>
              </w:rPr>
            </w:pPr>
            <w:r w:rsidRPr="00F04141">
              <w:rPr>
                <w:b/>
                <w:bCs/>
                <w:color w:val="000000" w:themeColor="text1"/>
                <w:szCs w:val="20"/>
                <w:lang w:eastAsia="en-AU"/>
              </w:rPr>
              <w:t>Clinical criteria:</w:t>
            </w:r>
          </w:p>
        </w:tc>
      </w:tr>
      <w:tr w:rsidR="001613F7" w:rsidRPr="00F04141" w14:paraId="3026DFA6"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230D0100" w14:textId="515B7BA0"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44EC1678" w14:textId="77777777" w:rsidR="001613F7" w:rsidRPr="00F04141" w:rsidRDefault="001613F7" w:rsidP="00E26A85">
            <w:pPr>
              <w:pStyle w:val="Tabletext0"/>
              <w:rPr>
                <w:rFonts w:cstheme="minorBidi"/>
                <w:color w:val="000000" w:themeColor="text1"/>
                <w:szCs w:val="20"/>
                <w:lang w:eastAsia="en-AU"/>
              </w:rPr>
            </w:pPr>
            <w:r w:rsidRPr="00F04141">
              <w:rPr>
                <w:rFonts w:cstheme="minorBidi"/>
                <w:color w:val="000000" w:themeColor="text1"/>
                <w:szCs w:val="20"/>
                <w:lang w:eastAsia="en-AU"/>
              </w:rPr>
              <w:t>Patient must not have experienced disease recurrence within 6 months of completion of systemic therapy if treated in the locally advanced setting prior to non-PBS subsidised treatment with this drug for this condition</w:t>
            </w:r>
          </w:p>
        </w:tc>
      </w:tr>
      <w:tr w:rsidR="001613F7" w:rsidRPr="00F04141" w14:paraId="2E3225D2"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5E5EA5EA"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700FEE34"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AND</w:t>
            </w:r>
          </w:p>
        </w:tc>
      </w:tr>
      <w:tr w:rsidR="001613F7" w:rsidRPr="00F04141" w14:paraId="048FA128"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54E1B68A" w14:textId="3DA29CF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vAlign w:val="center"/>
          </w:tcPr>
          <w:p w14:paraId="7224B062"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r w:rsidRPr="00F04141">
              <w:rPr>
                <w:rFonts w:ascii="Arial Narrow" w:eastAsia="Times New Roman" w:hAnsi="Arial Narrow"/>
                <w:b/>
                <w:bCs/>
                <w:color w:val="000000" w:themeColor="text1"/>
                <w:sz w:val="20"/>
                <w:szCs w:val="20"/>
                <w:lang w:eastAsia="en-AU"/>
              </w:rPr>
              <w:t>Clinical criteria:</w:t>
            </w:r>
          </w:p>
        </w:tc>
      </w:tr>
      <w:tr w:rsidR="001613F7" w:rsidRPr="00F04141" w14:paraId="2A42582A"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15263142"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r w:rsidRPr="00F04141">
              <w:rPr>
                <w:rFonts w:ascii="Arial Narrow" w:eastAsia="Times New Roman" w:hAnsi="Arial Narrow"/>
                <w:color w:val="000000" w:themeColor="text1"/>
                <w:sz w:val="20"/>
                <w:szCs w:val="20"/>
                <w:lang w:eastAsia="en-AU"/>
              </w:rPr>
              <w:lastRenderedPageBreak/>
              <w:t>New</w:t>
            </w:r>
          </w:p>
        </w:tc>
        <w:tc>
          <w:tcPr>
            <w:tcW w:w="4458" w:type="pct"/>
            <w:gridSpan w:val="4"/>
            <w:vAlign w:val="center"/>
          </w:tcPr>
          <w:p w14:paraId="753C6D84" w14:textId="77777777" w:rsidR="001613F7" w:rsidRPr="00F04141" w:rsidRDefault="001613F7" w:rsidP="00E26A85">
            <w:pPr>
              <w:spacing w:before="0" w:after="0"/>
              <w:rPr>
                <w:rFonts w:ascii="Arial Narrow" w:eastAsia="Times New Roman" w:hAnsi="Arial Narrow"/>
                <w:bCs/>
                <w:color w:val="000000" w:themeColor="text1"/>
                <w:sz w:val="20"/>
                <w:szCs w:val="20"/>
                <w:lang w:eastAsia="en-AU"/>
              </w:rPr>
            </w:pPr>
            <w:r w:rsidRPr="00F04141">
              <w:rPr>
                <w:rFonts w:ascii="Arial Narrow" w:eastAsia="Times New Roman" w:hAnsi="Arial Narrow"/>
                <w:bCs/>
                <w:color w:val="000000" w:themeColor="text1"/>
                <w:sz w:val="20"/>
                <w:szCs w:val="20"/>
                <w:lang w:eastAsia="en-AU"/>
              </w:rPr>
              <w:t xml:space="preserve"> The treatment must be either (</w:t>
            </w:r>
            <w:proofErr w:type="spellStart"/>
            <w:r w:rsidRPr="00F04141">
              <w:rPr>
                <w:rFonts w:ascii="Arial Narrow" w:eastAsia="Times New Roman" w:hAnsi="Arial Narrow"/>
                <w:bCs/>
                <w:color w:val="000000" w:themeColor="text1"/>
                <w:sz w:val="20"/>
                <w:szCs w:val="20"/>
                <w:lang w:eastAsia="en-AU"/>
              </w:rPr>
              <w:t>i</w:t>
            </w:r>
            <w:proofErr w:type="spellEnd"/>
            <w:r w:rsidRPr="00F04141">
              <w:rPr>
                <w:rFonts w:ascii="Arial Narrow" w:eastAsia="Times New Roman" w:hAnsi="Arial Narrow"/>
                <w:bCs/>
                <w:color w:val="000000" w:themeColor="text1"/>
                <w:sz w:val="20"/>
                <w:szCs w:val="20"/>
                <w:lang w:eastAsia="en-AU"/>
              </w:rPr>
              <w:t xml:space="preserve">) the sole PBS-subsidised therapy where the condition expresses programmed cell death ligand 1 (PD-L1) with a combined positive score (CPS) ≥20 in the tumour sample (ii) in combination with </w:t>
            </w:r>
            <w:proofErr w:type="gramStart"/>
            <w:r w:rsidRPr="00F04141">
              <w:rPr>
                <w:rFonts w:ascii="Arial Narrow" w:eastAsia="Times New Roman" w:hAnsi="Arial Narrow"/>
                <w:bCs/>
                <w:color w:val="000000" w:themeColor="text1"/>
                <w:sz w:val="20"/>
                <w:szCs w:val="20"/>
                <w:lang w:eastAsia="en-AU"/>
              </w:rPr>
              <w:t>platinum based</w:t>
            </w:r>
            <w:proofErr w:type="gramEnd"/>
            <w:r w:rsidRPr="00F04141">
              <w:rPr>
                <w:rFonts w:ascii="Arial Narrow" w:eastAsia="Times New Roman" w:hAnsi="Arial Narrow"/>
                <w:bCs/>
                <w:color w:val="000000" w:themeColor="text1"/>
                <w:sz w:val="20"/>
                <w:szCs w:val="20"/>
                <w:lang w:eastAsia="en-AU"/>
              </w:rPr>
              <w:t xml:space="preserve"> chemotherapy, unless contraindicated or not tolerated</w:t>
            </w:r>
          </w:p>
        </w:tc>
      </w:tr>
      <w:tr w:rsidR="001613F7" w:rsidRPr="00F04141" w14:paraId="5BD932F0"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4E3D1CCC"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19869A46"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AND</w:t>
            </w:r>
          </w:p>
        </w:tc>
      </w:tr>
      <w:tr w:rsidR="001613F7" w:rsidRPr="00F04141" w14:paraId="2BB33586"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36841447" w14:textId="226C828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040AC1A3"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Clinical criteria:</w:t>
            </w:r>
          </w:p>
        </w:tc>
      </w:tr>
      <w:tr w:rsidR="001613F7" w:rsidRPr="00F04141" w14:paraId="764491F4"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15192F12" w14:textId="37D843DE"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022F93C5" w14:textId="77777777" w:rsidR="001613F7" w:rsidRPr="00F04141" w:rsidRDefault="001613F7" w:rsidP="00E26A85">
            <w:pPr>
              <w:pStyle w:val="Tabletext0"/>
              <w:rPr>
                <w:rFonts w:cstheme="minorBidi"/>
                <w:color w:val="000000" w:themeColor="text1"/>
                <w:szCs w:val="20"/>
                <w:lang w:eastAsia="en-AU"/>
              </w:rPr>
            </w:pPr>
            <w:r w:rsidRPr="00F04141">
              <w:rPr>
                <w:rFonts w:cstheme="minorBidi"/>
                <w:color w:val="000000" w:themeColor="text1"/>
                <w:szCs w:val="20"/>
                <w:lang w:eastAsia="en-AU"/>
              </w:rPr>
              <w:t>Patient must not have developed disease progression while being treated with this drug for this condition</w:t>
            </w:r>
          </w:p>
        </w:tc>
      </w:tr>
      <w:tr w:rsidR="001613F7" w:rsidRPr="00F04141" w14:paraId="470865DD"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3FA02FFC" w14:textId="7777777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7F5DA824"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AND</w:t>
            </w:r>
          </w:p>
        </w:tc>
      </w:tr>
      <w:tr w:rsidR="001613F7" w:rsidRPr="00F04141" w14:paraId="7A8C99EE"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2838A1A2" w14:textId="7EB078C8"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1F9D8F3B"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Clinical criteria:</w:t>
            </w:r>
          </w:p>
        </w:tc>
      </w:tr>
      <w:tr w:rsidR="001613F7" w:rsidRPr="00F04141" w14:paraId="01D1E511"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7EFA34F2" w14:textId="53168864"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5FCE20EC" w14:textId="77777777" w:rsidR="001613F7" w:rsidRPr="00F04141" w:rsidRDefault="001613F7" w:rsidP="00E26A85">
            <w:pPr>
              <w:pStyle w:val="Tabletext0"/>
              <w:rPr>
                <w:rFonts w:cstheme="minorBidi"/>
                <w:color w:val="000000" w:themeColor="text1"/>
                <w:szCs w:val="20"/>
                <w:lang w:eastAsia="en-AU"/>
              </w:rPr>
            </w:pPr>
            <w:r w:rsidRPr="00F04141">
              <w:rPr>
                <w:rFonts w:cstheme="minorBidi"/>
                <w:color w:val="000000" w:themeColor="text1"/>
                <w:szCs w:val="20"/>
                <w:lang w:eastAsia="en-AU"/>
              </w:rPr>
              <w:t>Patient must have had a WHO performance status of 0 or 1 prior to initiation of non-PBS-subsidised treatment with this drug for this condition</w:t>
            </w:r>
          </w:p>
        </w:tc>
      </w:tr>
      <w:tr w:rsidR="001613F7" w:rsidRPr="00F04141" w14:paraId="3382C4F9"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6C4D5CCB" w14:textId="77777777" w:rsidR="001613F7" w:rsidRPr="00F04141" w:rsidDel="007D6A94"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6EEDCA9C"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AND</w:t>
            </w:r>
          </w:p>
        </w:tc>
      </w:tr>
      <w:tr w:rsidR="001613F7" w:rsidRPr="00F04141" w14:paraId="6939398B"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3ACB5980" w14:textId="227B485C"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2635638F" w14:textId="77777777" w:rsidR="001613F7" w:rsidRPr="00F04141" w:rsidRDefault="001613F7" w:rsidP="00E26A85">
            <w:pPr>
              <w:pStyle w:val="Tabletext0"/>
              <w:rPr>
                <w:rFonts w:cstheme="minorBidi"/>
                <w:b/>
                <w:color w:val="000000" w:themeColor="text1"/>
                <w:szCs w:val="20"/>
                <w:lang w:eastAsia="en-AU"/>
              </w:rPr>
            </w:pPr>
            <w:r w:rsidRPr="00F04141">
              <w:rPr>
                <w:rFonts w:cstheme="minorBidi"/>
                <w:b/>
                <w:color w:val="000000" w:themeColor="text1"/>
                <w:szCs w:val="20"/>
                <w:lang w:eastAsia="en-AU"/>
              </w:rPr>
              <w:t>Clinical criteria:</w:t>
            </w:r>
          </w:p>
        </w:tc>
      </w:tr>
      <w:tr w:rsidR="001613F7" w:rsidRPr="00F04141" w14:paraId="6EF95759"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5361661B" w14:textId="6E93B7B4"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5A970721" w14:textId="77777777" w:rsidR="001613F7" w:rsidRPr="00F04141" w:rsidRDefault="001613F7" w:rsidP="00E26A85">
            <w:pPr>
              <w:pStyle w:val="Tabletext0"/>
              <w:rPr>
                <w:rFonts w:cstheme="minorBidi"/>
                <w:color w:val="000000" w:themeColor="text1"/>
                <w:szCs w:val="20"/>
                <w:lang w:eastAsia="en-AU"/>
              </w:rPr>
            </w:pPr>
            <w:r w:rsidRPr="00F04141">
              <w:rPr>
                <w:rFonts w:cstheme="minorBidi"/>
                <w:color w:val="000000" w:themeColor="text1"/>
                <w:szCs w:val="20"/>
                <w:lang w:eastAsia="en-AU"/>
              </w:rPr>
              <w:t>The treatment must not exceed a total of 35 doses, or up to 24 months, of combined non-PBS subsidised and PBS-subsidised treatment under the grandfather and continuing treatment restrictions in a lifetime.</w:t>
            </w:r>
          </w:p>
        </w:tc>
      </w:tr>
      <w:tr w:rsidR="001613F7" w:rsidRPr="00F04141" w14:paraId="64B69F1B"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6E98F3C8" w14:textId="33FB5CC4"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7CCD22A2" w14:textId="77777777" w:rsidR="001613F7" w:rsidRPr="00F04141" w:rsidRDefault="001613F7" w:rsidP="00E26A85">
            <w:pPr>
              <w:pStyle w:val="Tabletext0"/>
              <w:rPr>
                <w:rFonts w:cstheme="minorBidi"/>
                <w:color w:val="000000" w:themeColor="text1"/>
                <w:szCs w:val="20"/>
                <w:lang w:eastAsia="en-AU"/>
              </w:rPr>
            </w:pPr>
            <w:r w:rsidRPr="00F04141">
              <w:rPr>
                <w:rFonts w:cstheme="minorBidi"/>
                <w:b/>
                <w:color w:val="000000" w:themeColor="text1"/>
                <w:szCs w:val="20"/>
                <w:lang w:eastAsia="en-AU"/>
              </w:rPr>
              <w:t xml:space="preserve">Administrative Advice: </w:t>
            </w:r>
            <w:r w:rsidRPr="00F04141">
              <w:rPr>
                <w:rFonts w:cstheme="minorBidi"/>
                <w:color w:val="000000" w:themeColor="text1"/>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1613F7" w:rsidRPr="00F04141" w14:paraId="7AA1957D"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4D02AB32" w14:textId="4D22A617"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7A6E7594" w14:textId="77777777" w:rsidR="001613F7" w:rsidRPr="00F04141" w:rsidRDefault="001613F7" w:rsidP="00E26A85">
            <w:pPr>
              <w:pStyle w:val="Tabletext0"/>
              <w:rPr>
                <w:rFonts w:cstheme="minorBidi"/>
                <w:color w:val="000000" w:themeColor="text1"/>
                <w:szCs w:val="20"/>
                <w:lang w:eastAsia="en-AU"/>
              </w:rPr>
            </w:pPr>
            <w:r w:rsidRPr="00F04141">
              <w:rPr>
                <w:rFonts w:cstheme="minorBidi"/>
                <w:b/>
                <w:color w:val="000000" w:themeColor="text1"/>
                <w:szCs w:val="20"/>
                <w:lang w:eastAsia="en-AU"/>
              </w:rPr>
              <w:t xml:space="preserve">Administrative Advice: </w:t>
            </w:r>
            <w:r w:rsidRPr="00F04141">
              <w:rPr>
                <w:rFonts w:cstheme="minorBidi"/>
                <w:color w:val="000000" w:themeColor="text1"/>
                <w:szCs w:val="20"/>
                <w:lang w:eastAsia="en-AU"/>
              </w:rPr>
              <w:t>This grandfather restriction will cease to operate from 12 months after the date specified in the clinical criteria.</w:t>
            </w:r>
          </w:p>
        </w:tc>
      </w:tr>
      <w:tr w:rsidR="001613F7" w:rsidRPr="00F04141" w14:paraId="6F5E2B43"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23F0DDD0" w14:textId="454AA6DB"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6A7A42B6" w14:textId="77777777" w:rsidR="001613F7" w:rsidRPr="00F04141" w:rsidRDefault="001613F7" w:rsidP="00E26A85">
            <w:pPr>
              <w:pStyle w:val="Tabletext0"/>
              <w:rPr>
                <w:rFonts w:cstheme="minorBidi"/>
                <w:color w:val="000000" w:themeColor="text1"/>
                <w:szCs w:val="20"/>
                <w:lang w:eastAsia="en-AU"/>
              </w:rPr>
            </w:pPr>
            <w:r w:rsidRPr="00F04141">
              <w:rPr>
                <w:rFonts w:cstheme="minorBidi"/>
                <w:b/>
                <w:color w:val="000000" w:themeColor="text1"/>
                <w:szCs w:val="20"/>
                <w:lang w:eastAsia="en-AU"/>
              </w:rPr>
              <w:t>Administrative Advice</w:t>
            </w:r>
            <w:r w:rsidRPr="00F04141">
              <w:rPr>
                <w:rFonts w:cstheme="minorBidi"/>
                <w:color w:val="000000" w:themeColor="text1"/>
                <w:szCs w:val="20"/>
                <w:lang w:eastAsia="en-AU"/>
              </w:rPr>
              <w:t>: A patient may only qualify for PBS-subsidised treatment under this restriction once.</w:t>
            </w:r>
          </w:p>
        </w:tc>
      </w:tr>
      <w:tr w:rsidR="001613F7" w:rsidRPr="00F04141" w14:paraId="62196418" w14:textId="77777777" w:rsidTr="00E26A85">
        <w:tblPrEx>
          <w:tblCellMar>
            <w:top w:w="15" w:type="dxa"/>
            <w:left w:w="15" w:type="dxa"/>
            <w:bottom w:w="15" w:type="dxa"/>
            <w:right w:w="15" w:type="dxa"/>
          </w:tblCellMar>
          <w:tblLook w:val="04A0" w:firstRow="1" w:lastRow="0" w:firstColumn="1" w:lastColumn="0" w:noHBand="0" w:noVBand="1"/>
        </w:tblPrEx>
        <w:tc>
          <w:tcPr>
            <w:tcW w:w="542" w:type="pct"/>
            <w:gridSpan w:val="2"/>
            <w:vAlign w:val="center"/>
          </w:tcPr>
          <w:p w14:paraId="0AAE9FCE" w14:textId="5BF00BFA" w:rsidR="001613F7" w:rsidRPr="00F04141" w:rsidRDefault="001613F7" w:rsidP="00E26A85">
            <w:pPr>
              <w:spacing w:before="0" w:after="0"/>
              <w:jc w:val="center"/>
              <w:rPr>
                <w:rFonts w:ascii="Arial Narrow" w:eastAsia="Times New Roman" w:hAnsi="Arial Narrow"/>
                <w:color w:val="000000" w:themeColor="text1"/>
                <w:sz w:val="20"/>
                <w:szCs w:val="20"/>
                <w:lang w:eastAsia="en-AU"/>
              </w:rPr>
            </w:pPr>
          </w:p>
        </w:tc>
        <w:tc>
          <w:tcPr>
            <w:tcW w:w="4458" w:type="pct"/>
            <w:gridSpan w:val="4"/>
          </w:tcPr>
          <w:p w14:paraId="68355C0E" w14:textId="77777777" w:rsidR="001613F7" w:rsidRPr="00F04141" w:rsidRDefault="001613F7" w:rsidP="00E26A85">
            <w:pPr>
              <w:pStyle w:val="Tabletext0"/>
              <w:rPr>
                <w:rFonts w:cstheme="minorBidi"/>
                <w:color w:val="000000" w:themeColor="text1"/>
                <w:szCs w:val="20"/>
                <w:lang w:eastAsia="en-AU"/>
              </w:rPr>
            </w:pPr>
            <w:r w:rsidRPr="00F04141">
              <w:rPr>
                <w:rFonts w:cstheme="minorBidi"/>
                <w:b/>
                <w:color w:val="000000" w:themeColor="text1"/>
                <w:szCs w:val="20"/>
                <w:lang w:eastAsia="en-AU"/>
              </w:rPr>
              <w:t>Administrative Advice</w:t>
            </w:r>
            <w:r w:rsidRPr="00F04141">
              <w:rPr>
                <w:rFonts w:cstheme="minorBidi"/>
                <w:color w:val="000000" w:themeColor="text1"/>
                <w:szCs w:val="20"/>
                <w:lang w:eastAsia="en-AU"/>
              </w:rPr>
              <w:t>: Following completion of the initial PBS subsidised course, further applications for treatment will be assessed under the continuing treatment restriction.</w:t>
            </w:r>
          </w:p>
        </w:tc>
      </w:tr>
    </w:tbl>
    <w:p w14:paraId="0321D2DA" w14:textId="77777777" w:rsidR="001613F7" w:rsidRPr="00F04141" w:rsidRDefault="001613F7" w:rsidP="001613F7">
      <w:pPr>
        <w:widowControl w:val="0"/>
        <w:contextualSpacing/>
        <w:rPr>
          <w:rFonts w:cstheme="minorHAnsi"/>
          <w:i/>
          <w:iCs/>
          <w:color w:val="000000"/>
          <w:szCs w:val="24"/>
          <w:shd w:val="clear" w:color="auto" w:fill="FFFFFF"/>
        </w:rPr>
      </w:pPr>
    </w:p>
    <w:p w14:paraId="4FBDDC39" w14:textId="55B62142" w:rsidR="001613F7" w:rsidRPr="00A96938" w:rsidRDefault="001613F7" w:rsidP="00A96938">
      <w:pPr>
        <w:widowControl w:val="0"/>
        <w:contextualSpacing/>
        <w:rPr>
          <w:rFonts w:cstheme="minorHAnsi"/>
          <w:bCs/>
          <w:snapToGrid w:val="0"/>
          <w:szCs w:val="24"/>
        </w:rPr>
      </w:pPr>
      <w:r w:rsidRPr="00F04141">
        <w:rPr>
          <w:rFonts w:cstheme="minorHAnsi"/>
          <w:i/>
          <w:iCs/>
          <w:color w:val="000000"/>
          <w:szCs w:val="24"/>
          <w:shd w:val="clear" w:color="auto" w:fill="FFFFFF"/>
        </w:rPr>
        <w:t>These restrictions may be subject to further review. Should there be any changes made to the restriction the Sponsor will be informed</w:t>
      </w:r>
      <w:r w:rsidRPr="00F04141">
        <w:rPr>
          <w:rFonts w:cstheme="minorHAnsi"/>
          <w:b/>
          <w:bCs/>
          <w:i/>
          <w:iCs/>
          <w:color w:val="000000"/>
          <w:szCs w:val="24"/>
          <w:shd w:val="clear" w:color="auto" w:fill="FFFFFF"/>
        </w:rPr>
        <w:t>.</w:t>
      </w:r>
    </w:p>
    <w:p w14:paraId="12D8739E" w14:textId="6E317BD8" w:rsidR="00083206" w:rsidRPr="00083206" w:rsidRDefault="00083206" w:rsidP="00083206">
      <w:pPr>
        <w:pStyle w:val="PBACESHeading1"/>
        <w:numPr>
          <w:ilvl w:val="0"/>
          <w:numId w:val="1"/>
        </w:numPr>
        <w:tabs>
          <w:tab w:val="clear" w:pos="1077"/>
          <w:tab w:val="left" w:pos="709"/>
        </w:tabs>
        <w:ind w:left="0" w:firstLine="0"/>
      </w:pPr>
      <w:r w:rsidRPr="00083206">
        <w:t>Context for Decision</w:t>
      </w:r>
    </w:p>
    <w:p w14:paraId="14D826C1" w14:textId="77777777" w:rsidR="00083206" w:rsidRPr="007129F2" w:rsidRDefault="00083206" w:rsidP="00A96938">
      <w:pPr>
        <w:pStyle w:val="ListParagraph"/>
        <w:ind w:left="720"/>
        <w:rPr>
          <w:rFonts w:cs="Arial"/>
          <w:bCs/>
          <w:lang w:val="en-GB"/>
        </w:rPr>
      </w:pPr>
      <w:r w:rsidRPr="007129F2">
        <w:rPr>
          <w:rFonts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w:t>
      </w:r>
      <w:r w:rsidRPr="00A96938">
        <w:rPr>
          <w:iCs/>
          <w:color w:val="auto"/>
        </w:rPr>
        <w:t>operation</w:t>
      </w:r>
      <w:r w:rsidRPr="007129F2">
        <w:rPr>
          <w:rFonts w:cs="Arial"/>
          <w:bCs/>
          <w:lang w:val="en-GB"/>
        </w:rPr>
        <w:t xml:space="preserve">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536FFD" w14:textId="47FA9995" w:rsidR="00083206" w:rsidRPr="00083206" w:rsidRDefault="00083206" w:rsidP="00083206">
      <w:pPr>
        <w:pStyle w:val="PBACESHeading1"/>
        <w:numPr>
          <w:ilvl w:val="0"/>
          <w:numId w:val="1"/>
        </w:numPr>
        <w:tabs>
          <w:tab w:val="clear" w:pos="1077"/>
          <w:tab w:val="left" w:pos="709"/>
        </w:tabs>
        <w:ind w:left="0" w:firstLine="0"/>
      </w:pPr>
      <w:r w:rsidRPr="00083206">
        <w:t>Sponsor’s Comment</w:t>
      </w:r>
    </w:p>
    <w:p w14:paraId="34A14ADB" w14:textId="62E676F0" w:rsidR="00E05C6C" w:rsidRPr="00A96938" w:rsidRDefault="001622D6" w:rsidP="00A96938">
      <w:pPr>
        <w:pStyle w:val="ListParagraph"/>
        <w:ind w:left="720"/>
        <w:rPr>
          <w:iCs/>
        </w:rPr>
      </w:pPr>
      <w:r w:rsidRPr="00E14C78">
        <w:rPr>
          <w:rFonts w:cs="Arial"/>
          <w:bCs/>
          <w:lang w:val="en-GB"/>
        </w:rPr>
        <w:t xml:space="preserve">MSD is pleased that Australian </w:t>
      </w:r>
      <w:r w:rsidR="006056B5" w:rsidRPr="00E14C78">
        <w:rPr>
          <w:rFonts w:cs="Arial"/>
          <w:bCs/>
          <w:lang w:val="en-GB"/>
        </w:rPr>
        <w:t xml:space="preserve">patients </w:t>
      </w:r>
      <w:r w:rsidRPr="00E14C78">
        <w:rPr>
          <w:rFonts w:cs="Arial"/>
          <w:bCs/>
          <w:lang w:val="en-GB"/>
        </w:rPr>
        <w:t>with recurrent or metastatic squamous cell carcinoma of the oral cavity, pharynx or larynx will soon be able to receive reimbursed access to Keytruda</w:t>
      </w:r>
      <w:r w:rsidR="006056B5" w:rsidRPr="00E14C78">
        <w:rPr>
          <w:rFonts w:cs="Arial"/>
          <w:bCs/>
          <w:lang w:val="en-GB"/>
        </w:rPr>
        <w:t xml:space="preserve"> in the first line setting. With no recently </w:t>
      </w:r>
      <w:r w:rsidR="006056B5" w:rsidRPr="00E14C78">
        <w:t>funded novel systemic treatments for first line patients</w:t>
      </w:r>
      <w:r w:rsidR="00E14C78">
        <w:t>,</w:t>
      </w:r>
      <w:r w:rsidR="006056B5" w:rsidRPr="00E14C78">
        <w:t xml:space="preserve"> </w:t>
      </w:r>
      <w:r w:rsidR="006056B5" w:rsidRPr="00A96938">
        <w:rPr>
          <w:rFonts w:cs="Arial"/>
          <w:bCs/>
          <w:lang w:val="en-GB"/>
        </w:rPr>
        <w:t>there</w:t>
      </w:r>
      <w:r w:rsidR="006056B5" w:rsidRPr="00E14C78">
        <w:t xml:space="preserve"> has been </w:t>
      </w:r>
      <w:r w:rsidR="00E14C78">
        <w:t>an ongoing</w:t>
      </w:r>
      <w:r w:rsidR="006056B5" w:rsidRPr="00E14C78">
        <w:t xml:space="preserve"> unmet need</w:t>
      </w:r>
      <w:r w:rsidR="00E14C78">
        <w:t>. This recommendation</w:t>
      </w:r>
      <w:r w:rsidR="00E14C78" w:rsidRPr="00E14C78">
        <w:t xml:space="preserve"> </w:t>
      </w:r>
      <w:r w:rsidR="00E14C78">
        <w:t>will enable Australian patients to access Keytruda, as patients in other countries have been able to</w:t>
      </w:r>
      <w:r w:rsidR="00D75836">
        <w:t xml:space="preserve"> for</w:t>
      </w:r>
      <w:r w:rsidR="00A76C05">
        <w:t xml:space="preserve"> over </w:t>
      </w:r>
      <w:r w:rsidR="00D75836">
        <w:t>2 years</w:t>
      </w:r>
      <w:r w:rsidR="006056B5" w:rsidRPr="00E14C78">
        <w:t>.</w:t>
      </w:r>
      <w:r w:rsidR="00A76C05">
        <w:t xml:space="preserve"> </w:t>
      </w:r>
      <w:r w:rsidR="00E14C78" w:rsidRPr="00E14C78">
        <w:t>We are working with the Department of Health to ensure that listing on the PBS occurs as soon as possible.</w:t>
      </w:r>
      <w:r w:rsidR="00E14C78" w:rsidRPr="00E14C78" w:rsidDel="00E14C78">
        <w:rPr>
          <w:rFonts w:cs="Arial"/>
          <w:bCs/>
          <w:lang w:val="en-GB"/>
        </w:rPr>
        <w:t xml:space="preserve"> </w:t>
      </w:r>
    </w:p>
    <w:sectPr w:rsidR="00E05C6C" w:rsidRPr="00A96938" w:rsidSect="007F08B5">
      <w:headerReference w:type="default" r:id="rId17"/>
      <w:footerReference w:type="default" r:id="rId18"/>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5F253" w14:textId="77777777" w:rsidR="00E26A85" w:rsidRDefault="00E26A85" w:rsidP="00BA3306">
      <w:pPr>
        <w:spacing w:before="0" w:after="0"/>
      </w:pPr>
      <w:r>
        <w:separator/>
      </w:r>
    </w:p>
    <w:p w14:paraId="7F6E5302" w14:textId="77777777" w:rsidR="00E26A85" w:rsidRDefault="00E26A85"/>
  </w:endnote>
  <w:endnote w:type="continuationSeparator" w:id="0">
    <w:p w14:paraId="562203FC" w14:textId="77777777" w:rsidR="00E26A85" w:rsidRDefault="00E26A85" w:rsidP="00BA3306">
      <w:pPr>
        <w:spacing w:before="0" w:after="0"/>
      </w:pPr>
      <w:r>
        <w:continuationSeparator/>
      </w:r>
    </w:p>
    <w:p w14:paraId="71FFAD44" w14:textId="77777777" w:rsidR="00E26A85" w:rsidRDefault="00E26A85"/>
  </w:endnote>
  <w:endnote w:type="continuationNotice" w:id="1">
    <w:p w14:paraId="3881FA11" w14:textId="77777777" w:rsidR="00E26A85" w:rsidRDefault="00E26A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A02D" w14:textId="77777777" w:rsidR="00E26A85" w:rsidRDefault="00E26A85" w:rsidP="00C317F3">
    <w:pPr>
      <w:pStyle w:val="Footer"/>
      <w:jc w:val="center"/>
      <w:rPr>
        <w:b/>
        <w:bCs/>
      </w:rPr>
    </w:pPr>
  </w:p>
  <w:p w14:paraId="449A884F" w14:textId="3525D939" w:rsidR="00E26A85" w:rsidRPr="00D7344E" w:rsidRDefault="00E26A85" w:rsidP="00C317F3">
    <w:pPr>
      <w:pStyle w:val="Footer"/>
      <w:jc w:val="center"/>
      <w:rPr>
        <w:b/>
        <w:bCs/>
      </w:rPr>
    </w:pPr>
    <w:r w:rsidRPr="00D7344E">
      <w:rPr>
        <w:b/>
        <w:bCs/>
      </w:rPr>
      <w:fldChar w:fldCharType="begin"/>
    </w:r>
    <w:r w:rsidRPr="00D7344E">
      <w:rPr>
        <w:b/>
        <w:bCs/>
      </w:rPr>
      <w:instrText xml:space="preserve"> PAGE   \* MERGEFORMAT </w:instrText>
    </w:r>
    <w:r w:rsidRPr="00D7344E">
      <w:rPr>
        <w:b/>
        <w:bCs/>
      </w:rPr>
      <w:fldChar w:fldCharType="separate"/>
    </w:r>
    <w:r>
      <w:rPr>
        <w:b/>
        <w:bCs/>
        <w:noProof/>
      </w:rPr>
      <w:t>9</w:t>
    </w:r>
    <w:r w:rsidRPr="00D7344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E7024" w14:textId="77777777" w:rsidR="00E26A85" w:rsidRDefault="00E26A85" w:rsidP="00BA3306">
      <w:pPr>
        <w:spacing w:before="0" w:after="0"/>
      </w:pPr>
      <w:r>
        <w:separator/>
      </w:r>
    </w:p>
    <w:p w14:paraId="1B2104E0" w14:textId="77777777" w:rsidR="00E26A85" w:rsidRDefault="00E26A85"/>
  </w:footnote>
  <w:footnote w:type="continuationSeparator" w:id="0">
    <w:p w14:paraId="01FFD45B" w14:textId="77777777" w:rsidR="00E26A85" w:rsidRDefault="00E26A85" w:rsidP="00BA3306">
      <w:pPr>
        <w:spacing w:before="0" w:after="0"/>
      </w:pPr>
      <w:r>
        <w:continuationSeparator/>
      </w:r>
    </w:p>
    <w:p w14:paraId="4E82499A" w14:textId="77777777" w:rsidR="00E26A85" w:rsidRDefault="00E26A85"/>
  </w:footnote>
  <w:footnote w:type="continuationNotice" w:id="1">
    <w:p w14:paraId="16126328" w14:textId="77777777" w:rsidR="00E26A85" w:rsidRDefault="00E26A85">
      <w:pPr>
        <w:spacing w:before="0" w:after="0"/>
      </w:pPr>
    </w:p>
  </w:footnote>
  <w:footnote w:id="2">
    <w:p w14:paraId="329C0617" w14:textId="77777777" w:rsidR="00E26A85" w:rsidRDefault="00E26A85">
      <w:pPr>
        <w:pStyle w:val="FootnoteText"/>
      </w:pPr>
      <w:r>
        <w:rPr>
          <w:rStyle w:val="FootnoteReference"/>
        </w:rPr>
        <w:footnoteRef/>
      </w:r>
      <w:r>
        <w:t xml:space="preserve"> </w:t>
      </w:r>
      <w:r w:rsidRPr="006715F7">
        <w:rPr>
          <w:sz w:val="20"/>
        </w:rPr>
        <w:t>Cherny NI, Dafni U, Bogaerts J, et al: ESMO-Magnitude of Clinical Benefit Scale version 1.1. Annals of Oncology 28:2340-2366, 2017</w:t>
      </w:r>
    </w:p>
  </w:footnote>
  <w:footnote w:id="3">
    <w:p w14:paraId="26A27181" w14:textId="77777777" w:rsidR="00E26A85" w:rsidRPr="004E5D10" w:rsidRDefault="00E26A85" w:rsidP="00D825E0">
      <w:pPr>
        <w:keepNext/>
        <w:spacing w:before="0" w:after="0"/>
        <w:jc w:val="left"/>
        <w:rPr>
          <w:rFonts w:ascii="Arial Narrow" w:hAnsi="Arial Narrow"/>
          <w:sz w:val="18"/>
          <w:szCs w:val="18"/>
        </w:rPr>
      </w:pPr>
      <w:r w:rsidRPr="004E5D10">
        <w:rPr>
          <w:rStyle w:val="FootnoteReference"/>
          <w:rFonts w:ascii="Arial Narrow" w:hAnsi="Arial Narrow"/>
          <w:sz w:val="18"/>
          <w:szCs w:val="18"/>
        </w:rPr>
        <w:footnoteRef/>
      </w:r>
      <w:r w:rsidRPr="004E5D10">
        <w:rPr>
          <w:rFonts w:ascii="Arial Narrow" w:hAnsi="Arial Narrow"/>
          <w:sz w:val="18"/>
          <w:szCs w:val="18"/>
        </w:rPr>
        <w:t xml:space="preserve"> Latimer NR, Abrams KR, Lambert PC et al. Adjusting survival time estimates to account for treatment switching in randomised controlled trials: a simulation study. HEDS Discussion Paper 13/06 2013. Available from https://eprints.whiterose.ac.uk/75249/1/HEDSDP1306.pdf Accessed 3/8/2021</w:t>
      </w:r>
    </w:p>
    <w:p w14:paraId="40E930D7" w14:textId="77777777" w:rsidR="00E26A85" w:rsidRDefault="00E26A85" w:rsidP="00D825E0">
      <w:pPr>
        <w:pStyle w:val="FootnoteText"/>
      </w:pPr>
    </w:p>
  </w:footnote>
  <w:footnote w:id="4">
    <w:p w14:paraId="4D036CD0" w14:textId="77777777" w:rsidR="00E26A85" w:rsidRPr="004E5D10" w:rsidRDefault="00E26A85" w:rsidP="006A6503">
      <w:pPr>
        <w:pStyle w:val="FootnoteText"/>
        <w:rPr>
          <w:rFonts w:ascii="Arial Narrow" w:hAnsi="Arial Narrow"/>
        </w:rPr>
      </w:pPr>
      <w:r w:rsidRPr="004E5D10">
        <w:rPr>
          <w:rStyle w:val="FootnoteReference"/>
          <w:rFonts w:ascii="Arial Narrow" w:hAnsi="Arial Narrow"/>
        </w:rPr>
        <w:footnoteRef/>
      </w:r>
      <w:r w:rsidRPr="004E5D10">
        <w:rPr>
          <w:rFonts w:ascii="Arial Narrow" w:hAnsi="Arial Narrow"/>
        </w:rPr>
        <w:t xml:space="preserve"> Ferris RL, Blumenschein G Jr, Fayette J et al. Nivolumab for recurrent squamous</w:t>
      </w:r>
      <w:r w:rsidRPr="004E5D10">
        <w:rPr>
          <w:rFonts w:ascii="Cambria Math" w:hAnsi="Cambria Math" w:cs="Cambria Math"/>
        </w:rPr>
        <w:t>‐</w:t>
      </w:r>
      <w:r w:rsidRPr="004E5D10">
        <w:rPr>
          <w:rFonts w:ascii="Arial Narrow" w:hAnsi="Arial Narrow"/>
        </w:rPr>
        <w:t>cell carcinoma of the head and neck. N Engl J Med 2016;375:1856</w:t>
      </w:r>
      <w:r w:rsidRPr="004E5D10">
        <w:rPr>
          <w:rFonts w:ascii="Arial Narrow" w:hAnsi="Arial Narrow" w:cs="Arial Narrow"/>
        </w:rPr>
        <w:t>–</w:t>
      </w:r>
      <w:r w:rsidRPr="004E5D10">
        <w:rPr>
          <w:rFonts w:ascii="Arial Narrow" w:hAnsi="Arial Narrow"/>
        </w:rPr>
        <w:t>1867.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AE8F" w14:textId="1CB63641" w:rsidR="00E26A85" w:rsidRPr="00D7344E" w:rsidRDefault="00E26A85" w:rsidP="00D7344E">
    <w:pPr>
      <w:pStyle w:val="Header"/>
      <w:jc w:val="center"/>
      <w:rPr>
        <w:i/>
        <w:iCs/>
      </w:rPr>
    </w:pPr>
    <w:r>
      <w:rPr>
        <w:i/>
        <w:iCs/>
      </w:rPr>
      <w:t>Public Summary Document</w:t>
    </w:r>
    <w:r w:rsidRPr="00D7344E">
      <w:rPr>
        <w:i/>
        <w:iCs/>
      </w:rPr>
      <w:t xml:space="preserve"> – November 2021 PBAC Meeting</w:t>
    </w:r>
    <w:r w:rsidR="008B464E">
      <w:rPr>
        <w:i/>
        <w:iCs/>
      </w:rPr>
      <w:t xml:space="preserve"> with March 2022 Addendum</w:t>
    </w:r>
  </w:p>
  <w:p w14:paraId="79D748E3" w14:textId="77777777" w:rsidR="00E26A85" w:rsidRDefault="00E26A85" w:rsidP="0017405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942430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1663EB"/>
    <w:multiLevelType w:val="hybridMultilevel"/>
    <w:tmpl w:val="95462946"/>
    <w:lvl w:ilvl="0" w:tplc="DBE6993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64B09FA"/>
    <w:multiLevelType w:val="hybridMultilevel"/>
    <w:tmpl w:val="6B9CA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5504B41"/>
    <w:multiLevelType w:val="hybridMultilevel"/>
    <w:tmpl w:val="591CEDD4"/>
    <w:lvl w:ilvl="0" w:tplc="6800311C">
      <w:start w:val="1"/>
      <w:numFmt w:val="bullet"/>
      <w:pStyle w:val="ES-bullets"/>
      <w:lvlText w:val=""/>
      <w:lvlJc w:val="left"/>
      <w:pPr>
        <w:ind w:left="643"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0" w15:restartNumberingAfterBreak="0">
    <w:nsid w:val="16725092"/>
    <w:multiLevelType w:val="hybridMultilevel"/>
    <w:tmpl w:val="95462946"/>
    <w:lvl w:ilvl="0" w:tplc="DBE6993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B32146E"/>
    <w:multiLevelType w:val="hybridMultilevel"/>
    <w:tmpl w:val="03AEA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5818D8"/>
    <w:multiLevelType w:val="multilevel"/>
    <w:tmpl w:val="4216D64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i/>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897F3A"/>
    <w:multiLevelType w:val="multilevel"/>
    <w:tmpl w:val="647E8C4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575C58"/>
    <w:multiLevelType w:val="multilevel"/>
    <w:tmpl w:val="71960468"/>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112D6"/>
    <w:multiLevelType w:val="hybridMultilevel"/>
    <w:tmpl w:val="BB02E8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933BF8"/>
    <w:multiLevelType w:val="multilevel"/>
    <w:tmpl w:val="B22A93B6"/>
    <w:styleLink w:val="Heading1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01400A"/>
    <w:multiLevelType w:val="multilevel"/>
    <w:tmpl w:val="F836E7EA"/>
    <w:lvl w:ilvl="0">
      <w:start w:val="1"/>
      <w:numFmt w:val="bullet"/>
      <w:lvlText w:val=""/>
      <w:lvlJc w:val="left"/>
      <w:pPr>
        <w:ind w:left="720" w:hanging="360"/>
      </w:pPr>
      <w:rPr>
        <w:rFonts w:ascii="Symbol" w:hAnsi="Symbol" w:hint="default"/>
      </w:rPr>
    </w:lvl>
    <w:lvl w:ilvl="1">
      <w:start w:val="1"/>
      <w:numFmt w:val="bullet"/>
      <w:lvlText w:val="o"/>
      <w:lvlJc w:val="left"/>
      <w:pPr>
        <w:ind w:left="1440" w:hanging="476"/>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E771B9"/>
    <w:multiLevelType w:val="multilevel"/>
    <w:tmpl w:val="E814E6EA"/>
    <w:lvl w:ilvl="0">
      <w:start w:val="1"/>
      <w:numFmt w:val="decimal"/>
      <w:lvlText w:val="%1."/>
      <w:lvlJc w:val="left"/>
      <w:pPr>
        <w:ind w:left="720" w:hanging="720"/>
      </w:pPr>
      <w:rPr>
        <w:rFonts w:hint="default"/>
        <w:b w:val="0"/>
        <w:bCs/>
        <w:i w:val="0"/>
        <w:iCs w:val="0"/>
        <w:sz w:val="24"/>
        <w:szCs w:val="24"/>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b w:val="0"/>
        <w:bCs w:val="0"/>
        <w:i w:val="0"/>
        <w:iCs w:val="0"/>
        <w:color w:val="auto"/>
      </w:rPr>
    </w:lvl>
    <w:lvl w:ilvl="5">
      <w:start w:val="1"/>
      <w:numFmt w:val="bullet"/>
      <w:lvlText w:val=""/>
      <w:lvlJc w:val="left"/>
      <w:pPr>
        <w:ind w:left="720" w:hanging="720"/>
      </w:pPr>
      <w:rPr>
        <w:rFonts w:ascii="Symbol" w:hAnsi="Symbol"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8"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49AA4C58"/>
    <w:multiLevelType w:val="multilevel"/>
    <w:tmpl w:val="2AC89CE0"/>
    <w:lvl w:ilvl="0">
      <w:start w:val="1"/>
      <w:numFmt w:val="bullet"/>
      <w:lvlText w:val=""/>
      <w:lvlJc w:val="left"/>
      <w:pPr>
        <w:ind w:left="720" w:hanging="360"/>
      </w:pPr>
      <w:rPr>
        <w:rFonts w:ascii="Symbol" w:hAnsi="Symbol" w:hint="default"/>
      </w:rPr>
    </w:lvl>
    <w:lvl w:ilvl="1">
      <w:start w:val="1"/>
      <w:numFmt w:val="bullet"/>
      <w:lvlText w:val="o"/>
      <w:lvlJc w:val="left"/>
      <w:pPr>
        <w:ind w:left="1440" w:hanging="476"/>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0445F4"/>
    <w:multiLevelType w:val="multilevel"/>
    <w:tmpl w:val="2EB0A30E"/>
    <w:styleLink w:val="Lists6"/>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53011CB0"/>
    <w:multiLevelType w:val="hybridMultilevel"/>
    <w:tmpl w:val="65D649E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447CCC"/>
    <w:multiLevelType w:val="hybridMultilevel"/>
    <w:tmpl w:val="E79E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5F2F1B"/>
    <w:multiLevelType w:val="hybridMultilevel"/>
    <w:tmpl w:val="CADCE5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BB2230"/>
    <w:multiLevelType w:val="hybridMultilevel"/>
    <w:tmpl w:val="6A8E556A"/>
    <w:lvl w:ilvl="0" w:tplc="279E5F4A">
      <w:numFmt w:val="bullet"/>
      <w:lvlText w:val="-"/>
      <w:lvlJc w:val="left"/>
      <w:pPr>
        <w:ind w:left="930" w:hanging="57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5DB336E"/>
    <w:multiLevelType w:val="hybridMultilevel"/>
    <w:tmpl w:val="A718B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4D033C"/>
    <w:multiLevelType w:val="multilevel"/>
    <w:tmpl w:val="6B644BC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i w:val="0"/>
        <w:iCs w:val="0"/>
        <w:color w:val="auto"/>
      </w:rPr>
    </w:lvl>
    <w:lvl w:ilvl="5">
      <w:start w:val="1"/>
      <w:numFmt w:val="bullet"/>
      <w:lvlText w:val=""/>
      <w:lvlJc w:val="left"/>
      <w:pPr>
        <w:ind w:left="720" w:hanging="720"/>
      </w:pPr>
      <w:rPr>
        <w:rFonts w:ascii="Symbol" w:hAnsi="Symbol"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18"/>
  </w:num>
  <w:num w:numId="3">
    <w:abstractNumId w:val="25"/>
  </w:num>
  <w:num w:numId="4">
    <w:abstractNumId w:val="11"/>
  </w:num>
  <w:num w:numId="5">
    <w:abstractNumId w:val="8"/>
  </w:num>
  <w:num w:numId="6">
    <w:abstractNumId w:val="29"/>
  </w:num>
  <w:num w:numId="7">
    <w:abstractNumId w:val="6"/>
  </w:num>
  <w:num w:numId="8">
    <w:abstractNumId w:val="17"/>
  </w:num>
  <w:num w:numId="9">
    <w:abstractNumId w:val="35"/>
  </w:num>
  <w:num w:numId="10">
    <w:abstractNumId w:val="2"/>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4"/>
  </w:num>
  <w:num w:numId="14">
    <w:abstractNumId w:val="31"/>
  </w:num>
  <w:num w:numId="1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9"/>
  </w:num>
  <w:num w:numId="19">
    <w:abstractNumId w:val="32"/>
  </w:num>
  <w:num w:numId="20">
    <w:abstractNumId w:val="19"/>
  </w:num>
  <w:num w:numId="21">
    <w:abstractNumId w:val="36"/>
  </w:num>
  <w:num w:numId="22">
    <w:abstractNumId w:val="13"/>
  </w:num>
  <w:num w:numId="23">
    <w:abstractNumId w:val="20"/>
  </w:num>
  <w:num w:numId="24">
    <w:abstractNumId w:val="12"/>
  </w:num>
  <w:num w:numId="25">
    <w:abstractNumId w:val="39"/>
  </w:num>
  <w:num w:numId="26">
    <w:abstractNumId w:val="14"/>
  </w:num>
  <w:num w:numId="27">
    <w:abstractNumId w:val="27"/>
  </w:num>
  <w:num w:numId="28">
    <w:abstractNumId w:val="21"/>
  </w:num>
  <w:num w:numId="29">
    <w:abstractNumId w:val="23"/>
  </w:num>
  <w:num w:numId="30">
    <w:abstractNumId w:val="30"/>
  </w:num>
  <w:num w:numId="31">
    <w:abstractNumId w:val="34"/>
  </w:num>
  <w:num w:numId="32">
    <w:abstractNumId w:val="5"/>
  </w:num>
  <w:num w:numId="33">
    <w:abstractNumId w:val="33"/>
  </w:num>
  <w:num w:numId="34">
    <w:abstractNumId w:val="7"/>
  </w:num>
  <w:num w:numId="35">
    <w:abstractNumId w:val="1"/>
  </w:num>
  <w:num w:numId="36">
    <w:abstractNumId w:val="16"/>
  </w:num>
  <w:num w:numId="37">
    <w:abstractNumId w:val="22"/>
  </w:num>
  <w:num w:numId="38">
    <w:abstractNumId w:val="15"/>
  </w:num>
  <w:num w:numId="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26"/>
  </w:num>
  <w:num w:numId="47">
    <w:abstractNumId w:val="6"/>
  </w:num>
  <w:num w:numId="48">
    <w:abstractNumId w:val="30"/>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NZ"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A6"/>
    <w:rsid w:val="00000C82"/>
    <w:rsid w:val="000013E8"/>
    <w:rsid w:val="00001719"/>
    <w:rsid w:val="00001AB4"/>
    <w:rsid w:val="00001BD0"/>
    <w:rsid w:val="000034DD"/>
    <w:rsid w:val="000038E6"/>
    <w:rsid w:val="0000498F"/>
    <w:rsid w:val="000062E0"/>
    <w:rsid w:val="0001066F"/>
    <w:rsid w:val="00012105"/>
    <w:rsid w:val="00012156"/>
    <w:rsid w:val="0001281E"/>
    <w:rsid w:val="000131C9"/>
    <w:rsid w:val="00013222"/>
    <w:rsid w:val="00013A56"/>
    <w:rsid w:val="00013F14"/>
    <w:rsid w:val="00014442"/>
    <w:rsid w:val="000145AF"/>
    <w:rsid w:val="0001548D"/>
    <w:rsid w:val="000170E1"/>
    <w:rsid w:val="0002095B"/>
    <w:rsid w:val="000210E1"/>
    <w:rsid w:val="00021100"/>
    <w:rsid w:val="00022320"/>
    <w:rsid w:val="00023A58"/>
    <w:rsid w:val="000242BB"/>
    <w:rsid w:val="00024651"/>
    <w:rsid w:val="00024DCD"/>
    <w:rsid w:val="0002528F"/>
    <w:rsid w:val="00025322"/>
    <w:rsid w:val="00030D7B"/>
    <w:rsid w:val="00030D9F"/>
    <w:rsid w:val="00031E82"/>
    <w:rsid w:val="000333FB"/>
    <w:rsid w:val="00033781"/>
    <w:rsid w:val="00033CE1"/>
    <w:rsid w:val="00034404"/>
    <w:rsid w:val="000346FE"/>
    <w:rsid w:val="0003471B"/>
    <w:rsid w:val="0003497C"/>
    <w:rsid w:val="00034F08"/>
    <w:rsid w:val="000359BA"/>
    <w:rsid w:val="0003647F"/>
    <w:rsid w:val="0003650E"/>
    <w:rsid w:val="00037BF5"/>
    <w:rsid w:val="00040A5C"/>
    <w:rsid w:val="000427B3"/>
    <w:rsid w:val="00042A51"/>
    <w:rsid w:val="000433D9"/>
    <w:rsid w:val="0004352C"/>
    <w:rsid w:val="0004441D"/>
    <w:rsid w:val="00045C67"/>
    <w:rsid w:val="000461BA"/>
    <w:rsid w:val="000461CF"/>
    <w:rsid w:val="0004758F"/>
    <w:rsid w:val="00050F16"/>
    <w:rsid w:val="00051387"/>
    <w:rsid w:val="000520C8"/>
    <w:rsid w:val="000522EE"/>
    <w:rsid w:val="0005239A"/>
    <w:rsid w:val="00052BCD"/>
    <w:rsid w:val="00052C7D"/>
    <w:rsid w:val="000532B0"/>
    <w:rsid w:val="00053394"/>
    <w:rsid w:val="00054171"/>
    <w:rsid w:val="000542E4"/>
    <w:rsid w:val="000544AC"/>
    <w:rsid w:val="00054921"/>
    <w:rsid w:val="000551C9"/>
    <w:rsid w:val="00055DCD"/>
    <w:rsid w:val="000578D9"/>
    <w:rsid w:val="00057F71"/>
    <w:rsid w:val="000618B7"/>
    <w:rsid w:val="00062018"/>
    <w:rsid w:val="00062067"/>
    <w:rsid w:val="0006287B"/>
    <w:rsid w:val="000635B6"/>
    <w:rsid w:val="00064185"/>
    <w:rsid w:val="0006442F"/>
    <w:rsid w:val="00064D04"/>
    <w:rsid w:val="00064DE0"/>
    <w:rsid w:val="00064FFA"/>
    <w:rsid w:val="000657D5"/>
    <w:rsid w:val="00065A4F"/>
    <w:rsid w:val="00065C62"/>
    <w:rsid w:val="00065CDE"/>
    <w:rsid w:val="00065F4A"/>
    <w:rsid w:val="000662A0"/>
    <w:rsid w:val="000676E5"/>
    <w:rsid w:val="000677DE"/>
    <w:rsid w:val="00067811"/>
    <w:rsid w:val="00070342"/>
    <w:rsid w:val="0007063B"/>
    <w:rsid w:val="000708AA"/>
    <w:rsid w:val="00070D75"/>
    <w:rsid w:val="00071CBB"/>
    <w:rsid w:val="00073420"/>
    <w:rsid w:val="000738D1"/>
    <w:rsid w:val="00073E3C"/>
    <w:rsid w:val="000744C2"/>
    <w:rsid w:val="00074AA2"/>
    <w:rsid w:val="00076AAB"/>
    <w:rsid w:val="00076BDD"/>
    <w:rsid w:val="00076CE7"/>
    <w:rsid w:val="00076E03"/>
    <w:rsid w:val="00080A5B"/>
    <w:rsid w:val="00080D9A"/>
    <w:rsid w:val="00080FF3"/>
    <w:rsid w:val="00081746"/>
    <w:rsid w:val="00081D07"/>
    <w:rsid w:val="00081E62"/>
    <w:rsid w:val="00082868"/>
    <w:rsid w:val="00082894"/>
    <w:rsid w:val="00083206"/>
    <w:rsid w:val="000847FE"/>
    <w:rsid w:val="00084B18"/>
    <w:rsid w:val="0008549E"/>
    <w:rsid w:val="00085CF2"/>
    <w:rsid w:val="00086133"/>
    <w:rsid w:val="000869C9"/>
    <w:rsid w:val="00086B63"/>
    <w:rsid w:val="00086CC7"/>
    <w:rsid w:val="00091101"/>
    <w:rsid w:val="000924DC"/>
    <w:rsid w:val="00092727"/>
    <w:rsid w:val="00092945"/>
    <w:rsid w:val="00092E97"/>
    <w:rsid w:val="00093440"/>
    <w:rsid w:val="00094CDE"/>
    <w:rsid w:val="000950A2"/>
    <w:rsid w:val="00095945"/>
    <w:rsid w:val="0009688E"/>
    <w:rsid w:val="00096BCD"/>
    <w:rsid w:val="00097031"/>
    <w:rsid w:val="000970D9"/>
    <w:rsid w:val="000A1671"/>
    <w:rsid w:val="000A1DCD"/>
    <w:rsid w:val="000A1F7B"/>
    <w:rsid w:val="000A2694"/>
    <w:rsid w:val="000A2A32"/>
    <w:rsid w:val="000A2B25"/>
    <w:rsid w:val="000A2EF1"/>
    <w:rsid w:val="000A3D99"/>
    <w:rsid w:val="000A3F4C"/>
    <w:rsid w:val="000A4849"/>
    <w:rsid w:val="000A694F"/>
    <w:rsid w:val="000A6FBD"/>
    <w:rsid w:val="000A7317"/>
    <w:rsid w:val="000A7333"/>
    <w:rsid w:val="000A73D4"/>
    <w:rsid w:val="000A7EA5"/>
    <w:rsid w:val="000B0564"/>
    <w:rsid w:val="000B08C6"/>
    <w:rsid w:val="000B142A"/>
    <w:rsid w:val="000B157D"/>
    <w:rsid w:val="000B1E64"/>
    <w:rsid w:val="000B2BE3"/>
    <w:rsid w:val="000B2E42"/>
    <w:rsid w:val="000B35EA"/>
    <w:rsid w:val="000B443F"/>
    <w:rsid w:val="000B476B"/>
    <w:rsid w:val="000B4BBD"/>
    <w:rsid w:val="000B56CD"/>
    <w:rsid w:val="000B6B69"/>
    <w:rsid w:val="000B7AED"/>
    <w:rsid w:val="000B7C41"/>
    <w:rsid w:val="000B7FC9"/>
    <w:rsid w:val="000C0142"/>
    <w:rsid w:val="000C0DBA"/>
    <w:rsid w:val="000C11CC"/>
    <w:rsid w:val="000C46B6"/>
    <w:rsid w:val="000C5D0F"/>
    <w:rsid w:val="000C5EE4"/>
    <w:rsid w:val="000C60CE"/>
    <w:rsid w:val="000C63CF"/>
    <w:rsid w:val="000C668E"/>
    <w:rsid w:val="000C6A40"/>
    <w:rsid w:val="000C7117"/>
    <w:rsid w:val="000C72F1"/>
    <w:rsid w:val="000C7883"/>
    <w:rsid w:val="000C793A"/>
    <w:rsid w:val="000C7EA0"/>
    <w:rsid w:val="000D0023"/>
    <w:rsid w:val="000D0A81"/>
    <w:rsid w:val="000D169F"/>
    <w:rsid w:val="000D1AB4"/>
    <w:rsid w:val="000D39EF"/>
    <w:rsid w:val="000D42EF"/>
    <w:rsid w:val="000D457A"/>
    <w:rsid w:val="000D51C2"/>
    <w:rsid w:val="000D54B6"/>
    <w:rsid w:val="000D6E15"/>
    <w:rsid w:val="000E07CD"/>
    <w:rsid w:val="000E0C68"/>
    <w:rsid w:val="000E0DA7"/>
    <w:rsid w:val="000E181C"/>
    <w:rsid w:val="000E1FF9"/>
    <w:rsid w:val="000E29E0"/>
    <w:rsid w:val="000E38C2"/>
    <w:rsid w:val="000E3BDE"/>
    <w:rsid w:val="000E4019"/>
    <w:rsid w:val="000E4F22"/>
    <w:rsid w:val="000E6D6C"/>
    <w:rsid w:val="000E7019"/>
    <w:rsid w:val="000F243A"/>
    <w:rsid w:val="000F2534"/>
    <w:rsid w:val="000F28E8"/>
    <w:rsid w:val="000F297E"/>
    <w:rsid w:val="000F2D20"/>
    <w:rsid w:val="000F2E2F"/>
    <w:rsid w:val="000F2E68"/>
    <w:rsid w:val="000F313A"/>
    <w:rsid w:val="000F3652"/>
    <w:rsid w:val="000F37A9"/>
    <w:rsid w:val="000F4B60"/>
    <w:rsid w:val="000F6969"/>
    <w:rsid w:val="00100770"/>
    <w:rsid w:val="0010086D"/>
    <w:rsid w:val="00101212"/>
    <w:rsid w:val="001018A8"/>
    <w:rsid w:val="00104A1D"/>
    <w:rsid w:val="00104A65"/>
    <w:rsid w:val="001053ED"/>
    <w:rsid w:val="001059D6"/>
    <w:rsid w:val="00105A29"/>
    <w:rsid w:val="00106981"/>
    <w:rsid w:val="00107584"/>
    <w:rsid w:val="001076CA"/>
    <w:rsid w:val="00107EE7"/>
    <w:rsid w:val="001106AD"/>
    <w:rsid w:val="00111951"/>
    <w:rsid w:val="00112169"/>
    <w:rsid w:val="00112F1A"/>
    <w:rsid w:val="00113104"/>
    <w:rsid w:val="001133EE"/>
    <w:rsid w:val="00114178"/>
    <w:rsid w:val="00114850"/>
    <w:rsid w:val="00116FEE"/>
    <w:rsid w:val="0012030F"/>
    <w:rsid w:val="00120E5F"/>
    <w:rsid w:val="00121126"/>
    <w:rsid w:val="001213D5"/>
    <w:rsid w:val="00122C04"/>
    <w:rsid w:val="001237FF"/>
    <w:rsid w:val="00123A31"/>
    <w:rsid w:val="00124A02"/>
    <w:rsid w:val="00124A19"/>
    <w:rsid w:val="0012523C"/>
    <w:rsid w:val="00125673"/>
    <w:rsid w:val="00125AC7"/>
    <w:rsid w:val="00125DE4"/>
    <w:rsid w:val="00126037"/>
    <w:rsid w:val="001261F3"/>
    <w:rsid w:val="001263F0"/>
    <w:rsid w:val="0012683A"/>
    <w:rsid w:val="0012701F"/>
    <w:rsid w:val="001279AE"/>
    <w:rsid w:val="001302E4"/>
    <w:rsid w:val="00130F2C"/>
    <w:rsid w:val="001310C8"/>
    <w:rsid w:val="001323D6"/>
    <w:rsid w:val="00133B1C"/>
    <w:rsid w:val="00135050"/>
    <w:rsid w:val="00135633"/>
    <w:rsid w:val="00135EEF"/>
    <w:rsid w:val="00136399"/>
    <w:rsid w:val="00136CCE"/>
    <w:rsid w:val="00136E76"/>
    <w:rsid w:val="001375C6"/>
    <w:rsid w:val="00137C0A"/>
    <w:rsid w:val="00137C97"/>
    <w:rsid w:val="001403B4"/>
    <w:rsid w:val="00140A20"/>
    <w:rsid w:val="00140A60"/>
    <w:rsid w:val="00141B86"/>
    <w:rsid w:val="00141C89"/>
    <w:rsid w:val="00141EFB"/>
    <w:rsid w:val="001421A9"/>
    <w:rsid w:val="00142AD8"/>
    <w:rsid w:val="00142B4A"/>
    <w:rsid w:val="00144BFC"/>
    <w:rsid w:val="00144FFF"/>
    <w:rsid w:val="00145815"/>
    <w:rsid w:val="00145C3F"/>
    <w:rsid w:val="001468C6"/>
    <w:rsid w:val="00146C47"/>
    <w:rsid w:val="00147104"/>
    <w:rsid w:val="0015054E"/>
    <w:rsid w:val="0015150F"/>
    <w:rsid w:val="00151598"/>
    <w:rsid w:val="001520FD"/>
    <w:rsid w:val="00152635"/>
    <w:rsid w:val="00152CFC"/>
    <w:rsid w:val="0015410A"/>
    <w:rsid w:val="00154735"/>
    <w:rsid w:val="00155C72"/>
    <w:rsid w:val="00155FA9"/>
    <w:rsid w:val="0015676E"/>
    <w:rsid w:val="00157674"/>
    <w:rsid w:val="001611B1"/>
    <w:rsid w:val="001613F7"/>
    <w:rsid w:val="00161D85"/>
    <w:rsid w:val="00161EC3"/>
    <w:rsid w:val="001622D6"/>
    <w:rsid w:val="001641B9"/>
    <w:rsid w:val="001652EB"/>
    <w:rsid w:val="0016559B"/>
    <w:rsid w:val="00165A49"/>
    <w:rsid w:val="00166279"/>
    <w:rsid w:val="001667A9"/>
    <w:rsid w:val="00166E7F"/>
    <w:rsid w:val="00167629"/>
    <w:rsid w:val="00170004"/>
    <w:rsid w:val="00170130"/>
    <w:rsid w:val="001709D4"/>
    <w:rsid w:val="00171182"/>
    <w:rsid w:val="0017136A"/>
    <w:rsid w:val="001718B7"/>
    <w:rsid w:val="00171D71"/>
    <w:rsid w:val="00171EDC"/>
    <w:rsid w:val="00172C1B"/>
    <w:rsid w:val="001733C5"/>
    <w:rsid w:val="00173577"/>
    <w:rsid w:val="00173E55"/>
    <w:rsid w:val="0017405A"/>
    <w:rsid w:val="001749E7"/>
    <w:rsid w:val="00176658"/>
    <w:rsid w:val="00176AA5"/>
    <w:rsid w:val="00176CC6"/>
    <w:rsid w:val="001770A7"/>
    <w:rsid w:val="0017720E"/>
    <w:rsid w:val="001772CC"/>
    <w:rsid w:val="00177893"/>
    <w:rsid w:val="00177B0C"/>
    <w:rsid w:val="0018141A"/>
    <w:rsid w:val="00182FE1"/>
    <w:rsid w:val="001834C2"/>
    <w:rsid w:val="0018373E"/>
    <w:rsid w:val="001839C0"/>
    <w:rsid w:val="00184221"/>
    <w:rsid w:val="0018443E"/>
    <w:rsid w:val="00184954"/>
    <w:rsid w:val="0018598E"/>
    <w:rsid w:val="001859A0"/>
    <w:rsid w:val="00185C35"/>
    <w:rsid w:val="00186307"/>
    <w:rsid w:val="001863F7"/>
    <w:rsid w:val="00186B6E"/>
    <w:rsid w:val="00186EBC"/>
    <w:rsid w:val="00187F02"/>
    <w:rsid w:val="0019008B"/>
    <w:rsid w:val="00190525"/>
    <w:rsid w:val="00190905"/>
    <w:rsid w:val="001916C0"/>
    <w:rsid w:val="00191DCD"/>
    <w:rsid w:val="00192B6D"/>
    <w:rsid w:val="00193EFF"/>
    <w:rsid w:val="0019402D"/>
    <w:rsid w:val="00195DA4"/>
    <w:rsid w:val="00197D31"/>
    <w:rsid w:val="001A0142"/>
    <w:rsid w:val="001A1D2E"/>
    <w:rsid w:val="001A20DC"/>
    <w:rsid w:val="001A2575"/>
    <w:rsid w:val="001A3B8B"/>
    <w:rsid w:val="001A3DC9"/>
    <w:rsid w:val="001A448F"/>
    <w:rsid w:val="001A545C"/>
    <w:rsid w:val="001A701E"/>
    <w:rsid w:val="001A76D6"/>
    <w:rsid w:val="001B00CE"/>
    <w:rsid w:val="001B09B9"/>
    <w:rsid w:val="001B12A9"/>
    <w:rsid w:val="001B1A72"/>
    <w:rsid w:val="001B2429"/>
    <w:rsid w:val="001B2A0C"/>
    <w:rsid w:val="001B3C85"/>
    <w:rsid w:val="001B5649"/>
    <w:rsid w:val="001B5B6B"/>
    <w:rsid w:val="001B5E5C"/>
    <w:rsid w:val="001B5EE9"/>
    <w:rsid w:val="001B6389"/>
    <w:rsid w:val="001B6665"/>
    <w:rsid w:val="001B701A"/>
    <w:rsid w:val="001B7251"/>
    <w:rsid w:val="001B7849"/>
    <w:rsid w:val="001B7EAA"/>
    <w:rsid w:val="001C04CC"/>
    <w:rsid w:val="001C051E"/>
    <w:rsid w:val="001C06AA"/>
    <w:rsid w:val="001C0710"/>
    <w:rsid w:val="001C1830"/>
    <w:rsid w:val="001C215A"/>
    <w:rsid w:val="001C3883"/>
    <w:rsid w:val="001C39D8"/>
    <w:rsid w:val="001C40A1"/>
    <w:rsid w:val="001C69D7"/>
    <w:rsid w:val="001C70C5"/>
    <w:rsid w:val="001C7497"/>
    <w:rsid w:val="001C7727"/>
    <w:rsid w:val="001C796E"/>
    <w:rsid w:val="001C7D1B"/>
    <w:rsid w:val="001C7D53"/>
    <w:rsid w:val="001D3CE4"/>
    <w:rsid w:val="001D453F"/>
    <w:rsid w:val="001D4929"/>
    <w:rsid w:val="001D50F8"/>
    <w:rsid w:val="001D5D47"/>
    <w:rsid w:val="001D5DE3"/>
    <w:rsid w:val="001D7BD9"/>
    <w:rsid w:val="001E025D"/>
    <w:rsid w:val="001E0994"/>
    <w:rsid w:val="001E0B0D"/>
    <w:rsid w:val="001E1223"/>
    <w:rsid w:val="001E1827"/>
    <w:rsid w:val="001E1FFC"/>
    <w:rsid w:val="001E20F0"/>
    <w:rsid w:val="001E216D"/>
    <w:rsid w:val="001E25EC"/>
    <w:rsid w:val="001E35BB"/>
    <w:rsid w:val="001E4138"/>
    <w:rsid w:val="001E48A2"/>
    <w:rsid w:val="001E4A71"/>
    <w:rsid w:val="001E4E75"/>
    <w:rsid w:val="001E4E98"/>
    <w:rsid w:val="001E5494"/>
    <w:rsid w:val="001E56C5"/>
    <w:rsid w:val="001E5896"/>
    <w:rsid w:val="001E5918"/>
    <w:rsid w:val="001E6896"/>
    <w:rsid w:val="001E6BC4"/>
    <w:rsid w:val="001E73EC"/>
    <w:rsid w:val="001E7D27"/>
    <w:rsid w:val="001F073C"/>
    <w:rsid w:val="001F097A"/>
    <w:rsid w:val="001F0D0A"/>
    <w:rsid w:val="001F2757"/>
    <w:rsid w:val="001F2912"/>
    <w:rsid w:val="001F2AFD"/>
    <w:rsid w:val="001F2F47"/>
    <w:rsid w:val="001F42BE"/>
    <w:rsid w:val="001F45EE"/>
    <w:rsid w:val="001F478F"/>
    <w:rsid w:val="001F507D"/>
    <w:rsid w:val="001F5512"/>
    <w:rsid w:val="001F60CB"/>
    <w:rsid w:val="001F6896"/>
    <w:rsid w:val="001F69F9"/>
    <w:rsid w:val="001F6A9E"/>
    <w:rsid w:val="001F6D75"/>
    <w:rsid w:val="00200296"/>
    <w:rsid w:val="00201ADB"/>
    <w:rsid w:val="00201C50"/>
    <w:rsid w:val="002024BB"/>
    <w:rsid w:val="0020299C"/>
    <w:rsid w:val="00202F93"/>
    <w:rsid w:val="00203DB1"/>
    <w:rsid w:val="0020441A"/>
    <w:rsid w:val="00204B6C"/>
    <w:rsid w:val="00204B78"/>
    <w:rsid w:val="00204D5B"/>
    <w:rsid w:val="00204FAB"/>
    <w:rsid w:val="00205028"/>
    <w:rsid w:val="002056B4"/>
    <w:rsid w:val="002058E5"/>
    <w:rsid w:val="00207102"/>
    <w:rsid w:val="00207FBA"/>
    <w:rsid w:val="00210FAA"/>
    <w:rsid w:val="00211340"/>
    <w:rsid w:val="00211F51"/>
    <w:rsid w:val="002128DC"/>
    <w:rsid w:val="00212E79"/>
    <w:rsid w:val="00213207"/>
    <w:rsid w:val="00214438"/>
    <w:rsid w:val="002149DA"/>
    <w:rsid w:val="00215787"/>
    <w:rsid w:val="002164BB"/>
    <w:rsid w:val="00216557"/>
    <w:rsid w:val="00216816"/>
    <w:rsid w:val="00217171"/>
    <w:rsid w:val="002202A8"/>
    <w:rsid w:val="002205EB"/>
    <w:rsid w:val="00220FE5"/>
    <w:rsid w:val="0022112C"/>
    <w:rsid w:val="002219ED"/>
    <w:rsid w:val="0022327B"/>
    <w:rsid w:val="002234A6"/>
    <w:rsid w:val="00223CCA"/>
    <w:rsid w:val="00225170"/>
    <w:rsid w:val="00225FCB"/>
    <w:rsid w:val="00226504"/>
    <w:rsid w:val="0022686C"/>
    <w:rsid w:val="0022687E"/>
    <w:rsid w:val="0023002F"/>
    <w:rsid w:val="00231517"/>
    <w:rsid w:val="0023162B"/>
    <w:rsid w:val="0023171F"/>
    <w:rsid w:val="002320FE"/>
    <w:rsid w:val="00232158"/>
    <w:rsid w:val="0023283C"/>
    <w:rsid w:val="00233296"/>
    <w:rsid w:val="002334C1"/>
    <w:rsid w:val="00234780"/>
    <w:rsid w:val="00234825"/>
    <w:rsid w:val="002349E0"/>
    <w:rsid w:val="00235845"/>
    <w:rsid w:val="00235C51"/>
    <w:rsid w:val="00237323"/>
    <w:rsid w:val="00237B53"/>
    <w:rsid w:val="00240D9C"/>
    <w:rsid w:val="002425EA"/>
    <w:rsid w:val="00242853"/>
    <w:rsid w:val="00242DEB"/>
    <w:rsid w:val="00242EA0"/>
    <w:rsid w:val="00242F3E"/>
    <w:rsid w:val="002433DD"/>
    <w:rsid w:val="00243685"/>
    <w:rsid w:val="00243BB4"/>
    <w:rsid w:val="00243F24"/>
    <w:rsid w:val="0024411B"/>
    <w:rsid w:val="0024459C"/>
    <w:rsid w:val="0024550A"/>
    <w:rsid w:val="00245AD1"/>
    <w:rsid w:val="00245E58"/>
    <w:rsid w:val="00246BDF"/>
    <w:rsid w:val="00246EC1"/>
    <w:rsid w:val="002470BB"/>
    <w:rsid w:val="00247396"/>
    <w:rsid w:val="00250FA5"/>
    <w:rsid w:val="00251A77"/>
    <w:rsid w:val="00251BA2"/>
    <w:rsid w:val="00252497"/>
    <w:rsid w:val="0025249E"/>
    <w:rsid w:val="0025256A"/>
    <w:rsid w:val="002530E7"/>
    <w:rsid w:val="002532B4"/>
    <w:rsid w:val="00253BF8"/>
    <w:rsid w:val="00253C6A"/>
    <w:rsid w:val="0025487C"/>
    <w:rsid w:val="00254B3F"/>
    <w:rsid w:val="00254EEB"/>
    <w:rsid w:val="0025613F"/>
    <w:rsid w:val="002563A4"/>
    <w:rsid w:val="002567CD"/>
    <w:rsid w:val="00256A54"/>
    <w:rsid w:val="00257657"/>
    <w:rsid w:val="00257C43"/>
    <w:rsid w:val="00257F91"/>
    <w:rsid w:val="0026053F"/>
    <w:rsid w:val="00260EAB"/>
    <w:rsid w:val="0026144F"/>
    <w:rsid w:val="00261DC6"/>
    <w:rsid w:val="002625FA"/>
    <w:rsid w:val="00262C13"/>
    <w:rsid w:val="00264623"/>
    <w:rsid w:val="00264773"/>
    <w:rsid w:val="00264E52"/>
    <w:rsid w:val="0026605D"/>
    <w:rsid w:val="00266824"/>
    <w:rsid w:val="00266FD6"/>
    <w:rsid w:val="002671C9"/>
    <w:rsid w:val="00267BED"/>
    <w:rsid w:val="00267CC6"/>
    <w:rsid w:val="00267D94"/>
    <w:rsid w:val="00267FBF"/>
    <w:rsid w:val="00270A08"/>
    <w:rsid w:val="00270BBC"/>
    <w:rsid w:val="00271211"/>
    <w:rsid w:val="00272444"/>
    <w:rsid w:val="00272A42"/>
    <w:rsid w:val="00273C6C"/>
    <w:rsid w:val="00273FFC"/>
    <w:rsid w:val="00274302"/>
    <w:rsid w:val="002748D8"/>
    <w:rsid w:val="00274A20"/>
    <w:rsid w:val="00274F9C"/>
    <w:rsid w:val="00275628"/>
    <w:rsid w:val="0027575E"/>
    <w:rsid w:val="00276240"/>
    <w:rsid w:val="002764B9"/>
    <w:rsid w:val="00276871"/>
    <w:rsid w:val="00276C8A"/>
    <w:rsid w:val="002773EC"/>
    <w:rsid w:val="0027774F"/>
    <w:rsid w:val="00277A42"/>
    <w:rsid w:val="00277D40"/>
    <w:rsid w:val="002801F4"/>
    <w:rsid w:val="00280604"/>
    <w:rsid w:val="00280B5B"/>
    <w:rsid w:val="00280D8D"/>
    <w:rsid w:val="00281073"/>
    <w:rsid w:val="002813BA"/>
    <w:rsid w:val="00281DCF"/>
    <w:rsid w:val="0028324B"/>
    <w:rsid w:val="002832DF"/>
    <w:rsid w:val="002836DF"/>
    <w:rsid w:val="00285110"/>
    <w:rsid w:val="0028538F"/>
    <w:rsid w:val="00286124"/>
    <w:rsid w:val="002861AB"/>
    <w:rsid w:val="00287596"/>
    <w:rsid w:val="00287E1E"/>
    <w:rsid w:val="002918BE"/>
    <w:rsid w:val="002923DF"/>
    <w:rsid w:val="00292738"/>
    <w:rsid w:val="0029289C"/>
    <w:rsid w:val="002928F4"/>
    <w:rsid w:val="002935D1"/>
    <w:rsid w:val="0029364D"/>
    <w:rsid w:val="0029400B"/>
    <w:rsid w:val="002961BD"/>
    <w:rsid w:val="00296F70"/>
    <w:rsid w:val="002A0229"/>
    <w:rsid w:val="002A04C7"/>
    <w:rsid w:val="002A0810"/>
    <w:rsid w:val="002A2A80"/>
    <w:rsid w:val="002A3258"/>
    <w:rsid w:val="002A346B"/>
    <w:rsid w:val="002A391F"/>
    <w:rsid w:val="002A3BDC"/>
    <w:rsid w:val="002A4503"/>
    <w:rsid w:val="002A4516"/>
    <w:rsid w:val="002A4F7D"/>
    <w:rsid w:val="002A5F50"/>
    <w:rsid w:val="002A6834"/>
    <w:rsid w:val="002A6FA6"/>
    <w:rsid w:val="002A78B9"/>
    <w:rsid w:val="002A7A2A"/>
    <w:rsid w:val="002A7A86"/>
    <w:rsid w:val="002B05B8"/>
    <w:rsid w:val="002B1C15"/>
    <w:rsid w:val="002B225E"/>
    <w:rsid w:val="002B3C72"/>
    <w:rsid w:val="002B428A"/>
    <w:rsid w:val="002B4941"/>
    <w:rsid w:val="002B4FB9"/>
    <w:rsid w:val="002B5D74"/>
    <w:rsid w:val="002B67CA"/>
    <w:rsid w:val="002B6817"/>
    <w:rsid w:val="002B7ADB"/>
    <w:rsid w:val="002C00F5"/>
    <w:rsid w:val="002C06C0"/>
    <w:rsid w:val="002C1543"/>
    <w:rsid w:val="002C17C7"/>
    <w:rsid w:val="002C1C08"/>
    <w:rsid w:val="002C1D2F"/>
    <w:rsid w:val="002C3528"/>
    <w:rsid w:val="002C4314"/>
    <w:rsid w:val="002C4C2E"/>
    <w:rsid w:val="002C5F32"/>
    <w:rsid w:val="002C5FAE"/>
    <w:rsid w:val="002C64FD"/>
    <w:rsid w:val="002C6D6F"/>
    <w:rsid w:val="002C6F18"/>
    <w:rsid w:val="002C7C13"/>
    <w:rsid w:val="002D0668"/>
    <w:rsid w:val="002D0EF2"/>
    <w:rsid w:val="002D1242"/>
    <w:rsid w:val="002D20EA"/>
    <w:rsid w:val="002D23E6"/>
    <w:rsid w:val="002D24AC"/>
    <w:rsid w:val="002D2FCA"/>
    <w:rsid w:val="002D344E"/>
    <w:rsid w:val="002D374D"/>
    <w:rsid w:val="002D3C5B"/>
    <w:rsid w:val="002D4E57"/>
    <w:rsid w:val="002D723A"/>
    <w:rsid w:val="002D7823"/>
    <w:rsid w:val="002D7CC4"/>
    <w:rsid w:val="002E0715"/>
    <w:rsid w:val="002E1243"/>
    <w:rsid w:val="002E195C"/>
    <w:rsid w:val="002E40BD"/>
    <w:rsid w:val="002E4293"/>
    <w:rsid w:val="002E4C2D"/>
    <w:rsid w:val="002E4DE3"/>
    <w:rsid w:val="002E5285"/>
    <w:rsid w:val="002E5DEA"/>
    <w:rsid w:val="002E6073"/>
    <w:rsid w:val="002E63E0"/>
    <w:rsid w:val="002E6612"/>
    <w:rsid w:val="002E6623"/>
    <w:rsid w:val="002E6C0E"/>
    <w:rsid w:val="002E724A"/>
    <w:rsid w:val="002E792B"/>
    <w:rsid w:val="002E7F49"/>
    <w:rsid w:val="002F078A"/>
    <w:rsid w:val="002F1917"/>
    <w:rsid w:val="002F2057"/>
    <w:rsid w:val="002F238C"/>
    <w:rsid w:val="002F259D"/>
    <w:rsid w:val="002F26E6"/>
    <w:rsid w:val="002F2E30"/>
    <w:rsid w:val="002F311E"/>
    <w:rsid w:val="002F313A"/>
    <w:rsid w:val="002F345B"/>
    <w:rsid w:val="002F3BEC"/>
    <w:rsid w:val="002F4515"/>
    <w:rsid w:val="002F5FEC"/>
    <w:rsid w:val="002F663E"/>
    <w:rsid w:val="002F688A"/>
    <w:rsid w:val="002F71B8"/>
    <w:rsid w:val="002F71F4"/>
    <w:rsid w:val="002F7246"/>
    <w:rsid w:val="00301EA1"/>
    <w:rsid w:val="00301F26"/>
    <w:rsid w:val="00302FCC"/>
    <w:rsid w:val="003030F8"/>
    <w:rsid w:val="00303CFF"/>
    <w:rsid w:val="00303F3A"/>
    <w:rsid w:val="0030515E"/>
    <w:rsid w:val="00305C9F"/>
    <w:rsid w:val="003062AE"/>
    <w:rsid w:val="003072AB"/>
    <w:rsid w:val="0030783F"/>
    <w:rsid w:val="00307A8C"/>
    <w:rsid w:val="00307D02"/>
    <w:rsid w:val="00310160"/>
    <w:rsid w:val="0031033B"/>
    <w:rsid w:val="00310814"/>
    <w:rsid w:val="00310E37"/>
    <w:rsid w:val="00311046"/>
    <w:rsid w:val="0031168C"/>
    <w:rsid w:val="003124DF"/>
    <w:rsid w:val="00312E50"/>
    <w:rsid w:val="00312EB0"/>
    <w:rsid w:val="00313C1C"/>
    <w:rsid w:val="003142F5"/>
    <w:rsid w:val="0031480D"/>
    <w:rsid w:val="00314B62"/>
    <w:rsid w:val="00314BF9"/>
    <w:rsid w:val="00314BFC"/>
    <w:rsid w:val="00314C03"/>
    <w:rsid w:val="00315514"/>
    <w:rsid w:val="00316025"/>
    <w:rsid w:val="003168D7"/>
    <w:rsid w:val="003169AB"/>
    <w:rsid w:val="00316AA0"/>
    <w:rsid w:val="00317E18"/>
    <w:rsid w:val="003208AE"/>
    <w:rsid w:val="003208F0"/>
    <w:rsid w:val="003211BC"/>
    <w:rsid w:val="00323BA4"/>
    <w:rsid w:val="00323CDD"/>
    <w:rsid w:val="00323D5B"/>
    <w:rsid w:val="00324141"/>
    <w:rsid w:val="00324B79"/>
    <w:rsid w:val="003276E5"/>
    <w:rsid w:val="00327BDB"/>
    <w:rsid w:val="00327D3D"/>
    <w:rsid w:val="00330760"/>
    <w:rsid w:val="00330F2C"/>
    <w:rsid w:val="003318D0"/>
    <w:rsid w:val="00331A16"/>
    <w:rsid w:val="00333A28"/>
    <w:rsid w:val="00333C84"/>
    <w:rsid w:val="0033458B"/>
    <w:rsid w:val="00334ACF"/>
    <w:rsid w:val="00334BBB"/>
    <w:rsid w:val="003355D8"/>
    <w:rsid w:val="00335A26"/>
    <w:rsid w:val="00336AED"/>
    <w:rsid w:val="00337814"/>
    <w:rsid w:val="00337A59"/>
    <w:rsid w:val="00337B10"/>
    <w:rsid w:val="003415E1"/>
    <w:rsid w:val="00341A14"/>
    <w:rsid w:val="00342AB2"/>
    <w:rsid w:val="00343AB1"/>
    <w:rsid w:val="003440DD"/>
    <w:rsid w:val="00345185"/>
    <w:rsid w:val="0034572E"/>
    <w:rsid w:val="00345DCA"/>
    <w:rsid w:val="00345E01"/>
    <w:rsid w:val="00346234"/>
    <w:rsid w:val="003468CB"/>
    <w:rsid w:val="00346CAF"/>
    <w:rsid w:val="0035045D"/>
    <w:rsid w:val="00350CE9"/>
    <w:rsid w:val="00351381"/>
    <w:rsid w:val="003515E2"/>
    <w:rsid w:val="00351A62"/>
    <w:rsid w:val="00351DC3"/>
    <w:rsid w:val="003530A6"/>
    <w:rsid w:val="00353627"/>
    <w:rsid w:val="003546FE"/>
    <w:rsid w:val="00354C4E"/>
    <w:rsid w:val="00354E89"/>
    <w:rsid w:val="00355773"/>
    <w:rsid w:val="00355C11"/>
    <w:rsid w:val="00355F72"/>
    <w:rsid w:val="00356E4B"/>
    <w:rsid w:val="00357657"/>
    <w:rsid w:val="003578BA"/>
    <w:rsid w:val="00357E32"/>
    <w:rsid w:val="00357FEC"/>
    <w:rsid w:val="003603D9"/>
    <w:rsid w:val="00361B05"/>
    <w:rsid w:val="00362427"/>
    <w:rsid w:val="00362CF3"/>
    <w:rsid w:val="00363422"/>
    <w:rsid w:val="003639A6"/>
    <w:rsid w:val="00364235"/>
    <w:rsid w:val="003645D5"/>
    <w:rsid w:val="003669D0"/>
    <w:rsid w:val="003679AE"/>
    <w:rsid w:val="00367BD7"/>
    <w:rsid w:val="00370688"/>
    <w:rsid w:val="003714BA"/>
    <w:rsid w:val="00371BE7"/>
    <w:rsid w:val="00371CE4"/>
    <w:rsid w:val="00373463"/>
    <w:rsid w:val="00373779"/>
    <w:rsid w:val="0037425F"/>
    <w:rsid w:val="003747ED"/>
    <w:rsid w:val="0037510E"/>
    <w:rsid w:val="00375944"/>
    <w:rsid w:val="00376372"/>
    <w:rsid w:val="0037720B"/>
    <w:rsid w:val="003809D2"/>
    <w:rsid w:val="003819E7"/>
    <w:rsid w:val="003822A1"/>
    <w:rsid w:val="003824BB"/>
    <w:rsid w:val="0038281C"/>
    <w:rsid w:val="00383BF0"/>
    <w:rsid w:val="00384099"/>
    <w:rsid w:val="00384437"/>
    <w:rsid w:val="0038479C"/>
    <w:rsid w:val="00384E07"/>
    <w:rsid w:val="0038516B"/>
    <w:rsid w:val="00385A64"/>
    <w:rsid w:val="00386D1A"/>
    <w:rsid w:val="00387D97"/>
    <w:rsid w:val="00387F7D"/>
    <w:rsid w:val="0039045D"/>
    <w:rsid w:val="003909A5"/>
    <w:rsid w:val="00391479"/>
    <w:rsid w:val="0039182E"/>
    <w:rsid w:val="00392A15"/>
    <w:rsid w:val="003933E3"/>
    <w:rsid w:val="0039342B"/>
    <w:rsid w:val="00394C83"/>
    <w:rsid w:val="00396027"/>
    <w:rsid w:val="00396339"/>
    <w:rsid w:val="003967D3"/>
    <w:rsid w:val="00397170"/>
    <w:rsid w:val="00397ECF"/>
    <w:rsid w:val="003A04B8"/>
    <w:rsid w:val="003A0708"/>
    <w:rsid w:val="003A096A"/>
    <w:rsid w:val="003A0C85"/>
    <w:rsid w:val="003A0CD0"/>
    <w:rsid w:val="003A143A"/>
    <w:rsid w:val="003A1AF5"/>
    <w:rsid w:val="003A33C6"/>
    <w:rsid w:val="003A3433"/>
    <w:rsid w:val="003A4A5E"/>
    <w:rsid w:val="003A537E"/>
    <w:rsid w:val="003A660F"/>
    <w:rsid w:val="003A693E"/>
    <w:rsid w:val="003A69E8"/>
    <w:rsid w:val="003A6B64"/>
    <w:rsid w:val="003A7738"/>
    <w:rsid w:val="003A79A4"/>
    <w:rsid w:val="003A7E81"/>
    <w:rsid w:val="003B0685"/>
    <w:rsid w:val="003B095E"/>
    <w:rsid w:val="003B2D17"/>
    <w:rsid w:val="003B3C35"/>
    <w:rsid w:val="003B5766"/>
    <w:rsid w:val="003B58BA"/>
    <w:rsid w:val="003B6006"/>
    <w:rsid w:val="003B655F"/>
    <w:rsid w:val="003B65EC"/>
    <w:rsid w:val="003B7303"/>
    <w:rsid w:val="003B73C8"/>
    <w:rsid w:val="003B7D09"/>
    <w:rsid w:val="003C0127"/>
    <w:rsid w:val="003C04A6"/>
    <w:rsid w:val="003C055D"/>
    <w:rsid w:val="003C0DCF"/>
    <w:rsid w:val="003C0EAF"/>
    <w:rsid w:val="003C0EC8"/>
    <w:rsid w:val="003C109E"/>
    <w:rsid w:val="003C1234"/>
    <w:rsid w:val="003C1A9F"/>
    <w:rsid w:val="003C277B"/>
    <w:rsid w:val="003C3EED"/>
    <w:rsid w:val="003C54D2"/>
    <w:rsid w:val="003C6D83"/>
    <w:rsid w:val="003C777E"/>
    <w:rsid w:val="003D11A9"/>
    <w:rsid w:val="003D1451"/>
    <w:rsid w:val="003D197F"/>
    <w:rsid w:val="003D1E5E"/>
    <w:rsid w:val="003D1FB3"/>
    <w:rsid w:val="003D2A37"/>
    <w:rsid w:val="003D355A"/>
    <w:rsid w:val="003D35A3"/>
    <w:rsid w:val="003D3D3B"/>
    <w:rsid w:val="003D3E6A"/>
    <w:rsid w:val="003D3EFE"/>
    <w:rsid w:val="003D5DAF"/>
    <w:rsid w:val="003D69EF"/>
    <w:rsid w:val="003E0700"/>
    <w:rsid w:val="003E0993"/>
    <w:rsid w:val="003E0EDB"/>
    <w:rsid w:val="003E2417"/>
    <w:rsid w:val="003E29BE"/>
    <w:rsid w:val="003E2AFA"/>
    <w:rsid w:val="003E2B05"/>
    <w:rsid w:val="003E2CF4"/>
    <w:rsid w:val="003E4BDA"/>
    <w:rsid w:val="003E5E2D"/>
    <w:rsid w:val="003E6196"/>
    <w:rsid w:val="003E6475"/>
    <w:rsid w:val="003E6498"/>
    <w:rsid w:val="003E6EB6"/>
    <w:rsid w:val="003E6F0E"/>
    <w:rsid w:val="003E7607"/>
    <w:rsid w:val="003E7E53"/>
    <w:rsid w:val="003F064D"/>
    <w:rsid w:val="003F105A"/>
    <w:rsid w:val="003F12D6"/>
    <w:rsid w:val="003F2CC6"/>
    <w:rsid w:val="003F3BB0"/>
    <w:rsid w:val="003F56C5"/>
    <w:rsid w:val="003F57E6"/>
    <w:rsid w:val="003F6199"/>
    <w:rsid w:val="003F652D"/>
    <w:rsid w:val="00400DD7"/>
    <w:rsid w:val="00401E77"/>
    <w:rsid w:val="004029D9"/>
    <w:rsid w:val="004032FA"/>
    <w:rsid w:val="004033BF"/>
    <w:rsid w:val="004044F2"/>
    <w:rsid w:val="00404B7C"/>
    <w:rsid w:val="00404C3E"/>
    <w:rsid w:val="00405A82"/>
    <w:rsid w:val="004067E0"/>
    <w:rsid w:val="00406F44"/>
    <w:rsid w:val="00410AD0"/>
    <w:rsid w:val="004112C2"/>
    <w:rsid w:val="00411356"/>
    <w:rsid w:val="0041276C"/>
    <w:rsid w:val="004133A8"/>
    <w:rsid w:val="00413671"/>
    <w:rsid w:val="00413773"/>
    <w:rsid w:val="00413AC3"/>
    <w:rsid w:val="00413FE6"/>
    <w:rsid w:val="00414072"/>
    <w:rsid w:val="0041415F"/>
    <w:rsid w:val="00414755"/>
    <w:rsid w:val="0041498A"/>
    <w:rsid w:val="00414FDC"/>
    <w:rsid w:val="00415FF6"/>
    <w:rsid w:val="00416479"/>
    <w:rsid w:val="00416693"/>
    <w:rsid w:val="0041685C"/>
    <w:rsid w:val="0041792C"/>
    <w:rsid w:val="00420034"/>
    <w:rsid w:val="00420540"/>
    <w:rsid w:val="004206D4"/>
    <w:rsid w:val="00420DBB"/>
    <w:rsid w:val="00421450"/>
    <w:rsid w:val="004224C5"/>
    <w:rsid w:val="00422F23"/>
    <w:rsid w:val="004231FF"/>
    <w:rsid w:val="0042342A"/>
    <w:rsid w:val="00423F3A"/>
    <w:rsid w:val="00425029"/>
    <w:rsid w:val="00425E16"/>
    <w:rsid w:val="00426090"/>
    <w:rsid w:val="00426AD3"/>
    <w:rsid w:val="00426C29"/>
    <w:rsid w:val="00426CF2"/>
    <w:rsid w:val="00427E55"/>
    <w:rsid w:val="00427F0D"/>
    <w:rsid w:val="00431F30"/>
    <w:rsid w:val="004323D3"/>
    <w:rsid w:val="004329D9"/>
    <w:rsid w:val="00432B3C"/>
    <w:rsid w:val="00432CD2"/>
    <w:rsid w:val="004348EA"/>
    <w:rsid w:val="00435451"/>
    <w:rsid w:val="00436415"/>
    <w:rsid w:val="00436555"/>
    <w:rsid w:val="00436667"/>
    <w:rsid w:val="00436E82"/>
    <w:rsid w:val="00437829"/>
    <w:rsid w:val="00437BB5"/>
    <w:rsid w:val="00437CE0"/>
    <w:rsid w:val="00437D00"/>
    <w:rsid w:val="00440357"/>
    <w:rsid w:val="0044139A"/>
    <w:rsid w:val="00444F4A"/>
    <w:rsid w:val="004479FF"/>
    <w:rsid w:val="00451387"/>
    <w:rsid w:val="00452CA6"/>
    <w:rsid w:val="004531C9"/>
    <w:rsid w:val="004535BF"/>
    <w:rsid w:val="00453653"/>
    <w:rsid w:val="0045389C"/>
    <w:rsid w:val="00453B69"/>
    <w:rsid w:val="00453BAE"/>
    <w:rsid w:val="00453D59"/>
    <w:rsid w:val="00454521"/>
    <w:rsid w:val="004548E9"/>
    <w:rsid w:val="004556D5"/>
    <w:rsid w:val="00456242"/>
    <w:rsid w:val="00460608"/>
    <w:rsid w:val="00460B6A"/>
    <w:rsid w:val="00460DDB"/>
    <w:rsid w:val="004619BB"/>
    <w:rsid w:val="00461A06"/>
    <w:rsid w:val="00462ED6"/>
    <w:rsid w:val="00463CFE"/>
    <w:rsid w:val="00463F0D"/>
    <w:rsid w:val="00463FCE"/>
    <w:rsid w:val="004641F4"/>
    <w:rsid w:val="0046429D"/>
    <w:rsid w:val="00465481"/>
    <w:rsid w:val="00465525"/>
    <w:rsid w:val="00465D3F"/>
    <w:rsid w:val="00465E84"/>
    <w:rsid w:val="0046600B"/>
    <w:rsid w:val="0046621E"/>
    <w:rsid w:val="00467280"/>
    <w:rsid w:val="00467CC0"/>
    <w:rsid w:val="00470949"/>
    <w:rsid w:val="00471A80"/>
    <w:rsid w:val="00472D4D"/>
    <w:rsid w:val="00473128"/>
    <w:rsid w:val="004746B3"/>
    <w:rsid w:val="0047564B"/>
    <w:rsid w:val="00475860"/>
    <w:rsid w:val="00477591"/>
    <w:rsid w:val="00477A29"/>
    <w:rsid w:val="00477AC8"/>
    <w:rsid w:val="0048147B"/>
    <w:rsid w:val="00481549"/>
    <w:rsid w:val="00481B94"/>
    <w:rsid w:val="00482009"/>
    <w:rsid w:val="0048258A"/>
    <w:rsid w:val="00482E9B"/>
    <w:rsid w:val="004836C9"/>
    <w:rsid w:val="00483F40"/>
    <w:rsid w:val="004847D1"/>
    <w:rsid w:val="00485AA5"/>
    <w:rsid w:val="004867DA"/>
    <w:rsid w:val="00486F4E"/>
    <w:rsid w:val="00487526"/>
    <w:rsid w:val="0048761C"/>
    <w:rsid w:val="0048769B"/>
    <w:rsid w:val="004876BF"/>
    <w:rsid w:val="00490061"/>
    <w:rsid w:val="00490771"/>
    <w:rsid w:val="004908B7"/>
    <w:rsid w:val="00490A71"/>
    <w:rsid w:val="004919DD"/>
    <w:rsid w:val="00492131"/>
    <w:rsid w:val="00492519"/>
    <w:rsid w:val="004928A0"/>
    <w:rsid w:val="004935EF"/>
    <w:rsid w:val="00493A0A"/>
    <w:rsid w:val="00493DFB"/>
    <w:rsid w:val="00494098"/>
    <w:rsid w:val="00494F7C"/>
    <w:rsid w:val="004953A1"/>
    <w:rsid w:val="004955AB"/>
    <w:rsid w:val="0049608A"/>
    <w:rsid w:val="0049644A"/>
    <w:rsid w:val="00496B41"/>
    <w:rsid w:val="00497548"/>
    <w:rsid w:val="004A0C6D"/>
    <w:rsid w:val="004A194C"/>
    <w:rsid w:val="004A21CF"/>
    <w:rsid w:val="004A2DF5"/>
    <w:rsid w:val="004A3B6E"/>
    <w:rsid w:val="004A4471"/>
    <w:rsid w:val="004A493F"/>
    <w:rsid w:val="004A4E4E"/>
    <w:rsid w:val="004A4EF3"/>
    <w:rsid w:val="004A5746"/>
    <w:rsid w:val="004A7C5D"/>
    <w:rsid w:val="004A7C6F"/>
    <w:rsid w:val="004A7E6E"/>
    <w:rsid w:val="004A7E7B"/>
    <w:rsid w:val="004A7EFE"/>
    <w:rsid w:val="004B0893"/>
    <w:rsid w:val="004B0FD3"/>
    <w:rsid w:val="004B2CAC"/>
    <w:rsid w:val="004B3419"/>
    <w:rsid w:val="004B3C00"/>
    <w:rsid w:val="004B3D19"/>
    <w:rsid w:val="004B4226"/>
    <w:rsid w:val="004B4F8C"/>
    <w:rsid w:val="004B5391"/>
    <w:rsid w:val="004B562C"/>
    <w:rsid w:val="004B57BF"/>
    <w:rsid w:val="004B5C6F"/>
    <w:rsid w:val="004B64B3"/>
    <w:rsid w:val="004B664B"/>
    <w:rsid w:val="004B7B85"/>
    <w:rsid w:val="004B7D80"/>
    <w:rsid w:val="004C08CB"/>
    <w:rsid w:val="004C0944"/>
    <w:rsid w:val="004C0AE7"/>
    <w:rsid w:val="004C0CE7"/>
    <w:rsid w:val="004C0D96"/>
    <w:rsid w:val="004C1D0C"/>
    <w:rsid w:val="004C2FF3"/>
    <w:rsid w:val="004C3B63"/>
    <w:rsid w:val="004C445C"/>
    <w:rsid w:val="004C54D4"/>
    <w:rsid w:val="004C5C61"/>
    <w:rsid w:val="004C5F62"/>
    <w:rsid w:val="004C7DDA"/>
    <w:rsid w:val="004D001A"/>
    <w:rsid w:val="004D0643"/>
    <w:rsid w:val="004D072D"/>
    <w:rsid w:val="004D1006"/>
    <w:rsid w:val="004D2709"/>
    <w:rsid w:val="004D3AE5"/>
    <w:rsid w:val="004D3D04"/>
    <w:rsid w:val="004D4377"/>
    <w:rsid w:val="004D45DF"/>
    <w:rsid w:val="004D4699"/>
    <w:rsid w:val="004D49B0"/>
    <w:rsid w:val="004D52E1"/>
    <w:rsid w:val="004D5466"/>
    <w:rsid w:val="004D561A"/>
    <w:rsid w:val="004D6552"/>
    <w:rsid w:val="004D72F0"/>
    <w:rsid w:val="004D7F30"/>
    <w:rsid w:val="004D7FB4"/>
    <w:rsid w:val="004E027C"/>
    <w:rsid w:val="004E0C0B"/>
    <w:rsid w:val="004E0D02"/>
    <w:rsid w:val="004E18D0"/>
    <w:rsid w:val="004E2125"/>
    <w:rsid w:val="004E222D"/>
    <w:rsid w:val="004E2A72"/>
    <w:rsid w:val="004E346E"/>
    <w:rsid w:val="004E498E"/>
    <w:rsid w:val="004E52D8"/>
    <w:rsid w:val="004E539F"/>
    <w:rsid w:val="004E5D10"/>
    <w:rsid w:val="004E5DAC"/>
    <w:rsid w:val="004E5F8F"/>
    <w:rsid w:val="004E65DD"/>
    <w:rsid w:val="004E6929"/>
    <w:rsid w:val="004E6CFF"/>
    <w:rsid w:val="004E6D75"/>
    <w:rsid w:val="004E79B5"/>
    <w:rsid w:val="004E7AD4"/>
    <w:rsid w:val="004F1802"/>
    <w:rsid w:val="004F3688"/>
    <w:rsid w:val="004F3AAE"/>
    <w:rsid w:val="004F3F05"/>
    <w:rsid w:val="004F4242"/>
    <w:rsid w:val="004F4BDE"/>
    <w:rsid w:val="004F5646"/>
    <w:rsid w:val="004F5BFC"/>
    <w:rsid w:val="004F6790"/>
    <w:rsid w:val="004F737D"/>
    <w:rsid w:val="004F7CAC"/>
    <w:rsid w:val="00500826"/>
    <w:rsid w:val="005016A6"/>
    <w:rsid w:val="0050175A"/>
    <w:rsid w:val="0050175F"/>
    <w:rsid w:val="00501A5A"/>
    <w:rsid w:val="00502031"/>
    <w:rsid w:val="005031A5"/>
    <w:rsid w:val="00503E77"/>
    <w:rsid w:val="00504D14"/>
    <w:rsid w:val="00504DA3"/>
    <w:rsid w:val="00504FAC"/>
    <w:rsid w:val="00506258"/>
    <w:rsid w:val="00507521"/>
    <w:rsid w:val="0051042B"/>
    <w:rsid w:val="00511320"/>
    <w:rsid w:val="00511698"/>
    <w:rsid w:val="005119C9"/>
    <w:rsid w:val="005124D1"/>
    <w:rsid w:val="00513692"/>
    <w:rsid w:val="00513C73"/>
    <w:rsid w:val="005143F9"/>
    <w:rsid w:val="00514566"/>
    <w:rsid w:val="00514E56"/>
    <w:rsid w:val="00515806"/>
    <w:rsid w:val="00516484"/>
    <w:rsid w:val="00516566"/>
    <w:rsid w:val="005170DD"/>
    <w:rsid w:val="00517F51"/>
    <w:rsid w:val="00520E4C"/>
    <w:rsid w:val="005218C3"/>
    <w:rsid w:val="00522139"/>
    <w:rsid w:val="005224A2"/>
    <w:rsid w:val="00522DC6"/>
    <w:rsid w:val="005251C9"/>
    <w:rsid w:val="0052574B"/>
    <w:rsid w:val="005268C6"/>
    <w:rsid w:val="00526FAF"/>
    <w:rsid w:val="0052758B"/>
    <w:rsid w:val="0052786B"/>
    <w:rsid w:val="00527898"/>
    <w:rsid w:val="005279A8"/>
    <w:rsid w:val="00527AEE"/>
    <w:rsid w:val="00531C11"/>
    <w:rsid w:val="005320D3"/>
    <w:rsid w:val="0053211C"/>
    <w:rsid w:val="0053315F"/>
    <w:rsid w:val="0053350B"/>
    <w:rsid w:val="00534C32"/>
    <w:rsid w:val="00535B73"/>
    <w:rsid w:val="00535C74"/>
    <w:rsid w:val="00535CBE"/>
    <w:rsid w:val="005361AB"/>
    <w:rsid w:val="00537CE4"/>
    <w:rsid w:val="00541017"/>
    <w:rsid w:val="005415B6"/>
    <w:rsid w:val="005416CF"/>
    <w:rsid w:val="00541D43"/>
    <w:rsid w:val="00541E8A"/>
    <w:rsid w:val="00541FF0"/>
    <w:rsid w:val="00542068"/>
    <w:rsid w:val="00542FD7"/>
    <w:rsid w:val="00543376"/>
    <w:rsid w:val="005439E5"/>
    <w:rsid w:val="00543AF9"/>
    <w:rsid w:val="00544C74"/>
    <w:rsid w:val="00544DE1"/>
    <w:rsid w:val="00545978"/>
    <w:rsid w:val="00546701"/>
    <w:rsid w:val="005474B4"/>
    <w:rsid w:val="0054757A"/>
    <w:rsid w:val="0054761D"/>
    <w:rsid w:val="00547946"/>
    <w:rsid w:val="00547DB3"/>
    <w:rsid w:val="00547FC0"/>
    <w:rsid w:val="00550304"/>
    <w:rsid w:val="00551257"/>
    <w:rsid w:val="00551735"/>
    <w:rsid w:val="00551DCF"/>
    <w:rsid w:val="005522B1"/>
    <w:rsid w:val="005523C3"/>
    <w:rsid w:val="0055323C"/>
    <w:rsid w:val="005535A0"/>
    <w:rsid w:val="00554B90"/>
    <w:rsid w:val="00555318"/>
    <w:rsid w:val="0055532F"/>
    <w:rsid w:val="005558A9"/>
    <w:rsid w:val="00557574"/>
    <w:rsid w:val="00557628"/>
    <w:rsid w:val="0055780A"/>
    <w:rsid w:val="00557BCB"/>
    <w:rsid w:val="00557C82"/>
    <w:rsid w:val="00560B4A"/>
    <w:rsid w:val="00560BC3"/>
    <w:rsid w:val="005615A6"/>
    <w:rsid w:val="005617DF"/>
    <w:rsid w:val="00561D24"/>
    <w:rsid w:val="00562905"/>
    <w:rsid w:val="00562AC8"/>
    <w:rsid w:val="0056398E"/>
    <w:rsid w:val="0056423A"/>
    <w:rsid w:val="0056429D"/>
    <w:rsid w:val="005644C7"/>
    <w:rsid w:val="005647DE"/>
    <w:rsid w:val="00564AE5"/>
    <w:rsid w:val="005667CB"/>
    <w:rsid w:val="00566926"/>
    <w:rsid w:val="00567333"/>
    <w:rsid w:val="00567DBD"/>
    <w:rsid w:val="00567EB3"/>
    <w:rsid w:val="00570338"/>
    <w:rsid w:val="00570A34"/>
    <w:rsid w:val="00570B5D"/>
    <w:rsid w:val="0057324A"/>
    <w:rsid w:val="005732E9"/>
    <w:rsid w:val="005738A6"/>
    <w:rsid w:val="00575488"/>
    <w:rsid w:val="00575507"/>
    <w:rsid w:val="00575AA4"/>
    <w:rsid w:val="00575B95"/>
    <w:rsid w:val="0057645B"/>
    <w:rsid w:val="005765ED"/>
    <w:rsid w:val="00576ADE"/>
    <w:rsid w:val="00577726"/>
    <w:rsid w:val="00577CFD"/>
    <w:rsid w:val="00577DEF"/>
    <w:rsid w:val="00581B78"/>
    <w:rsid w:val="0058244F"/>
    <w:rsid w:val="00582CA0"/>
    <w:rsid w:val="0058370E"/>
    <w:rsid w:val="00583A57"/>
    <w:rsid w:val="00584002"/>
    <w:rsid w:val="00584300"/>
    <w:rsid w:val="0058464A"/>
    <w:rsid w:val="00586F48"/>
    <w:rsid w:val="00591ABA"/>
    <w:rsid w:val="005926E2"/>
    <w:rsid w:val="005927FD"/>
    <w:rsid w:val="00592B0A"/>
    <w:rsid w:val="00592B61"/>
    <w:rsid w:val="00592CD4"/>
    <w:rsid w:val="00592DC4"/>
    <w:rsid w:val="00592FC3"/>
    <w:rsid w:val="0059400E"/>
    <w:rsid w:val="005945B1"/>
    <w:rsid w:val="0059517E"/>
    <w:rsid w:val="005971D1"/>
    <w:rsid w:val="00597972"/>
    <w:rsid w:val="00597A7B"/>
    <w:rsid w:val="00597F13"/>
    <w:rsid w:val="00597FAB"/>
    <w:rsid w:val="005A01F6"/>
    <w:rsid w:val="005A1C99"/>
    <w:rsid w:val="005A1FD3"/>
    <w:rsid w:val="005A3281"/>
    <w:rsid w:val="005A3CEC"/>
    <w:rsid w:val="005A4301"/>
    <w:rsid w:val="005A494B"/>
    <w:rsid w:val="005A49F3"/>
    <w:rsid w:val="005A4A9D"/>
    <w:rsid w:val="005A4C43"/>
    <w:rsid w:val="005A5FEC"/>
    <w:rsid w:val="005A6492"/>
    <w:rsid w:val="005B0D92"/>
    <w:rsid w:val="005B104C"/>
    <w:rsid w:val="005B1417"/>
    <w:rsid w:val="005B1A2E"/>
    <w:rsid w:val="005B1CDD"/>
    <w:rsid w:val="005B26A8"/>
    <w:rsid w:val="005B274B"/>
    <w:rsid w:val="005B3A88"/>
    <w:rsid w:val="005B3D90"/>
    <w:rsid w:val="005B4921"/>
    <w:rsid w:val="005B5DED"/>
    <w:rsid w:val="005B61EA"/>
    <w:rsid w:val="005B781F"/>
    <w:rsid w:val="005C0A8B"/>
    <w:rsid w:val="005C0BDF"/>
    <w:rsid w:val="005C1499"/>
    <w:rsid w:val="005C1A72"/>
    <w:rsid w:val="005C2085"/>
    <w:rsid w:val="005C3405"/>
    <w:rsid w:val="005C3A10"/>
    <w:rsid w:val="005C3BA0"/>
    <w:rsid w:val="005C3BE1"/>
    <w:rsid w:val="005C407E"/>
    <w:rsid w:val="005C451A"/>
    <w:rsid w:val="005C52F5"/>
    <w:rsid w:val="005C604E"/>
    <w:rsid w:val="005C6415"/>
    <w:rsid w:val="005C6A66"/>
    <w:rsid w:val="005C705C"/>
    <w:rsid w:val="005C793C"/>
    <w:rsid w:val="005D00F9"/>
    <w:rsid w:val="005D0105"/>
    <w:rsid w:val="005D0199"/>
    <w:rsid w:val="005D0BC0"/>
    <w:rsid w:val="005D0EC4"/>
    <w:rsid w:val="005D0F25"/>
    <w:rsid w:val="005D18E0"/>
    <w:rsid w:val="005D24B3"/>
    <w:rsid w:val="005D27E4"/>
    <w:rsid w:val="005D30D4"/>
    <w:rsid w:val="005D3A91"/>
    <w:rsid w:val="005D4615"/>
    <w:rsid w:val="005D5BA1"/>
    <w:rsid w:val="005D6573"/>
    <w:rsid w:val="005D697E"/>
    <w:rsid w:val="005E0145"/>
    <w:rsid w:val="005E0628"/>
    <w:rsid w:val="005E07B4"/>
    <w:rsid w:val="005E0FAB"/>
    <w:rsid w:val="005E49B2"/>
    <w:rsid w:val="005E5372"/>
    <w:rsid w:val="005E5F9E"/>
    <w:rsid w:val="005E6358"/>
    <w:rsid w:val="005E640B"/>
    <w:rsid w:val="005E76EA"/>
    <w:rsid w:val="005E7D4E"/>
    <w:rsid w:val="005E7F26"/>
    <w:rsid w:val="005F0AE8"/>
    <w:rsid w:val="005F18CE"/>
    <w:rsid w:val="005F1FD6"/>
    <w:rsid w:val="005F2515"/>
    <w:rsid w:val="005F2A6B"/>
    <w:rsid w:val="005F3366"/>
    <w:rsid w:val="005F3AC9"/>
    <w:rsid w:val="005F3E96"/>
    <w:rsid w:val="005F40C1"/>
    <w:rsid w:val="005F4656"/>
    <w:rsid w:val="005F6A9E"/>
    <w:rsid w:val="005F7DED"/>
    <w:rsid w:val="00600A39"/>
    <w:rsid w:val="0060191B"/>
    <w:rsid w:val="00601B3F"/>
    <w:rsid w:val="00601C23"/>
    <w:rsid w:val="006024D3"/>
    <w:rsid w:val="006029CA"/>
    <w:rsid w:val="006044B7"/>
    <w:rsid w:val="006048D3"/>
    <w:rsid w:val="006056B5"/>
    <w:rsid w:val="00605789"/>
    <w:rsid w:val="006067A8"/>
    <w:rsid w:val="00606EF9"/>
    <w:rsid w:val="0060706A"/>
    <w:rsid w:val="00607758"/>
    <w:rsid w:val="0061034D"/>
    <w:rsid w:val="00610582"/>
    <w:rsid w:val="00610674"/>
    <w:rsid w:val="00610D5E"/>
    <w:rsid w:val="006110C9"/>
    <w:rsid w:val="006110E8"/>
    <w:rsid w:val="006112E3"/>
    <w:rsid w:val="0061283E"/>
    <w:rsid w:val="00613467"/>
    <w:rsid w:val="00613F20"/>
    <w:rsid w:val="00614133"/>
    <w:rsid w:val="0061431E"/>
    <w:rsid w:val="0061553C"/>
    <w:rsid w:val="006155A3"/>
    <w:rsid w:val="006157F8"/>
    <w:rsid w:val="00615FD6"/>
    <w:rsid w:val="006169CE"/>
    <w:rsid w:val="00616C56"/>
    <w:rsid w:val="00616D73"/>
    <w:rsid w:val="0062027A"/>
    <w:rsid w:val="00621033"/>
    <w:rsid w:val="00622971"/>
    <w:rsid w:val="00622F2F"/>
    <w:rsid w:val="00623092"/>
    <w:rsid w:val="00623454"/>
    <w:rsid w:val="0062398E"/>
    <w:rsid w:val="00624315"/>
    <w:rsid w:val="006245AB"/>
    <w:rsid w:val="00624778"/>
    <w:rsid w:val="0062545B"/>
    <w:rsid w:val="0062552A"/>
    <w:rsid w:val="0062726F"/>
    <w:rsid w:val="00627377"/>
    <w:rsid w:val="00627A65"/>
    <w:rsid w:val="00627CBD"/>
    <w:rsid w:val="00630496"/>
    <w:rsid w:val="00630C9F"/>
    <w:rsid w:val="00631C0A"/>
    <w:rsid w:val="00631FD7"/>
    <w:rsid w:val="00633033"/>
    <w:rsid w:val="006332BE"/>
    <w:rsid w:val="0063362B"/>
    <w:rsid w:val="00633834"/>
    <w:rsid w:val="00634104"/>
    <w:rsid w:val="006344E0"/>
    <w:rsid w:val="00634778"/>
    <w:rsid w:val="00634900"/>
    <w:rsid w:val="00635409"/>
    <w:rsid w:val="00635F4C"/>
    <w:rsid w:val="006367DD"/>
    <w:rsid w:val="0063687B"/>
    <w:rsid w:val="00636E13"/>
    <w:rsid w:val="00637C5B"/>
    <w:rsid w:val="00637FFD"/>
    <w:rsid w:val="006400D9"/>
    <w:rsid w:val="0064013D"/>
    <w:rsid w:val="00640785"/>
    <w:rsid w:val="006408C3"/>
    <w:rsid w:val="00640E65"/>
    <w:rsid w:val="006419CD"/>
    <w:rsid w:val="00641F9D"/>
    <w:rsid w:val="006421FC"/>
    <w:rsid w:val="0064290C"/>
    <w:rsid w:val="00643296"/>
    <w:rsid w:val="0064344A"/>
    <w:rsid w:val="00643486"/>
    <w:rsid w:val="006436B7"/>
    <w:rsid w:val="00643BA3"/>
    <w:rsid w:val="006445E2"/>
    <w:rsid w:val="006448C0"/>
    <w:rsid w:val="00644B1E"/>
    <w:rsid w:val="00645203"/>
    <w:rsid w:val="00645A02"/>
    <w:rsid w:val="00645AB3"/>
    <w:rsid w:val="00645CA5"/>
    <w:rsid w:val="00645D53"/>
    <w:rsid w:val="00645DBC"/>
    <w:rsid w:val="00645F14"/>
    <w:rsid w:val="0064620D"/>
    <w:rsid w:val="00646DE1"/>
    <w:rsid w:val="0064719A"/>
    <w:rsid w:val="0064762B"/>
    <w:rsid w:val="0064793F"/>
    <w:rsid w:val="006510FB"/>
    <w:rsid w:val="0065226B"/>
    <w:rsid w:val="006527E7"/>
    <w:rsid w:val="006544A1"/>
    <w:rsid w:val="006550BC"/>
    <w:rsid w:val="00655158"/>
    <w:rsid w:val="00655D5D"/>
    <w:rsid w:val="0065600C"/>
    <w:rsid w:val="00656A27"/>
    <w:rsid w:val="00656A5A"/>
    <w:rsid w:val="00657754"/>
    <w:rsid w:val="00657A5A"/>
    <w:rsid w:val="0066043B"/>
    <w:rsid w:val="0066098C"/>
    <w:rsid w:val="00660DE0"/>
    <w:rsid w:val="00661392"/>
    <w:rsid w:val="006618AA"/>
    <w:rsid w:val="00661E8F"/>
    <w:rsid w:val="00662DFF"/>
    <w:rsid w:val="00662E1A"/>
    <w:rsid w:val="006631F0"/>
    <w:rsid w:val="00663B4B"/>
    <w:rsid w:val="00664356"/>
    <w:rsid w:val="00664970"/>
    <w:rsid w:val="00664CF9"/>
    <w:rsid w:val="00664FFC"/>
    <w:rsid w:val="00665790"/>
    <w:rsid w:val="00665FC6"/>
    <w:rsid w:val="00665FF3"/>
    <w:rsid w:val="00667104"/>
    <w:rsid w:val="00667CBF"/>
    <w:rsid w:val="00670472"/>
    <w:rsid w:val="00670676"/>
    <w:rsid w:val="006715F7"/>
    <w:rsid w:val="00671CC2"/>
    <w:rsid w:val="00672120"/>
    <w:rsid w:val="006726C4"/>
    <w:rsid w:val="00672DBA"/>
    <w:rsid w:val="0067327D"/>
    <w:rsid w:val="00673352"/>
    <w:rsid w:val="00673843"/>
    <w:rsid w:val="00673B13"/>
    <w:rsid w:val="00673DB9"/>
    <w:rsid w:val="00677059"/>
    <w:rsid w:val="006770D5"/>
    <w:rsid w:val="006775BA"/>
    <w:rsid w:val="00677A53"/>
    <w:rsid w:val="00677CF7"/>
    <w:rsid w:val="006806D7"/>
    <w:rsid w:val="00680EC7"/>
    <w:rsid w:val="00680F31"/>
    <w:rsid w:val="00681714"/>
    <w:rsid w:val="00681817"/>
    <w:rsid w:val="00681C5B"/>
    <w:rsid w:val="00681CDB"/>
    <w:rsid w:val="0068368C"/>
    <w:rsid w:val="00683786"/>
    <w:rsid w:val="00683E39"/>
    <w:rsid w:val="0068446B"/>
    <w:rsid w:val="00685BBF"/>
    <w:rsid w:val="00686346"/>
    <w:rsid w:val="006863B1"/>
    <w:rsid w:val="0068650C"/>
    <w:rsid w:val="00686A71"/>
    <w:rsid w:val="00687D51"/>
    <w:rsid w:val="00687F96"/>
    <w:rsid w:val="0069051D"/>
    <w:rsid w:val="0069123E"/>
    <w:rsid w:val="00691913"/>
    <w:rsid w:val="00692B74"/>
    <w:rsid w:val="00693399"/>
    <w:rsid w:val="00693A1B"/>
    <w:rsid w:val="0069459C"/>
    <w:rsid w:val="006945E0"/>
    <w:rsid w:val="00696C7E"/>
    <w:rsid w:val="00697239"/>
    <w:rsid w:val="006A037B"/>
    <w:rsid w:val="006A138B"/>
    <w:rsid w:val="006A1569"/>
    <w:rsid w:val="006A15B9"/>
    <w:rsid w:val="006A1942"/>
    <w:rsid w:val="006A1BDD"/>
    <w:rsid w:val="006A2CB9"/>
    <w:rsid w:val="006A6503"/>
    <w:rsid w:val="006A7140"/>
    <w:rsid w:val="006A7FE1"/>
    <w:rsid w:val="006B00FE"/>
    <w:rsid w:val="006B0480"/>
    <w:rsid w:val="006B122A"/>
    <w:rsid w:val="006B140A"/>
    <w:rsid w:val="006B1599"/>
    <w:rsid w:val="006B16C8"/>
    <w:rsid w:val="006B2B32"/>
    <w:rsid w:val="006B41BA"/>
    <w:rsid w:val="006B47D3"/>
    <w:rsid w:val="006B496A"/>
    <w:rsid w:val="006B5181"/>
    <w:rsid w:val="006B5D29"/>
    <w:rsid w:val="006B6027"/>
    <w:rsid w:val="006B6044"/>
    <w:rsid w:val="006B66A0"/>
    <w:rsid w:val="006B6DE4"/>
    <w:rsid w:val="006B7C66"/>
    <w:rsid w:val="006C014A"/>
    <w:rsid w:val="006C03E2"/>
    <w:rsid w:val="006C0974"/>
    <w:rsid w:val="006C113E"/>
    <w:rsid w:val="006C29D4"/>
    <w:rsid w:val="006C2C64"/>
    <w:rsid w:val="006C33C8"/>
    <w:rsid w:val="006C3CE3"/>
    <w:rsid w:val="006C4413"/>
    <w:rsid w:val="006C48FF"/>
    <w:rsid w:val="006C4906"/>
    <w:rsid w:val="006C6AA6"/>
    <w:rsid w:val="006C6F2F"/>
    <w:rsid w:val="006C79DB"/>
    <w:rsid w:val="006C7B75"/>
    <w:rsid w:val="006D0332"/>
    <w:rsid w:val="006D1131"/>
    <w:rsid w:val="006D1896"/>
    <w:rsid w:val="006D1C43"/>
    <w:rsid w:val="006D2C4B"/>
    <w:rsid w:val="006D3271"/>
    <w:rsid w:val="006D33C5"/>
    <w:rsid w:val="006D4E1F"/>
    <w:rsid w:val="006D5247"/>
    <w:rsid w:val="006D566E"/>
    <w:rsid w:val="006D5D03"/>
    <w:rsid w:val="006D5F43"/>
    <w:rsid w:val="006D6363"/>
    <w:rsid w:val="006D69BA"/>
    <w:rsid w:val="006D71F8"/>
    <w:rsid w:val="006D7D25"/>
    <w:rsid w:val="006E02E5"/>
    <w:rsid w:val="006E133C"/>
    <w:rsid w:val="006E1BB8"/>
    <w:rsid w:val="006E4068"/>
    <w:rsid w:val="006E57EE"/>
    <w:rsid w:val="006E6BF3"/>
    <w:rsid w:val="006E7302"/>
    <w:rsid w:val="006F161E"/>
    <w:rsid w:val="006F1AF7"/>
    <w:rsid w:val="006F1BB3"/>
    <w:rsid w:val="006F21CC"/>
    <w:rsid w:val="006F23DC"/>
    <w:rsid w:val="006F24DE"/>
    <w:rsid w:val="006F25FE"/>
    <w:rsid w:val="006F2669"/>
    <w:rsid w:val="006F350A"/>
    <w:rsid w:val="006F6132"/>
    <w:rsid w:val="006F6565"/>
    <w:rsid w:val="006F6C5E"/>
    <w:rsid w:val="006F7F67"/>
    <w:rsid w:val="007000C5"/>
    <w:rsid w:val="00700928"/>
    <w:rsid w:val="00700FE7"/>
    <w:rsid w:val="0070129A"/>
    <w:rsid w:val="007019BE"/>
    <w:rsid w:val="00703418"/>
    <w:rsid w:val="00703D59"/>
    <w:rsid w:val="007045F4"/>
    <w:rsid w:val="0070470D"/>
    <w:rsid w:val="0070489D"/>
    <w:rsid w:val="0070527E"/>
    <w:rsid w:val="00705374"/>
    <w:rsid w:val="007061AA"/>
    <w:rsid w:val="007063D3"/>
    <w:rsid w:val="0070691C"/>
    <w:rsid w:val="00706CAA"/>
    <w:rsid w:val="00707802"/>
    <w:rsid w:val="00710485"/>
    <w:rsid w:val="007109D8"/>
    <w:rsid w:val="00711FDD"/>
    <w:rsid w:val="00712C73"/>
    <w:rsid w:val="0071362E"/>
    <w:rsid w:val="00714145"/>
    <w:rsid w:val="0071484C"/>
    <w:rsid w:val="00714E0D"/>
    <w:rsid w:val="00715033"/>
    <w:rsid w:val="007157E6"/>
    <w:rsid w:val="00717C8E"/>
    <w:rsid w:val="00720BE8"/>
    <w:rsid w:val="00720D09"/>
    <w:rsid w:val="00720F69"/>
    <w:rsid w:val="00721FBC"/>
    <w:rsid w:val="00722107"/>
    <w:rsid w:val="00722446"/>
    <w:rsid w:val="00722A7F"/>
    <w:rsid w:val="00722FA4"/>
    <w:rsid w:val="007232AA"/>
    <w:rsid w:val="007238D6"/>
    <w:rsid w:val="00723E1E"/>
    <w:rsid w:val="00724B19"/>
    <w:rsid w:val="007257E0"/>
    <w:rsid w:val="00725C02"/>
    <w:rsid w:val="00725F8E"/>
    <w:rsid w:val="007266EE"/>
    <w:rsid w:val="007276AA"/>
    <w:rsid w:val="0073003C"/>
    <w:rsid w:val="00730A4C"/>
    <w:rsid w:val="00730D7F"/>
    <w:rsid w:val="00731413"/>
    <w:rsid w:val="00731C74"/>
    <w:rsid w:val="0073438E"/>
    <w:rsid w:val="007347CC"/>
    <w:rsid w:val="007348AF"/>
    <w:rsid w:val="00734A3B"/>
    <w:rsid w:val="00735273"/>
    <w:rsid w:val="00735846"/>
    <w:rsid w:val="00735C67"/>
    <w:rsid w:val="00736B92"/>
    <w:rsid w:val="00736D64"/>
    <w:rsid w:val="00737523"/>
    <w:rsid w:val="00737EE2"/>
    <w:rsid w:val="00740764"/>
    <w:rsid w:val="007408F2"/>
    <w:rsid w:val="00741A74"/>
    <w:rsid w:val="007421F4"/>
    <w:rsid w:val="007424AB"/>
    <w:rsid w:val="00742865"/>
    <w:rsid w:val="0074311D"/>
    <w:rsid w:val="00743B80"/>
    <w:rsid w:val="0074442A"/>
    <w:rsid w:val="00744C4E"/>
    <w:rsid w:val="00745082"/>
    <w:rsid w:val="00746A24"/>
    <w:rsid w:val="00746DE1"/>
    <w:rsid w:val="007503C5"/>
    <w:rsid w:val="00750420"/>
    <w:rsid w:val="0075082C"/>
    <w:rsid w:val="007509A6"/>
    <w:rsid w:val="00750B5A"/>
    <w:rsid w:val="00750E2B"/>
    <w:rsid w:val="0075140C"/>
    <w:rsid w:val="00751C6B"/>
    <w:rsid w:val="00751EA2"/>
    <w:rsid w:val="00751F15"/>
    <w:rsid w:val="00752B8A"/>
    <w:rsid w:val="007533BC"/>
    <w:rsid w:val="00753DFA"/>
    <w:rsid w:val="007555B4"/>
    <w:rsid w:val="00755C7C"/>
    <w:rsid w:val="007568B2"/>
    <w:rsid w:val="007568E0"/>
    <w:rsid w:val="00756985"/>
    <w:rsid w:val="00756BBD"/>
    <w:rsid w:val="00757BC7"/>
    <w:rsid w:val="00760876"/>
    <w:rsid w:val="00760C86"/>
    <w:rsid w:val="00762490"/>
    <w:rsid w:val="00762BDF"/>
    <w:rsid w:val="00763720"/>
    <w:rsid w:val="00764310"/>
    <w:rsid w:val="0076446C"/>
    <w:rsid w:val="007662B9"/>
    <w:rsid w:val="007662EA"/>
    <w:rsid w:val="00766348"/>
    <w:rsid w:val="00767588"/>
    <w:rsid w:val="0076766D"/>
    <w:rsid w:val="00770563"/>
    <w:rsid w:val="00770966"/>
    <w:rsid w:val="00771833"/>
    <w:rsid w:val="00772C70"/>
    <w:rsid w:val="00772D45"/>
    <w:rsid w:val="00773585"/>
    <w:rsid w:val="0077454A"/>
    <w:rsid w:val="00774561"/>
    <w:rsid w:val="0077548D"/>
    <w:rsid w:val="007765FB"/>
    <w:rsid w:val="00777D67"/>
    <w:rsid w:val="0078018C"/>
    <w:rsid w:val="00780204"/>
    <w:rsid w:val="00780F24"/>
    <w:rsid w:val="007816A5"/>
    <w:rsid w:val="00781777"/>
    <w:rsid w:val="007817B1"/>
    <w:rsid w:val="00781EC7"/>
    <w:rsid w:val="00781F4B"/>
    <w:rsid w:val="0078218C"/>
    <w:rsid w:val="007821EF"/>
    <w:rsid w:val="0078272D"/>
    <w:rsid w:val="007829CD"/>
    <w:rsid w:val="00782D4B"/>
    <w:rsid w:val="00783BBD"/>
    <w:rsid w:val="007847FA"/>
    <w:rsid w:val="00786B9F"/>
    <w:rsid w:val="00787332"/>
    <w:rsid w:val="007874E7"/>
    <w:rsid w:val="00787985"/>
    <w:rsid w:val="00787BDC"/>
    <w:rsid w:val="00790910"/>
    <w:rsid w:val="00791245"/>
    <w:rsid w:val="007914C5"/>
    <w:rsid w:val="00791C5D"/>
    <w:rsid w:val="00791DE1"/>
    <w:rsid w:val="0079241F"/>
    <w:rsid w:val="0079375E"/>
    <w:rsid w:val="00793C7E"/>
    <w:rsid w:val="0079475A"/>
    <w:rsid w:val="0079482B"/>
    <w:rsid w:val="00794C45"/>
    <w:rsid w:val="0079515E"/>
    <w:rsid w:val="00796EAF"/>
    <w:rsid w:val="007976A9"/>
    <w:rsid w:val="00797D36"/>
    <w:rsid w:val="007A0667"/>
    <w:rsid w:val="007A0AA8"/>
    <w:rsid w:val="007A0B4B"/>
    <w:rsid w:val="007A0C94"/>
    <w:rsid w:val="007A194D"/>
    <w:rsid w:val="007A2F3F"/>
    <w:rsid w:val="007A321D"/>
    <w:rsid w:val="007A37EA"/>
    <w:rsid w:val="007A387E"/>
    <w:rsid w:val="007A3A8C"/>
    <w:rsid w:val="007A4024"/>
    <w:rsid w:val="007A4500"/>
    <w:rsid w:val="007A5D6E"/>
    <w:rsid w:val="007A5FB6"/>
    <w:rsid w:val="007A6254"/>
    <w:rsid w:val="007A7481"/>
    <w:rsid w:val="007B03E9"/>
    <w:rsid w:val="007B0B33"/>
    <w:rsid w:val="007B0C11"/>
    <w:rsid w:val="007B0E0C"/>
    <w:rsid w:val="007B1B91"/>
    <w:rsid w:val="007B218B"/>
    <w:rsid w:val="007B23AF"/>
    <w:rsid w:val="007B269A"/>
    <w:rsid w:val="007B26B4"/>
    <w:rsid w:val="007B2AF8"/>
    <w:rsid w:val="007B344A"/>
    <w:rsid w:val="007B34D9"/>
    <w:rsid w:val="007B41C9"/>
    <w:rsid w:val="007B60E4"/>
    <w:rsid w:val="007B6B55"/>
    <w:rsid w:val="007B7C67"/>
    <w:rsid w:val="007C0D0E"/>
    <w:rsid w:val="007C0ED0"/>
    <w:rsid w:val="007C0F81"/>
    <w:rsid w:val="007C26E5"/>
    <w:rsid w:val="007C346A"/>
    <w:rsid w:val="007C436E"/>
    <w:rsid w:val="007C4CDA"/>
    <w:rsid w:val="007C6B1D"/>
    <w:rsid w:val="007C6E2F"/>
    <w:rsid w:val="007C720A"/>
    <w:rsid w:val="007C7499"/>
    <w:rsid w:val="007C7C2E"/>
    <w:rsid w:val="007D0043"/>
    <w:rsid w:val="007D0C35"/>
    <w:rsid w:val="007D1092"/>
    <w:rsid w:val="007D118C"/>
    <w:rsid w:val="007D11CA"/>
    <w:rsid w:val="007D1924"/>
    <w:rsid w:val="007D1D3B"/>
    <w:rsid w:val="007D2466"/>
    <w:rsid w:val="007D2621"/>
    <w:rsid w:val="007D26A6"/>
    <w:rsid w:val="007D2D04"/>
    <w:rsid w:val="007D348D"/>
    <w:rsid w:val="007D5CA8"/>
    <w:rsid w:val="007D6B9E"/>
    <w:rsid w:val="007D7578"/>
    <w:rsid w:val="007E0CAF"/>
    <w:rsid w:val="007E0FEA"/>
    <w:rsid w:val="007E2F09"/>
    <w:rsid w:val="007E3401"/>
    <w:rsid w:val="007E3511"/>
    <w:rsid w:val="007E58EB"/>
    <w:rsid w:val="007E6171"/>
    <w:rsid w:val="007E676C"/>
    <w:rsid w:val="007E6E8A"/>
    <w:rsid w:val="007E7252"/>
    <w:rsid w:val="007F070F"/>
    <w:rsid w:val="007F07D8"/>
    <w:rsid w:val="007F08B5"/>
    <w:rsid w:val="007F08CA"/>
    <w:rsid w:val="007F0CE5"/>
    <w:rsid w:val="007F106D"/>
    <w:rsid w:val="007F2BE5"/>
    <w:rsid w:val="007F3934"/>
    <w:rsid w:val="007F3B6E"/>
    <w:rsid w:val="007F4394"/>
    <w:rsid w:val="007F4CDC"/>
    <w:rsid w:val="007F52AC"/>
    <w:rsid w:val="007F5305"/>
    <w:rsid w:val="007F5602"/>
    <w:rsid w:val="007F59DE"/>
    <w:rsid w:val="007F648B"/>
    <w:rsid w:val="007F6B13"/>
    <w:rsid w:val="007F6F68"/>
    <w:rsid w:val="007F7AC2"/>
    <w:rsid w:val="00801A6F"/>
    <w:rsid w:val="00801B6C"/>
    <w:rsid w:val="008028DE"/>
    <w:rsid w:val="00802B63"/>
    <w:rsid w:val="00802CFB"/>
    <w:rsid w:val="0080399E"/>
    <w:rsid w:val="00803B41"/>
    <w:rsid w:val="0080460A"/>
    <w:rsid w:val="0080539C"/>
    <w:rsid w:val="0080593C"/>
    <w:rsid w:val="0080613E"/>
    <w:rsid w:val="00806434"/>
    <w:rsid w:val="00807559"/>
    <w:rsid w:val="00807AD6"/>
    <w:rsid w:val="00810074"/>
    <w:rsid w:val="008115C2"/>
    <w:rsid w:val="008117BF"/>
    <w:rsid w:val="00811904"/>
    <w:rsid w:val="00811EB0"/>
    <w:rsid w:val="008127AA"/>
    <w:rsid w:val="00813288"/>
    <w:rsid w:val="008144E6"/>
    <w:rsid w:val="00814E52"/>
    <w:rsid w:val="00814F2B"/>
    <w:rsid w:val="00816F98"/>
    <w:rsid w:val="0081711A"/>
    <w:rsid w:val="00817162"/>
    <w:rsid w:val="008171E6"/>
    <w:rsid w:val="00817232"/>
    <w:rsid w:val="00817BDA"/>
    <w:rsid w:val="00817F92"/>
    <w:rsid w:val="008210A8"/>
    <w:rsid w:val="008219A5"/>
    <w:rsid w:val="00821A29"/>
    <w:rsid w:val="008220DD"/>
    <w:rsid w:val="00822F43"/>
    <w:rsid w:val="00823233"/>
    <w:rsid w:val="00823D39"/>
    <w:rsid w:val="00824426"/>
    <w:rsid w:val="00824B0E"/>
    <w:rsid w:val="00824C9D"/>
    <w:rsid w:val="008260B8"/>
    <w:rsid w:val="00826DEA"/>
    <w:rsid w:val="00826EEA"/>
    <w:rsid w:val="00827126"/>
    <w:rsid w:val="0082741C"/>
    <w:rsid w:val="00827E97"/>
    <w:rsid w:val="00830597"/>
    <w:rsid w:val="00830A4C"/>
    <w:rsid w:val="00830C71"/>
    <w:rsid w:val="00830E52"/>
    <w:rsid w:val="00830EBF"/>
    <w:rsid w:val="008310EB"/>
    <w:rsid w:val="00831C64"/>
    <w:rsid w:val="0083233F"/>
    <w:rsid w:val="008324E3"/>
    <w:rsid w:val="0083263B"/>
    <w:rsid w:val="00833E59"/>
    <w:rsid w:val="0083475E"/>
    <w:rsid w:val="00835D6A"/>
    <w:rsid w:val="0083640E"/>
    <w:rsid w:val="00836E8D"/>
    <w:rsid w:val="0084213E"/>
    <w:rsid w:val="00842490"/>
    <w:rsid w:val="00842B44"/>
    <w:rsid w:val="0084304E"/>
    <w:rsid w:val="008431D6"/>
    <w:rsid w:val="0084337A"/>
    <w:rsid w:val="008434A2"/>
    <w:rsid w:val="00843F50"/>
    <w:rsid w:val="00843F6B"/>
    <w:rsid w:val="00843F8D"/>
    <w:rsid w:val="00844076"/>
    <w:rsid w:val="00844347"/>
    <w:rsid w:val="0084437F"/>
    <w:rsid w:val="00844B1F"/>
    <w:rsid w:val="008450F3"/>
    <w:rsid w:val="00845597"/>
    <w:rsid w:val="00845946"/>
    <w:rsid w:val="008460D7"/>
    <w:rsid w:val="00846BA8"/>
    <w:rsid w:val="008476A0"/>
    <w:rsid w:val="00850412"/>
    <w:rsid w:val="0085041B"/>
    <w:rsid w:val="008509E0"/>
    <w:rsid w:val="00851368"/>
    <w:rsid w:val="008515B8"/>
    <w:rsid w:val="00851B35"/>
    <w:rsid w:val="00851BDF"/>
    <w:rsid w:val="00851C5E"/>
    <w:rsid w:val="00852722"/>
    <w:rsid w:val="00852E4A"/>
    <w:rsid w:val="00852F38"/>
    <w:rsid w:val="00854EF0"/>
    <w:rsid w:val="008556FC"/>
    <w:rsid w:val="00855BE9"/>
    <w:rsid w:val="00855DF5"/>
    <w:rsid w:val="00856BCB"/>
    <w:rsid w:val="00856C34"/>
    <w:rsid w:val="0085704E"/>
    <w:rsid w:val="0086103B"/>
    <w:rsid w:val="008618FB"/>
    <w:rsid w:val="00861E3E"/>
    <w:rsid w:val="008621C6"/>
    <w:rsid w:val="00862B69"/>
    <w:rsid w:val="00862E47"/>
    <w:rsid w:val="008631B5"/>
    <w:rsid w:val="00863CFF"/>
    <w:rsid w:val="00863E95"/>
    <w:rsid w:val="00864037"/>
    <w:rsid w:val="00865546"/>
    <w:rsid w:val="00865750"/>
    <w:rsid w:val="00865C3A"/>
    <w:rsid w:val="00865DC1"/>
    <w:rsid w:val="0086660F"/>
    <w:rsid w:val="00866C21"/>
    <w:rsid w:val="00867740"/>
    <w:rsid w:val="00867E67"/>
    <w:rsid w:val="00870112"/>
    <w:rsid w:val="00870C8E"/>
    <w:rsid w:val="00871410"/>
    <w:rsid w:val="00871483"/>
    <w:rsid w:val="00872B4B"/>
    <w:rsid w:val="0087365A"/>
    <w:rsid w:val="00873E8E"/>
    <w:rsid w:val="008743C7"/>
    <w:rsid w:val="008750F9"/>
    <w:rsid w:val="00875341"/>
    <w:rsid w:val="0087536F"/>
    <w:rsid w:val="00875E65"/>
    <w:rsid w:val="00875FD3"/>
    <w:rsid w:val="00876A0D"/>
    <w:rsid w:val="00876BA9"/>
    <w:rsid w:val="00877B2F"/>
    <w:rsid w:val="00877B95"/>
    <w:rsid w:val="00877DBD"/>
    <w:rsid w:val="00880648"/>
    <w:rsid w:val="0088071B"/>
    <w:rsid w:val="00880A40"/>
    <w:rsid w:val="00880BB0"/>
    <w:rsid w:val="008810DB"/>
    <w:rsid w:val="00881788"/>
    <w:rsid w:val="00881C81"/>
    <w:rsid w:val="00881CB1"/>
    <w:rsid w:val="0088251E"/>
    <w:rsid w:val="00882C06"/>
    <w:rsid w:val="00882CC7"/>
    <w:rsid w:val="00883CC3"/>
    <w:rsid w:val="00884AF1"/>
    <w:rsid w:val="00885D6C"/>
    <w:rsid w:val="008860C3"/>
    <w:rsid w:val="008867B1"/>
    <w:rsid w:val="008869F4"/>
    <w:rsid w:val="00886B4E"/>
    <w:rsid w:val="00887C70"/>
    <w:rsid w:val="00887E32"/>
    <w:rsid w:val="00890F77"/>
    <w:rsid w:val="008911CB"/>
    <w:rsid w:val="008914B8"/>
    <w:rsid w:val="008917EB"/>
    <w:rsid w:val="008920BF"/>
    <w:rsid w:val="008927EE"/>
    <w:rsid w:val="00892DD1"/>
    <w:rsid w:val="00893B28"/>
    <w:rsid w:val="00893EEF"/>
    <w:rsid w:val="008944F7"/>
    <w:rsid w:val="00894F64"/>
    <w:rsid w:val="00895942"/>
    <w:rsid w:val="00896AA4"/>
    <w:rsid w:val="008975A2"/>
    <w:rsid w:val="00897B51"/>
    <w:rsid w:val="008A02E3"/>
    <w:rsid w:val="008A10E1"/>
    <w:rsid w:val="008A12B3"/>
    <w:rsid w:val="008A14CB"/>
    <w:rsid w:val="008A184F"/>
    <w:rsid w:val="008A2C72"/>
    <w:rsid w:val="008A3ADD"/>
    <w:rsid w:val="008A3D8D"/>
    <w:rsid w:val="008A3FFA"/>
    <w:rsid w:val="008A40BC"/>
    <w:rsid w:val="008A40DD"/>
    <w:rsid w:val="008A4772"/>
    <w:rsid w:val="008A4880"/>
    <w:rsid w:val="008A52B1"/>
    <w:rsid w:val="008A5754"/>
    <w:rsid w:val="008A5E0E"/>
    <w:rsid w:val="008A621C"/>
    <w:rsid w:val="008A6C7D"/>
    <w:rsid w:val="008A7950"/>
    <w:rsid w:val="008A7B53"/>
    <w:rsid w:val="008B0C53"/>
    <w:rsid w:val="008B1FFD"/>
    <w:rsid w:val="008B2287"/>
    <w:rsid w:val="008B2C24"/>
    <w:rsid w:val="008B2C31"/>
    <w:rsid w:val="008B2E71"/>
    <w:rsid w:val="008B464E"/>
    <w:rsid w:val="008B4EA4"/>
    <w:rsid w:val="008B5B32"/>
    <w:rsid w:val="008B66D5"/>
    <w:rsid w:val="008B6C50"/>
    <w:rsid w:val="008C119E"/>
    <w:rsid w:val="008C2989"/>
    <w:rsid w:val="008C2E41"/>
    <w:rsid w:val="008C35F4"/>
    <w:rsid w:val="008C3655"/>
    <w:rsid w:val="008C3D0F"/>
    <w:rsid w:val="008C3D51"/>
    <w:rsid w:val="008C3D6B"/>
    <w:rsid w:val="008C460D"/>
    <w:rsid w:val="008C519F"/>
    <w:rsid w:val="008C5355"/>
    <w:rsid w:val="008C6159"/>
    <w:rsid w:val="008C67E8"/>
    <w:rsid w:val="008C69C5"/>
    <w:rsid w:val="008C6A8B"/>
    <w:rsid w:val="008C6B3B"/>
    <w:rsid w:val="008C6F00"/>
    <w:rsid w:val="008D07B5"/>
    <w:rsid w:val="008D08CE"/>
    <w:rsid w:val="008D09DD"/>
    <w:rsid w:val="008D0ADF"/>
    <w:rsid w:val="008D0DC9"/>
    <w:rsid w:val="008D1741"/>
    <w:rsid w:val="008D1784"/>
    <w:rsid w:val="008D18CE"/>
    <w:rsid w:val="008D19E4"/>
    <w:rsid w:val="008D2A5A"/>
    <w:rsid w:val="008D2DDD"/>
    <w:rsid w:val="008D32E3"/>
    <w:rsid w:val="008D33C3"/>
    <w:rsid w:val="008D405B"/>
    <w:rsid w:val="008D40D4"/>
    <w:rsid w:val="008D40E8"/>
    <w:rsid w:val="008D43ED"/>
    <w:rsid w:val="008D475B"/>
    <w:rsid w:val="008D4B6A"/>
    <w:rsid w:val="008D4F73"/>
    <w:rsid w:val="008D5F42"/>
    <w:rsid w:val="008D78FF"/>
    <w:rsid w:val="008D7BF5"/>
    <w:rsid w:val="008E0982"/>
    <w:rsid w:val="008E10F4"/>
    <w:rsid w:val="008E1CFB"/>
    <w:rsid w:val="008E3155"/>
    <w:rsid w:val="008E330C"/>
    <w:rsid w:val="008E3A1E"/>
    <w:rsid w:val="008E4A74"/>
    <w:rsid w:val="008E612E"/>
    <w:rsid w:val="008E6E00"/>
    <w:rsid w:val="008E7763"/>
    <w:rsid w:val="008E7B94"/>
    <w:rsid w:val="008F07FC"/>
    <w:rsid w:val="008F0B8A"/>
    <w:rsid w:val="008F1395"/>
    <w:rsid w:val="008F263F"/>
    <w:rsid w:val="008F3519"/>
    <w:rsid w:val="008F4A7E"/>
    <w:rsid w:val="008F4F5F"/>
    <w:rsid w:val="008F5299"/>
    <w:rsid w:val="008F5E79"/>
    <w:rsid w:val="008F5EF2"/>
    <w:rsid w:val="008F703E"/>
    <w:rsid w:val="008F748D"/>
    <w:rsid w:val="008F7F61"/>
    <w:rsid w:val="00900174"/>
    <w:rsid w:val="009003BE"/>
    <w:rsid w:val="00901DAD"/>
    <w:rsid w:val="009023B3"/>
    <w:rsid w:val="00902F6A"/>
    <w:rsid w:val="00903F33"/>
    <w:rsid w:val="0090478D"/>
    <w:rsid w:val="00905653"/>
    <w:rsid w:val="00905EF1"/>
    <w:rsid w:val="009062AD"/>
    <w:rsid w:val="00906BB1"/>
    <w:rsid w:val="00906C2F"/>
    <w:rsid w:val="0090734D"/>
    <w:rsid w:val="0090753F"/>
    <w:rsid w:val="00907823"/>
    <w:rsid w:val="00907857"/>
    <w:rsid w:val="00907899"/>
    <w:rsid w:val="009079A0"/>
    <w:rsid w:val="00907F7A"/>
    <w:rsid w:val="009110B2"/>
    <w:rsid w:val="009119EE"/>
    <w:rsid w:val="00912278"/>
    <w:rsid w:val="0091238F"/>
    <w:rsid w:val="0091268E"/>
    <w:rsid w:val="00912D3B"/>
    <w:rsid w:val="009134BA"/>
    <w:rsid w:val="00914DA7"/>
    <w:rsid w:val="00915A59"/>
    <w:rsid w:val="00915B0B"/>
    <w:rsid w:val="00915F63"/>
    <w:rsid w:val="00916A2A"/>
    <w:rsid w:val="00916AFA"/>
    <w:rsid w:val="009177E9"/>
    <w:rsid w:val="0092035D"/>
    <w:rsid w:val="0092039C"/>
    <w:rsid w:val="009221AD"/>
    <w:rsid w:val="00922871"/>
    <w:rsid w:val="00923281"/>
    <w:rsid w:val="00923366"/>
    <w:rsid w:val="009233E9"/>
    <w:rsid w:val="00923C72"/>
    <w:rsid w:val="009240B7"/>
    <w:rsid w:val="00924BA0"/>
    <w:rsid w:val="00924E61"/>
    <w:rsid w:val="00925B28"/>
    <w:rsid w:val="0092600B"/>
    <w:rsid w:val="009265C7"/>
    <w:rsid w:val="00926ABC"/>
    <w:rsid w:val="00926B1B"/>
    <w:rsid w:val="00926EC7"/>
    <w:rsid w:val="00927854"/>
    <w:rsid w:val="009307EF"/>
    <w:rsid w:val="00930D09"/>
    <w:rsid w:val="00930F54"/>
    <w:rsid w:val="009328C9"/>
    <w:rsid w:val="00932928"/>
    <w:rsid w:val="0093310A"/>
    <w:rsid w:val="009331CF"/>
    <w:rsid w:val="009334AC"/>
    <w:rsid w:val="00933B45"/>
    <w:rsid w:val="00934564"/>
    <w:rsid w:val="00934B6C"/>
    <w:rsid w:val="009375A1"/>
    <w:rsid w:val="00937E53"/>
    <w:rsid w:val="0094021E"/>
    <w:rsid w:val="00940228"/>
    <w:rsid w:val="009415F4"/>
    <w:rsid w:val="00941A22"/>
    <w:rsid w:val="00941CE0"/>
    <w:rsid w:val="00941ED9"/>
    <w:rsid w:val="00942010"/>
    <w:rsid w:val="009426C4"/>
    <w:rsid w:val="009429D6"/>
    <w:rsid w:val="0094320A"/>
    <w:rsid w:val="009433BE"/>
    <w:rsid w:val="009439F7"/>
    <w:rsid w:val="0094417C"/>
    <w:rsid w:val="0094483A"/>
    <w:rsid w:val="009453D5"/>
    <w:rsid w:val="0094562D"/>
    <w:rsid w:val="00945A89"/>
    <w:rsid w:val="009463CD"/>
    <w:rsid w:val="00946BF9"/>
    <w:rsid w:val="00946C07"/>
    <w:rsid w:val="00947760"/>
    <w:rsid w:val="0095170D"/>
    <w:rsid w:val="00951719"/>
    <w:rsid w:val="00951910"/>
    <w:rsid w:val="00951DE2"/>
    <w:rsid w:val="00952632"/>
    <w:rsid w:val="00952E02"/>
    <w:rsid w:val="00952E2E"/>
    <w:rsid w:val="0095307F"/>
    <w:rsid w:val="009530DD"/>
    <w:rsid w:val="009548FF"/>
    <w:rsid w:val="00955394"/>
    <w:rsid w:val="00955450"/>
    <w:rsid w:val="00955526"/>
    <w:rsid w:val="009555CA"/>
    <w:rsid w:val="00956744"/>
    <w:rsid w:val="00956CA4"/>
    <w:rsid w:val="009570C8"/>
    <w:rsid w:val="00957A79"/>
    <w:rsid w:val="00957FD5"/>
    <w:rsid w:val="00960CCD"/>
    <w:rsid w:val="00961AB8"/>
    <w:rsid w:val="00961B5F"/>
    <w:rsid w:val="009624F6"/>
    <w:rsid w:val="00962538"/>
    <w:rsid w:val="009626CC"/>
    <w:rsid w:val="00962C73"/>
    <w:rsid w:val="00963141"/>
    <w:rsid w:val="00963FC8"/>
    <w:rsid w:val="0096514B"/>
    <w:rsid w:val="00965269"/>
    <w:rsid w:val="00966516"/>
    <w:rsid w:val="0096690E"/>
    <w:rsid w:val="00966A2F"/>
    <w:rsid w:val="00966C09"/>
    <w:rsid w:val="00966C4D"/>
    <w:rsid w:val="00967C2D"/>
    <w:rsid w:val="00967CE3"/>
    <w:rsid w:val="00970918"/>
    <w:rsid w:val="00970D2E"/>
    <w:rsid w:val="009716F8"/>
    <w:rsid w:val="009732E6"/>
    <w:rsid w:val="00973E9B"/>
    <w:rsid w:val="00974ECD"/>
    <w:rsid w:val="009751FA"/>
    <w:rsid w:val="00975A73"/>
    <w:rsid w:val="00976FC3"/>
    <w:rsid w:val="00977E1A"/>
    <w:rsid w:val="00980272"/>
    <w:rsid w:val="00980C89"/>
    <w:rsid w:val="00980F87"/>
    <w:rsid w:val="00981467"/>
    <w:rsid w:val="00981C7F"/>
    <w:rsid w:val="00982976"/>
    <w:rsid w:val="009831B7"/>
    <w:rsid w:val="009837B8"/>
    <w:rsid w:val="009840C0"/>
    <w:rsid w:val="00984441"/>
    <w:rsid w:val="009844CF"/>
    <w:rsid w:val="00984BC0"/>
    <w:rsid w:val="00984DD8"/>
    <w:rsid w:val="009850A1"/>
    <w:rsid w:val="0098530B"/>
    <w:rsid w:val="009854F3"/>
    <w:rsid w:val="00986356"/>
    <w:rsid w:val="009869C9"/>
    <w:rsid w:val="0098702E"/>
    <w:rsid w:val="00987BDE"/>
    <w:rsid w:val="00987BE9"/>
    <w:rsid w:val="00990296"/>
    <w:rsid w:val="0099085F"/>
    <w:rsid w:val="00990A26"/>
    <w:rsid w:val="00990E16"/>
    <w:rsid w:val="0099157A"/>
    <w:rsid w:val="00992444"/>
    <w:rsid w:val="009925DB"/>
    <w:rsid w:val="00993114"/>
    <w:rsid w:val="00993CC9"/>
    <w:rsid w:val="009940A4"/>
    <w:rsid w:val="00994721"/>
    <w:rsid w:val="00994EF5"/>
    <w:rsid w:val="009953FC"/>
    <w:rsid w:val="00995AD7"/>
    <w:rsid w:val="00996005"/>
    <w:rsid w:val="00996ABB"/>
    <w:rsid w:val="00997276"/>
    <w:rsid w:val="009A1388"/>
    <w:rsid w:val="009A1464"/>
    <w:rsid w:val="009A1740"/>
    <w:rsid w:val="009A17F4"/>
    <w:rsid w:val="009A205F"/>
    <w:rsid w:val="009A2132"/>
    <w:rsid w:val="009A3E7C"/>
    <w:rsid w:val="009A4305"/>
    <w:rsid w:val="009A4F68"/>
    <w:rsid w:val="009A501B"/>
    <w:rsid w:val="009A53D2"/>
    <w:rsid w:val="009A580E"/>
    <w:rsid w:val="009A6A4D"/>
    <w:rsid w:val="009A6F74"/>
    <w:rsid w:val="009A7F69"/>
    <w:rsid w:val="009B04F3"/>
    <w:rsid w:val="009B0768"/>
    <w:rsid w:val="009B07B0"/>
    <w:rsid w:val="009B0B31"/>
    <w:rsid w:val="009B2430"/>
    <w:rsid w:val="009B312D"/>
    <w:rsid w:val="009B4401"/>
    <w:rsid w:val="009B532E"/>
    <w:rsid w:val="009B56F6"/>
    <w:rsid w:val="009B5AC4"/>
    <w:rsid w:val="009C06C9"/>
    <w:rsid w:val="009C0AC2"/>
    <w:rsid w:val="009C0CC4"/>
    <w:rsid w:val="009C0EAB"/>
    <w:rsid w:val="009C0F03"/>
    <w:rsid w:val="009C293A"/>
    <w:rsid w:val="009C29F9"/>
    <w:rsid w:val="009C2AC1"/>
    <w:rsid w:val="009C3B30"/>
    <w:rsid w:val="009C3ECA"/>
    <w:rsid w:val="009C45CF"/>
    <w:rsid w:val="009C4919"/>
    <w:rsid w:val="009C4D08"/>
    <w:rsid w:val="009C4F22"/>
    <w:rsid w:val="009C585C"/>
    <w:rsid w:val="009C7349"/>
    <w:rsid w:val="009C7FAF"/>
    <w:rsid w:val="009D05FA"/>
    <w:rsid w:val="009D0A54"/>
    <w:rsid w:val="009D1774"/>
    <w:rsid w:val="009D1CAC"/>
    <w:rsid w:val="009D3237"/>
    <w:rsid w:val="009D3628"/>
    <w:rsid w:val="009D46A0"/>
    <w:rsid w:val="009D4C2A"/>
    <w:rsid w:val="009D4FF9"/>
    <w:rsid w:val="009D6098"/>
    <w:rsid w:val="009D6914"/>
    <w:rsid w:val="009D6ECD"/>
    <w:rsid w:val="009D78D4"/>
    <w:rsid w:val="009E11A3"/>
    <w:rsid w:val="009E1A3C"/>
    <w:rsid w:val="009E1C22"/>
    <w:rsid w:val="009E21DF"/>
    <w:rsid w:val="009E2481"/>
    <w:rsid w:val="009E24D8"/>
    <w:rsid w:val="009E3548"/>
    <w:rsid w:val="009E37E4"/>
    <w:rsid w:val="009E3C7E"/>
    <w:rsid w:val="009E3E1E"/>
    <w:rsid w:val="009E4047"/>
    <w:rsid w:val="009E43E8"/>
    <w:rsid w:val="009E757F"/>
    <w:rsid w:val="009E7696"/>
    <w:rsid w:val="009E7A04"/>
    <w:rsid w:val="009F0241"/>
    <w:rsid w:val="009F0274"/>
    <w:rsid w:val="009F0381"/>
    <w:rsid w:val="009F0463"/>
    <w:rsid w:val="009F0D0F"/>
    <w:rsid w:val="009F193A"/>
    <w:rsid w:val="009F1AD4"/>
    <w:rsid w:val="009F1E56"/>
    <w:rsid w:val="009F23E4"/>
    <w:rsid w:val="009F2459"/>
    <w:rsid w:val="009F3631"/>
    <w:rsid w:val="009F363C"/>
    <w:rsid w:val="009F3790"/>
    <w:rsid w:val="009F3BAA"/>
    <w:rsid w:val="009F476C"/>
    <w:rsid w:val="009F586C"/>
    <w:rsid w:val="009F5D30"/>
    <w:rsid w:val="009F69CA"/>
    <w:rsid w:val="009F6A3A"/>
    <w:rsid w:val="009F6C0E"/>
    <w:rsid w:val="009F74C2"/>
    <w:rsid w:val="009F79E0"/>
    <w:rsid w:val="009F7A90"/>
    <w:rsid w:val="009F7CEB"/>
    <w:rsid w:val="00A00C1A"/>
    <w:rsid w:val="00A01073"/>
    <w:rsid w:val="00A0160F"/>
    <w:rsid w:val="00A0177D"/>
    <w:rsid w:val="00A019F1"/>
    <w:rsid w:val="00A01DA1"/>
    <w:rsid w:val="00A02221"/>
    <w:rsid w:val="00A02E97"/>
    <w:rsid w:val="00A03256"/>
    <w:rsid w:val="00A034F8"/>
    <w:rsid w:val="00A040FD"/>
    <w:rsid w:val="00A0426A"/>
    <w:rsid w:val="00A04C0D"/>
    <w:rsid w:val="00A04E26"/>
    <w:rsid w:val="00A053C9"/>
    <w:rsid w:val="00A0651A"/>
    <w:rsid w:val="00A0731F"/>
    <w:rsid w:val="00A07327"/>
    <w:rsid w:val="00A1079C"/>
    <w:rsid w:val="00A10FBF"/>
    <w:rsid w:val="00A12A44"/>
    <w:rsid w:val="00A131FB"/>
    <w:rsid w:val="00A1365B"/>
    <w:rsid w:val="00A14C92"/>
    <w:rsid w:val="00A15BE8"/>
    <w:rsid w:val="00A163E8"/>
    <w:rsid w:val="00A16638"/>
    <w:rsid w:val="00A17490"/>
    <w:rsid w:val="00A176D6"/>
    <w:rsid w:val="00A179C8"/>
    <w:rsid w:val="00A2016C"/>
    <w:rsid w:val="00A20B1A"/>
    <w:rsid w:val="00A20FF6"/>
    <w:rsid w:val="00A21326"/>
    <w:rsid w:val="00A216F9"/>
    <w:rsid w:val="00A22A39"/>
    <w:rsid w:val="00A22E23"/>
    <w:rsid w:val="00A2315A"/>
    <w:rsid w:val="00A24A89"/>
    <w:rsid w:val="00A25737"/>
    <w:rsid w:val="00A25C5B"/>
    <w:rsid w:val="00A2672F"/>
    <w:rsid w:val="00A26778"/>
    <w:rsid w:val="00A2693C"/>
    <w:rsid w:val="00A26E4A"/>
    <w:rsid w:val="00A26EF0"/>
    <w:rsid w:val="00A3233F"/>
    <w:rsid w:val="00A323E3"/>
    <w:rsid w:val="00A33B1F"/>
    <w:rsid w:val="00A33C34"/>
    <w:rsid w:val="00A34436"/>
    <w:rsid w:val="00A35C43"/>
    <w:rsid w:val="00A362BA"/>
    <w:rsid w:val="00A369BD"/>
    <w:rsid w:val="00A36C39"/>
    <w:rsid w:val="00A36C3F"/>
    <w:rsid w:val="00A40A06"/>
    <w:rsid w:val="00A410D9"/>
    <w:rsid w:val="00A41194"/>
    <w:rsid w:val="00A41216"/>
    <w:rsid w:val="00A412BE"/>
    <w:rsid w:val="00A41E5D"/>
    <w:rsid w:val="00A426CF"/>
    <w:rsid w:val="00A42989"/>
    <w:rsid w:val="00A42D28"/>
    <w:rsid w:val="00A45200"/>
    <w:rsid w:val="00A45378"/>
    <w:rsid w:val="00A457A3"/>
    <w:rsid w:val="00A45FFE"/>
    <w:rsid w:val="00A47457"/>
    <w:rsid w:val="00A47693"/>
    <w:rsid w:val="00A50012"/>
    <w:rsid w:val="00A5068F"/>
    <w:rsid w:val="00A50D3C"/>
    <w:rsid w:val="00A535FB"/>
    <w:rsid w:val="00A53E34"/>
    <w:rsid w:val="00A53FA8"/>
    <w:rsid w:val="00A550AE"/>
    <w:rsid w:val="00A5569B"/>
    <w:rsid w:val="00A6125A"/>
    <w:rsid w:val="00A625CA"/>
    <w:rsid w:val="00A625DE"/>
    <w:rsid w:val="00A63630"/>
    <w:rsid w:val="00A6374D"/>
    <w:rsid w:val="00A64947"/>
    <w:rsid w:val="00A6517D"/>
    <w:rsid w:val="00A659F2"/>
    <w:rsid w:val="00A65C1F"/>
    <w:rsid w:val="00A667D0"/>
    <w:rsid w:val="00A670CB"/>
    <w:rsid w:val="00A67CA1"/>
    <w:rsid w:val="00A67D0F"/>
    <w:rsid w:val="00A67D7C"/>
    <w:rsid w:val="00A703C1"/>
    <w:rsid w:val="00A70D6B"/>
    <w:rsid w:val="00A71950"/>
    <w:rsid w:val="00A722E3"/>
    <w:rsid w:val="00A732F9"/>
    <w:rsid w:val="00A736FB"/>
    <w:rsid w:val="00A73A9C"/>
    <w:rsid w:val="00A73FC6"/>
    <w:rsid w:val="00A75112"/>
    <w:rsid w:val="00A75DA1"/>
    <w:rsid w:val="00A76C05"/>
    <w:rsid w:val="00A76EA4"/>
    <w:rsid w:val="00A770F2"/>
    <w:rsid w:val="00A778BF"/>
    <w:rsid w:val="00A77BDE"/>
    <w:rsid w:val="00A77CBB"/>
    <w:rsid w:val="00A77F64"/>
    <w:rsid w:val="00A81CA0"/>
    <w:rsid w:val="00A81F82"/>
    <w:rsid w:val="00A8201E"/>
    <w:rsid w:val="00A83A24"/>
    <w:rsid w:val="00A841B0"/>
    <w:rsid w:val="00A842A7"/>
    <w:rsid w:val="00A84818"/>
    <w:rsid w:val="00A84EAA"/>
    <w:rsid w:val="00A85A2B"/>
    <w:rsid w:val="00A85F13"/>
    <w:rsid w:val="00A86148"/>
    <w:rsid w:val="00A864DB"/>
    <w:rsid w:val="00A8699D"/>
    <w:rsid w:val="00A86DAC"/>
    <w:rsid w:val="00A90DA6"/>
    <w:rsid w:val="00A91851"/>
    <w:rsid w:val="00A91B1F"/>
    <w:rsid w:val="00A9213D"/>
    <w:rsid w:val="00A921F0"/>
    <w:rsid w:val="00A93543"/>
    <w:rsid w:val="00A93F16"/>
    <w:rsid w:val="00A93F6B"/>
    <w:rsid w:val="00A9405C"/>
    <w:rsid w:val="00A94EC9"/>
    <w:rsid w:val="00A94EFC"/>
    <w:rsid w:val="00A952CC"/>
    <w:rsid w:val="00A95CC8"/>
    <w:rsid w:val="00A95FF6"/>
    <w:rsid w:val="00A963DD"/>
    <w:rsid w:val="00A9644D"/>
    <w:rsid w:val="00A96938"/>
    <w:rsid w:val="00AA07C1"/>
    <w:rsid w:val="00AA1044"/>
    <w:rsid w:val="00AA1681"/>
    <w:rsid w:val="00AA1905"/>
    <w:rsid w:val="00AA1CEE"/>
    <w:rsid w:val="00AA2238"/>
    <w:rsid w:val="00AA25D1"/>
    <w:rsid w:val="00AA2FA1"/>
    <w:rsid w:val="00AA3ACA"/>
    <w:rsid w:val="00AA51C1"/>
    <w:rsid w:val="00AA6156"/>
    <w:rsid w:val="00AA6520"/>
    <w:rsid w:val="00AA6B77"/>
    <w:rsid w:val="00AA6DF7"/>
    <w:rsid w:val="00AA73AC"/>
    <w:rsid w:val="00AA7597"/>
    <w:rsid w:val="00AA7B77"/>
    <w:rsid w:val="00AA7CCC"/>
    <w:rsid w:val="00AB176D"/>
    <w:rsid w:val="00AB1837"/>
    <w:rsid w:val="00AB187A"/>
    <w:rsid w:val="00AB514A"/>
    <w:rsid w:val="00AB5328"/>
    <w:rsid w:val="00AB59A4"/>
    <w:rsid w:val="00AB616D"/>
    <w:rsid w:val="00AB6EEF"/>
    <w:rsid w:val="00AB730A"/>
    <w:rsid w:val="00AB7A47"/>
    <w:rsid w:val="00AC002B"/>
    <w:rsid w:val="00AC0746"/>
    <w:rsid w:val="00AC0C37"/>
    <w:rsid w:val="00AC0D67"/>
    <w:rsid w:val="00AC11D6"/>
    <w:rsid w:val="00AC1E12"/>
    <w:rsid w:val="00AC2B16"/>
    <w:rsid w:val="00AC2D2E"/>
    <w:rsid w:val="00AC3A6B"/>
    <w:rsid w:val="00AC469A"/>
    <w:rsid w:val="00AC4FDA"/>
    <w:rsid w:val="00AC50E3"/>
    <w:rsid w:val="00AC512D"/>
    <w:rsid w:val="00AC59CF"/>
    <w:rsid w:val="00AC5A8C"/>
    <w:rsid w:val="00AC5DB0"/>
    <w:rsid w:val="00AC6673"/>
    <w:rsid w:val="00AC6E3B"/>
    <w:rsid w:val="00AD005A"/>
    <w:rsid w:val="00AD0F2A"/>
    <w:rsid w:val="00AD138C"/>
    <w:rsid w:val="00AD17AC"/>
    <w:rsid w:val="00AD1C98"/>
    <w:rsid w:val="00AD208D"/>
    <w:rsid w:val="00AD35BC"/>
    <w:rsid w:val="00AD51C9"/>
    <w:rsid w:val="00AD542F"/>
    <w:rsid w:val="00AE00AF"/>
    <w:rsid w:val="00AE00E7"/>
    <w:rsid w:val="00AE13FA"/>
    <w:rsid w:val="00AE2112"/>
    <w:rsid w:val="00AE2A68"/>
    <w:rsid w:val="00AE36AC"/>
    <w:rsid w:val="00AE3A5A"/>
    <w:rsid w:val="00AE47D0"/>
    <w:rsid w:val="00AE4CFB"/>
    <w:rsid w:val="00AE5357"/>
    <w:rsid w:val="00AE5E44"/>
    <w:rsid w:val="00AE734E"/>
    <w:rsid w:val="00AE751E"/>
    <w:rsid w:val="00AE772D"/>
    <w:rsid w:val="00AF04E2"/>
    <w:rsid w:val="00AF0DF9"/>
    <w:rsid w:val="00AF1A88"/>
    <w:rsid w:val="00AF27DC"/>
    <w:rsid w:val="00AF3AB8"/>
    <w:rsid w:val="00AF4BE4"/>
    <w:rsid w:val="00AF4C16"/>
    <w:rsid w:val="00AF635A"/>
    <w:rsid w:val="00AF66A1"/>
    <w:rsid w:val="00AF7148"/>
    <w:rsid w:val="00AF7178"/>
    <w:rsid w:val="00AF7896"/>
    <w:rsid w:val="00AF7A9F"/>
    <w:rsid w:val="00AF7B20"/>
    <w:rsid w:val="00AF7CCC"/>
    <w:rsid w:val="00B00DC9"/>
    <w:rsid w:val="00B0230D"/>
    <w:rsid w:val="00B02A26"/>
    <w:rsid w:val="00B02A90"/>
    <w:rsid w:val="00B03045"/>
    <w:rsid w:val="00B032BB"/>
    <w:rsid w:val="00B03A2C"/>
    <w:rsid w:val="00B04B27"/>
    <w:rsid w:val="00B0529B"/>
    <w:rsid w:val="00B05A6C"/>
    <w:rsid w:val="00B05CD6"/>
    <w:rsid w:val="00B05E21"/>
    <w:rsid w:val="00B05F92"/>
    <w:rsid w:val="00B068A4"/>
    <w:rsid w:val="00B06B7A"/>
    <w:rsid w:val="00B06FD0"/>
    <w:rsid w:val="00B07022"/>
    <w:rsid w:val="00B073C6"/>
    <w:rsid w:val="00B07593"/>
    <w:rsid w:val="00B07C5D"/>
    <w:rsid w:val="00B10316"/>
    <w:rsid w:val="00B10915"/>
    <w:rsid w:val="00B109C0"/>
    <w:rsid w:val="00B11268"/>
    <w:rsid w:val="00B1132B"/>
    <w:rsid w:val="00B11EA0"/>
    <w:rsid w:val="00B127C0"/>
    <w:rsid w:val="00B13338"/>
    <w:rsid w:val="00B13BB6"/>
    <w:rsid w:val="00B141B2"/>
    <w:rsid w:val="00B14BEF"/>
    <w:rsid w:val="00B1542E"/>
    <w:rsid w:val="00B16497"/>
    <w:rsid w:val="00B16979"/>
    <w:rsid w:val="00B16BA3"/>
    <w:rsid w:val="00B17FDB"/>
    <w:rsid w:val="00B21BB1"/>
    <w:rsid w:val="00B21F99"/>
    <w:rsid w:val="00B221D9"/>
    <w:rsid w:val="00B224A9"/>
    <w:rsid w:val="00B225D0"/>
    <w:rsid w:val="00B22B37"/>
    <w:rsid w:val="00B23AF6"/>
    <w:rsid w:val="00B2407B"/>
    <w:rsid w:val="00B259DF"/>
    <w:rsid w:val="00B25D68"/>
    <w:rsid w:val="00B25E62"/>
    <w:rsid w:val="00B27264"/>
    <w:rsid w:val="00B273C9"/>
    <w:rsid w:val="00B2777B"/>
    <w:rsid w:val="00B30120"/>
    <w:rsid w:val="00B3058B"/>
    <w:rsid w:val="00B30BDA"/>
    <w:rsid w:val="00B30D73"/>
    <w:rsid w:val="00B31643"/>
    <w:rsid w:val="00B31887"/>
    <w:rsid w:val="00B31A31"/>
    <w:rsid w:val="00B31CA0"/>
    <w:rsid w:val="00B325DF"/>
    <w:rsid w:val="00B32E60"/>
    <w:rsid w:val="00B33652"/>
    <w:rsid w:val="00B33914"/>
    <w:rsid w:val="00B34A33"/>
    <w:rsid w:val="00B367E2"/>
    <w:rsid w:val="00B3683A"/>
    <w:rsid w:val="00B414A9"/>
    <w:rsid w:val="00B41D4E"/>
    <w:rsid w:val="00B4220C"/>
    <w:rsid w:val="00B42E92"/>
    <w:rsid w:val="00B44012"/>
    <w:rsid w:val="00B446C2"/>
    <w:rsid w:val="00B44D02"/>
    <w:rsid w:val="00B45801"/>
    <w:rsid w:val="00B46552"/>
    <w:rsid w:val="00B4656A"/>
    <w:rsid w:val="00B46BA2"/>
    <w:rsid w:val="00B50A52"/>
    <w:rsid w:val="00B518AD"/>
    <w:rsid w:val="00B51F1F"/>
    <w:rsid w:val="00B53B49"/>
    <w:rsid w:val="00B54A42"/>
    <w:rsid w:val="00B55CAC"/>
    <w:rsid w:val="00B56101"/>
    <w:rsid w:val="00B56D6A"/>
    <w:rsid w:val="00B56DD0"/>
    <w:rsid w:val="00B56E7E"/>
    <w:rsid w:val="00B57547"/>
    <w:rsid w:val="00B613C7"/>
    <w:rsid w:val="00B622E5"/>
    <w:rsid w:val="00B62A25"/>
    <w:rsid w:val="00B63460"/>
    <w:rsid w:val="00B645E4"/>
    <w:rsid w:val="00B655F4"/>
    <w:rsid w:val="00B6659F"/>
    <w:rsid w:val="00B66C04"/>
    <w:rsid w:val="00B66C37"/>
    <w:rsid w:val="00B66CC2"/>
    <w:rsid w:val="00B66FA0"/>
    <w:rsid w:val="00B67119"/>
    <w:rsid w:val="00B67A6C"/>
    <w:rsid w:val="00B7030C"/>
    <w:rsid w:val="00B70522"/>
    <w:rsid w:val="00B70CA5"/>
    <w:rsid w:val="00B70F1B"/>
    <w:rsid w:val="00B71675"/>
    <w:rsid w:val="00B71B62"/>
    <w:rsid w:val="00B71D33"/>
    <w:rsid w:val="00B721CA"/>
    <w:rsid w:val="00B726E6"/>
    <w:rsid w:val="00B72D24"/>
    <w:rsid w:val="00B73D10"/>
    <w:rsid w:val="00B75BC0"/>
    <w:rsid w:val="00B75F00"/>
    <w:rsid w:val="00B76356"/>
    <w:rsid w:val="00B7636B"/>
    <w:rsid w:val="00B76492"/>
    <w:rsid w:val="00B76803"/>
    <w:rsid w:val="00B7761D"/>
    <w:rsid w:val="00B7796D"/>
    <w:rsid w:val="00B802AB"/>
    <w:rsid w:val="00B80B83"/>
    <w:rsid w:val="00B81129"/>
    <w:rsid w:val="00B812E2"/>
    <w:rsid w:val="00B82171"/>
    <w:rsid w:val="00B82316"/>
    <w:rsid w:val="00B8254D"/>
    <w:rsid w:val="00B82DF4"/>
    <w:rsid w:val="00B82F68"/>
    <w:rsid w:val="00B83300"/>
    <w:rsid w:val="00B838CA"/>
    <w:rsid w:val="00B83EB3"/>
    <w:rsid w:val="00B8492B"/>
    <w:rsid w:val="00B84C0B"/>
    <w:rsid w:val="00B8560C"/>
    <w:rsid w:val="00B85BAA"/>
    <w:rsid w:val="00B860D1"/>
    <w:rsid w:val="00B863A0"/>
    <w:rsid w:val="00B86585"/>
    <w:rsid w:val="00B8745F"/>
    <w:rsid w:val="00B90B9A"/>
    <w:rsid w:val="00B90C39"/>
    <w:rsid w:val="00B90D82"/>
    <w:rsid w:val="00B9239F"/>
    <w:rsid w:val="00B926EF"/>
    <w:rsid w:val="00B92ED0"/>
    <w:rsid w:val="00B92F3A"/>
    <w:rsid w:val="00B93D31"/>
    <w:rsid w:val="00B948D9"/>
    <w:rsid w:val="00B95374"/>
    <w:rsid w:val="00B95888"/>
    <w:rsid w:val="00B95D58"/>
    <w:rsid w:val="00B95E95"/>
    <w:rsid w:val="00B96A65"/>
    <w:rsid w:val="00B97F50"/>
    <w:rsid w:val="00BA01AB"/>
    <w:rsid w:val="00BA042F"/>
    <w:rsid w:val="00BA3306"/>
    <w:rsid w:val="00BA3492"/>
    <w:rsid w:val="00BA47A9"/>
    <w:rsid w:val="00BA4C2F"/>
    <w:rsid w:val="00BA545C"/>
    <w:rsid w:val="00BA5572"/>
    <w:rsid w:val="00BA5724"/>
    <w:rsid w:val="00BA68C1"/>
    <w:rsid w:val="00BA6ECF"/>
    <w:rsid w:val="00BA73EE"/>
    <w:rsid w:val="00BA7572"/>
    <w:rsid w:val="00BB0B47"/>
    <w:rsid w:val="00BB1CFC"/>
    <w:rsid w:val="00BB2329"/>
    <w:rsid w:val="00BB2D8B"/>
    <w:rsid w:val="00BB3110"/>
    <w:rsid w:val="00BB3A14"/>
    <w:rsid w:val="00BB3FCB"/>
    <w:rsid w:val="00BB418B"/>
    <w:rsid w:val="00BB509B"/>
    <w:rsid w:val="00BB54A6"/>
    <w:rsid w:val="00BB5DF6"/>
    <w:rsid w:val="00BB5FF9"/>
    <w:rsid w:val="00BB649E"/>
    <w:rsid w:val="00BB6875"/>
    <w:rsid w:val="00BB7710"/>
    <w:rsid w:val="00BC0A93"/>
    <w:rsid w:val="00BC0AED"/>
    <w:rsid w:val="00BC1065"/>
    <w:rsid w:val="00BC10A5"/>
    <w:rsid w:val="00BC1CAF"/>
    <w:rsid w:val="00BC1DFB"/>
    <w:rsid w:val="00BC1ECD"/>
    <w:rsid w:val="00BC217F"/>
    <w:rsid w:val="00BC380C"/>
    <w:rsid w:val="00BC4830"/>
    <w:rsid w:val="00BC4A1E"/>
    <w:rsid w:val="00BC5965"/>
    <w:rsid w:val="00BC5F38"/>
    <w:rsid w:val="00BC6165"/>
    <w:rsid w:val="00BC7820"/>
    <w:rsid w:val="00BD03EC"/>
    <w:rsid w:val="00BD325A"/>
    <w:rsid w:val="00BD4CD7"/>
    <w:rsid w:val="00BD4E71"/>
    <w:rsid w:val="00BD5560"/>
    <w:rsid w:val="00BD590A"/>
    <w:rsid w:val="00BD60FE"/>
    <w:rsid w:val="00BD789E"/>
    <w:rsid w:val="00BE036A"/>
    <w:rsid w:val="00BE037E"/>
    <w:rsid w:val="00BE07C5"/>
    <w:rsid w:val="00BE1135"/>
    <w:rsid w:val="00BE13E2"/>
    <w:rsid w:val="00BE318D"/>
    <w:rsid w:val="00BE3613"/>
    <w:rsid w:val="00BE3CAA"/>
    <w:rsid w:val="00BE3D49"/>
    <w:rsid w:val="00BE3E5F"/>
    <w:rsid w:val="00BE4703"/>
    <w:rsid w:val="00BE583A"/>
    <w:rsid w:val="00BE5A24"/>
    <w:rsid w:val="00BE7B51"/>
    <w:rsid w:val="00BF03C7"/>
    <w:rsid w:val="00BF05C3"/>
    <w:rsid w:val="00BF0AD0"/>
    <w:rsid w:val="00BF10F5"/>
    <w:rsid w:val="00BF1895"/>
    <w:rsid w:val="00BF2002"/>
    <w:rsid w:val="00BF2FF5"/>
    <w:rsid w:val="00BF34F3"/>
    <w:rsid w:val="00BF45B9"/>
    <w:rsid w:val="00BF52F0"/>
    <w:rsid w:val="00BF54BF"/>
    <w:rsid w:val="00BF78C3"/>
    <w:rsid w:val="00BF7E30"/>
    <w:rsid w:val="00C031FA"/>
    <w:rsid w:val="00C0408D"/>
    <w:rsid w:val="00C046A7"/>
    <w:rsid w:val="00C05EB4"/>
    <w:rsid w:val="00C06459"/>
    <w:rsid w:val="00C06AFA"/>
    <w:rsid w:val="00C06F34"/>
    <w:rsid w:val="00C07417"/>
    <w:rsid w:val="00C0754F"/>
    <w:rsid w:val="00C077D0"/>
    <w:rsid w:val="00C07BBA"/>
    <w:rsid w:val="00C10380"/>
    <w:rsid w:val="00C10407"/>
    <w:rsid w:val="00C10822"/>
    <w:rsid w:val="00C10B20"/>
    <w:rsid w:val="00C10B79"/>
    <w:rsid w:val="00C115F0"/>
    <w:rsid w:val="00C117B8"/>
    <w:rsid w:val="00C117C1"/>
    <w:rsid w:val="00C121FD"/>
    <w:rsid w:val="00C1333F"/>
    <w:rsid w:val="00C13BE7"/>
    <w:rsid w:val="00C1519C"/>
    <w:rsid w:val="00C15D39"/>
    <w:rsid w:val="00C164A4"/>
    <w:rsid w:val="00C164E9"/>
    <w:rsid w:val="00C168C8"/>
    <w:rsid w:val="00C16ACC"/>
    <w:rsid w:val="00C16EEE"/>
    <w:rsid w:val="00C17105"/>
    <w:rsid w:val="00C17B97"/>
    <w:rsid w:val="00C205A9"/>
    <w:rsid w:val="00C2162A"/>
    <w:rsid w:val="00C21906"/>
    <w:rsid w:val="00C221BF"/>
    <w:rsid w:val="00C23324"/>
    <w:rsid w:val="00C23926"/>
    <w:rsid w:val="00C23FEA"/>
    <w:rsid w:val="00C25E24"/>
    <w:rsid w:val="00C262DC"/>
    <w:rsid w:val="00C268CF"/>
    <w:rsid w:val="00C3038E"/>
    <w:rsid w:val="00C316EB"/>
    <w:rsid w:val="00C317F3"/>
    <w:rsid w:val="00C320B5"/>
    <w:rsid w:val="00C32157"/>
    <w:rsid w:val="00C339CC"/>
    <w:rsid w:val="00C341E1"/>
    <w:rsid w:val="00C349C2"/>
    <w:rsid w:val="00C35768"/>
    <w:rsid w:val="00C361F4"/>
    <w:rsid w:val="00C3639A"/>
    <w:rsid w:val="00C36639"/>
    <w:rsid w:val="00C3668F"/>
    <w:rsid w:val="00C3766B"/>
    <w:rsid w:val="00C40809"/>
    <w:rsid w:val="00C418A6"/>
    <w:rsid w:val="00C41A85"/>
    <w:rsid w:val="00C41B17"/>
    <w:rsid w:val="00C42422"/>
    <w:rsid w:val="00C428AB"/>
    <w:rsid w:val="00C44C37"/>
    <w:rsid w:val="00C45249"/>
    <w:rsid w:val="00C45D0A"/>
    <w:rsid w:val="00C4659D"/>
    <w:rsid w:val="00C46AE5"/>
    <w:rsid w:val="00C475D9"/>
    <w:rsid w:val="00C47654"/>
    <w:rsid w:val="00C47AD4"/>
    <w:rsid w:val="00C47E70"/>
    <w:rsid w:val="00C50C2F"/>
    <w:rsid w:val="00C51EB3"/>
    <w:rsid w:val="00C52BE0"/>
    <w:rsid w:val="00C53D64"/>
    <w:rsid w:val="00C53DAF"/>
    <w:rsid w:val="00C54197"/>
    <w:rsid w:val="00C54677"/>
    <w:rsid w:val="00C54767"/>
    <w:rsid w:val="00C550AA"/>
    <w:rsid w:val="00C56093"/>
    <w:rsid w:val="00C57808"/>
    <w:rsid w:val="00C57C38"/>
    <w:rsid w:val="00C57E4D"/>
    <w:rsid w:val="00C602A0"/>
    <w:rsid w:val="00C60563"/>
    <w:rsid w:val="00C6080B"/>
    <w:rsid w:val="00C60B5B"/>
    <w:rsid w:val="00C60CD1"/>
    <w:rsid w:val="00C60D47"/>
    <w:rsid w:val="00C61598"/>
    <w:rsid w:val="00C616B4"/>
    <w:rsid w:val="00C622A3"/>
    <w:rsid w:val="00C626E2"/>
    <w:rsid w:val="00C628C8"/>
    <w:rsid w:val="00C62C40"/>
    <w:rsid w:val="00C64746"/>
    <w:rsid w:val="00C6476F"/>
    <w:rsid w:val="00C6507C"/>
    <w:rsid w:val="00C667F8"/>
    <w:rsid w:val="00C66D58"/>
    <w:rsid w:val="00C6772C"/>
    <w:rsid w:val="00C71A5D"/>
    <w:rsid w:val="00C71E2B"/>
    <w:rsid w:val="00C721CC"/>
    <w:rsid w:val="00C7229F"/>
    <w:rsid w:val="00C7315D"/>
    <w:rsid w:val="00C73340"/>
    <w:rsid w:val="00C736E7"/>
    <w:rsid w:val="00C740A1"/>
    <w:rsid w:val="00C7496F"/>
    <w:rsid w:val="00C7519E"/>
    <w:rsid w:val="00C766AC"/>
    <w:rsid w:val="00C76D10"/>
    <w:rsid w:val="00C8170A"/>
    <w:rsid w:val="00C817F6"/>
    <w:rsid w:val="00C81A12"/>
    <w:rsid w:val="00C82011"/>
    <w:rsid w:val="00C82261"/>
    <w:rsid w:val="00C82339"/>
    <w:rsid w:val="00C824E4"/>
    <w:rsid w:val="00C8296F"/>
    <w:rsid w:val="00C8369D"/>
    <w:rsid w:val="00C838B8"/>
    <w:rsid w:val="00C846BE"/>
    <w:rsid w:val="00C84C02"/>
    <w:rsid w:val="00C85FC2"/>
    <w:rsid w:val="00C87120"/>
    <w:rsid w:val="00C87374"/>
    <w:rsid w:val="00C87C05"/>
    <w:rsid w:val="00C87F5E"/>
    <w:rsid w:val="00C9161F"/>
    <w:rsid w:val="00C91676"/>
    <w:rsid w:val="00C918A6"/>
    <w:rsid w:val="00C91B75"/>
    <w:rsid w:val="00C920A1"/>
    <w:rsid w:val="00C929AA"/>
    <w:rsid w:val="00C92CA3"/>
    <w:rsid w:val="00C934DC"/>
    <w:rsid w:val="00C936FB"/>
    <w:rsid w:val="00C93787"/>
    <w:rsid w:val="00C939AC"/>
    <w:rsid w:val="00C9461B"/>
    <w:rsid w:val="00C94DB3"/>
    <w:rsid w:val="00C95F92"/>
    <w:rsid w:val="00C963DE"/>
    <w:rsid w:val="00C9746C"/>
    <w:rsid w:val="00CA06CB"/>
    <w:rsid w:val="00CA0C26"/>
    <w:rsid w:val="00CA23A1"/>
    <w:rsid w:val="00CA24C6"/>
    <w:rsid w:val="00CA2A13"/>
    <w:rsid w:val="00CA2A57"/>
    <w:rsid w:val="00CA2CFF"/>
    <w:rsid w:val="00CA3685"/>
    <w:rsid w:val="00CA518B"/>
    <w:rsid w:val="00CA5301"/>
    <w:rsid w:val="00CA57D4"/>
    <w:rsid w:val="00CA63CB"/>
    <w:rsid w:val="00CA6682"/>
    <w:rsid w:val="00CA69AC"/>
    <w:rsid w:val="00CA7307"/>
    <w:rsid w:val="00CA75B3"/>
    <w:rsid w:val="00CA7EC8"/>
    <w:rsid w:val="00CB07A8"/>
    <w:rsid w:val="00CB0F3E"/>
    <w:rsid w:val="00CB2072"/>
    <w:rsid w:val="00CB2B22"/>
    <w:rsid w:val="00CB2C9A"/>
    <w:rsid w:val="00CB2F1F"/>
    <w:rsid w:val="00CB46E5"/>
    <w:rsid w:val="00CB5389"/>
    <w:rsid w:val="00CB5B09"/>
    <w:rsid w:val="00CB5D75"/>
    <w:rsid w:val="00CC10E1"/>
    <w:rsid w:val="00CC135F"/>
    <w:rsid w:val="00CC231C"/>
    <w:rsid w:val="00CC3543"/>
    <w:rsid w:val="00CC718B"/>
    <w:rsid w:val="00CC74A3"/>
    <w:rsid w:val="00CC779C"/>
    <w:rsid w:val="00CC7865"/>
    <w:rsid w:val="00CC7963"/>
    <w:rsid w:val="00CC79A7"/>
    <w:rsid w:val="00CD0633"/>
    <w:rsid w:val="00CD10BE"/>
    <w:rsid w:val="00CD12E3"/>
    <w:rsid w:val="00CD35AF"/>
    <w:rsid w:val="00CD3934"/>
    <w:rsid w:val="00CD3936"/>
    <w:rsid w:val="00CD4A79"/>
    <w:rsid w:val="00CD561A"/>
    <w:rsid w:val="00CD5BEE"/>
    <w:rsid w:val="00CD61A0"/>
    <w:rsid w:val="00CD6327"/>
    <w:rsid w:val="00CD6B34"/>
    <w:rsid w:val="00CD6C99"/>
    <w:rsid w:val="00CD7621"/>
    <w:rsid w:val="00CE03B7"/>
    <w:rsid w:val="00CE119E"/>
    <w:rsid w:val="00CE2B78"/>
    <w:rsid w:val="00CE353B"/>
    <w:rsid w:val="00CE3D35"/>
    <w:rsid w:val="00CE470A"/>
    <w:rsid w:val="00CE5560"/>
    <w:rsid w:val="00CE5848"/>
    <w:rsid w:val="00CE6053"/>
    <w:rsid w:val="00CE7159"/>
    <w:rsid w:val="00CE74A3"/>
    <w:rsid w:val="00CE757A"/>
    <w:rsid w:val="00CE7A3F"/>
    <w:rsid w:val="00CE7A91"/>
    <w:rsid w:val="00CF1F02"/>
    <w:rsid w:val="00CF2077"/>
    <w:rsid w:val="00CF2B76"/>
    <w:rsid w:val="00CF3A69"/>
    <w:rsid w:val="00CF4240"/>
    <w:rsid w:val="00CF437B"/>
    <w:rsid w:val="00CF5232"/>
    <w:rsid w:val="00CF5382"/>
    <w:rsid w:val="00CF56DC"/>
    <w:rsid w:val="00CF5EA3"/>
    <w:rsid w:val="00D0131B"/>
    <w:rsid w:val="00D021EB"/>
    <w:rsid w:val="00D026F7"/>
    <w:rsid w:val="00D034DD"/>
    <w:rsid w:val="00D03C68"/>
    <w:rsid w:val="00D04900"/>
    <w:rsid w:val="00D04952"/>
    <w:rsid w:val="00D060BE"/>
    <w:rsid w:val="00D0661E"/>
    <w:rsid w:val="00D06A16"/>
    <w:rsid w:val="00D074C2"/>
    <w:rsid w:val="00D1078F"/>
    <w:rsid w:val="00D10E60"/>
    <w:rsid w:val="00D10F0C"/>
    <w:rsid w:val="00D115E4"/>
    <w:rsid w:val="00D117EB"/>
    <w:rsid w:val="00D1200B"/>
    <w:rsid w:val="00D12550"/>
    <w:rsid w:val="00D12886"/>
    <w:rsid w:val="00D12CD2"/>
    <w:rsid w:val="00D136A4"/>
    <w:rsid w:val="00D14220"/>
    <w:rsid w:val="00D14D23"/>
    <w:rsid w:val="00D1565C"/>
    <w:rsid w:val="00D15755"/>
    <w:rsid w:val="00D15D8B"/>
    <w:rsid w:val="00D15EA1"/>
    <w:rsid w:val="00D1656F"/>
    <w:rsid w:val="00D1795D"/>
    <w:rsid w:val="00D17984"/>
    <w:rsid w:val="00D179D5"/>
    <w:rsid w:val="00D212E2"/>
    <w:rsid w:val="00D21996"/>
    <w:rsid w:val="00D21D4C"/>
    <w:rsid w:val="00D220E4"/>
    <w:rsid w:val="00D22199"/>
    <w:rsid w:val="00D225DF"/>
    <w:rsid w:val="00D22CB9"/>
    <w:rsid w:val="00D23207"/>
    <w:rsid w:val="00D23ADA"/>
    <w:rsid w:val="00D24990"/>
    <w:rsid w:val="00D24D4B"/>
    <w:rsid w:val="00D24DAD"/>
    <w:rsid w:val="00D24F7B"/>
    <w:rsid w:val="00D25916"/>
    <w:rsid w:val="00D26D97"/>
    <w:rsid w:val="00D2789E"/>
    <w:rsid w:val="00D27943"/>
    <w:rsid w:val="00D27BB6"/>
    <w:rsid w:val="00D3084E"/>
    <w:rsid w:val="00D30AA5"/>
    <w:rsid w:val="00D30F19"/>
    <w:rsid w:val="00D329E6"/>
    <w:rsid w:val="00D33223"/>
    <w:rsid w:val="00D34065"/>
    <w:rsid w:val="00D340C0"/>
    <w:rsid w:val="00D34C82"/>
    <w:rsid w:val="00D34FAA"/>
    <w:rsid w:val="00D35326"/>
    <w:rsid w:val="00D3602E"/>
    <w:rsid w:val="00D36073"/>
    <w:rsid w:val="00D3607A"/>
    <w:rsid w:val="00D36413"/>
    <w:rsid w:val="00D3696A"/>
    <w:rsid w:val="00D37972"/>
    <w:rsid w:val="00D37F86"/>
    <w:rsid w:val="00D40896"/>
    <w:rsid w:val="00D40EC3"/>
    <w:rsid w:val="00D41534"/>
    <w:rsid w:val="00D42408"/>
    <w:rsid w:val="00D42CE3"/>
    <w:rsid w:val="00D44144"/>
    <w:rsid w:val="00D451FC"/>
    <w:rsid w:val="00D452C2"/>
    <w:rsid w:val="00D454BC"/>
    <w:rsid w:val="00D461B2"/>
    <w:rsid w:val="00D50C7D"/>
    <w:rsid w:val="00D5155B"/>
    <w:rsid w:val="00D51A33"/>
    <w:rsid w:val="00D5238F"/>
    <w:rsid w:val="00D53F67"/>
    <w:rsid w:val="00D54996"/>
    <w:rsid w:val="00D5531D"/>
    <w:rsid w:val="00D55E0F"/>
    <w:rsid w:val="00D579FE"/>
    <w:rsid w:val="00D6060D"/>
    <w:rsid w:val="00D607DE"/>
    <w:rsid w:val="00D61853"/>
    <w:rsid w:val="00D61BDC"/>
    <w:rsid w:val="00D61F15"/>
    <w:rsid w:val="00D622C7"/>
    <w:rsid w:val="00D62584"/>
    <w:rsid w:val="00D63C48"/>
    <w:rsid w:val="00D64289"/>
    <w:rsid w:val="00D65178"/>
    <w:rsid w:val="00D65D1E"/>
    <w:rsid w:val="00D6667B"/>
    <w:rsid w:val="00D66E04"/>
    <w:rsid w:val="00D70497"/>
    <w:rsid w:val="00D70DD2"/>
    <w:rsid w:val="00D71194"/>
    <w:rsid w:val="00D713A3"/>
    <w:rsid w:val="00D71400"/>
    <w:rsid w:val="00D7174E"/>
    <w:rsid w:val="00D72496"/>
    <w:rsid w:val="00D724F0"/>
    <w:rsid w:val="00D72539"/>
    <w:rsid w:val="00D7253B"/>
    <w:rsid w:val="00D7296B"/>
    <w:rsid w:val="00D7311B"/>
    <w:rsid w:val="00D73399"/>
    <w:rsid w:val="00D7344E"/>
    <w:rsid w:val="00D73A0A"/>
    <w:rsid w:val="00D757B5"/>
    <w:rsid w:val="00D75836"/>
    <w:rsid w:val="00D75C72"/>
    <w:rsid w:val="00D75C77"/>
    <w:rsid w:val="00D75D8E"/>
    <w:rsid w:val="00D7609F"/>
    <w:rsid w:val="00D766C1"/>
    <w:rsid w:val="00D76FCC"/>
    <w:rsid w:val="00D77AA1"/>
    <w:rsid w:val="00D8093E"/>
    <w:rsid w:val="00D818F5"/>
    <w:rsid w:val="00D81A86"/>
    <w:rsid w:val="00D825E0"/>
    <w:rsid w:val="00D8276F"/>
    <w:rsid w:val="00D831D4"/>
    <w:rsid w:val="00D8366C"/>
    <w:rsid w:val="00D83CE3"/>
    <w:rsid w:val="00D84166"/>
    <w:rsid w:val="00D8441F"/>
    <w:rsid w:val="00D84E25"/>
    <w:rsid w:val="00D8524F"/>
    <w:rsid w:val="00D85696"/>
    <w:rsid w:val="00D85AB6"/>
    <w:rsid w:val="00D8703B"/>
    <w:rsid w:val="00D9052C"/>
    <w:rsid w:val="00D90624"/>
    <w:rsid w:val="00D90D1F"/>
    <w:rsid w:val="00D91772"/>
    <w:rsid w:val="00D9238A"/>
    <w:rsid w:val="00D927FA"/>
    <w:rsid w:val="00D93937"/>
    <w:rsid w:val="00D93AE3"/>
    <w:rsid w:val="00D93CDC"/>
    <w:rsid w:val="00D93D75"/>
    <w:rsid w:val="00D9408D"/>
    <w:rsid w:val="00D95394"/>
    <w:rsid w:val="00D96268"/>
    <w:rsid w:val="00D970E7"/>
    <w:rsid w:val="00DA01E5"/>
    <w:rsid w:val="00DA032B"/>
    <w:rsid w:val="00DA0456"/>
    <w:rsid w:val="00DA05A4"/>
    <w:rsid w:val="00DA0FF3"/>
    <w:rsid w:val="00DA10C9"/>
    <w:rsid w:val="00DA13C6"/>
    <w:rsid w:val="00DA1DE8"/>
    <w:rsid w:val="00DA2F5B"/>
    <w:rsid w:val="00DA370B"/>
    <w:rsid w:val="00DA3AD9"/>
    <w:rsid w:val="00DA55BB"/>
    <w:rsid w:val="00DA58F1"/>
    <w:rsid w:val="00DA59E8"/>
    <w:rsid w:val="00DA6024"/>
    <w:rsid w:val="00DA6662"/>
    <w:rsid w:val="00DA71DD"/>
    <w:rsid w:val="00DA7393"/>
    <w:rsid w:val="00DA73EE"/>
    <w:rsid w:val="00DA773A"/>
    <w:rsid w:val="00DB0C98"/>
    <w:rsid w:val="00DB1E92"/>
    <w:rsid w:val="00DB290B"/>
    <w:rsid w:val="00DB2F6F"/>
    <w:rsid w:val="00DB2FC8"/>
    <w:rsid w:val="00DB3182"/>
    <w:rsid w:val="00DB4078"/>
    <w:rsid w:val="00DB4855"/>
    <w:rsid w:val="00DB4989"/>
    <w:rsid w:val="00DB502E"/>
    <w:rsid w:val="00DB577B"/>
    <w:rsid w:val="00DB6488"/>
    <w:rsid w:val="00DB64BA"/>
    <w:rsid w:val="00DB6B61"/>
    <w:rsid w:val="00DB6EB1"/>
    <w:rsid w:val="00DB6ED5"/>
    <w:rsid w:val="00DC0573"/>
    <w:rsid w:val="00DC09BB"/>
    <w:rsid w:val="00DC0A60"/>
    <w:rsid w:val="00DC0D7E"/>
    <w:rsid w:val="00DC10CE"/>
    <w:rsid w:val="00DC1466"/>
    <w:rsid w:val="00DC1743"/>
    <w:rsid w:val="00DC1929"/>
    <w:rsid w:val="00DC273B"/>
    <w:rsid w:val="00DC414F"/>
    <w:rsid w:val="00DC4199"/>
    <w:rsid w:val="00DC4C10"/>
    <w:rsid w:val="00DC4CC9"/>
    <w:rsid w:val="00DC5124"/>
    <w:rsid w:val="00DC5218"/>
    <w:rsid w:val="00DC5272"/>
    <w:rsid w:val="00DC6F32"/>
    <w:rsid w:val="00DC72BE"/>
    <w:rsid w:val="00DC758D"/>
    <w:rsid w:val="00DC7746"/>
    <w:rsid w:val="00DD0221"/>
    <w:rsid w:val="00DD0AC4"/>
    <w:rsid w:val="00DD0EE8"/>
    <w:rsid w:val="00DD2409"/>
    <w:rsid w:val="00DD266B"/>
    <w:rsid w:val="00DD28C5"/>
    <w:rsid w:val="00DD2A16"/>
    <w:rsid w:val="00DD3049"/>
    <w:rsid w:val="00DD30CC"/>
    <w:rsid w:val="00DD3D4A"/>
    <w:rsid w:val="00DD48C6"/>
    <w:rsid w:val="00DD4AB8"/>
    <w:rsid w:val="00DD5714"/>
    <w:rsid w:val="00DD624A"/>
    <w:rsid w:val="00DD6548"/>
    <w:rsid w:val="00DD657A"/>
    <w:rsid w:val="00DD6AF9"/>
    <w:rsid w:val="00DD6E9B"/>
    <w:rsid w:val="00DD7812"/>
    <w:rsid w:val="00DE1F52"/>
    <w:rsid w:val="00DE21BF"/>
    <w:rsid w:val="00DE26FA"/>
    <w:rsid w:val="00DE30E2"/>
    <w:rsid w:val="00DE37B1"/>
    <w:rsid w:val="00DE38B8"/>
    <w:rsid w:val="00DE3A9A"/>
    <w:rsid w:val="00DE6421"/>
    <w:rsid w:val="00DE68DA"/>
    <w:rsid w:val="00DE706B"/>
    <w:rsid w:val="00DE74A7"/>
    <w:rsid w:val="00DF0F10"/>
    <w:rsid w:val="00DF0F64"/>
    <w:rsid w:val="00DF10A7"/>
    <w:rsid w:val="00DF167E"/>
    <w:rsid w:val="00DF16C0"/>
    <w:rsid w:val="00DF227E"/>
    <w:rsid w:val="00DF2294"/>
    <w:rsid w:val="00DF23BF"/>
    <w:rsid w:val="00DF2936"/>
    <w:rsid w:val="00DF2D1A"/>
    <w:rsid w:val="00DF3A42"/>
    <w:rsid w:val="00DF548B"/>
    <w:rsid w:val="00DF5A21"/>
    <w:rsid w:val="00DF5E17"/>
    <w:rsid w:val="00DF6C91"/>
    <w:rsid w:val="00DF7713"/>
    <w:rsid w:val="00E01465"/>
    <w:rsid w:val="00E01D22"/>
    <w:rsid w:val="00E01D7F"/>
    <w:rsid w:val="00E0202C"/>
    <w:rsid w:val="00E02CE9"/>
    <w:rsid w:val="00E030CA"/>
    <w:rsid w:val="00E041E4"/>
    <w:rsid w:val="00E05314"/>
    <w:rsid w:val="00E05C6C"/>
    <w:rsid w:val="00E05DE3"/>
    <w:rsid w:val="00E05FBC"/>
    <w:rsid w:val="00E06194"/>
    <w:rsid w:val="00E06856"/>
    <w:rsid w:val="00E07329"/>
    <w:rsid w:val="00E07371"/>
    <w:rsid w:val="00E108B9"/>
    <w:rsid w:val="00E10B7D"/>
    <w:rsid w:val="00E11D22"/>
    <w:rsid w:val="00E121FF"/>
    <w:rsid w:val="00E1230E"/>
    <w:rsid w:val="00E12C33"/>
    <w:rsid w:val="00E12DA7"/>
    <w:rsid w:val="00E147EC"/>
    <w:rsid w:val="00E14C78"/>
    <w:rsid w:val="00E14CB8"/>
    <w:rsid w:val="00E14E78"/>
    <w:rsid w:val="00E1657B"/>
    <w:rsid w:val="00E16A1D"/>
    <w:rsid w:val="00E16B99"/>
    <w:rsid w:val="00E16F76"/>
    <w:rsid w:val="00E2193A"/>
    <w:rsid w:val="00E22029"/>
    <w:rsid w:val="00E2267B"/>
    <w:rsid w:val="00E227EA"/>
    <w:rsid w:val="00E22B79"/>
    <w:rsid w:val="00E22F58"/>
    <w:rsid w:val="00E23426"/>
    <w:rsid w:val="00E23660"/>
    <w:rsid w:val="00E236E3"/>
    <w:rsid w:val="00E24106"/>
    <w:rsid w:val="00E2532B"/>
    <w:rsid w:val="00E264A6"/>
    <w:rsid w:val="00E26A85"/>
    <w:rsid w:val="00E27038"/>
    <w:rsid w:val="00E2761D"/>
    <w:rsid w:val="00E277DA"/>
    <w:rsid w:val="00E27C0E"/>
    <w:rsid w:val="00E27E8A"/>
    <w:rsid w:val="00E27F33"/>
    <w:rsid w:val="00E30B6C"/>
    <w:rsid w:val="00E30D39"/>
    <w:rsid w:val="00E31326"/>
    <w:rsid w:val="00E3137C"/>
    <w:rsid w:val="00E3183E"/>
    <w:rsid w:val="00E318B5"/>
    <w:rsid w:val="00E3195C"/>
    <w:rsid w:val="00E31A1E"/>
    <w:rsid w:val="00E31B9C"/>
    <w:rsid w:val="00E31F5B"/>
    <w:rsid w:val="00E32A58"/>
    <w:rsid w:val="00E32C18"/>
    <w:rsid w:val="00E34484"/>
    <w:rsid w:val="00E350CD"/>
    <w:rsid w:val="00E350E0"/>
    <w:rsid w:val="00E35308"/>
    <w:rsid w:val="00E37424"/>
    <w:rsid w:val="00E401B6"/>
    <w:rsid w:val="00E40AAA"/>
    <w:rsid w:val="00E42158"/>
    <w:rsid w:val="00E42812"/>
    <w:rsid w:val="00E43B48"/>
    <w:rsid w:val="00E45180"/>
    <w:rsid w:val="00E452E1"/>
    <w:rsid w:val="00E45305"/>
    <w:rsid w:val="00E453B8"/>
    <w:rsid w:val="00E457F4"/>
    <w:rsid w:val="00E45E7E"/>
    <w:rsid w:val="00E460D8"/>
    <w:rsid w:val="00E46AC9"/>
    <w:rsid w:val="00E46CE3"/>
    <w:rsid w:val="00E506BA"/>
    <w:rsid w:val="00E522E9"/>
    <w:rsid w:val="00E52525"/>
    <w:rsid w:val="00E52755"/>
    <w:rsid w:val="00E52DDB"/>
    <w:rsid w:val="00E53407"/>
    <w:rsid w:val="00E53DB6"/>
    <w:rsid w:val="00E53E30"/>
    <w:rsid w:val="00E53E47"/>
    <w:rsid w:val="00E54ACA"/>
    <w:rsid w:val="00E54FB3"/>
    <w:rsid w:val="00E554BB"/>
    <w:rsid w:val="00E55904"/>
    <w:rsid w:val="00E55E72"/>
    <w:rsid w:val="00E564F6"/>
    <w:rsid w:val="00E566ED"/>
    <w:rsid w:val="00E569BD"/>
    <w:rsid w:val="00E56BD4"/>
    <w:rsid w:val="00E57521"/>
    <w:rsid w:val="00E60005"/>
    <w:rsid w:val="00E6024C"/>
    <w:rsid w:val="00E60432"/>
    <w:rsid w:val="00E60616"/>
    <w:rsid w:val="00E6094E"/>
    <w:rsid w:val="00E612D7"/>
    <w:rsid w:val="00E6157A"/>
    <w:rsid w:val="00E615E9"/>
    <w:rsid w:val="00E61681"/>
    <w:rsid w:val="00E628DC"/>
    <w:rsid w:val="00E62FCD"/>
    <w:rsid w:val="00E63263"/>
    <w:rsid w:val="00E6346D"/>
    <w:rsid w:val="00E64845"/>
    <w:rsid w:val="00E64A2B"/>
    <w:rsid w:val="00E64D63"/>
    <w:rsid w:val="00E652B5"/>
    <w:rsid w:val="00E6585D"/>
    <w:rsid w:val="00E65BFE"/>
    <w:rsid w:val="00E65E3D"/>
    <w:rsid w:val="00E66614"/>
    <w:rsid w:val="00E66924"/>
    <w:rsid w:val="00E67300"/>
    <w:rsid w:val="00E674AF"/>
    <w:rsid w:val="00E676F7"/>
    <w:rsid w:val="00E6773F"/>
    <w:rsid w:val="00E70329"/>
    <w:rsid w:val="00E70765"/>
    <w:rsid w:val="00E7117C"/>
    <w:rsid w:val="00E7176C"/>
    <w:rsid w:val="00E71CEB"/>
    <w:rsid w:val="00E724D3"/>
    <w:rsid w:val="00E7299D"/>
    <w:rsid w:val="00E729F0"/>
    <w:rsid w:val="00E73297"/>
    <w:rsid w:val="00E7398B"/>
    <w:rsid w:val="00E7400A"/>
    <w:rsid w:val="00E74154"/>
    <w:rsid w:val="00E7485C"/>
    <w:rsid w:val="00E74EF4"/>
    <w:rsid w:val="00E75CD9"/>
    <w:rsid w:val="00E7686F"/>
    <w:rsid w:val="00E77E8C"/>
    <w:rsid w:val="00E80035"/>
    <w:rsid w:val="00E80814"/>
    <w:rsid w:val="00E81136"/>
    <w:rsid w:val="00E8269B"/>
    <w:rsid w:val="00E82D29"/>
    <w:rsid w:val="00E82F93"/>
    <w:rsid w:val="00E83AF8"/>
    <w:rsid w:val="00E83CB4"/>
    <w:rsid w:val="00E8557C"/>
    <w:rsid w:val="00E857B2"/>
    <w:rsid w:val="00E85860"/>
    <w:rsid w:val="00E86273"/>
    <w:rsid w:val="00E86B71"/>
    <w:rsid w:val="00E86E7C"/>
    <w:rsid w:val="00E87E38"/>
    <w:rsid w:val="00E901D2"/>
    <w:rsid w:val="00E9065C"/>
    <w:rsid w:val="00E91F0C"/>
    <w:rsid w:val="00E92123"/>
    <w:rsid w:val="00E92B30"/>
    <w:rsid w:val="00E92FAC"/>
    <w:rsid w:val="00E93016"/>
    <w:rsid w:val="00E930FA"/>
    <w:rsid w:val="00E93202"/>
    <w:rsid w:val="00E94174"/>
    <w:rsid w:val="00E94CF9"/>
    <w:rsid w:val="00E94DA9"/>
    <w:rsid w:val="00E95DFC"/>
    <w:rsid w:val="00E96944"/>
    <w:rsid w:val="00E9756D"/>
    <w:rsid w:val="00E976DF"/>
    <w:rsid w:val="00E97B14"/>
    <w:rsid w:val="00EA1417"/>
    <w:rsid w:val="00EA1B29"/>
    <w:rsid w:val="00EA2F0E"/>
    <w:rsid w:val="00EA319D"/>
    <w:rsid w:val="00EA3AB8"/>
    <w:rsid w:val="00EA3FF8"/>
    <w:rsid w:val="00EA4CAB"/>
    <w:rsid w:val="00EA4F7A"/>
    <w:rsid w:val="00EA5552"/>
    <w:rsid w:val="00EA64D8"/>
    <w:rsid w:val="00EA655D"/>
    <w:rsid w:val="00EA66E6"/>
    <w:rsid w:val="00EA6795"/>
    <w:rsid w:val="00EA691A"/>
    <w:rsid w:val="00EA701D"/>
    <w:rsid w:val="00EA7365"/>
    <w:rsid w:val="00EA77AC"/>
    <w:rsid w:val="00EA7E1A"/>
    <w:rsid w:val="00EB1C04"/>
    <w:rsid w:val="00EB1DFC"/>
    <w:rsid w:val="00EB295A"/>
    <w:rsid w:val="00EB2C8E"/>
    <w:rsid w:val="00EB3089"/>
    <w:rsid w:val="00EB360C"/>
    <w:rsid w:val="00EB393A"/>
    <w:rsid w:val="00EB426B"/>
    <w:rsid w:val="00EB5E6D"/>
    <w:rsid w:val="00EB618E"/>
    <w:rsid w:val="00EB675E"/>
    <w:rsid w:val="00EC0A36"/>
    <w:rsid w:val="00EC0DBB"/>
    <w:rsid w:val="00EC118E"/>
    <w:rsid w:val="00EC1536"/>
    <w:rsid w:val="00EC1C90"/>
    <w:rsid w:val="00EC32A5"/>
    <w:rsid w:val="00EC3770"/>
    <w:rsid w:val="00EC4308"/>
    <w:rsid w:val="00EC43D4"/>
    <w:rsid w:val="00EC4758"/>
    <w:rsid w:val="00EC4EA4"/>
    <w:rsid w:val="00EC5566"/>
    <w:rsid w:val="00EC57D3"/>
    <w:rsid w:val="00EC59D7"/>
    <w:rsid w:val="00EC5EB6"/>
    <w:rsid w:val="00EC6741"/>
    <w:rsid w:val="00EC6A4B"/>
    <w:rsid w:val="00EC7E7E"/>
    <w:rsid w:val="00ED048D"/>
    <w:rsid w:val="00ED04AB"/>
    <w:rsid w:val="00ED0EF9"/>
    <w:rsid w:val="00ED13F4"/>
    <w:rsid w:val="00ED160E"/>
    <w:rsid w:val="00ED2002"/>
    <w:rsid w:val="00ED29A2"/>
    <w:rsid w:val="00ED32AB"/>
    <w:rsid w:val="00ED3EB5"/>
    <w:rsid w:val="00ED4B2F"/>
    <w:rsid w:val="00ED50F3"/>
    <w:rsid w:val="00ED5BB3"/>
    <w:rsid w:val="00ED5C2F"/>
    <w:rsid w:val="00ED6087"/>
    <w:rsid w:val="00ED707B"/>
    <w:rsid w:val="00ED7509"/>
    <w:rsid w:val="00ED7997"/>
    <w:rsid w:val="00EE0184"/>
    <w:rsid w:val="00EE0792"/>
    <w:rsid w:val="00EE0D76"/>
    <w:rsid w:val="00EE1BEE"/>
    <w:rsid w:val="00EE2852"/>
    <w:rsid w:val="00EE28AB"/>
    <w:rsid w:val="00EE317B"/>
    <w:rsid w:val="00EE33D9"/>
    <w:rsid w:val="00EE33FE"/>
    <w:rsid w:val="00EE5014"/>
    <w:rsid w:val="00EE65F2"/>
    <w:rsid w:val="00EE6794"/>
    <w:rsid w:val="00EE6A35"/>
    <w:rsid w:val="00EF0352"/>
    <w:rsid w:val="00EF0EFE"/>
    <w:rsid w:val="00EF22F8"/>
    <w:rsid w:val="00EF2517"/>
    <w:rsid w:val="00EF3278"/>
    <w:rsid w:val="00EF3C70"/>
    <w:rsid w:val="00EF3E8B"/>
    <w:rsid w:val="00EF4FED"/>
    <w:rsid w:val="00EF613D"/>
    <w:rsid w:val="00EF63EF"/>
    <w:rsid w:val="00F001B7"/>
    <w:rsid w:val="00F00678"/>
    <w:rsid w:val="00F00C03"/>
    <w:rsid w:val="00F00D47"/>
    <w:rsid w:val="00F0152D"/>
    <w:rsid w:val="00F01723"/>
    <w:rsid w:val="00F01999"/>
    <w:rsid w:val="00F01A88"/>
    <w:rsid w:val="00F02DF0"/>
    <w:rsid w:val="00F02EE1"/>
    <w:rsid w:val="00F0339A"/>
    <w:rsid w:val="00F048B5"/>
    <w:rsid w:val="00F049EC"/>
    <w:rsid w:val="00F053AB"/>
    <w:rsid w:val="00F0542E"/>
    <w:rsid w:val="00F05768"/>
    <w:rsid w:val="00F0645B"/>
    <w:rsid w:val="00F07C5D"/>
    <w:rsid w:val="00F106D6"/>
    <w:rsid w:val="00F10FDB"/>
    <w:rsid w:val="00F116B0"/>
    <w:rsid w:val="00F11856"/>
    <w:rsid w:val="00F12553"/>
    <w:rsid w:val="00F12A4B"/>
    <w:rsid w:val="00F12E8B"/>
    <w:rsid w:val="00F12ED0"/>
    <w:rsid w:val="00F13CFE"/>
    <w:rsid w:val="00F145A6"/>
    <w:rsid w:val="00F1531C"/>
    <w:rsid w:val="00F1546C"/>
    <w:rsid w:val="00F15A89"/>
    <w:rsid w:val="00F15B12"/>
    <w:rsid w:val="00F15D6E"/>
    <w:rsid w:val="00F15F2E"/>
    <w:rsid w:val="00F164BF"/>
    <w:rsid w:val="00F16853"/>
    <w:rsid w:val="00F16EFA"/>
    <w:rsid w:val="00F17551"/>
    <w:rsid w:val="00F17604"/>
    <w:rsid w:val="00F17F2A"/>
    <w:rsid w:val="00F20147"/>
    <w:rsid w:val="00F211D0"/>
    <w:rsid w:val="00F213AD"/>
    <w:rsid w:val="00F22602"/>
    <w:rsid w:val="00F226A1"/>
    <w:rsid w:val="00F22C25"/>
    <w:rsid w:val="00F24844"/>
    <w:rsid w:val="00F24C1A"/>
    <w:rsid w:val="00F26024"/>
    <w:rsid w:val="00F267A9"/>
    <w:rsid w:val="00F268A0"/>
    <w:rsid w:val="00F26B36"/>
    <w:rsid w:val="00F26B4B"/>
    <w:rsid w:val="00F26DFE"/>
    <w:rsid w:val="00F2706C"/>
    <w:rsid w:val="00F272E5"/>
    <w:rsid w:val="00F2768F"/>
    <w:rsid w:val="00F27A64"/>
    <w:rsid w:val="00F30372"/>
    <w:rsid w:val="00F3094A"/>
    <w:rsid w:val="00F30B1B"/>
    <w:rsid w:val="00F30C29"/>
    <w:rsid w:val="00F30DDB"/>
    <w:rsid w:val="00F3113E"/>
    <w:rsid w:val="00F31797"/>
    <w:rsid w:val="00F31FEB"/>
    <w:rsid w:val="00F32F5D"/>
    <w:rsid w:val="00F334D9"/>
    <w:rsid w:val="00F34668"/>
    <w:rsid w:val="00F34A85"/>
    <w:rsid w:val="00F34DF3"/>
    <w:rsid w:val="00F35280"/>
    <w:rsid w:val="00F35F86"/>
    <w:rsid w:val="00F36041"/>
    <w:rsid w:val="00F36331"/>
    <w:rsid w:val="00F36950"/>
    <w:rsid w:val="00F36A9F"/>
    <w:rsid w:val="00F37864"/>
    <w:rsid w:val="00F402AA"/>
    <w:rsid w:val="00F4077B"/>
    <w:rsid w:val="00F40E79"/>
    <w:rsid w:val="00F43DB7"/>
    <w:rsid w:val="00F445AC"/>
    <w:rsid w:val="00F44B02"/>
    <w:rsid w:val="00F46127"/>
    <w:rsid w:val="00F469BC"/>
    <w:rsid w:val="00F46FCD"/>
    <w:rsid w:val="00F512F7"/>
    <w:rsid w:val="00F54E08"/>
    <w:rsid w:val="00F550DA"/>
    <w:rsid w:val="00F56314"/>
    <w:rsid w:val="00F5675B"/>
    <w:rsid w:val="00F573E3"/>
    <w:rsid w:val="00F60591"/>
    <w:rsid w:val="00F609AB"/>
    <w:rsid w:val="00F6177B"/>
    <w:rsid w:val="00F61E38"/>
    <w:rsid w:val="00F620CF"/>
    <w:rsid w:val="00F625F2"/>
    <w:rsid w:val="00F6297F"/>
    <w:rsid w:val="00F62DEE"/>
    <w:rsid w:val="00F62EE5"/>
    <w:rsid w:val="00F630C9"/>
    <w:rsid w:val="00F63F52"/>
    <w:rsid w:val="00F640DC"/>
    <w:rsid w:val="00F642FE"/>
    <w:rsid w:val="00F64814"/>
    <w:rsid w:val="00F649AA"/>
    <w:rsid w:val="00F6632C"/>
    <w:rsid w:val="00F663F9"/>
    <w:rsid w:val="00F67AE8"/>
    <w:rsid w:val="00F70498"/>
    <w:rsid w:val="00F7087C"/>
    <w:rsid w:val="00F70B52"/>
    <w:rsid w:val="00F71047"/>
    <w:rsid w:val="00F716B8"/>
    <w:rsid w:val="00F71FC2"/>
    <w:rsid w:val="00F724B8"/>
    <w:rsid w:val="00F72656"/>
    <w:rsid w:val="00F72B42"/>
    <w:rsid w:val="00F72BB2"/>
    <w:rsid w:val="00F72FF7"/>
    <w:rsid w:val="00F730C9"/>
    <w:rsid w:val="00F732C4"/>
    <w:rsid w:val="00F733F3"/>
    <w:rsid w:val="00F73402"/>
    <w:rsid w:val="00F734AE"/>
    <w:rsid w:val="00F73A39"/>
    <w:rsid w:val="00F73E34"/>
    <w:rsid w:val="00F73E47"/>
    <w:rsid w:val="00F73E59"/>
    <w:rsid w:val="00F73F2D"/>
    <w:rsid w:val="00F758FF"/>
    <w:rsid w:val="00F75D3A"/>
    <w:rsid w:val="00F7672E"/>
    <w:rsid w:val="00F80139"/>
    <w:rsid w:val="00F8062C"/>
    <w:rsid w:val="00F825B5"/>
    <w:rsid w:val="00F82EA5"/>
    <w:rsid w:val="00F83CFD"/>
    <w:rsid w:val="00F841CA"/>
    <w:rsid w:val="00F851AE"/>
    <w:rsid w:val="00F860CD"/>
    <w:rsid w:val="00F861A2"/>
    <w:rsid w:val="00F87B23"/>
    <w:rsid w:val="00F87C31"/>
    <w:rsid w:val="00F90286"/>
    <w:rsid w:val="00F90B2E"/>
    <w:rsid w:val="00F91C77"/>
    <w:rsid w:val="00F9212E"/>
    <w:rsid w:val="00F92A45"/>
    <w:rsid w:val="00F9314C"/>
    <w:rsid w:val="00F93398"/>
    <w:rsid w:val="00F9445F"/>
    <w:rsid w:val="00F94D41"/>
    <w:rsid w:val="00F94FA3"/>
    <w:rsid w:val="00F9533B"/>
    <w:rsid w:val="00F95F0A"/>
    <w:rsid w:val="00F96E21"/>
    <w:rsid w:val="00FA01FB"/>
    <w:rsid w:val="00FA0329"/>
    <w:rsid w:val="00FA0491"/>
    <w:rsid w:val="00FA1852"/>
    <w:rsid w:val="00FA1A77"/>
    <w:rsid w:val="00FA2014"/>
    <w:rsid w:val="00FA2138"/>
    <w:rsid w:val="00FA2890"/>
    <w:rsid w:val="00FA3738"/>
    <w:rsid w:val="00FA39F2"/>
    <w:rsid w:val="00FA5504"/>
    <w:rsid w:val="00FA5E46"/>
    <w:rsid w:val="00FA6B7E"/>
    <w:rsid w:val="00FA7B86"/>
    <w:rsid w:val="00FA7F4F"/>
    <w:rsid w:val="00FB0171"/>
    <w:rsid w:val="00FB0AAA"/>
    <w:rsid w:val="00FB1958"/>
    <w:rsid w:val="00FB1BFA"/>
    <w:rsid w:val="00FB1C25"/>
    <w:rsid w:val="00FB2113"/>
    <w:rsid w:val="00FB22D0"/>
    <w:rsid w:val="00FB3499"/>
    <w:rsid w:val="00FB37E1"/>
    <w:rsid w:val="00FB495B"/>
    <w:rsid w:val="00FB50EC"/>
    <w:rsid w:val="00FB5254"/>
    <w:rsid w:val="00FB57A1"/>
    <w:rsid w:val="00FB57DB"/>
    <w:rsid w:val="00FB6016"/>
    <w:rsid w:val="00FB6669"/>
    <w:rsid w:val="00FB7864"/>
    <w:rsid w:val="00FB7A95"/>
    <w:rsid w:val="00FC06E3"/>
    <w:rsid w:val="00FC0785"/>
    <w:rsid w:val="00FC091E"/>
    <w:rsid w:val="00FC0CDA"/>
    <w:rsid w:val="00FC1188"/>
    <w:rsid w:val="00FC22AB"/>
    <w:rsid w:val="00FC2505"/>
    <w:rsid w:val="00FC272E"/>
    <w:rsid w:val="00FC2910"/>
    <w:rsid w:val="00FC294A"/>
    <w:rsid w:val="00FC30F3"/>
    <w:rsid w:val="00FC3142"/>
    <w:rsid w:val="00FC3430"/>
    <w:rsid w:val="00FC3B0B"/>
    <w:rsid w:val="00FC45EA"/>
    <w:rsid w:val="00FC4DBD"/>
    <w:rsid w:val="00FC594B"/>
    <w:rsid w:val="00FC709F"/>
    <w:rsid w:val="00FC7DDB"/>
    <w:rsid w:val="00FC7EF4"/>
    <w:rsid w:val="00FD050E"/>
    <w:rsid w:val="00FD0BE3"/>
    <w:rsid w:val="00FD0DA5"/>
    <w:rsid w:val="00FD1088"/>
    <w:rsid w:val="00FD2394"/>
    <w:rsid w:val="00FD29B0"/>
    <w:rsid w:val="00FD2B24"/>
    <w:rsid w:val="00FD2E62"/>
    <w:rsid w:val="00FD2FAA"/>
    <w:rsid w:val="00FD32AA"/>
    <w:rsid w:val="00FD4211"/>
    <w:rsid w:val="00FD4C71"/>
    <w:rsid w:val="00FD5FAA"/>
    <w:rsid w:val="00FD6C27"/>
    <w:rsid w:val="00FD75A0"/>
    <w:rsid w:val="00FD7841"/>
    <w:rsid w:val="00FE0C51"/>
    <w:rsid w:val="00FE125A"/>
    <w:rsid w:val="00FE18EA"/>
    <w:rsid w:val="00FE1B54"/>
    <w:rsid w:val="00FE2431"/>
    <w:rsid w:val="00FE4C58"/>
    <w:rsid w:val="00FE51AC"/>
    <w:rsid w:val="00FE5300"/>
    <w:rsid w:val="00FE5CE6"/>
    <w:rsid w:val="00FE6746"/>
    <w:rsid w:val="00FE7329"/>
    <w:rsid w:val="00FE7EE9"/>
    <w:rsid w:val="00FF029F"/>
    <w:rsid w:val="00FF0B77"/>
    <w:rsid w:val="00FF0EDD"/>
    <w:rsid w:val="00FF232C"/>
    <w:rsid w:val="00FF2550"/>
    <w:rsid w:val="00FF31A4"/>
    <w:rsid w:val="00FF321A"/>
    <w:rsid w:val="00FF3592"/>
    <w:rsid w:val="00FF3B86"/>
    <w:rsid w:val="00FF5299"/>
    <w:rsid w:val="00FF576E"/>
    <w:rsid w:val="00FF5A54"/>
    <w:rsid w:val="00FF610D"/>
    <w:rsid w:val="00FF61C2"/>
    <w:rsid w:val="00FF6C94"/>
    <w:rsid w:val="00FF78E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29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qFormat="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uiPriority="0"/>
    <w:lsdException w:name="endnote text" w:semiHidden="1" w:uiPriority="0"/>
    <w:lsdException w:name="table of authorities" w:semiHidden="1"/>
    <w:lsdException w:name="macro" w:semiHidden="1"/>
    <w:lsdException w:name="toa heading" w:semiHidden="1"/>
    <w:lsdException w:name="List" w:semiHidden="1"/>
    <w:lsdException w:name="List Bullet" w:semiHidden="1" w:uiPriority="16" w:qFormat="1"/>
    <w:lsdException w:name="List Number" w:semiHidden="1" w:uiPriority="16" w:qFormat="1"/>
    <w:lsdException w:name="List 2" w:semiHidden="1"/>
    <w:lsdException w:name="List 3" w:semiHidden="1"/>
    <w:lsdException w:name="List 4" w:semiHidden="1"/>
    <w:lsdException w:name="List 5" w:semiHidden="1"/>
    <w:lsdException w:name="List Bullet 2" w:semiHidden="1" w:uiPriority="16" w:qFormat="1"/>
    <w:lsdException w:name="List Bullet 3" w:semiHidden="1" w:uiPriority="16" w:qFormat="1"/>
    <w:lsdException w:name="List Bullet 4" w:semiHidden="1" w:uiPriority="16" w:qFormat="1"/>
    <w:lsdException w:name="List Bullet 5" w:semiHidden="1"/>
    <w:lsdException w:name="List Number 2" w:semiHidden="1" w:uiPriority="16" w:qFormat="1"/>
    <w:lsdException w:name="List Number 3" w:semiHidden="1" w:uiPriority="16" w:qFormat="1"/>
    <w:lsdException w:name="List Number 4" w:semiHidden="1" w:uiPriority="16" w:qFormat="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9E"/>
    <w:pPr>
      <w:spacing w:before="120" w:line="240" w:lineRule="auto"/>
      <w:jc w:val="both"/>
    </w:pPr>
    <w:rPr>
      <w:sz w:val="24"/>
    </w:rPr>
  </w:style>
  <w:style w:type="paragraph" w:styleId="Heading1">
    <w:name w:val="heading 1"/>
    <w:next w:val="MSACESParagraph"/>
    <w:link w:val="Heading1Char"/>
    <w:uiPriority w:val="9"/>
    <w:qFormat/>
    <w:rsid w:val="005C2085"/>
    <w:pPr>
      <w:keepNext/>
      <w:keepLines/>
      <w:numPr>
        <w:numId w:val="4"/>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186307"/>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BB6875"/>
    <w:pPr>
      <w:numPr>
        <w:ilvl w:val="6"/>
      </w:numPr>
      <w:spacing w:before="240" w:after="0"/>
      <w:outlineLvl w:val="3"/>
    </w:pPr>
    <w:rPr>
      <w:color w:val="000000" w:themeColor="text1"/>
      <w:sz w:val="24"/>
    </w:rPr>
  </w:style>
  <w:style w:type="paragraph" w:styleId="Heading5">
    <w:name w:val="heading 5"/>
    <w:aliases w:val="Heading 2 - Body,ASAPHeading 5,p5,DO NOT USE,- H37"/>
    <w:basedOn w:val="Heading2"/>
    <w:next w:val="Normal"/>
    <w:link w:val="Heading5Char"/>
    <w:uiPriority w:val="10"/>
    <w:qFormat/>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83"/>
    <w:rPr>
      <w:rFonts w:eastAsiaTheme="majorEastAsia" w:cstheme="majorBidi"/>
      <w:b/>
      <w:sz w:val="32"/>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245AD1"/>
    <w:rPr>
      <w:rFonts w:eastAsiaTheme="majorEastAsia" w:cstheme="majorBidi"/>
      <w:b/>
      <w:sz w:val="28"/>
      <w:szCs w:val="28"/>
    </w:rPr>
  </w:style>
  <w:style w:type="paragraph" w:styleId="ListParagraph">
    <w:name w:val="List Paragraph"/>
    <w:aliases w:val="PBAC ES Paragraph,Figure_name,List Paragraph1,Numbered Indented Text,Bullet- First level,List NUmber,Listenabsatz1,lp1,List Paragraph11,Style 2,TOC style,List Paragraph2,List Paragraph Char Char,Number_1,SGLText List Paragraph,new"/>
    <w:basedOn w:val="Normal"/>
    <w:link w:val="ListParagraphChar"/>
    <w:uiPriority w:val="34"/>
    <w:qFormat/>
    <w:rsid w:val="004908B7"/>
    <w:rPr>
      <w:color w:val="000000" w:themeColor="text1"/>
    </w:r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9"/>
    <w:rsid w:val="00245AD1"/>
    <w:rPr>
      <w:rFonts w:eastAsiaTheme="majorEastAsia" w:cstheme="majorBidi"/>
      <w:b/>
      <w:color w:val="000000" w:themeColor="text1"/>
      <w:sz w:val="24"/>
      <w:szCs w:val="28"/>
    </w:rPr>
  </w:style>
  <w:style w:type="character" w:customStyle="1" w:styleId="Heading5Char">
    <w:name w:val="Heading 5 Char"/>
    <w:aliases w:val="Heading 2 - Body Char,ASAPHeading 5 Char,p5 Char,DO NOT USE Char,- H37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MSD Table Grid,ASD Table,CMA Table Template,new style,PBAC table"/>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table"/>
    <w:next w:val="Normal"/>
    <w:link w:val="CaptionChar"/>
    <w:autoRedefine/>
    <w:qFormat/>
    <w:rsid w:val="00024DCD"/>
    <w:pPr>
      <w:keepNext/>
      <w:keepLines/>
      <w:widowControl w:val="0"/>
      <w:spacing w:after="0" w:line="240" w:lineRule="auto"/>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aliases w:val="Footnote Text Char1,Footnote Text Char Char,Footnote Text Char2,Footnote Text Char Char1"/>
    <w:basedOn w:val="Normal"/>
    <w:link w:val="FootnoteTextChar"/>
    <w:rsid w:val="00BA3306"/>
    <w:pPr>
      <w:spacing w:before="0" w:after="0"/>
    </w:pPr>
    <w:rPr>
      <w:sz w:val="18"/>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table Char"/>
    <w:link w:val="Caption"/>
    <w:rsid w:val="00024DCD"/>
    <w:rPr>
      <w:rFonts w:ascii="Arial Narrow" w:hAnsi="Arial Narrow"/>
      <w:b/>
      <w:iCs/>
      <w:sz w:val="20"/>
      <w:szCs w:val="18"/>
    </w:rPr>
  </w:style>
  <w:style w:type="paragraph" w:customStyle="1" w:styleId="TableFooter">
    <w:name w:val="Table Footer"/>
    <w:basedOn w:val="Normal"/>
    <w:link w:val="TableFooterChar"/>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qFormat/>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Figure_name Char,List Paragraph1 Char,Numbered Indented Text Char,Bullet- First level Char,List NUmber Char,Listenabsatz1 Char,lp1 Char,List Paragraph11 Char,Style 2 Char,TOC style Char,List Paragraph2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0"/>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905653"/>
    <w:pPr>
      <w:numPr>
        <w:numId w:val="8"/>
      </w:numPr>
      <w:spacing w:after="120"/>
      <w:jc w:val="left"/>
    </w:pPr>
    <w:rPr>
      <w:rFonts w:ascii="Calibri" w:hAnsi="Calibri"/>
    </w:rPr>
  </w:style>
  <w:style w:type="paragraph" w:customStyle="1" w:styleId="PBACESHeading2">
    <w:name w:val="PBAC ES Heading 2"/>
    <w:basedOn w:val="Heading2"/>
    <w:link w:val="PBACESHeading2Char"/>
    <w:uiPriority w:val="1"/>
    <w:qFormat/>
    <w:rsid w:val="00B7761D"/>
    <w:pPr>
      <w:numPr>
        <w:ilvl w:val="0"/>
        <w:numId w:val="0"/>
      </w:numPr>
    </w:pPr>
    <w:rPr>
      <w:rFonts w:asciiTheme="minorHAnsi" w:hAnsiTheme="minorHAnsi"/>
    </w:rPr>
  </w:style>
  <w:style w:type="character" w:customStyle="1" w:styleId="InstructionBulletpointChar">
    <w:name w:val="Instruction Bullet point Char"/>
    <w:basedOn w:val="InstructionalTextChar"/>
    <w:link w:val="InstructionBulletpoint"/>
    <w:uiPriority w:val="3"/>
    <w:rsid w:val="00905653"/>
    <w:rPr>
      <w:rFonts w:ascii="Calibri" w:hAnsi="Calibri"/>
      <w:color w:val="0070C0"/>
      <w:sz w:val="24"/>
    </w:rPr>
  </w:style>
  <w:style w:type="character" w:customStyle="1" w:styleId="PBACESHeading2Char">
    <w:name w:val="PBAC ES Heading 2 Char"/>
    <w:basedOn w:val="Heading2Char"/>
    <w:link w:val="PBACESHeading2"/>
    <w:uiPriority w:val="1"/>
    <w:rsid w:val="00B7761D"/>
    <w:rPr>
      <w:rFonts w:ascii="Arial" w:eastAsiaTheme="majorEastAsia" w:hAnsi="Arial"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numId w:val="9"/>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numId w:val="0"/>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0"/>
        <w:numId w:val="0"/>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5"/>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link w:val="ESHeading2Char"/>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6"/>
      </w:numPr>
    </w:pPr>
  </w:style>
  <w:style w:type="paragraph" w:customStyle="1" w:styleId="MainBodyBulletPoint">
    <w:name w:val="MainBody Bullet Point"/>
    <w:basedOn w:val="InstructionBulletpoint"/>
    <w:link w:val="MainBodyBulletPointChar"/>
    <w:uiPriority w:val="1"/>
    <w:qFormat/>
    <w:rsid w:val="00905653"/>
    <w:pPr>
      <w:numPr>
        <w:numId w:val="7"/>
      </w:numPr>
    </w:pPr>
    <w:rPr>
      <w:color w:val="auto"/>
    </w:rPr>
  </w:style>
  <w:style w:type="character" w:customStyle="1" w:styleId="MainBodyBulletPointChar">
    <w:name w:val="MainBody Bullet Point Char"/>
    <w:basedOn w:val="InstructionBulletpointChar"/>
    <w:link w:val="MainBodyBulletPoint"/>
    <w:uiPriority w:val="1"/>
    <w:rsid w:val="00905653"/>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0"/>
      </w:numPr>
    </w:pPr>
  </w:style>
  <w:style w:type="numbering" w:customStyle="1" w:styleId="Style2">
    <w:name w:val="Style2"/>
    <w:uiPriority w:val="99"/>
    <w:rsid w:val="002A391F"/>
    <w:pPr>
      <w:numPr>
        <w:numId w:val="12"/>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3"/>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ListNumber">
    <w:name w:val="List Number"/>
    <w:basedOn w:val="Normal"/>
    <w:uiPriority w:val="16"/>
    <w:qFormat/>
    <w:rsid w:val="00F164BF"/>
    <w:pPr>
      <w:tabs>
        <w:tab w:val="num" w:pos="357"/>
      </w:tabs>
      <w:spacing w:before="0" w:after="240" w:line="360" w:lineRule="auto"/>
      <w:ind w:left="357" w:hanging="357"/>
      <w:jc w:val="left"/>
    </w:pPr>
    <w:rPr>
      <w:rFonts w:ascii="Arial" w:hAnsi="Arial"/>
      <w:sz w:val="20"/>
      <w:szCs w:val="20"/>
    </w:rPr>
  </w:style>
  <w:style w:type="paragraph" w:styleId="ListNumber2">
    <w:name w:val="List Number 2"/>
    <w:basedOn w:val="Normal"/>
    <w:uiPriority w:val="16"/>
    <w:qFormat/>
    <w:rsid w:val="00F164BF"/>
    <w:pPr>
      <w:tabs>
        <w:tab w:val="num" w:pos="720"/>
      </w:tabs>
      <w:spacing w:before="0" w:after="240" w:line="360" w:lineRule="auto"/>
      <w:ind w:left="720" w:hanging="363"/>
      <w:jc w:val="left"/>
    </w:pPr>
    <w:rPr>
      <w:rFonts w:ascii="Arial" w:hAnsi="Arial"/>
      <w:sz w:val="20"/>
      <w:szCs w:val="20"/>
    </w:rPr>
  </w:style>
  <w:style w:type="paragraph" w:styleId="ListNumber3">
    <w:name w:val="List Number 3"/>
    <w:aliases w:val="Char"/>
    <w:basedOn w:val="Normal"/>
    <w:uiPriority w:val="16"/>
    <w:qFormat/>
    <w:rsid w:val="00F164BF"/>
    <w:pPr>
      <w:tabs>
        <w:tab w:val="num" w:pos="1077"/>
      </w:tabs>
      <w:spacing w:before="0" w:after="240" w:line="360" w:lineRule="auto"/>
      <w:ind w:left="1077" w:hanging="357"/>
      <w:jc w:val="left"/>
    </w:pPr>
    <w:rPr>
      <w:rFonts w:ascii="Arial" w:hAnsi="Arial"/>
      <w:sz w:val="20"/>
      <w:szCs w:val="20"/>
    </w:rPr>
  </w:style>
  <w:style w:type="paragraph" w:styleId="ListNumber4">
    <w:name w:val="List Number 4"/>
    <w:basedOn w:val="Normal"/>
    <w:uiPriority w:val="16"/>
    <w:qFormat/>
    <w:rsid w:val="00F164BF"/>
    <w:pPr>
      <w:tabs>
        <w:tab w:val="num" w:pos="1435"/>
      </w:tabs>
      <w:spacing w:before="0" w:after="240" w:line="360" w:lineRule="auto"/>
      <w:ind w:left="1435" w:hanging="358"/>
      <w:contextualSpacing/>
      <w:jc w:val="left"/>
    </w:pPr>
    <w:rPr>
      <w:rFonts w:ascii="Arial" w:hAnsi="Arial"/>
      <w:sz w:val="20"/>
      <w:szCs w:val="20"/>
    </w:rPr>
  </w:style>
  <w:style w:type="numbering" w:customStyle="1" w:styleId="Lists6">
    <w:name w:val="Lists6"/>
    <w:uiPriority w:val="99"/>
    <w:rsid w:val="00F164BF"/>
    <w:pPr>
      <w:numPr>
        <w:numId w:val="14"/>
      </w:numPr>
    </w:pPr>
  </w:style>
  <w:style w:type="paragraph" w:styleId="ListBullet">
    <w:name w:val="List Bullet"/>
    <w:basedOn w:val="Normal"/>
    <w:uiPriority w:val="16"/>
    <w:qFormat/>
    <w:rsid w:val="00F164BF"/>
    <w:pPr>
      <w:numPr>
        <w:numId w:val="15"/>
      </w:numPr>
      <w:spacing w:before="0" w:after="240" w:line="360" w:lineRule="auto"/>
      <w:jc w:val="left"/>
    </w:pPr>
    <w:rPr>
      <w:rFonts w:ascii="Arial" w:hAnsi="Arial"/>
      <w:sz w:val="20"/>
      <w:szCs w:val="20"/>
    </w:rPr>
  </w:style>
  <w:style w:type="paragraph" w:styleId="ListBullet4">
    <w:name w:val="List Bullet 4"/>
    <w:basedOn w:val="Normal"/>
    <w:uiPriority w:val="16"/>
    <w:qFormat/>
    <w:rsid w:val="00F164BF"/>
    <w:pPr>
      <w:numPr>
        <w:ilvl w:val="3"/>
        <w:numId w:val="15"/>
      </w:numPr>
      <w:spacing w:before="0" w:after="240" w:line="360" w:lineRule="auto"/>
      <w:contextualSpacing/>
      <w:jc w:val="left"/>
    </w:pPr>
    <w:rPr>
      <w:rFonts w:ascii="Arial" w:hAnsi="Arial"/>
      <w:sz w:val="20"/>
      <w:szCs w:val="20"/>
    </w:rPr>
  </w:style>
  <w:style w:type="paragraph" w:styleId="CommentText">
    <w:name w:val="annotation text"/>
    <w:aliases w:val="- H19,Comment Text Char1 Char,Comment Text Char Char Char,Comment Text Char Char"/>
    <w:basedOn w:val="Normal"/>
    <w:link w:val="CommentTextChar"/>
    <w:unhideWhenUsed/>
    <w:qFormat/>
    <w:rsid w:val="00F164BF"/>
    <w:pPr>
      <w:spacing w:before="0" w:after="240"/>
      <w:jc w:val="left"/>
    </w:pPr>
    <w:rPr>
      <w:rFonts w:ascii="Arial" w:hAnsi="Arial"/>
      <w:sz w:val="20"/>
      <w:szCs w:val="20"/>
    </w:rPr>
  </w:style>
  <w:style w:type="character" w:customStyle="1" w:styleId="CommentTextChar">
    <w:name w:val="Comment Text Char"/>
    <w:aliases w:val="- H19 Char,Comment Text Char1 Char Char,Comment Text Char Char Char Char,Comment Text Char Char Char1"/>
    <w:basedOn w:val="DefaultParagraphFont"/>
    <w:link w:val="CommentText"/>
    <w:rsid w:val="00F164BF"/>
    <w:rPr>
      <w:rFonts w:ascii="Arial" w:hAnsi="Arial"/>
      <w:sz w:val="20"/>
      <w:szCs w:val="20"/>
    </w:rPr>
  </w:style>
  <w:style w:type="paragraph" w:customStyle="1" w:styleId="Default">
    <w:name w:val="Default"/>
    <w:rsid w:val="00830C71"/>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2">
    <w:name w:val="List Bullet 2"/>
    <w:basedOn w:val="Normal"/>
    <w:uiPriority w:val="16"/>
    <w:qFormat/>
    <w:rsid w:val="007F648B"/>
    <w:pPr>
      <w:numPr>
        <w:numId w:val="17"/>
      </w:numPr>
      <w:contextualSpacing/>
    </w:pPr>
  </w:style>
  <w:style w:type="paragraph" w:customStyle="1" w:styleId="ES-text">
    <w:name w:val="ES - text"/>
    <w:basedOn w:val="BodyText"/>
    <w:qFormat/>
    <w:rsid w:val="00FC2910"/>
    <w:pPr>
      <w:spacing w:before="0" w:after="0" w:line="276" w:lineRule="auto"/>
      <w:jc w:val="left"/>
    </w:pPr>
    <w:rPr>
      <w:rFonts w:ascii="Arial" w:eastAsia="Times New Roman" w:hAnsi="Arial" w:cs="Times New Roman"/>
      <w:sz w:val="20"/>
      <w:szCs w:val="24"/>
      <w:lang w:val="en-US"/>
    </w:rPr>
  </w:style>
  <w:style w:type="paragraph" w:styleId="BodyText">
    <w:name w:val="Body Text"/>
    <w:basedOn w:val="Normal"/>
    <w:link w:val="BodyTextChar"/>
    <w:unhideWhenUsed/>
    <w:qFormat/>
    <w:rsid w:val="00FC2910"/>
    <w:pPr>
      <w:spacing w:after="120"/>
    </w:pPr>
  </w:style>
  <w:style w:type="character" w:customStyle="1" w:styleId="BodyTextChar">
    <w:name w:val="Body Text Char"/>
    <w:basedOn w:val="DefaultParagraphFont"/>
    <w:link w:val="BodyText"/>
    <w:rsid w:val="00FC2910"/>
    <w:rPr>
      <w:sz w:val="24"/>
    </w:rPr>
  </w:style>
  <w:style w:type="paragraph" w:customStyle="1" w:styleId="Tabletext0">
    <w:name w:val="Table text"/>
    <w:basedOn w:val="Normal"/>
    <w:link w:val="TabletextChar0"/>
    <w:qFormat/>
    <w:rsid w:val="007E676C"/>
    <w:pPr>
      <w:spacing w:before="0" w:after="0"/>
      <w:jc w:val="left"/>
    </w:pPr>
    <w:rPr>
      <w:rFonts w:ascii="Arial Narrow" w:eastAsia="Times New Roman" w:hAnsi="Arial Narrow" w:cs="Times New Roman"/>
      <w:sz w:val="20"/>
    </w:rPr>
  </w:style>
  <w:style w:type="character" w:customStyle="1" w:styleId="TabletextChar0">
    <w:name w:val="Table text Char"/>
    <w:link w:val="Tabletext0"/>
    <w:rsid w:val="007E676C"/>
    <w:rPr>
      <w:rFonts w:ascii="Arial Narrow" w:eastAsia="Times New Roman" w:hAnsi="Arial Narrow" w:cs="Times New Roman"/>
      <w:sz w:val="20"/>
    </w:rPr>
  </w:style>
  <w:style w:type="character" w:customStyle="1" w:styleId="UnresolvedMention1">
    <w:name w:val="Unresolved Mention1"/>
    <w:basedOn w:val="DefaultParagraphFont"/>
    <w:uiPriority w:val="99"/>
    <w:semiHidden/>
    <w:unhideWhenUsed/>
    <w:rsid w:val="00267BED"/>
    <w:rPr>
      <w:color w:val="605E5C"/>
      <w:shd w:val="clear" w:color="auto" w:fill="E1DFDD"/>
    </w:rPr>
  </w:style>
  <w:style w:type="table" w:customStyle="1" w:styleId="MSDTableGrid2">
    <w:name w:val="MSD Table Grid2"/>
    <w:basedOn w:val="TableNormal"/>
    <w:uiPriority w:val="59"/>
    <w:rsid w:val="007B1B91"/>
    <w:pPr>
      <w:spacing w:after="120" w:line="360" w:lineRule="auto"/>
      <w:ind w:right="57"/>
    </w:pPr>
    <w:rPr>
      <w:rFonts w:ascii="Arial" w:hAnsi="Arial"/>
      <w:sz w:val="20"/>
      <w:szCs w:val="20"/>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paragraph" w:styleId="ListBullet3">
    <w:name w:val="List Bullet 3"/>
    <w:basedOn w:val="Normal"/>
    <w:uiPriority w:val="16"/>
    <w:unhideWhenUsed/>
    <w:qFormat/>
    <w:rsid w:val="00351DC3"/>
    <w:pPr>
      <w:spacing w:before="0" w:after="240" w:line="360" w:lineRule="auto"/>
      <w:ind w:left="1077" w:hanging="357"/>
      <w:contextualSpacing/>
      <w:jc w:val="left"/>
    </w:pPr>
    <w:rPr>
      <w:rFonts w:ascii="Arial" w:hAnsi="Arial"/>
      <w:sz w:val="20"/>
      <w:szCs w:val="20"/>
    </w:rPr>
  </w:style>
  <w:style w:type="character" w:styleId="PlaceholderText">
    <w:name w:val="Placeholder Text"/>
    <w:basedOn w:val="DefaultParagraphFont"/>
    <w:uiPriority w:val="99"/>
    <w:semiHidden/>
    <w:rsid w:val="00351DC3"/>
    <w:rPr>
      <w:color w:val="808080"/>
    </w:rPr>
  </w:style>
  <w:style w:type="paragraph" w:customStyle="1" w:styleId="Source">
    <w:name w:val="Source"/>
    <w:basedOn w:val="Normal"/>
    <w:uiPriority w:val="35"/>
    <w:qFormat/>
    <w:rsid w:val="00351DC3"/>
    <w:pPr>
      <w:tabs>
        <w:tab w:val="left" w:pos="284"/>
      </w:tabs>
      <w:spacing w:before="60" w:after="240" w:line="360" w:lineRule="auto"/>
      <w:contextualSpacing/>
      <w:jc w:val="left"/>
    </w:pPr>
    <w:rPr>
      <w:rFonts w:ascii="Arial" w:hAnsi="Arial"/>
      <w:sz w:val="18"/>
      <w:szCs w:val="20"/>
    </w:rPr>
  </w:style>
  <w:style w:type="table" w:customStyle="1" w:styleId="ExecSummTable">
    <w:name w:val="Exec Summ Table"/>
    <w:basedOn w:val="TableNormal"/>
    <w:uiPriority w:val="99"/>
    <w:rsid w:val="00351DC3"/>
    <w:pPr>
      <w:spacing w:after="80" w:line="360" w:lineRule="auto"/>
      <w:ind w:left="57" w:right="57"/>
    </w:pPr>
    <w:rPr>
      <w:rFonts w:ascii="Arial" w:hAnsi="Arial"/>
      <w:sz w:val="18"/>
      <w:szCs w:val="20"/>
      <w:lang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paragraph" w:customStyle="1" w:styleId="TableBodyCentered-H52">
    <w:name w:val="Table Body Centered - H52"/>
    <w:basedOn w:val="Normal"/>
    <w:qFormat/>
    <w:rsid w:val="00351DC3"/>
    <w:pPr>
      <w:keepLines/>
      <w:widowControl w:val="0"/>
      <w:spacing w:before="40" w:after="40"/>
      <w:jc w:val="center"/>
    </w:pPr>
    <w:rPr>
      <w:rFonts w:ascii="Calibri" w:eastAsia="Times New Roman" w:hAnsi="Calibri" w:cs="Times New Roman"/>
      <w:color w:val="000000" w:themeColor="text1"/>
      <w:sz w:val="18"/>
      <w:szCs w:val="20"/>
      <w:lang w:val="en-US"/>
    </w:rPr>
  </w:style>
  <w:style w:type="paragraph" w:customStyle="1" w:styleId="2-SectionHeading">
    <w:name w:val="2-Section Heading"/>
    <w:qFormat/>
    <w:rsid w:val="00351DC3"/>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351DC3"/>
    <w:pPr>
      <w:spacing w:before="0" w:after="120"/>
      <w:ind w:left="720" w:hanging="720"/>
    </w:pPr>
    <w:rPr>
      <w:rFonts w:eastAsia="Times New Roman" w:cs="Arial"/>
      <w:snapToGrid w:val="0"/>
      <w:color w:val="auto"/>
      <w:szCs w:val="24"/>
      <w:lang w:eastAsia="en-AU"/>
    </w:rPr>
  </w:style>
  <w:style w:type="paragraph" w:customStyle="1" w:styleId="5-SubsectionSubheading">
    <w:name w:val="5-Subsection Subheading"/>
    <w:basedOn w:val="Heading3"/>
    <w:next w:val="3-BodyText"/>
    <w:link w:val="5-SubsectionSubheadingChar"/>
    <w:qFormat/>
    <w:rsid w:val="00351DC3"/>
    <w:pPr>
      <w:numPr>
        <w:ilvl w:val="0"/>
        <w:numId w:val="0"/>
      </w:numPr>
      <w:spacing w:before="160"/>
    </w:pPr>
    <w:rPr>
      <w:color w:val="000000" w:themeColor="text1"/>
      <w:sz w:val="24"/>
      <w:szCs w:val="24"/>
      <w:lang w:eastAsia="en-AU"/>
    </w:rPr>
  </w:style>
  <w:style w:type="character" w:customStyle="1" w:styleId="5-SubsectionSubheadingChar">
    <w:name w:val="5-Subsection Subheading Char"/>
    <w:basedOn w:val="DefaultParagraphFont"/>
    <w:link w:val="5-SubsectionSubheading"/>
    <w:rsid w:val="00351DC3"/>
    <w:rPr>
      <w:rFonts w:eastAsiaTheme="majorEastAsia" w:cstheme="majorBidi"/>
      <w:b/>
      <w:color w:val="000000" w:themeColor="text1"/>
      <w:sz w:val="24"/>
      <w:szCs w:val="24"/>
      <w:lang w:eastAsia="en-AU"/>
    </w:rPr>
  </w:style>
  <w:style w:type="character" w:customStyle="1" w:styleId="3-BodyTextChar">
    <w:name w:val="3-Body Text Char"/>
    <w:basedOn w:val="DefaultParagraphFont"/>
    <w:link w:val="3-BodyText"/>
    <w:rsid w:val="00351DC3"/>
    <w:rPr>
      <w:rFonts w:eastAsia="Times New Roman" w:cs="Arial"/>
      <w:snapToGrid w:val="0"/>
      <w:sz w:val="24"/>
      <w:szCs w:val="24"/>
      <w:lang w:eastAsia="en-AU"/>
    </w:rPr>
  </w:style>
  <w:style w:type="paragraph" w:styleId="Index3">
    <w:name w:val="index 3"/>
    <w:basedOn w:val="Normal"/>
    <w:next w:val="Normal"/>
    <w:autoRedefine/>
    <w:uiPriority w:val="99"/>
    <w:semiHidden/>
    <w:unhideWhenUsed/>
    <w:rsid w:val="005D30D4"/>
    <w:pPr>
      <w:spacing w:before="0" w:after="0"/>
      <w:ind w:left="570" w:hanging="190"/>
      <w:jc w:val="left"/>
    </w:pPr>
    <w:rPr>
      <w:rFonts w:ascii="Arial" w:hAnsi="Arial"/>
      <w:sz w:val="20"/>
      <w:szCs w:val="20"/>
    </w:rPr>
  </w:style>
  <w:style w:type="paragraph" w:customStyle="1" w:styleId="TableHeading">
    <w:name w:val="Table Heading"/>
    <w:basedOn w:val="TableText"/>
    <w:qFormat/>
    <w:rsid w:val="00CA23A1"/>
    <w:pPr>
      <w:keepNext/>
      <w:keepLines/>
      <w:widowControl/>
      <w:spacing w:before="20" w:after="20" w:line="276" w:lineRule="auto"/>
      <w:jc w:val="both"/>
    </w:pPr>
    <w:rPr>
      <w:rFonts w:eastAsiaTheme="majorEastAsia" w:cs="Arial"/>
      <w:b/>
      <w:szCs w:val="20"/>
      <w:lang w:eastAsia="en-AU" w:bidi="en-US"/>
    </w:rPr>
  </w:style>
  <w:style w:type="table" w:styleId="GridTable2">
    <w:name w:val="Grid Table 2"/>
    <w:basedOn w:val="TableNormal"/>
    <w:uiPriority w:val="47"/>
    <w:rsid w:val="00CA23A1"/>
    <w:pPr>
      <w:spacing w:after="0" w:line="240" w:lineRule="auto"/>
    </w:pPr>
    <w:rPr>
      <w:rFonts w:ascii="Arial" w:hAnsi="Arial"/>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SDTable1">
    <w:name w:val="ASD Table1"/>
    <w:basedOn w:val="TableNormal"/>
    <w:next w:val="TableGrid"/>
    <w:uiPriority w:val="59"/>
    <w:rsid w:val="005A4301"/>
    <w:pPr>
      <w:spacing w:after="120" w:line="360" w:lineRule="auto"/>
      <w:ind w:right="57"/>
    </w:pPr>
    <w:rPr>
      <w:rFonts w:ascii="Arial" w:hAnsi="Arial"/>
      <w:sz w:val="20"/>
      <w:szCs w:val="20"/>
    </w:rPr>
    <w:tblPr>
      <w:tblBorders>
        <w:bottom w:val="single" w:sz="12" w:space="0" w:color="4472C4" w:themeColor="accent5"/>
        <w:insideH w:val="single" w:sz="4" w:space="0" w:color="4472C4" w:themeColor="accent5"/>
      </w:tblBorders>
      <w:tblCellMar>
        <w:left w:w="57" w:type="dxa"/>
        <w:right w:w="57" w:type="dxa"/>
      </w:tblCellMar>
    </w:tblPr>
    <w:tblStylePr w:type="firstRow">
      <w:pPr>
        <w:wordWrap/>
        <w:spacing w:line="276" w:lineRule="auto"/>
      </w:pPr>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tblPr/>
      <w:tcPr>
        <w:tcBorders>
          <w:top w:val="nil"/>
          <w:left w:val="nil"/>
          <w:bottom w:val="single" w:sz="12" w:space="0" w:color="4472C4" w:themeColor="accent5"/>
          <w:right w:val="nil"/>
          <w:insideH w:val="nil"/>
          <w:insideV w:val="nil"/>
          <w:tl2br w:val="nil"/>
          <w:tr2bl w:val="nil"/>
        </w:tcBorders>
      </w:tcPr>
    </w:tblStylePr>
    <w:tblStylePr w:type="firstCol">
      <w:rPr>
        <w:b/>
      </w:rPr>
    </w:tblStylePr>
  </w:style>
  <w:style w:type="paragraph" w:customStyle="1" w:styleId="Bulletlevel2">
    <w:name w:val="Bullet level 2"/>
    <w:basedOn w:val="ListParagraph"/>
    <w:qFormat/>
    <w:rsid w:val="008867B1"/>
    <w:pPr>
      <w:autoSpaceDE w:val="0"/>
      <w:autoSpaceDN w:val="0"/>
      <w:adjustRightInd w:val="0"/>
      <w:spacing w:before="0" w:after="240" w:line="276" w:lineRule="auto"/>
      <w:ind w:left="1260" w:hanging="360"/>
    </w:pPr>
    <w:rPr>
      <w:rFonts w:ascii="Times New Roman" w:eastAsia="Times New Roman" w:hAnsi="Times New Roman" w:cs="Times New Roman"/>
      <w:color w:val="auto"/>
      <w:szCs w:val="24"/>
      <w:lang w:val="en-US"/>
    </w:rPr>
  </w:style>
  <w:style w:type="table" w:styleId="LightGrid-Accent5">
    <w:name w:val="Light Grid Accent 5"/>
    <w:basedOn w:val="TableNormal"/>
    <w:uiPriority w:val="62"/>
    <w:rsid w:val="00BF78C3"/>
    <w:pPr>
      <w:spacing w:after="0" w:line="240" w:lineRule="auto"/>
    </w:pPr>
    <w:rPr>
      <w:rFonts w:ascii="Arial" w:hAnsi="Arial"/>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2">
    <w:name w:val="Light Grid Accent 2"/>
    <w:basedOn w:val="TableNormal"/>
    <w:uiPriority w:val="62"/>
    <w:rsid w:val="00BF78C3"/>
    <w:pPr>
      <w:spacing w:after="0" w:line="240" w:lineRule="auto"/>
    </w:pPr>
    <w:rPr>
      <w:rFonts w:ascii="Arial" w:hAnsi="Arial"/>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6">
    <w:name w:val="Light Grid Accent 6"/>
    <w:basedOn w:val="TableNormal"/>
    <w:uiPriority w:val="62"/>
    <w:rsid w:val="00BF78C3"/>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ES-bullets">
    <w:name w:val="ES - bullets"/>
    <w:basedOn w:val="ES-text"/>
    <w:qFormat/>
    <w:rsid w:val="00BF78C3"/>
    <w:pPr>
      <w:numPr>
        <w:numId w:val="18"/>
      </w:numPr>
      <w:tabs>
        <w:tab w:val="num" w:pos="360"/>
      </w:tabs>
      <w:spacing w:before="60" w:after="60"/>
      <w:ind w:left="284" w:hanging="284"/>
    </w:pPr>
  </w:style>
  <w:style w:type="table" w:customStyle="1" w:styleId="ExecSummTable1">
    <w:name w:val="Exec Summ Table1"/>
    <w:basedOn w:val="TableNormal"/>
    <w:uiPriority w:val="99"/>
    <w:rsid w:val="00BF78C3"/>
    <w:pPr>
      <w:spacing w:after="80" w:line="360" w:lineRule="auto"/>
      <w:ind w:left="57" w:right="57"/>
    </w:pPr>
    <w:rPr>
      <w:rFonts w:ascii="Arial" w:hAnsi="Arial"/>
      <w:sz w:val="18"/>
      <w:szCs w:val="20"/>
      <w:lang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MSDTableGrid3">
    <w:name w:val="MSD Table Grid3"/>
    <w:basedOn w:val="TableNormal"/>
    <w:next w:val="TableGrid"/>
    <w:uiPriority w:val="59"/>
    <w:rsid w:val="00BF78C3"/>
    <w:pPr>
      <w:spacing w:after="120" w:line="360" w:lineRule="auto"/>
      <w:ind w:right="57"/>
    </w:pPr>
    <w:rPr>
      <w:rFonts w:ascii="Arial" w:hAnsi="Arial"/>
      <w:sz w:val="20"/>
      <w:szCs w:val="20"/>
    </w:rPr>
    <w:tblPr>
      <w:tblBorders>
        <w:bottom w:val="single" w:sz="12" w:space="0" w:color="4472C4" w:themeColor="accent5"/>
        <w:insideH w:val="single" w:sz="4" w:space="0" w:color="4472C4" w:themeColor="accent5"/>
      </w:tblBorders>
      <w:tblCellMar>
        <w:left w:w="57" w:type="dxa"/>
        <w:right w:w="57" w:type="dxa"/>
      </w:tblCellMar>
    </w:tblPr>
    <w:tblStylePr w:type="firstRow">
      <w:pPr>
        <w:wordWrap/>
        <w:spacing w:line="276" w:lineRule="auto"/>
      </w:pPr>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tblPr/>
      <w:tcPr>
        <w:tcBorders>
          <w:top w:val="nil"/>
          <w:left w:val="nil"/>
          <w:bottom w:val="single" w:sz="12" w:space="0" w:color="4472C4" w:themeColor="accent5"/>
          <w:right w:val="nil"/>
          <w:insideH w:val="nil"/>
          <w:insideV w:val="nil"/>
          <w:tl2br w:val="nil"/>
          <w:tr2bl w:val="nil"/>
        </w:tcBorders>
      </w:tcPr>
    </w:tblStylePr>
    <w:tblStylePr w:type="firstCol">
      <w:rPr>
        <w:b/>
      </w:rPr>
    </w:tblStylePr>
  </w:style>
  <w:style w:type="table" w:customStyle="1" w:styleId="ExecSummTable15">
    <w:name w:val="Exec Summ Table15"/>
    <w:basedOn w:val="TableNormal"/>
    <w:uiPriority w:val="99"/>
    <w:rsid w:val="00BF78C3"/>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ExecSummTable16">
    <w:name w:val="Exec Summ Table16"/>
    <w:basedOn w:val="TableNormal"/>
    <w:uiPriority w:val="99"/>
    <w:rsid w:val="00BF78C3"/>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ExecSummTable17">
    <w:name w:val="Exec Summ Table17"/>
    <w:basedOn w:val="TableNormal"/>
    <w:uiPriority w:val="99"/>
    <w:rsid w:val="00BF78C3"/>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MSDTableGrid15">
    <w:name w:val="MSD Table Grid15"/>
    <w:basedOn w:val="TableNormal"/>
    <w:next w:val="TableGrid"/>
    <w:uiPriority w:val="59"/>
    <w:rsid w:val="00D7609F"/>
    <w:pPr>
      <w:spacing w:after="120" w:line="360" w:lineRule="auto"/>
      <w:ind w:right="57"/>
    </w:pPr>
    <w:rPr>
      <w:rFonts w:ascii="Arial" w:hAnsi="Arial"/>
      <w:sz w:val="20"/>
      <w:szCs w:val="20"/>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ExecSummTable14">
    <w:name w:val="Exec Summ Table14"/>
    <w:basedOn w:val="TableNormal"/>
    <w:uiPriority w:val="99"/>
    <w:rsid w:val="0028538F"/>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paragraph" w:customStyle="1" w:styleId="PBACHeading1">
    <w:name w:val="PBAC Heading 1"/>
    <w:qFormat/>
    <w:rsid w:val="00E12DA7"/>
    <w:pPr>
      <w:spacing w:after="0" w:line="240" w:lineRule="auto"/>
      <w:ind w:left="720" w:hanging="720"/>
      <w:outlineLvl w:val="0"/>
    </w:pPr>
    <w:rPr>
      <w:rFonts w:ascii="Calibri" w:eastAsia="Times New Roman" w:hAnsi="Calibri" w:cs="Calibri"/>
      <w:b/>
      <w:snapToGrid w:val="0"/>
      <w:sz w:val="32"/>
      <w:szCs w:val="32"/>
    </w:rPr>
  </w:style>
  <w:style w:type="paragraph" w:styleId="Subtitle">
    <w:name w:val="Subtitle"/>
    <w:basedOn w:val="Normal"/>
    <w:link w:val="SubtitleChar"/>
    <w:qFormat/>
    <w:rsid w:val="00CB2F1F"/>
    <w:pPr>
      <w:spacing w:before="0" w:after="0"/>
    </w:pPr>
    <w:rPr>
      <w:rFonts w:ascii="Times New Roman" w:eastAsia="Times New Roman" w:hAnsi="Times New Roman" w:cs="Times New Roman"/>
      <w:b/>
      <w:szCs w:val="20"/>
      <w:lang w:eastAsia="en-AU"/>
    </w:rPr>
  </w:style>
  <w:style w:type="character" w:customStyle="1" w:styleId="SubtitleChar">
    <w:name w:val="Subtitle Char"/>
    <w:basedOn w:val="DefaultParagraphFont"/>
    <w:link w:val="Subtitle"/>
    <w:rsid w:val="00CB2F1F"/>
    <w:rPr>
      <w:rFonts w:ascii="Times New Roman" w:eastAsia="Times New Roman" w:hAnsi="Times New Roman" w:cs="Times New Roman"/>
      <w:b/>
      <w:sz w:val="24"/>
      <w:szCs w:val="20"/>
      <w:lang w:eastAsia="en-AU"/>
    </w:rPr>
  </w:style>
  <w:style w:type="numbering" w:customStyle="1" w:styleId="NoList1">
    <w:name w:val="No List1"/>
    <w:next w:val="NoList"/>
    <w:uiPriority w:val="99"/>
    <w:semiHidden/>
    <w:unhideWhenUsed/>
    <w:rsid w:val="00250FA5"/>
  </w:style>
  <w:style w:type="paragraph" w:customStyle="1" w:styleId="Table">
    <w:name w:val="Table"/>
    <w:basedOn w:val="Normal"/>
    <w:link w:val="TableChar"/>
    <w:qFormat/>
    <w:rsid w:val="00250FA5"/>
    <w:pPr>
      <w:spacing w:before="0" w:after="0"/>
      <w:jc w:val="left"/>
    </w:pPr>
    <w:rPr>
      <w:rFonts w:ascii="Candara" w:eastAsia="Times New Roman" w:hAnsi="Candara" w:cs="Times New Roman"/>
      <w:sz w:val="20"/>
      <w:lang w:bidi="en-US"/>
    </w:rPr>
  </w:style>
  <w:style w:type="character" w:customStyle="1" w:styleId="TableChar">
    <w:name w:val="Table Char"/>
    <w:basedOn w:val="DefaultParagraphFont"/>
    <w:link w:val="Table"/>
    <w:locked/>
    <w:rsid w:val="00250FA5"/>
    <w:rPr>
      <w:rFonts w:ascii="Candara" w:eastAsia="Times New Roman" w:hAnsi="Candara" w:cs="Times New Roman"/>
      <w:sz w:val="20"/>
      <w:lang w:bidi="en-US"/>
    </w:rPr>
  </w:style>
  <w:style w:type="paragraph" w:customStyle="1" w:styleId="TableCentre">
    <w:name w:val="Table Centre"/>
    <w:basedOn w:val="Table"/>
    <w:uiPriority w:val="99"/>
    <w:qFormat/>
    <w:rsid w:val="00250FA5"/>
    <w:pPr>
      <w:jc w:val="center"/>
    </w:pPr>
  </w:style>
  <w:style w:type="table" w:customStyle="1" w:styleId="TableGridbeth1">
    <w:name w:val="Table Gridbeth1"/>
    <w:basedOn w:val="TableNormal"/>
    <w:next w:val="TableGrid"/>
    <w:uiPriority w:val="59"/>
    <w:rsid w:val="0025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link w:val="TabletextboldChar"/>
    <w:rsid w:val="00250FA5"/>
    <w:pPr>
      <w:keepNext/>
      <w:spacing w:before="0" w:after="0"/>
      <w:jc w:val="center"/>
    </w:pPr>
    <w:rPr>
      <w:rFonts w:ascii="Arial Narrow" w:eastAsia="Times New Roman" w:hAnsi="Arial Narrow" w:cs="Arial"/>
      <w:b/>
      <w:sz w:val="20"/>
      <w:szCs w:val="20"/>
    </w:rPr>
  </w:style>
  <w:style w:type="character" w:customStyle="1" w:styleId="TabletextboldChar">
    <w:name w:val="Table text bold Char"/>
    <w:basedOn w:val="DefaultParagraphFont"/>
    <w:link w:val="Tabletextbold"/>
    <w:rsid w:val="00250FA5"/>
    <w:rPr>
      <w:rFonts w:ascii="Arial Narrow" w:eastAsia="Times New Roman" w:hAnsi="Arial Narrow" w:cs="Arial"/>
      <w:b/>
      <w:sz w:val="20"/>
      <w:szCs w:val="20"/>
    </w:rPr>
  </w:style>
  <w:style w:type="character" w:customStyle="1" w:styleId="ESHeading2Char">
    <w:name w:val="ES Heading 2 Char"/>
    <w:basedOn w:val="Heading2Char"/>
    <w:link w:val="ESHeading2"/>
    <w:rsid w:val="00250FA5"/>
    <w:rPr>
      <w:rFonts w:asciiTheme="majorHAnsi" w:eastAsiaTheme="majorEastAsia" w:hAnsiTheme="majorHAnsi" w:cstheme="majorBidi"/>
      <w:b/>
      <w:i/>
      <w:snapToGrid w:val="0"/>
      <w:sz w:val="28"/>
      <w:szCs w:val="28"/>
    </w:rPr>
  </w:style>
  <w:style w:type="table" w:customStyle="1" w:styleId="Submissiontemplate2">
    <w:name w:val="Submission template2"/>
    <w:basedOn w:val="TableNormal"/>
    <w:uiPriority w:val="99"/>
    <w:rsid w:val="00250FA5"/>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textboldleft">
    <w:name w:val="Table text bold left"/>
    <w:basedOn w:val="Tabletextbold"/>
    <w:link w:val="TabletextboldleftChar"/>
    <w:qFormat/>
    <w:rsid w:val="00250FA5"/>
    <w:pPr>
      <w:jc w:val="left"/>
    </w:pPr>
  </w:style>
  <w:style w:type="character" w:customStyle="1" w:styleId="TabletextboldleftChar">
    <w:name w:val="Table text bold left Char"/>
    <w:basedOn w:val="TabletextboldChar"/>
    <w:link w:val="Tabletextboldleft"/>
    <w:rsid w:val="00250FA5"/>
    <w:rPr>
      <w:rFonts w:ascii="Arial Narrow" w:eastAsia="Times New Roman" w:hAnsi="Arial Narrow" w:cs="Arial"/>
      <w:b/>
      <w:sz w:val="20"/>
      <w:szCs w:val="20"/>
    </w:rPr>
  </w:style>
  <w:style w:type="table" w:customStyle="1" w:styleId="Submissiontemplate7">
    <w:name w:val="Submission template7"/>
    <w:basedOn w:val="TableNormal"/>
    <w:uiPriority w:val="99"/>
    <w:rsid w:val="00250FA5"/>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caption">
    <w:name w:val="Table caption"/>
    <w:basedOn w:val="Normal"/>
    <w:link w:val="TablecaptionChar"/>
    <w:qFormat/>
    <w:rsid w:val="00250FA5"/>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250FA5"/>
    <w:rPr>
      <w:rFonts w:ascii="Arial Narrow" w:eastAsia="Times New Roman" w:hAnsi="Arial Narrow" w:cs="Arial"/>
      <w:sz w:val="20"/>
      <w:szCs w:val="20"/>
    </w:rPr>
  </w:style>
  <w:style w:type="paragraph" w:customStyle="1" w:styleId="Tabletextcentred">
    <w:name w:val="Table text centred"/>
    <w:basedOn w:val="Tabletext0"/>
    <w:link w:val="TabletextcentredChar"/>
    <w:qFormat/>
    <w:rsid w:val="00250FA5"/>
    <w:pPr>
      <w:spacing w:before="40" w:after="40"/>
      <w:jc w:val="center"/>
    </w:pPr>
    <w:rPr>
      <w:szCs w:val="24"/>
    </w:rPr>
  </w:style>
  <w:style w:type="character" w:customStyle="1" w:styleId="TabletextcentredChar">
    <w:name w:val="Table text centred Char"/>
    <w:basedOn w:val="TabletextChar0"/>
    <w:link w:val="Tabletextcentred"/>
    <w:rsid w:val="00250FA5"/>
    <w:rPr>
      <w:rFonts w:ascii="Arial Narrow" w:eastAsia="Times New Roman" w:hAnsi="Arial Narrow" w:cs="Times New Roman"/>
      <w:sz w:val="20"/>
      <w:szCs w:val="24"/>
    </w:rPr>
  </w:style>
  <w:style w:type="character" w:customStyle="1" w:styleId="TableBold">
    <w:name w:val="Table Bold"/>
    <w:uiPriority w:val="4"/>
    <w:qFormat/>
    <w:rsid w:val="00250FA5"/>
    <w:rPr>
      <w:rFonts w:ascii="Calibri" w:hAnsi="Calibri" w:hint="default"/>
      <w:b/>
      <w:bCs w:val="0"/>
      <w:sz w:val="20"/>
      <w:lang w:val="en-AU"/>
    </w:rPr>
  </w:style>
  <w:style w:type="table" w:customStyle="1" w:styleId="TableGrid12">
    <w:name w:val="Table Grid12"/>
    <w:basedOn w:val="TableNormal"/>
    <w:next w:val="TableGrid"/>
    <w:uiPriority w:val="59"/>
    <w:rsid w:val="00250FA5"/>
    <w:pPr>
      <w:spacing w:after="0" w:line="240" w:lineRule="auto"/>
    </w:pPr>
    <w:rPr>
      <w:rFonts w:ascii="Candara" w:eastAsia="Times New Roman" w:hAnsi="Candara" w:cs="Times New Roman"/>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tyle2Char">
    <w:name w:val="Style2 Char"/>
    <w:basedOn w:val="DefaultParagraphFont"/>
    <w:rsid w:val="00250FA5"/>
    <w:rPr>
      <w:rFonts w:ascii="Arial" w:eastAsia="Times New Roman" w:hAnsi="Arial" w:cs="Arial"/>
      <w:color w:val="3366FF"/>
      <w:szCs w:val="24"/>
      <w:lang w:eastAsia="en-AU"/>
    </w:rPr>
  </w:style>
  <w:style w:type="paragraph" w:customStyle="1" w:styleId="NormalBulletList">
    <w:name w:val="Normal Bullet List"/>
    <w:basedOn w:val="Normal"/>
    <w:uiPriority w:val="3"/>
    <w:qFormat/>
    <w:rsid w:val="00250FA5"/>
    <w:pPr>
      <w:numPr>
        <w:numId w:val="27"/>
      </w:numPr>
      <w:spacing w:before="0" w:after="240" w:line="276" w:lineRule="auto"/>
      <w:ind w:left="717"/>
      <w:contextualSpacing/>
    </w:pPr>
    <w:rPr>
      <w:rFonts w:ascii="Candara" w:eastAsia="Times New Roman" w:hAnsi="Candara" w:cs="Times New Roman"/>
      <w:lang w:bidi="en-US"/>
    </w:rPr>
  </w:style>
  <w:style w:type="paragraph" w:styleId="EndnoteText">
    <w:name w:val="endnote text"/>
    <w:basedOn w:val="Normal"/>
    <w:link w:val="EndnoteTextChar"/>
    <w:rsid w:val="00250FA5"/>
    <w:pPr>
      <w:widowControl w:val="0"/>
      <w:spacing w:before="0" w:after="0"/>
      <w:jc w:val="left"/>
    </w:pPr>
    <w:rPr>
      <w:rFonts w:ascii="Times New Roman" w:eastAsia="Times New Roman" w:hAnsi="Times New Roman" w:cs="Times New Roman"/>
      <w:snapToGrid w:val="0"/>
      <w:sz w:val="20"/>
      <w:szCs w:val="20"/>
      <w:lang w:val="en-US"/>
    </w:rPr>
  </w:style>
  <w:style w:type="character" w:customStyle="1" w:styleId="EndnoteTextChar">
    <w:name w:val="Endnote Text Char"/>
    <w:basedOn w:val="DefaultParagraphFont"/>
    <w:link w:val="EndnoteText"/>
    <w:rsid w:val="00250FA5"/>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rsid w:val="00250FA5"/>
    <w:rPr>
      <w:vertAlign w:val="superscript"/>
    </w:rPr>
  </w:style>
  <w:style w:type="character" w:customStyle="1" w:styleId="SmallBold">
    <w:name w:val="Small Bold"/>
    <w:basedOn w:val="DefaultParagraphFont"/>
    <w:uiPriority w:val="4"/>
    <w:qFormat/>
    <w:rsid w:val="00250FA5"/>
    <w:rPr>
      <w:rFonts w:ascii="Candara" w:hAnsi="Candara"/>
      <w:b/>
      <w:sz w:val="20"/>
      <w:lang w:val="en-AU"/>
    </w:rPr>
  </w:style>
  <w:style w:type="table" w:customStyle="1" w:styleId="Submissiontemplate">
    <w:name w:val="Submission template"/>
    <w:basedOn w:val="TableNormal"/>
    <w:uiPriority w:val="99"/>
    <w:rsid w:val="00250FA5"/>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Heading0">
    <w:name w:val="TableHeading"/>
    <w:basedOn w:val="Normal"/>
    <w:link w:val="TableHeadingChar"/>
    <w:qFormat/>
    <w:rsid w:val="00250FA5"/>
    <w:pPr>
      <w:keepNext/>
      <w:spacing w:before="40" w:after="40"/>
      <w:ind w:left="1134" w:hanging="1134"/>
    </w:pPr>
    <w:rPr>
      <w:rFonts w:ascii="Arial Narrow" w:eastAsia="Times New Roman" w:hAnsi="Arial Narrow" w:cs="Tahoma"/>
      <w:b/>
      <w:noProof/>
      <w:sz w:val="20"/>
      <w:szCs w:val="20"/>
      <w:lang w:eastAsia="en-AU"/>
    </w:rPr>
  </w:style>
  <w:style w:type="character" w:customStyle="1" w:styleId="TableHeadingChar">
    <w:name w:val="TableHeading Char"/>
    <w:link w:val="TableHeading0"/>
    <w:rsid w:val="00250FA5"/>
    <w:rPr>
      <w:rFonts w:ascii="Arial Narrow" w:eastAsia="Times New Roman" w:hAnsi="Arial Narrow" w:cs="Tahoma"/>
      <w:b/>
      <w:noProof/>
      <w:sz w:val="20"/>
      <w:szCs w:val="20"/>
      <w:lang w:eastAsia="en-AU"/>
    </w:rPr>
  </w:style>
  <w:style w:type="paragraph" w:customStyle="1" w:styleId="Tablenotes">
    <w:name w:val="Tablenotes"/>
    <w:basedOn w:val="Normal"/>
    <w:link w:val="TablenotesChar"/>
    <w:autoRedefine/>
    <w:qFormat/>
    <w:rsid w:val="00250FA5"/>
    <w:pPr>
      <w:widowControl w:val="0"/>
      <w:spacing w:before="60" w:after="120"/>
      <w:contextualSpacing/>
      <w:jc w:val="left"/>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50FA5"/>
    <w:rPr>
      <w:rFonts w:ascii="Arial Narrow" w:eastAsia="Times New Roman" w:hAnsi="Arial Narrow" w:cs="Arial"/>
      <w:snapToGrid w:val="0"/>
      <w:sz w:val="18"/>
      <w:szCs w:val="20"/>
    </w:rPr>
  </w:style>
  <w:style w:type="table" w:customStyle="1" w:styleId="TableGrid2">
    <w:name w:val="Table Grid2"/>
    <w:basedOn w:val="TableNormal"/>
    <w:next w:val="TableGrid"/>
    <w:rsid w:val="00250FA5"/>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val="0"/>
        <w:sz w:val="20"/>
      </w:rPr>
    </w:tblStylePr>
  </w:style>
  <w:style w:type="paragraph" w:customStyle="1" w:styleId="Tablenotes1">
    <w:name w:val="Tablenotes 1"/>
    <w:basedOn w:val="Normal"/>
    <w:link w:val="Tablenotes1Char"/>
    <w:qFormat/>
    <w:rsid w:val="00250FA5"/>
    <w:pPr>
      <w:widowControl w:val="0"/>
      <w:spacing w:before="0" w:after="240"/>
      <w:contextualSpacing/>
      <w:jc w:val="left"/>
    </w:pPr>
    <w:rPr>
      <w:rFonts w:ascii="Arial Narrow" w:eastAsia="Times New Roman" w:hAnsi="Arial Narrow" w:cs="Arial"/>
      <w:snapToGrid w:val="0"/>
      <w:sz w:val="18"/>
      <w:szCs w:val="20"/>
    </w:rPr>
  </w:style>
  <w:style w:type="character" w:customStyle="1" w:styleId="Tablenotes1Char">
    <w:name w:val="Tablenotes 1 Char"/>
    <w:basedOn w:val="DefaultParagraphFont"/>
    <w:link w:val="Tablenotes1"/>
    <w:rsid w:val="00250FA5"/>
    <w:rPr>
      <w:rFonts w:ascii="Arial Narrow" w:eastAsia="Times New Roman" w:hAnsi="Arial Narrow" w:cs="Arial"/>
      <w:snapToGrid w:val="0"/>
      <w:sz w:val="18"/>
      <w:szCs w:val="20"/>
    </w:rPr>
  </w:style>
  <w:style w:type="numbering" w:customStyle="1" w:styleId="Heading1a">
    <w:name w:val="Heading 1a"/>
    <w:basedOn w:val="NoList"/>
    <w:uiPriority w:val="99"/>
    <w:rsid w:val="00250FA5"/>
    <w:pPr>
      <w:numPr>
        <w:numId w:val="28"/>
      </w:numPr>
    </w:pPr>
  </w:style>
  <w:style w:type="paragraph" w:customStyle="1" w:styleId="Tabletext-left">
    <w:name w:val="Table text - left"/>
    <w:basedOn w:val="Normal"/>
    <w:link w:val="Tabletext-leftChar"/>
    <w:rsid w:val="00250FA5"/>
    <w:pPr>
      <w:keepNext/>
      <w:tabs>
        <w:tab w:val="left" w:pos="2835"/>
      </w:tabs>
      <w:spacing w:after="120" w:line="312" w:lineRule="auto"/>
    </w:pPr>
    <w:rPr>
      <w:rFonts w:eastAsia="Times New Roman" w:cs="Arial"/>
      <w:sz w:val="20"/>
      <w:szCs w:val="20"/>
    </w:rPr>
  </w:style>
  <w:style w:type="character" w:customStyle="1" w:styleId="Tabletext-leftChar">
    <w:name w:val="Table text - left Char"/>
    <w:basedOn w:val="DefaultParagraphFont"/>
    <w:link w:val="Tabletext-left"/>
    <w:rsid w:val="00250FA5"/>
    <w:rPr>
      <w:rFonts w:eastAsia="Times New Roman" w:cs="Arial"/>
      <w:sz w:val="20"/>
      <w:szCs w:val="20"/>
    </w:rPr>
  </w:style>
  <w:style w:type="table" w:customStyle="1" w:styleId="TableGrid9">
    <w:name w:val="Table Grid9"/>
    <w:basedOn w:val="TableNormal"/>
    <w:next w:val="TableGrid"/>
    <w:uiPriority w:val="39"/>
    <w:rsid w:val="00250F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1">
    <w:name w:val="PBAC table1"/>
    <w:basedOn w:val="TableNormal"/>
    <w:next w:val="TableGrid"/>
    <w:uiPriority w:val="39"/>
    <w:rsid w:val="00250FA5"/>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2">
    <w:name w:val="PBAC table2"/>
    <w:basedOn w:val="TableNormal"/>
    <w:next w:val="TableGrid"/>
    <w:uiPriority w:val="39"/>
    <w:rsid w:val="00250FA5"/>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UnresolvedMention2">
    <w:name w:val="Unresolved Mention2"/>
    <w:basedOn w:val="DefaultParagraphFont"/>
    <w:uiPriority w:val="99"/>
    <w:semiHidden/>
    <w:unhideWhenUsed/>
    <w:rsid w:val="00250FA5"/>
    <w:rPr>
      <w:color w:val="605E5C"/>
      <w:shd w:val="clear" w:color="auto" w:fill="E1DFDD"/>
    </w:rPr>
  </w:style>
  <w:style w:type="table" w:customStyle="1" w:styleId="PBACtable3">
    <w:name w:val="PBAC table3"/>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4">
    <w:name w:val="PBAC table4"/>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5">
    <w:name w:val="PBAC table5"/>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6">
    <w:name w:val="PBAC table6"/>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7">
    <w:name w:val="PBAC table7"/>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ASDTable11">
    <w:name w:val="ASD Table11"/>
    <w:basedOn w:val="TableNormal"/>
    <w:uiPriority w:val="59"/>
    <w:rsid w:val="00250FA5"/>
    <w:pPr>
      <w:spacing w:after="120" w:line="360" w:lineRule="auto"/>
      <w:ind w:right="57"/>
    </w:pPr>
    <w:rPr>
      <w:rFonts w:ascii="Arial" w:eastAsia="Calibri" w:hAnsi="Arial" w:cs="Arial"/>
      <w:sz w:val="20"/>
      <w:szCs w:val="20"/>
    </w:rPr>
    <w:tblPr>
      <w:tblInd w:w="0" w:type="nil"/>
      <w:tblBorders>
        <w:bottom w:val="single" w:sz="12" w:space="0" w:color="4472C4"/>
        <w:insideH w:val="single" w:sz="4" w:space="0" w:color="4472C4"/>
      </w:tblBorders>
      <w:tblCellMar>
        <w:left w:w="57" w:type="dxa"/>
        <w:right w:w="57" w:type="dxa"/>
      </w:tblCellMar>
    </w:tblPr>
    <w:tblStylePr w:type="firstRow">
      <w:pPr>
        <w:wordWrap/>
        <w:spacing w:line="276" w:lineRule="auto"/>
      </w:pPr>
      <w:rPr>
        <w:b/>
      </w:rPr>
      <w:tblPr/>
      <w:tcPr>
        <w:tcBorders>
          <w:top w:val="single" w:sz="12" w:space="0" w:color="4472C4"/>
          <w:left w:val="nil"/>
          <w:bottom w:val="single" w:sz="12" w:space="0" w:color="4472C4"/>
          <w:right w:val="nil"/>
          <w:insideH w:val="nil"/>
          <w:insideV w:val="nil"/>
          <w:tl2br w:val="nil"/>
          <w:tr2bl w:val="nil"/>
        </w:tcBorders>
      </w:tcPr>
    </w:tblStylePr>
    <w:tblStylePr w:type="lastRow">
      <w:tblPr/>
      <w:tcPr>
        <w:tcBorders>
          <w:top w:val="nil"/>
          <w:left w:val="nil"/>
          <w:bottom w:val="single" w:sz="12" w:space="0" w:color="4472C4"/>
          <w:right w:val="nil"/>
          <w:insideH w:val="nil"/>
          <w:insideV w:val="nil"/>
          <w:tl2br w:val="nil"/>
          <w:tr2bl w:val="nil"/>
        </w:tcBorders>
      </w:tcPr>
    </w:tblStylePr>
    <w:tblStylePr w:type="firstCol">
      <w:rPr>
        <w:b/>
      </w:rPr>
    </w:tblStylePr>
  </w:style>
  <w:style w:type="table" w:customStyle="1" w:styleId="PBACtable8">
    <w:name w:val="PBAC table8"/>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ExecSummTable151">
    <w:name w:val="Exec Summ Table151"/>
    <w:basedOn w:val="TableNormal"/>
    <w:uiPriority w:val="99"/>
    <w:rsid w:val="00250FA5"/>
    <w:pPr>
      <w:spacing w:after="80" w:line="360" w:lineRule="auto"/>
      <w:ind w:left="57" w:right="57"/>
    </w:pPr>
    <w:rPr>
      <w:rFonts w:ascii="Arial" w:eastAsia="Calibri" w:hAnsi="Arial" w:cs="Arial"/>
      <w:sz w:val="18"/>
      <w:szCs w:val="20"/>
      <w:lang w:val="en-NZ" w:bidi="th-TH"/>
    </w:rPr>
    <w:tblPr>
      <w:tblStyleRowBandSize w:val="1"/>
      <w:tblInd w:w="0" w:type="nil"/>
      <w:tblBorders>
        <w:top w:val="single" w:sz="12" w:space="0" w:color="4472C4"/>
      </w:tblBorders>
      <w:tblCellMar>
        <w:left w:w="57" w:type="dxa"/>
        <w:right w:w="57" w:type="dxa"/>
      </w:tblCellMar>
    </w:tblPr>
    <w:tblStylePr w:type="firstRow">
      <w:pPr>
        <w:wordWrap/>
        <w:spacing w:line="276" w:lineRule="auto"/>
      </w:pPr>
      <w:rPr>
        <w:b/>
      </w:rPr>
      <w:tblPr/>
      <w:tcPr>
        <w:tcBorders>
          <w:top w:val="single" w:sz="12" w:space="0" w:color="4472C4"/>
          <w:left w:val="nil"/>
          <w:bottom w:val="single" w:sz="12" w:space="0" w:color="4472C4"/>
          <w:right w:val="nil"/>
          <w:insideH w:val="nil"/>
          <w:insideV w:val="nil"/>
          <w:tl2br w:val="nil"/>
          <w:tr2bl w:val="nil"/>
        </w:tcBorders>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table" w:customStyle="1" w:styleId="PBACtable9">
    <w:name w:val="PBAC table9"/>
    <w:basedOn w:val="TableNormal"/>
    <w:next w:val="TableGrid"/>
    <w:uiPriority w:val="39"/>
    <w:rsid w:val="00250FA5"/>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0">
    <w:name w:val="Table Grid1"/>
    <w:basedOn w:val="TableNormal"/>
    <w:next w:val="TableGrid"/>
    <w:uiPriority w:val="39"/>
    <w:rsid w:val="008D0AD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DD3D4A"/>
    <w:pPr>
      <w:keepLines w:val="0"/>
      <w:numPr>
        <w:ilvl w:val="0"/>
        <w:numId w:val="0"/>
      </w:numPr>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DD3D4A"/>
    <w:rPr>
      <w:rFonts w:ascii="Arial" w:eastAsiaTheme="majorEastAsia" w:hAnsi="Arial" w:cstheme="majorBidi"/>
      <w:b/>
      <w:i/>
      <w:snapToGrid/>
      <w:spacing w:val="5"/>
      <w:kern w:val="28"/>
      <w:sz w:val="28"/>
      <w:szCs w:val="36"/>
    </w:rPr>
  </w:style>
  <w:style w:type="character" w:customStyle="1" w:styleId="null1">
    <w:name w:val="null1"/>
    <w:basedOn w:val="DefaultParagraphFont"/>
    <w:rsid w:val="003F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88626238">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4000299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98320893">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37061799">
      <w:bodyDiv w:val="1"/>
      <w:marLeft w:val="0"/>
      <w:marRight w:val="0"/>
      <w:marTop w:val="0"/>
      <w:marBottom w:val="0"/>
      <w:divBdr>
        <w:top w:val="none" w:sz="0" w:space="0" w:color="auto"/>
        <w:left w:val="none" w:sz="0" w:space="0" w:color="auto"/>
        <w:bottom w:val="none" w:sz="0" w:space="0" w:color="auto"/>
        <w:right w:val="none" w:sz="0" w:space="0" w:color="auto"/>
      </w:divBdr>
    </w:div>
    <w:div w:id="271985522">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95836796">
      <w:bodyDiv w:val="1"/>
      <w:marLeft w:val="0"/>
      <w:marRight w:val="0"/>
      <w:marTop w:val="0"/>
      <w:marBottom w:val="0"/>
      <w:divBdr>
        <w:top w:val="none" w:sz="0" w:space="0" w:color="auto"/>
        <w:left w:val="none" w:sz="0" w:space="0" w:color="auto"/>
        <w:bottom w:val="none" w:sz="0" w:space="0" w:color="auto"/>
        <w:right w:val="none" w:sz="0" w:space="0" w:color="auto"/>
      </w:divBdr>
    </w:div>
    <w:div w:id="314334326">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18991865">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3451981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57601157">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758">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99819136">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25492">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20388139">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18708210">
      <w:bodyDiv w:val="1"/>
      <w:marLeft w:val="0"/>
      <w:marRight w:val="0"/>
      <w:marTop w:val="0"/>
      <w:marBottom w:val="0"/>
      <w:divBdr>
        <w:top w:val="none" w:sz="0" w:space="0" w:color="auto"/>
        <w:left w:val="none" w:sz="0" w:space="0" w:color="auto"/>
        <w:bottom w:val="none" w:sz="0" w:space="0" w:color="auto"/>
        <w:right w:val="none" w:sz="0" w:space="0" w:color="auto"/>
      </w:divBdr>
    </w:div>
    <w:div w:id="950748992">
      <w:bodyDiv w:val="1"/>
      <w:marLeft w:val="0"/>
      <w:marRight w:val="0"/>
      <w:marTop w:val="0"/>
      <w:marBottom w:val="0"/>
      <w:divBdr>
        <w:top w:val="none" w:sz="0" w:space="0" w:color="auto"/>
        <w:left w:val="none" w:sz="0" w:space="0" w:color="auto"/>
        <w:bottom w:val="none" w:sz="0" w:space="0" w:color="auto"/>
        <w:right w:val="none" w:sz="0" w:space="0" w:color="auto"/>
      </w:divBdr>
    </w:div>
    <w:div w:id="953443954">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4674">
      <w:bodyDiv w:val="1"/>
      <w:marLeft w:val="0"/>
      <w:marRight w:val="0"/>
      <w:marTop w:val="0"/>
      <w:marBottom w:val="0"/>
      <w:divBdr>
        <w:top w:val="none" w:sz="0" w:space="0" w:color="auto"/>
        <w:left w:val="none" w:sz="0" w:space="0" w:color="auto"/>
        <w:bottom w:val="none" w:sz="0" w:space="0" w:color="auto"/>
        <w:right w:val="none" w:sz="0" w:space="0" w:color="auto"/>
      </w:divBdr>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220">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19322911">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487937943">
      <w:bodyDiv w:val="1"/>
      <w:marLeft w:val="0"/>
      <w:marRight w:val="0"/>
      <w:marTop w:val="0"/>
      <w:marBottom w:val="0"/>
      <w:divBdr>
        <w:top w:val="none" w:sz="0" w:space="0" w:color="auto"/>
        <w:left w:val="none" w:sz="0" w:space="0" w:color="auto"/>
        <w:bottom w:val="none" w:sz="0" w:space="0" w:color="auto"/>
        <w:right w:val="none" w:sz="0" w:space="0" w:color="auto"/>
      </w:divBdr>
    </w:div>
    <w:div w:id="1521626153">
      <w:bodyDiv w:val="1"/>
      <w:marLeft w:val="0"/>
      <w:marRight w:val="0"/>
      <w:marTop w:val="0"/>
      <w:marBottom w:val="0"/>
      <w:divBdr>
        <w:top w:val="none" w:sz="0" w:space="0" w:color="auto"/>
        <w:left w:val="none" w:sz="0" w:space="0" w:color="auto"/>
        <w:bottom w:val="none" w:sz="0" w:space="0" w:color="auto"/>
        <w:right w:val="none" w:sz="0" w:space="0" w:color="auto"/>
      </w:divBdr>
    </w:div>
    <w:div w:id="1547109666">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52101682">
      <w:bodyDiv w:val="1"/>
      <w:marLeft w:val="0"/>
      <w:marRight w:val="0"/>
      <w:marTop w:val="0"/>
      <w:marBottom w:val="0"/>
      <w:divBdr>
        <w:top w:val="none" w:sz="0" w:space="0" w:color="auto"/>
        <w:left w:val="none" w:sz="0" w:space="0" w:color="auto"/>
        <w:bottom w:val="none" w:sz="0" w:space="0" w:color="auto"/>
        <w:right w:val="none" w:sz="0" w:space="0" w:color="auto"/>
      </w:divBdr>
    </w:div>
    <w:div w:id="1682705072">
      <w:bodyDiv w:val="1"/>
      <w:marLeft w:val="0"/>
      <w:marRight w:val="0"/>
      <w:marTop w:val="0"/>
      <w:marBottom w:val="0"/>
      <w:divBdr>
        <w:top w:val="none" w:sz="0" w:space="0" w:color="auto"/>
        <w:left w:val="none" w:sz="0" w:space="0" w:color="auto"/>
        <w:bottom w:val="none" w:sz="0" w:space="0" w:color="auto"/>
        <w:right w:val="none" w:sz="0" w:space="0" w:color="auto"/>
      </w:divBdr>
    </w:div>
    <w:div w:id="1684168333">
      <w:bodyDiv w:val="1"/>
      <w:marLeft w:val="0"/>
      <w:marRight w:val="0"/>
      <w:marTop w:val="0"/>
      <w:marBottom w:val="0"/>
      <w:divBdr>
        <w:top w:val="none" w:sz="0" w:space="0" w:color="auto"/>
        <w:left w:val="none" w:sz="0" w:space="0" w:color="auto"/>
        <w:bottom w:val="none" w:sz="0" w:space="0" w:color="auto"/>
        <w:right w:val="none" w:sz="0" w:space="0" w:color="auto"/>
      </w:divBdr>
    </w:div>
    <w:div w:id="1685747360">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0157814">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15125199">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7456">
      <w:bodyDiv w:val="1"/>
      <w:marLeft w:val="0"/>
      <w:marRight w:val="0"/>
      <w:marTop w:val="0"/>
      <w:marBottom w:val="0"/>
      <w:divBdr>
        <w:top w:val="none" w:sz="0" w:space="0" w:color="auto"/>
        <w:left w:val="none" w:sz="0" w:space="0" w:color="auto"/>
        <w:bottom w:val="none" w:sz="0" w:space="0" w:color="auto"/>
        <w:right w:val="none" w:sz="0" w:space="0" w:color="auto"/>
      </w:divBdr>
    </w:div>
    <w:div w:id="2035302096">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8622427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2048596">
      <w:bodyDiv w:val="1"/>
      <w:marLeft w:val="0"/>
      <w:marRight w:val="0"/>
      <w:marTop w:val="0"/>
      <w:marBottom w:val="0"/>
      <w:divBdr>
        <w:top w:val="none" w:sz="0" w:space="0" w:color="auto"/>
        <w:left w:val="none" w:sz="0" w:space="0" w:color="auto"/>
        <w:bottom w:val="none" w:sz="0" w:space="0" w:color="auto"/>
        <w:right w:val="none" w:sz="0" w:space="0" w:color="auto"/>
      </w:divBdr>
    </w:div>
    <w:div w:id="2139715810">
      <w:bodyDiv w:val="1"/>
      <w:marLeft w:val="0"/>
      <w:marRight w:val="0"/>
      <w:marTop w:val="0"/>
      <w:marBottom w:val="0"/>
      <w:divBdr>
        <w:top w:val="none" w:sz="0" w:space="0" w:color="auto"/>
        <w:left w:val="none" w:sz="0" w:space="0" w:color="auto"/>
        <w:bottom w:val="none" w:sz="0" w:space="0" w:color="auto"/>
        <w:right w:val="none" w:sz="0" w:space="0" w:color="auto"/>
      </w:divBdr>
    </w:div>
    <w:div w:id="21462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lcf76f155ced4ddcb4097134ff3c332f xmlns="7ea72d31-b391-468a-afa4-2af449538c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2E266AD69594FAC52E7A8B8B76707" ma:contentTypeVersion="15" ma:contentTypeDescription="Create a new document." ma:contentTypeScope="" ma:versionID="d03e0fd902f28130d3d0bc04afa33b03">
  <xsd:schema xmlns:xsd="http://www.w3.org/2001/XMLSchema" xmlns:xs="http://www.w3.org/2001/XMLSchema" xmlns:p="http://schemas.microsoft.com/office/2006/metadata/properties" xmlns:ns2="7ea72d31-b391-468a-afa4-2af449538c2c" xmlns:ns3="5e6c165d-1334-4e3d-ac4c-cda196070297" targetNamespace="http://schemas.microsoft.com/office/2006/metadata/properties" ma:root="true" ma:fieldsID="9691af79c1e045c08487a8eb477df6da" ns2:_="" ns3:_="">
    <xsd:import namespace="7ea72d31-b391-468a-afa4-2af449538c2c"/>
    <xsd:import namespace="5e6c165d-1334-4e3d-ac4c-cda196070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2d31-b391-468a-afa4-2af449538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7B18-0381-4CCE-B101-4F85E6B15D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6c165d-1334-4e3d-ac4c-cda196070297"/>
    <ds:schemaRef ds:uri="7ea72d31-b391-468a-afa4-2af449538c2c"/>
    <ds:schemaRef ds:uri="http://www.w3.org/XML/1998/namespace"/>
    <ds:schemaRef ds:uri="http://purl.org/dc/dcmitype/"/>
  </ds:schemaRefs>
</ds:datastoreItem>
</file>

<file path=customXml/itemProps2.xml><?xml version="1.0" encoding="utf-8"?>
<ds:datastoreItem xmlns:ds="http://schemas.openxmlformats.org/officeDocument/2006/customXml" ds:itemID="{B7D7C858-BBBF-4F20-8815-F97C05F7FC88}">
  <ds:schemaRefs>
    <ds:schemaRef ds:uri="http://schemas.microsoft.com/sharepoint/v3/contenttype/forms"/>
  </ds:schemaRefs>
</ds:datastoreItem>
</file>

<file path=customXml/itemProps3.xml><?xml version="1.0" encoding="utf-8"?>
<ds:datastoreItem xmlns:ds="http://schemas.openxmlformats.org/officeDocument/2006/customXml" ds:itemID="{4D3A2142-A721-4AC4-A705-E9615246F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2d31-b391-468a-afa4-2af449538c2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F3431-7CB3-4D7C-827C-FFB614C2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23785</Words>
  <Characters>135577</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2022-05-27T04:24:00Z</dcterms:created>
  <dcterms:modified xsi:type="dcterms:W3CDTF">2022-06-24T01:04:00Z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0x0101000A12E266AD69594FAC52E7A8B8B76707</vt:lpwstr>
  </property>
  <property fmtid="{D5CDD505-2E9C-101B-9397-08002B2CF9AE}" pid="3" name="_AdHocReviewCycleID">
    <vt:i4>445039320</vt:i4>
  </property>
  <property fmtid="{D5CDD505-2E9C-101B-9397-08002B2CF9AE}" pid="4" name="_NewReviewCycle">
    <vt:lpwstr/>
  </property>
  <property fmtid="{D5CDD505-2E9C-101B-9397-08002B2CF9AE}" pid="5" name="MSIP_Label_e81acc0d-dcc4-4dc9-a2c5-be70b05a2fe6_Enabled">
    <vt:lpwstr>true</vt:lpwstr>
  </property>
  <property fmtid="{D5CDD505-2E9C-101B-9397-08002B2CF9AE}" pid="6" name="MSIP_Label_e81acc0d-dcc4-4dc9-a2c5-be70b05a2fe6_SetDate">
    <vt:lpwstr>2022-05-26T04:28:01Z</vt:lpwstr>
  </property>
  <property fmtid="{D5CDD505-2E9C-101B-9397-08002B2CF9AE}" pid="7" name="MSIP_Label_e81acc0d-dcc4-4dc9-a2c5-be70b05a2fe6_Method">
    <vt:lpwstr>Privileged</vt:lpwstr>
  </property>
  <property fmtid="{D5CDD505-2E9C-101B-9397-08002B2CF9AE}" pid="8" name="MSIP_Label_e81acc0d-dcc4-4dc9-a2c5-be70b05a2fe6_Name">
    <vt:lpwstr>e81acc0d-dcc4-4dc9-a2c5-be70b05a2fe6</vt:lpwstr>
  </property>
  <property fmtid="{D5CDD505-2E9C-101B-9397-08002B2CF9AE}" pid="9" name="MSIP_Label_e81acc0d-dcc4-4dc9-a2c5-be70b05a2fe6_SiteId">
    <vt:lpwstr>a00de4ec-48a8-43a6-be74-e31274e2060d</vt:lpwstr>
  </property>
  <property fmtid="{D5CDD505-2E9C-101B-9397-08002B2CF9AE}" pid="10" name="MSIP_Label_e81acc0d-dcc4-4dc9-a2c5-be70b05a2fe6_ActionId">
    <vt:lpwstr>ef8f622a-bdfc-464d-9efd-fc94358cee75</vt:lpwstr>
  </property>
  <property fmtid="{D5CDD505-2E9C-101B-9397-08002B2CF9AE}" pid="11" name="MSIP_Label_e81acc0d-dcc4-4dc9-a2c5-be70b05a2fe6_ContentBits">
    <vt:lpwstr>0</vt:lpwstr>
  </property>
  <property fmtid="{D5CDD505-2E9C-101B-9397-08002B2CF9AE}" pid="12" name="MerckAIPLabel">
    <vt:lpwstr>NotClassified</vt:lpwstr>
  </property>
  <property fmtid="{D5CDD505-2E9C-101B-9397-08002B2CF9AE}" pid="13" name="MerckAIPDataExchange">
    <vt:lpwstr>!MRKMIP@NotClassified</vt:lpwstr>
  </property>
  <property fmtid="{D5CDD505-2E9C-101B-9397-08002B2CF9AE}" pid="14" name="_PreviousAdHocReviewCycleID">
    <vt:i4>-1011831274</vt:i4>
  </property>
  <property fmtid="{D5CDD505-2E9C-101B-9397-08002B2CF9AE}" pid="15" name="_ReviewingToolsShownOnce">
    <vt:lpwstr/>
  </property>
</Properties>
</file>