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6DE1CA41" w:rsidR="00B60939" w:rsidRPr="007B6175" w:rsidRDefault="00225D6B" w:rsidP="00F148DD">
      <w:pPr>
        <w:pStyle w:val="1-MainHeading"/>
        <w:ind w:left="1134" w:hanging="1134"/>
      </w:pPr>
      <w:r>
        <w:t>7.05</w:t>
      </w:r>
      <w:r w:rsidR="00163F66" w:rsidRPr="007B6175">
        <w:tab/>
      </w:r>
      <w:r w:rsidR="004144C0" w:rsidRPr="007B6175">
        <w:t>GALCANEZUMAB,</w:t>
      </w:r>
      <w:r w:rsidR="004144C0" w:rsidRPr="007B6175">
        <w:br/>
        <w:t>Injection 120 mg in 1 mL pre-filled pen,</w:t>
      </w:r>
      <w:r w:rsidR="004144C0" w:rsidRPr="007B6175">
        <w:br/>
      </w:r>
      <w:proofErr w:type="spellStart"/>
      <w:r w:rsidR="004144C0" w:rsidRPr="007B6175">
        <w:t>Emgality</w:t>
      </w:r>
      <w:proofErr w:type="spellEnd"/>
      <w:r w:rsidR="004144C0" w:rsidRPr="007B6175">
        <w:rPr>
          <w:rFonts w:cstheme="minorHAnsi"/>
        </w:rPr>
        <w:t>®</w:t>
      </w:r>
      <w:r w:rsidR="004144C0" w:rsidRPr="007B6175">
        <w:t>,</w:t>
      </w:r>
      <w:r w:rsidR="004144C0" w:rsidRPr="007B6175">
        <w:br/>
        <w:t>Eli Lilly Australia Pty Ltd</w:t>
      </w:r>
      <w:r w:rsidR="00B60939" w:rsidRPr="007B6175">
        <w:t>.</w:t>
      </w:r>
    </w:p>
    <w:p w14:paraId="11C00795" w14:textId="7F6D09A8" w:rsidR="00B50DB8" w:rsidRPr="007B6175" w:rsidRDefault="00B50DB8" w:rsidP="004A6040">
      <w:pPr>
        <w:pStyle w:val="2-SectionHeading"/>
      </w:pPr>
      <w:bookmarkStart w:id="0" w:name="_Toc93419731"/>
      <w:bookmarkStart w:id="1" w:name="_Toc93484665"/>
      <w:r w:rsidRPr="007B6175">
        <w:t xml:space="preserve">Purpose of </w:t>
      </w:r>
      <w:r w:rsidR="00CD7193" w:rsidRPr="007B6175">
        <w:t>s</w:t>
      </w:r>
      <w:r w:rsidR="00BB3A45" w:rsidRPr="007B6175">
        <w:t>ubmission</w:t>
      </w:r>
      <w:bookmarkEnd w:id="0"/>
      <w:bookmarkEnd w:id="1"/>
    </w:p>
    <w:p w14:paraId="215A472B" w14:textId="4A9A9535" w:rsidR="00A53C1D" w:rsidRPr="007B6175" w:rsidRDefault="005B305B" w:rsidP="00340E3E">
      <w:pPr>
        <w:pStyle w:val="ExecSumBodyText"/>
      </w:pPr>
      <w:r w:rsidRPr="007B6175">
        <w:t>The</w:t>
      </w:r>
      <w:r w:rsidR="00CC11B4">
        <w:t xml:space="preserve"> </w:t>
      </w:r>
      <w:r w:rsidR="008E7BB0">
        <w:t xml:space="preserve">standard re-entry </w:t>
      </w:r>
      <w:r w:rsidRPr="007B6175">
        <w:t xml:space="preserve">submission requested an </w:t>
      </w:r>
      <w:r w:rsidR="00BC5D8B">
        <w:t xml:space="preserve">amendment to the current </w:t>
      </w:r>
      <w:proofErr w:type="spellStart"/>
      <w:r w:rsidR="00BC5D8B">
        <w:t>galcanezumab</w:t>
      </w:r>
      <w:proofErr w:type="spellEnd"/>
      <w:r w:rsidR="00BC5D8B">
        <w:t xml:space="preserve"> </w:t>
      </w:r>
      <w:r w:rsidR="008002AC">
        <w:t xml:space="preserve">chronic </w:t>
      </w:r>
      <w:r w:rsidR="00BC5D8B">
        <w:t xml:space="preserve">migraine listing to include patients with </w:t>
      </w:r>
      <w:r w:rsidRPr="007B6175">
        <w:t xml:space="preserve">high frequency episodic migraine </w:t>
      </w:r>
      <w:r w:rsidR="0063672A">
        <w:t>(</w:t>
      </w:r>
      <w:r w:rsidR="0063672A" w:rsidRPr="0063672A">
        <w:t>defined as 8 to &lt;15 migraine headache days per month with &lt;15 headache days</w:t>
      </w:r>
      <w:r w:rsidR="0063672A">
        <w:t xml:space="preserve">) </w:t>
      </w:r>
      <w:r w:rsidRPr="007B6175">
        <w:t>who have an inadequate response, intolerance, or a contraindication to at least three prophylactic migraine medications.</w:t>
      </w:r>
    </w:p>
    <w:p w14:paraId="3718DE61" w14:textId="275B01AD" w:rsidR="008B1757" w:rsidRPr="007B6175" w:rsidRDefault="005B305B" w:rsidP="00340E3E">
      <w:pPr>
        <w:pStyle w:val="ExecSumBodyText"/>
      </w:pPr>
      <w:r w:rsidRPr="007B6175">
        <w:t xml:space="preserve">The listing was requested </w:t>
      </w:r>
      <w:proofErr w:type="gramStart"/>
      <w:r w:rsidRPr="007B6175">
        <w:t>on the basis of</w:t>
      </w:r>
      <w:proofErr w:type="gramEnd"/>
      <w:r w:rsidRPr="007B6175">
        <w:t xml:space="preserve"> a cost-utility analysis versus placebo/best supportive care. The key components of the clinical issue addressed in the </w:t>
      </w:r>
      <w:r w:rsidR="001A201A" w:rsidRPr="007B6175">
        <w:t>re</w:t>
      </w:r>
      <w:r w:rsidRPr="007B6175">
        <w:t xml:space="preserve">submission are presented in </w:t>
      </w:r>
      <w:r w:rsidR="001831E7" w:rsidRPr="007B6175">
        <w:t>the table below</w:t>
      </w:r>
      <w:r w:rsidRPr="007B6175">
        <w:t>.</w:t>
      </w:r>
    </w:p>
    <w:p w14:paraId="1CDCEFDE" w14:textId="25A07ECA" w:rsidR="002913ED" w:rsidRPr="007B6175" w:rsidRDefault="002913ED" w:rsidP="002913ED">
      <w:pPr>
        <w:pStyle w:val="TableFigureCaption"/>
      </w:pPr>
      <w:r w:rsidRPr="007B6175">
        <w:t xml:space="preserve">Table </w:t>
      </w:r>
      <w:r>
        <w:fldChar w:fldCharType="begin"/>
      </w:r>
      <w:r>
        <w:instrText>SEQ Table \* ARABIC</w:instrText>
      </w:r>
      <w:r>
        <w:fldChar w:fldCharType="separate"/>
      </w:r>
      <w:r w:rsidR="00046698">
        <w:rPr>
          <w:noProof/>
        </w:rPr>
        <w:t>1</w:t>
      </w:r>
      <w:r>
        <w:fldChar w:fldCharType="end"/>
      </w:r>
      <w:r w:rsidRPr="007B6175">
        <w:t>: Key components of the clinical issue addressed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1A201A" w:rsidRPr="007B6175" w14:paraId="620D0941" w14:textId="77777777" w:rsidTr="00F75DE5">
        <w:tc>
          <w:tcPr>
            <w:tcW w:w="1668" w:type="dxa"/>
            <w:vAlign w:val="center"/>
          </w:tcPr>
          <w:p w14:paraId="4289B547" w14:textId="77777777" w:rsidR="001A201A" w:rsidRPr="007B6175" w:rsidRDefault="001A201A" w:rsidP="00F75DE5">
            <w:pPr>
              <w:pStyle w:val="Tableheadingrow"/>
              <w:rPr>
                <w:lang w:val="en-AU"/>
              </w:rPr>
            </w:pPr>
            <w:r w:rsidRPr="007B6175">
              <w:rPr>
                <w:lang w:val="en-AU"/>
              </w:rPr>
              <w:t>Component</w:t>
            </w:r>
          </w:p>
        </w:tc>
        <w:tc>
          <w:tcPr>
            <w:tcW w:w="7488" w:type="dxa"/>
            <w:vAlign w:val="center"/>
          </w:tcPr>
          <w:p w14:paraId="37FC386A" w14:textId="77777777" w:rsidR="001A201A" w:rsidRPr="007B6175" w:rsidRDefault="001A201A" w:rsidP="00F75DE5">
            <w:pPr>
              <w:pStyle w:val="Tableheadingrow"/>
              <w:rPr>
                <w:lang w:val="en-AU"/>
              </w:rPr>
            </w:pPr>
            <w:r w:rsidRPr="007B6175">
              <w:rPr>
                <w:lang w:val="en-AU"/>
              </w:rPr>
              <w:t>Description</w:t>
            </w:r>
          </w:p>
        </w:tc>
      </w:tr>
      <w:tr w:rsidR="001A201A" w:rsidRPr="007B6175" w14:paraId="0190CB55" w14:textId="77777777" w:rsidTr="00F75DE5">
        <w:tc>
          <w:tcPr>
            <w:tcW w:w="1668" w:type="dxa"/>
            <w:vAlign w:val="center"/>
          </w:tcPr>
          <w:p w14:paraId="2928FF25" w14:textId="77777777" w:rsidR="001A201A" w:rsidRPr="007B6175" w:rsidRDefault="001A201A" w:rsidP="00F75DE5">
            <w:pPr>
              <w:pStyle w:val="TableText"/>
            </w:pPr>
            <w:r w:rsidRPr="007B6175">
              <w:t>Population</w:t>
            </w:r>
          </w:p>
        </w:tc>
        <w:tc>
          <w:tcPr>
            <w:tcW w:w="7488" w:type="dxa"/>
            <w:vAlign w:val="center"/>
          </w:tcPr>
          <w:p w14:paraId="24D103F0" w14:textId="77777777" w:rsidR="001A201A" w:rsidRPr="007B6175" w:rsidRDefault="001A201A" w:rsidP="00F75DE5">
            <w:pPr>
              <w:pStyle w:val="TableText"/>
            </w:pPr>
            <w:r w:rsidRPr="007B6175">
              <w:t xml:space="preserve">Adult patients with </w:t>
            </w:r>
            <w:r w:rsidRPr="007B6175">
              <w:rPr>
                <w:u w:val="single"/>
              </w:rPr>
              <w:t>high frequency episodic migraine, defined as 8 to &lt;15 migraine headache days per month with &lt;15 headache days per month</w:t>
            </w:r>
            <w:r w:rsidRPr="007B6175">
              <w:t xml:space="preserve">, who have an inadequate response, </w:t>
            </w:r>
            <w:proofErr w:type="gramStart"/>
            <w:r w:rsidRPr="007B6175">
              <w:t>intolerance</w:t>
            </w:r>
            <w:proofErr w:type="gramEnd"/>
            <w:r w:rsidRPr="007B6175">
              <w:t xml:space="preserve"> or a contraindication to at least three prior prophylactic migraine medications.</w:t>
            </w:r>
          </w:p>
        </w:tc>
      </w:tr>
      <w:tr w:rsidR="001A201A" w:rsidRPr="007B6175" w14:paraId="35E04994" w14:textId="77777777" w:rsidTr="00F75DE5">
        <w:tc>
          <w:tcPr>
            <w:tcW w:w="1668" w:type="dxa"/>
            <w:vAlign w:val="center"/>
          </w:tcPr>
          <w:p w14:paraId="2AD537C0" w14:textId="77777777" w:rsidR="001A201A" w:rsidRPr="007B6175" w:rsidRDefault="001A201A" w:rsidP="00F75DE5">
            <w:pPr>
              <w:pStyle w:val="TableText"/>
            </w:pPr>
            <w:r w:rsidRPr="007B6175">
              <w:t>Intervention</w:t>
            </w:r>
          </w:p>
        </w:tc>
        <w:tc>
          <w:tcPr>
            <w:tcW w:w="7488" w:type="dxa"/>
            <w:vAlign w:val="center"/>
          </w:tcPr>
          <w:p w14:paraId="50C8793F" w14:textId="77777777" w:rsidR="001A201A" w:rsidRPr="007B6175" w:rsidRDefault="001A201A" w:rsidP="00F75DE5">
            <w:pPr>
              <w:pStyle w:val="TableText"/>
            </w:pPr>
            <w:proofErr w:type="spellStart"/>
            <w:r w:rsidRPr="007B6175">
              <w:t>Galcanezumab</w:t>
            </w:r>
            <w:proofErr w:type="spellEnd"/>
            <w:r w:rsidRPr="007B6175">
              <w:t xml:space="preserve"> 120 mg injected subcutaneously once monthly, with a 240 mg loading dose as the initial dose.</w:t>
            </w:r>
          </w:p>
        </w:tc>
      </w:tr>
      <w:tr w:rsidR="001A201A" w:rsidRPr="007B6175" w14:paraId="7C7C31EA" w14:textId="77777777" w:rsidTr="00F75DE5">
        <w:tc>
          <w:tcPr>
            <w:tcW w:w="1668" w:type="dxa"/>
            <w:vAlign w:val="center"/>
          </w:tcPr>
          <w:p w14:paraId="78739345" w14:textId="77777777" w:rsidR="001A201A" w:rsidRPr="007B6175" w:rsidRDefault="001A201A" w:rsidP="00F75DE5">
            <w:pPr>
              <w:pStyle w:val="TableText"/>
            </w:pPr>
            <w:r w:rsidRPr="007B6175">
              <w:t>Comparator</w:t>
            </w:r>
          </w:p>
        </w:tc>
        <w:tc>
          <w:tcPr>
            <w:tcW w:w="7488" w:type="dxa"/>
            <w:vAlign w:val="center"/>
          </w:tcPr>
          <w:p w14:paraId="04E5BC79" w14:textId="77777777" w:rsidR="001A201A" w:rsidRPr="007B6175" w:rsidRDefault="001A201A" w:rsidP="00F75DE5">
            <w:pPr>
              <w:pStyle w:val="TableText"/>
            </w:pPr>
            <w:r w:rsidRPr="007B6175">
              <w:t xml:space="preserve">Best supportive care </w:t>
            </w:r>
          </w:p>
        </w:tc>
      </w:tr>
      <w:tr w:rsidR="001A201A" w:rsidRPr="007B6175" w14:paraId="56D0471E" w14:textId="77777777" w:rsidTr="00F75DE5">
        <w:tc>
          <w:tcPr>
            <w:tcW w:w="1668" w:type="dxa"/>
            <w:vAlign w:val="center"/>
          </w:tcPr>
          <w:p w14:paraId="4393D48B" w14:textId="77777777" w:rsidR="001A201A" w:rsidRPr="007B6175" w:rsidRDefault="001A201A" w:rsidP="00F75DE5">
            <w:pPr>
              <w:pStyle w:val="TableText"/>
            </w:pPr>
            <w:r w:rsidRPr="007B6175">
              <w:t>Outcomes</w:t>
            </w:r>
          </w:p>
        </w:tc>
        <w:tc>
          <w:tcPr>
            <w:tcW w:w="7488" w:type="dxa"/>
            <w:vAlign w:val="center"/>
          </w:tcPr>
          <w:p w14:paraId="194DC020" w14:textId="77777777" w:rsidR="001A201A" w:rsidRPr="007B6175" w:rsidRDefault="001A201A" w:rsidP="00F75DE5">
            <w:pPr>
              <w:pStyle w:val="TableText"/>
            </w:pPr>
            <w:r w:rsidRPr="007B6175">
              <w:t>Reduction in number of migraine headache days, proportion of patients achieving 50% reduction in monthly migraine headache days, monthly headache days, quality of life.</w:t>
            </w:r>
          </w:p>
        </w:tc>
      </w:tr>
      <w:tr w:rsidR="001A201A" w:rsidRPr="007B6175" w14:paraId="54DE4CCE" w14:textId="77777777" w:rsidTr="00F75DE5">
        <w:tc>
          <w:tcPr>
            <w:tcW w:w="1668" w:type="dxa"/>
            <w:vAlign w:val="center"/>
          </w:tcPr>
          <w:p w14:paraId="0F452C48" w14:textId="77777777" w:rsidR="001A201A" w:rsidRPr="007B6175" w:rsidRDefault="001A201A" w:rsidP="00F75DE5">
            <w:pPr>
              <w:pStyle w:val="TableText"/>
            </w:pPr>
            <w:r w:rsidRPr="007B6175">
              <w:t>Clinical claim</w:t>
            </w:r>
          </w:p>
        </w:tc>
        <w:tc>
          <w:tcPr>
            <w:tcW w:w="7488" w:type="dxa"/>
            <w:vAlign w:val="center"/>
          </w:tcPr>
          <w:p w14:paraId="6BC08C96" w14:textId="77777777" w:rsidR="001A201A" w:rsidRPr="007B6175" w:rsidRDefault="001A201A" w:rsidP="00F75DE5">
            <w:pPr>
              <w:pStyle w:val="TableText"/>
            </w:pPr>
            <w:r w:rsidRPr="007B6175">
              <w:t xml:space="preserve">In patients with treatment-resistant </w:t>
            </w:r>
            <w:r w:rsidRPr="007B6175">
              <w:rPr>
                <w:u w:val="single"/>
              </w:rPr>
              <w:t xml:space="preserve">high frequency </w:t>
            </w:r>
            <w:r w:rsidRPr="00385F7B">
              <w:rPr>
                <w:u w:val="single"/>
              </w:rPr>
              <w:t>episodic migraine</w:t>
            </w:r>
            <w:r w:rsidRPr="007B6175">
              <w:t xml:space="preserve">, </w:t>
            </w:r>
            <w:proofErr w:type="spellStart"/>
            <w:r w:rsidRPr="007B6175">
              <w:t>galcanezumab</w:t>
            </w:r>
            <w:proofErr w:type="spellEnd"/>
            <w:r w:rsidRPr="007B6175">
              <w:t xml:space="preserve"> is superior to best supportive care in terms of efficacy and similar in terms of safety.</w:t>
            </w:r>
          </w:p>
        </w:tc>
      </w:tr>
    </w:tbl>
    <w:p w14:paraId="6F354D7B" w14:textId="6DDFD66E" w:rsidR="001A201A" w:rsidRPr="007B6175" w:rsidRDefault="001A201A" w:rsidP="001A201A">
      <w:pPr>
        <w:pStyle w:val="TableFigureFooter"/>
      </w:pPr>
      <w:r w:rsidRPr="007B6175">
        <w:t>Source: Table 1.2.1, p29 of the resubmission.</w:t>
      </w:r>
    </w:p>
    <w:p w14:paraId="3F3231EC" w14:textId="743A00D3" w:rsidR="0033302B" w:rsidRPr="007B6175" w:rsidRDefault="0033302B" w:rsidP="0033302B">
      <w:pPr>
        <w:pStyle w:val="TableFigureFooter"/>
      </w:pPr>
      <w:r w:rsidRPr="007B6175">
        <w:t>Underlined text indicates key changes from the November 2020 submission.</w:t>
      </w:r>
    </w:p>
    <w:p w14:paraId="6B4AB6C2" w14:textId="32D6BD9D" w:rsidR="005C25FF" w:rsidRPr="007B6175" w:rsidRDefault="005C25FF" w:rsidP="004A6040">
      <w:pPr>
        <w:pStyle w:val="2-SectionHeading"/>
      </w:pPr>
      <w:bookmarkStart w:id="2" w:name="_Toc93419732"/>
      <w:bookmarkStart w:id="3" w:name="_Toc93484666"/>
      <w:r w:rsidRPr="007B6175">
        <w:t>Background</w:t>
      </w:r>
      <w:bookmarkEnd w:id="2"/>
      <w:bookmarkEnd w:id="3"/>
    </w:p>
    <w:p w14:paraId="2C521D6D" w14:textId="54C6D0CF" w:rsidR="005C25FF" w:rsidRPr="007B6175" w:rsidRDefault="005C25FF" w:rsidP="004A6040">
      <w:pPr>
        <w:pStyle w:val="3-SubsectionHeading"/>
      </w:pPr>
      <w:bookmarkStart w:id="4" w:name="_Toc22897638"/>
      <w:bookmarkStart w:id="5" w:name="_Toc93419733"/>
      <w:bookmarkStart w:id="6" w:name="_Toc93484667"/>
      <w:r w:rsidRPr="007B6175">
        <w:t>Registration status</w:t>
      </w:r>
      <w:bookmarkEnd w:id="4"/>
      <w:bookmarkEnd w:id="5"/>
      <w:bookmarkEnd w:id="6"/>
    </w:p>
    <w:p w14:paraId="0E111F93" w14:textId="77777777" w:rsidR="001A201A" w:rsidRPr="007B6175" w:rsidRDefault="001A201A" w:rsidP="00340E3E">
      <w:pPr>
        <w:pStyle w:val="ExecSumBodyText"/>
      </w:pPr>
      <w:bookmarkStart w:id="7" w:name="_Toc22897639"/>
      <w:proofErr w:type="spellStart"/>
      <w:r w:rsidRPr="007B6175">
        <w:t>Galcanezumab</w:t>
      </w:r>
      <w:proofErr w:type="spellEnd"/>
      <w:r w:rsidRPr="007B6175">
        <w:t xml:space="preserve"> was registered by the TGA on 29 May 2019 for the prophylaxis of migraine in adults. </w:t>
      </w:r>
    </w:p>
    <w:p w14:paraId="3E2A6EAB" w14:textId="4FC61186" w:rsidR="005C25FF" w:rsidRPr="007B6175" w:rsidRDefault="005C25FF" w:rsidP="004E18E9">
      <w:pPr>
        <w:pStyle w:val="3-SubsectionHeading"/>
      </w:pPr>
      <w:bookmarkStart w:id="8" w:name="_Toc93419734"/>
      <w:bookmarkStart w:id="9" w:name="_Toc93484668"/>
      <w:r w:rsidRPr="007B6175">
        <w:t>Previous PBAC consideration</w:t>
      </w:r>
      <w:bookmarkEnd w:id="7"/>
      <w:bookmarkEnd w:id="8"/>
      <w:bookmarkEnd w:id="9"/>
    </w:p>
    <w:p w14:paraId="1155AF12" w14:textId="6249BA31" w:rsidR="00413EEF" w:rsidRPr="007B6175" w:rsidRDefault="00413EEF" w:rsidP="00340E3E">
      <w:pPr>
        <w:pStyle w:val="ExecSumBodyText"/>
      </w:pPr>
      <w:r w:rsidRPr="007B6175">
        <w:t xml:space="preserve">The matters of concern from the </w:t>
      </w:r>
      <w:r w:rsidR="003E69A7">
        <w:t xml:space="preserve">November </w:t>
      </w:r>
      <w:r w:rsidRPr="007B6175">
        <w:t xml:space="preserve">2020 PBAC meeting are summarised in </w:t>
      </w:r>
      <w:r w:rsidR="001831E7" w:rsidRPr="007B6175">
        <w:t>the table below</w:t>
      </w:r>
      <w:r w:rsidRPr="007B6175">
        <w:t>.</w:t>
      </w:r>
    </w:p>
    <w:p w14:paraId="159ED43F" w14:textId="0E04B7F2" w:rsidR="002913ED" w:rsidRPr="007B6175" w:rsidRDefault="002913ED" w:rsidP="00845E08">
      <w:pPr>
        <w:pStyle w:val="TableHeading"/>
      </w:pPr>
      <w:r w:rsidRPr="007B6175">
        <w:lastRenderedPageBreak/>
        <w:t xml:space="preserve">Table </w:t>
      </w:r>
      <w:r>
        <w:fldChar w:fldCharType="begin"/>
      </w:r>
      <w:r>
        <w:instrText>SEQ Table \* ARABIC</w:instrText>
      </w:r>
      <w:r>
        <w:fldChar w:fldCharType="separate"/>
      </w:r>
      <w:r w:rsidR="00046698">
        <w:rPr>
          <w:noProof/>
        </w:rPr>
        <w:t>2</w:t>
      </w:r>
      <w:r>
        <w:fldChar w:fldCharType="end"/>
      </w:r>
      <w:r w:rsidR="0071406C" w:rsidRPr="007B6175">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4597"/>
        <w:gridCol w:w="3125"/>
      </w:tblGrid>
      <w:tr w:rsidR="003E4415" w:rsidRPr="007B6175" w14:paraId="65FEA2BB" w14:textId="77777777" w:rsidTr="00857819">
        <w:trPr>
          <w:cantSplit/>
          <w:tblHeader/>
        </w:trPr>
        <w:tc>
          <w:tcPr>
            <w:tcW w:w="718" w:type="pct"/>
            <w:vAlign w:val="center"/>
          </w:tcPr>
          <w:p w14:paraId="16F48901" w14:textId="77777777" w:rsidR="003E4415" w:rsidRPr="007B6175" w:rsidRDefault="003E4415" w:rsidP="00845E08">
            <w:pPr>
              <w:pStyle w:val="Tableheadingrow"/>
              <w:rPr>
                <w:lang w:val="en-AU"/>
              </w:rPr>
            </w:pPr>
            <w:r w:rsidRPr="007B6175">
              <w:rPr>
                <w:lang w:val="en-AU"/>
              </w:rPr>
              <w:t>Component</w:t>
            </w:r>
          </w:p>
        </w:tc>
        <w:tc>
          <w:tcPr>
            <w:tcW w:w="2549" w:type="pct"/>
            <w:vAlign w:val="center"/>
          </w:tcPr>
          <w:p w14:paraId="3E38A5A8" w14:textId="77777777" w:rsidR="003E4415" w:rsidRPr="007B6175" w:rsidRDefault="003E4415" w:rsidP="00845E08">
            <w:pPr>
              <w:pStyle w:val="Tableheadingrow"/>
              <w:jc w:val="center"/>
              <w:rPr>
                <w:lang w:val="en-AU"/>
              </w:rPr>
            </w:pPr>
            <w:r w:rsidRPr="007B6175">
              <w:rPr>
                <w:lang w:val="en-AU"/>
              </w:rPr>
              <w:t>Matter of concern</w:t>
            </w:r>
          </w:p>
        </w:tc>
        <w:tc>
          <w:tcPr>
            <w:tcW w:w="1733" w:type="pct"/>
            <w:vAlign w:val="center"/>
          </w:tcPr>
          <w:p w14:paraId="1E380403" w14:textId="77777777" w:rsidR="003E4415" w:rsidRPr="007B6175" w:rsidRDefault="003E4415" w:rsidP="00845E08">
            <w:pPr>
              <w:pStyle w:val="Tableheadingrow"/>
              <w:jc w:val="center"/>
              <w:rPr>
                <w:lang w:val="en-AU"/>
              </w:rPr>
            </w:pPr>
            <w:r w:rsidRPr="007B6175">
              <w:rPr>
                <w:lang w:val="en-AU"/>
              </w:rPr>
              <w:t>How the resubmission addresses it</w:t>
            </w:r>
          </w:p>
        </w:tc>
      </w:tr>
      <w:tr w:rsidR="00BD5372" w:rsidRPr="007B6175" w14:paraId="0D2C1F30" w14:textId="77777777" w:rsidTr="00857819">
        <w:trPr>
          <w:cantSplit/>
        </w:trPr>
        <w:tc>
          <w:tcPr>
            <w:tcW w:w="718" w:type="pct"/>
            <w:vAlign w:val="center"/>
          </w:tcPr>
          <w:p w14:paraId="6BD58961" w14:textId="677E716D" w:rsidR="00BD5372" w:rsidRPr="007B6175" w:rsidRDefault="006C4FC4" w:rsidP="00845E08">
            <w:pPr>
              <w:pStyle w:val="TableText"/>
            </w:pPr>
            <w:r w:rsidRPr="007B6175">
              <w:t>Proposed restriction</w:t>
            </w:r>
          </w:p>
        </w:tc>
        <w:tc>
          <w:tcPr>
            <w:tcW w:w="2549" w:type="pct"/>
          </w:tcPr>
          <w:p w14:paraId="7A043137" w14:textId="551008D3" w:rsidR="00BD5372" w:rsidRPr="007B6175" w:rsidRDefault="00353C54" w:rsidP="00845E08">
            <w:pPr>
              <w:pStyle w:val="TableText"/>
              <w:rPr>
                <w:rFonts w:eastAsia="Times New Roman" w:cs="Arial"/>
                <w:bCs w:val="0"/>
                <w:snapToGrid w:val="0"/>
                <w:szCs w:val="20"/>
              </w:rPr>
            </w:pPr>
            <w:r w:rsidRPr="007B6175">
              <w:rPr>
                <w:rFonts w:eastAsia="Times New Roman" w:cs="Arial"/>
                <w:bCs w:val="0"/>
                <w:snapToGrid w:val="0"/>
                <w:szCs w:val="20"/>
              </w:rPr>
              <w:t>The PBAC considered episodic and chronic migraine are on a continuum, and patients may cycle between the two, rather than discrete clinical entities for the purpose of PBS listing. The PBAC considered a single listing for treatment-resistant migraine would be a more reasonable approach (</w:t>
            </w:r>
            <w:r w:rsidR="00C42410">
              <w:rPr>
                <w:rFonts w:eastAsia="Times New Roman" w:cs="Arial"/>
                <w:bCs w:val="0"/>
                <w:snapToGrid w:val="0"/>
                <w:szCs w:val="20"/>
              </w:rPr>
              <w:t>p</w:t>
            </w:r>
            <w:r w:rsidRPr="007B6175">
              <w:rPr>
                <w:rFonts w:eastAsia="Times New Roman" w:cs="Arial"/>
                <w:bCs w:val="0"/>
                <w:snapToGrid w:val="0"/>
                <w:szCs w:val="20"/>
              </w:rPr>
              <w:t xml:space="preserve">ara 7.3,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w:t>
            </w:r>
            <w:r w:rsidR="00B33E7E" w:rsidRPr="007B6175">
              <w:rPr>
                <w:rFonts w:eastAsia="Times New Roman" w:cs="Arial"/>
                <w:bCs w:val="0"/>
                <w:snapToGrid w:val="0"/>
                <w:szCs w:val="20"/>
              </w:rPr>
              <w:t>PSD</w:t>
            </w:r>
            <w:r w:rsidRPr="007B6175">
              <w:rPr>
                <w:rFonts w:eastAsia="Times New Roman" w:cs="Arial"/>
                <w:bCs w:val="0"/>
                <w:snapToGrid w:val="0"/>
                <w:szCs w:val="20"/>
              </w:rPr>
              <w:t>, November 2020 PBAC meeting).</w:t>
            </w:r>
          </w:p>
        </w:tc>
        <w:tc>
          <w:tcPr>
            <w:tcW w:w="1733" w:type="pct"/>
          </w:tcPr>
          <w:p w14:paraId="0DE1093D" w14:textId="4C19B7DF" w:rsidR="00BD5372" w:rsidRPr="007B6175" w:rsidRDefault="006C4FC4" w:rsidP="00845E08">
            <w:pPr>
              <w:pStyle w:val="TableText"/>
              <w:rPr>
                <w:rFonts w:eastAsia="Times New Roman" w:cs="Arial"/>
                <w:bCs w:val="0"/>
                <w:snapToGrid w:val="0"/>
                <w:szCs w:val="20"/>
              </w:rPr>
            </w:pPr>
            <w:r w:rsidRPr="007B6175">
              <w:rPr>
                <w:rFonts w:eastAsia="Times New Roman" w:cs="Arial"/>
                <w:bCs w:val="0"/>
                <w:snapToGrid w:val="0"/>
                <w:szCs w:val="20"/>
              </w:rPr>
              <w:t>The resubmission proposed a single migraine listing that included patients with treatment-resistant chronic and episodic migraine.</w:t>
            </w:r>
          </w:p>
        </w:tc>
      </w:tr>
      <w:tr w:rsidR="003A5DF2" w:rsidRPr="007B6175" w14:paraId="1571E45F" w14:textId="77777777" w:rsidTr="00857819">
        <w:trPr>
          <w:cantSplit/>
        </w:trPr>
        <w:tc>
          <w:tcPr>
            <w:tcW w:w="718" w:type="pct"/>
            <w:vAlign w:val="center"/>
          </w:tcPr>
          <w:p w14:paraId="3BDBA192" w14:textId="2A849C81" w:rsidR="003A5DF2" w:rsidRPr="007B6175" w:rsidRDefault="003A5DF2" w:rsidP="00845E08">
            <w:pPr>
              <w:pStyle w:val="TableText"/>
            </w:pPr>
            <w:r w:rsidRPr="007B6175">
              <w:t>Requested price</w:t>
            </w:r>
          </w:p>
        </w:tc>
        <w:tc>
          <w:tcPr>
            <w:tcW w:w="2549" w:type="pct"/>
          </w:tcPr>
          <w:p w14:paraId="73D222BF" w14:textId="2783F5D6" w:rsidR="003A5DF2" w:rsidRPr="007B6175" w:rsidRDefault="003A5DF2" w:rsidP="00845E08">
            <w:pPr>
              <w:pStyle w:val="TableText"/>
              <w:rPr>
                <w:rFonts w:eastAsia="Times New Roman" w:cs="Arial"/>
                <w:bCs w:val="0"/>
                <w:snapToGrid w:val="0"/>
                <w:szCs w:val="20"/>
              </w:rPr>
            </w:pPr>
            <w:r w:rsidRPr="007B6175">
              <w:rPr>
                <w:rFonts w:eastAsia="Times New Roman" w:cs="Arial"/>
                <w:bCs w:val="0"/>
                <w:snapToGrid w:val="0"/>
                <w:szCs w:val="20"/>
              </w:rPr>
              <w:t xml:space="preserve">The PBAC noted the price requested for episodic migraine was higher than the price recommended by the PBAC for chronic migraine in July 2019 and considered this was not adequately justified in the submission, noting that the magnitude of benefit provided by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is likely to be less for episodic migraine than for chronic migraine (</w:t>
            </w:r>
            <w:r w:rsidR="00C42410">
              <w:rPr>
                <w:rFonts w:eastAsia="Times New Roman" w:cs="Arial"/>
                <w:bCs w:val="0"/>
                <w:snapToGrid w:val="0"/>
                <w:szCs w:val="20"/>
              </w:rPr>
              <w:t>p</w:t>
            </w:r>
            <w:r w:rsidRPr="007B6175">
              <w:rPr>
                <w:rFonts w:eastAsia="Times New Roman" w:cs="Arial"/>
                <w:bCs w:val="0"/>
                <w:snapToGrid w:val="0"/>
                <w:szCs w:val="20"/>
              </w:rPr>
              <w:t xml:space="preserve">ara 7.7, </w:t>
            </w:r>
            <w:proofErr w:type="spellStart"/>
            <w:r w:rsidRPr="007B6175">
              <w:rPr>
                <w:rFonts w:eastAsia="Times New Roman" w:cs="Arial"/>
                <w:bCs w:val="0"/>
                <w:snapToGrid w:val="0"/>
                <w:szCs w:val="20"/>
              </w:rPr>
              <w:t>galcanezumab</w:t>
            </w:r>
            <w:proofErr w:type="spellEnd"/>
            <w:r w:rsidR="003E69A7">
              <w:rPr>
                <w:rFonts w:eastAsia="Times New Roman" w:cs="Arial"/>
                <w:bCs w:val="0"/>
                <w:snapToGrid w:val="0"/>
                <w:szCs w:val="20"/>
              </w:rPr>
              <w:t xml:space="preserve"> </w:t>
            </w:r>
            <w:r w:rsidRPr="007B6175">
              <w:rPr>
                <w:rFonts w:eastAsia="Times New Roman" w:cs="Arial"/>
                <w:bCs w:val="0"/>
                <w:snapToGrid w:val="0"/>
                <w:szCs w:val="20"/>
              </w:rPr>
              <w:t>PSD, November 2020 PBAC meeting).</w:t>
            </w:r>
          </w:p>
        </w:tc>
        <w:tc>
          <w:tcPr>
            <w:tcW w:w="1733" w:type="pct"/>
          </w:tcPr>
          <w:p w14:paraId="5F8BE8E1" w14:textId="27E944BF" w:rsidR="003A5DF2" w:rsidRPr="007B6175" w:rsidRDefault="003A5DF2" w:rsidP="00845E08">
            <w:pPr>
              <w:pStyle w:val="TableText"/>
              <w:rPr>
                <w:rFonts w:eastAsia="Times New Roman" w:cs="Arial"/>
                <w:bCs w:val="0"/>
                <w:snapToGrid w:val="0"/>
                <w:szCs w:val="20"/>
              </w:rPr>
            </w:pPr>
            <w:r w:rsidRPr="007B6175">
              <w:rPr>
                <w:rFonts w:eastAsia="Times New Roman" w:cs="Arial"/>
                <w:bCs w:val="0"/>
                <w:snapToGrid w:val="0"/>
                <w:szCs w:val="20"/>
              </w:rPr>
              <w:t>The proposed effective ex-manufacturer price ($</w:t>
            </w:r>
            <w:r w:rsidR="004C3CC2" w:rsidRPr="004C3CC2">
              <w:rPr>
                <w:rFonts w:eastAsia="Times New Roman" w:cs="Arial"/>
                <w:bCs w:val="0"/>
                <w:snapToGrid w:val="0"/>
                <w:color w:val="000000"/>
                <w:spacing w:val="49"/>
                <w:szCs w:val="20"/>
                <w:shd w:val="solid" w:color="000000" w:fill="000000"/>
                <w:fitText w:val="320" w:id="-1504954368"/>
                <w14:textFill>
                  <w14:solidFill>
                    <w14:srgbClr w14:val="000000">
                      <w14:alpha w14:val="100000"/>
                    </w14:srgbClr>
                  </w14:solidFill>
                </w14:textFill>
              </w:rPr>
              <w:t>|||</w:t>
            </w:r>
            <w:r w:rsidR="004C3CC2" w:rsidRPr="004C3CC2">
              <w:rPr>
                <w:rFonts w:eastAsia="Times New Roman" w:cs="Arial"/>
                <w:bCs w:val="0"/>
                <w:snapToGrid w:val="0"/>
                <w:color w:val="000000"/>
                <w:spacing w:val="3"/>
                <w:szCs w:val="20"/>
                <w:shd w:val="solid" w:color="000000" w:fill="000000"/>
                <w:fitText w:val="320" w:id="-1504954368"/>
                <w14:textFill>
                  <w14:solidFill>
                    <w14:srgbClr w14:val="000000">
                      <w14:alpha w14:val="100000"/>
                    </w14:srgbClr>
                  </w14:solidFill>
                </w14:textFill>
              </w:rPr>
              <w:t>|</w:t>
            </w:r>
            <w:r w:rsidRPr="007B6175">
              <w:rPr>
                <w:rFonts w:eastAsia="Times New Roman" w:cs="Arial"/>
                <w:bCs w:val="0"/>
                <w:snapToGrid w:val="0"/>
                <w:szCs w:val="20"/>
              </w:rPr>
              <w:t>) was lower than the effective ex-manufacturer price proposed in the November 2020 episodic migraine submission ($</w:t>
            </w:r>
            <w:r w:rsidR="004C3CC2" w:rsidRPr="004C3CC2">
              <w:rPr>
                <w:rFonts w:eastAsia="Times New Roman" w:cs="Arial"/>
                <w:bCs w:val="0"/>
                <w:snapToGrid w:val="0"/>
                <w:color w:val="000000"/>
                <w:spacing w:val="52"/>
                <w:szCs w:val="20"/>
                <w:shd w:val="solid" w:color="000000" w:fill="000000"/>
                <w:fitText w:val="330" w:id="-1504954367"/>
                <w14:textFill>
                  <w14:solidFill>
                    <w14:srgbClr w14:val="000000">
                      <w14:alpha w14:val="100000"/>
                    </w14:srgbClr>
                  </w14:solidFill>
                </w14:textFill>
              </w:rPr>
              <w:t>|||</w:t>
            </w:r>
            <w:r w:rsidR="004C3CC2" w:rsidRPr="004C3CC2">
              <w:rPr>
                <w:rFonts w:eastAsia="Times New Roman" w:cs="Arial"/>
                <w:bCs w:val="0"/>
                <w:snapToGrid w:val="0"/>
                <w:color w:val="000000"/>
                <w:spacing w:val="2"/>
                <w:szCs w:val="20"/>
                <w:shd w:val="solid" w:color="000000" w:fill="000000"/>
                <w:fitText w:val="330" w:id="-1504954367"/>
                <w14:textFill>
                  <w14:solidFill>
                    <w14:srgbClr w14:val="000000">
                      <w14:alpha w14:val="100000"/>
                    </w14:srgbClr>
                  </w14:solidFill>
                </w14:textFill>
              </w:rPr>
              <w:t>|</w:t>
            </w:r>
            <w:r w:rsidRPr="007B6175">
              <w:rPr>
                <w:rFonts w:eastAsia="Times New Roman" w:cs="Arial"/>
                <w:bCs w:val="0"/>
                <w:snapToGrid w:val="0"/>
                <w:szCs w:val="20"/>
              </w:rPr>
              <w:t xml:space="preserve">) but remained higher than the effective price of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under the chronic migraine PBS listing ($</w:t>
            </w:r>
            <w:r w:rsidR="004C3CC2" w:rsidRPr="004C3CC2">
              <w:rPr>
                <w:rFonts w:eastAsia="Times New Roman" w:cs="Arial"/>
                <w:bCs w:val="0"/>
                <w:snapToGrid w:val="0"/>
                <w:color w:val="000000"/>
                <w:spacing w:val="53"/>
                <w:szCs w:val="20"/>
                <w:shd w:val="solid" w:color="000000" w:fill="000000"/>
                <w:fitText w:val="330" w:id="-1504954366"/>
                <w14:textFill>
                  <w14:solidFill>
                    <w14:srgbClr w14:val="000000">
                      <w14:alpha w14:val="100000"/>
                    </w14:srgbClr>
                  </w14:solidFill>
                </w14:textFill>
              </w:rPr>
              <w:t>|||</w:t>
            </w:r>
            <w:r w:rsidR="004C3CC2" w:rsidRPr="004C3CC2">
              <w:rPr>
                <w:rFonts w:eastAsia="Times New Roman" w:cs="Arial"/>
                <w:bCs w:val="0"/>
                <w:snapToGrid w:val="0"/>
                <w:color w:val="000000"/>
                <w:spacing w:val="1"/>
                <w:szCs w:val="20"/>
                <w:shd w:val="solid" w:color="000000" w:fill="000000"/>
                <w:fitText w:val="330" w:id="-1504954366"/>
                <w14:textFill>
                  <w14:solidFill>
                    <w14:srgbClr w14:val="000000">
                      <w14:alpha w14:val="100000"/>
                    </w14:srgbClr>
                  </w14:solidFill>
                </w14:textFill>
              </w:rPr>
              <w:t>|</w:t>
            </w:r>
            <w:r w:rsidRPr="007B6175">
              <w:rPr>
                <w:rFonts w:eastAsia="Times New Roman" w:cs="Arial"/>
                <w:bCs w:val="0"/>
                <w:snapToGrid w:val="0"/>
                <w:szCs w:val="20"/>
              </w:rPr>
              <w:t>).</w:t>
            </w:r>
          </w:p>
        </w:tc>
      </w:tr>
      <w:tr w:rsidR="00857819" w:rsidRPr="007B6175" w14:paraId="5FBA50FB" w14:textId="77777777" w:rsidTr="0021441F">
        <w:trPr>
          <w:cantSplit/>
          <w:trHeight w:val="2555"/>
        </w:trPr>
        <w:tc>
          <w:tcPr>
            <w:tcW w:w="718" w:type="pct"/>
            <w:vAlign w:val="center"/>
          </w:tcPr>
          <w:p w14:paraId="55C8B27C" w14:textId="3112FE4C" w:rsidR="00857819" w:rsidRPr="007B6175" w:rsidRDefault="00857819" w:rsidP="003A5DF2">
            <w:pPr>
              <w:pStyle w:val="TableText"/>
            </w:pPr>
            <w:r w:rsidRPr="007B6175">
              <w:t>Clinical evidence</w:t>
            </w:r>
          </w:p>
        </w:tc>
        <w:tc>
          <w:tcPr>
            <w:tcW w:w="2549" w:type="pct"/>
          </w:tcPr>
          <w:p w14:paraId="0F7421E1" w14:textId="1B3D9AFF" w:rsidR="00857819" w:rsidRPr="007B6175" w:rsidRDefault="00ED7120" w:rsidP="0021441F">
            <w:pPr>
              <w:pStyle w:val="TableText"/>
              <w:keepNext w:val="0"/>
              <w:rPr>
                <w:rFonts w:eastAsia="Times New Roman" w:cs="Arial"/>
                <w:bCs w:val="0"/>
                <w:snapToGrid w:val="0"/>
                <w:szCs w:val="20"/>
              </w:rPr>
            </w:pPr>
            <w:r w:rsidRPr="00ED7120">
              <w:rPr>
                <w:rFonts w:eastAsia="Times New Roman" w:cs="Arial"/>
                <w:bCs w:val="0"/>
                <w:snapToGrid w:val="0"/>
                <w:szCs w:val="20"/>
              </w:rPr>
              <w:t xml:space="preserve">The PBAC previously noted that treatment with </w:t>
            </w:r>
            <w:proofErr w:type="spellStart"/>
            <w:r w:rsidRPr="00ED7120">
              <w:rPr>
                <w:rFonts w:eastAsia="Times New Roman" w:cs="Arial"/>
                <w:bCs w:val="0"/>
                <w:snapToGrid w:val="0"/>
                <w:szCs w:val="20"/>
              </w:rPr>
              <w:t>galcanezumab</w:t>
            </w:r>
            <w:proofErr w:type="spellEnd"/>
            <w:r w:rsidRPr="00ED7120">
              <w:rPr>
                <w:rFonts w:eastAsia="Times New Roman" w:cs="Arial"/>
                <w:bCs w:val="0"/>
                <w:snapToGrid w:val="0"/>
                <w:szCs w:val="20"/>
              </w:rPr>
              <w:t xml:space="preserve"> resulted in a clinically significant reduction in the number of migraine headache days compared to placebo, with a reduction of 2 to 6 migraine headache days, depending on the patient population, from a baseline of approximately 20 (</w:t>
            </w:r>
            <w:r w:rsidR="00C42410">
              <w:rPr>
                <w:rFonts w:eastAsia="Times New Roman" w:cs="Arial"/>
                <w:bCs w:val="0"/>
                <w:snapToGrid w:val="0"/>
                <w:szCs w:val="20"/>
              </w:rPr>
              <w:t>p</w:t>
            </w:r>
            <w:r w:rsidRPr="00ED7120">
              <w:rPr>
                <w:rFonts w:eastAsia="Times New Roman" w:cs="Arial"/>
                <w:bCs w:val="0"/>
                <w:snapToGrid w:val="0"/>
                <w:szCs w:val="20"/>
              </w:rPr>
              <w:t xml:space="preserve">ara 7.3, </w:t>
            </w:r>
            <w:proofErr w:type="spellStart"/>
            <w:r w:rsidRPr="00ED7120">
              <w:rPr>
                <w:rFonts w:eastAsia="Times New Roman" w:cs="Arial"/>
                <w:bCs w:val="0"/>
                <w:snapToGrid w:val="0"/>
                <w:szCs w:val="20"/>
              </w:rPr>
              <w:t>gal</w:t>
            </w:r>
            <w:r>
              <w:rPr>
                <w:rFonts w:eastAsia="Times New Roman" w:cs="Arial"/>
                <w:bCs w:val="0"/>
                <w:snapToGrid w:val="0"/>
                <w:szCs w:val="20"/>
              </w:rPr>
              <w:t>c</w:t>
            </w:r>
            <w:r w:rsidRPr="00ED7120">
              <w:rPr>
                <w:rFonts w:eastAsia="Times New Roman" w:cs="Arial"/>
                <w:bCs w:val="0"/>
                <w:snapToGrid w:val="0"/>
                <w:szCs w:val="20"/>
              </w:rPr>
              <w:t>anezumab</w:t>
            </w:r>
            <w:proofErr w:type="spellEnd"/>
            <w:r w:rsidRPr="00ED7120">
              <w:rPr>
                <w:rFonts w:eastAsia="Times New Roman" w:cs="Arial"/>
                <w:bCs w:val="0"/>
                <w:snapToGrid w:val="0"/>
                <w:szCs w:val="20"/>
              </w:rPr>
              <w:t xml:space="preserve"> PSD, July 2019 PBAC meeting).</w:t>
            </w:r>
            <w:r>
              <w:rPr>
                <w:rFonts w:eastAsia="Times New Roman" w:cs="Arial"/>
                <w:bCs w:val="0"/>
                <w:snapToGrid w:val="0"/>
                <w:szCs w:val="20"/>
              </w:rPr>
              <w:t xml:space="preserve"> </w:t>
            </w:r>
            <w:r w:rsidR="00857819" w:rsidRPr="007B6175">
              <w:rPr>
                <w:rFonts w:eastAsia="Times New Roman" w:cs="Arial"/>
                <w:bCs w:val="0"/>
                <w:snapToGrid w:val="0"/>
                <w:szCs w:val="20"/>
              </w:rPr>
              <w:t xml:space="preserve">The PBAC </w:t>
            </w:r>
            <w:r>
              <w:rPr>
                <w:rFonts w:eastAsia="Times New Roman" w:cs="Arial"/>
                <w:bCs w:val="0"/>
                <w:snapToGrid w:val="0"/>
                <w:szCs w:val="20"/>
              </w:rPr>
              <w:t xml:space="preserve">previously </w:t>
            </w:r>
            <w:r w:rsidR="00857819" w:rsidRPr="007B6175">
              <w:rPr>
                <w:rFonts w:eastAsia="Times New Roman" w:cs="Arial"/>
                <w:bCs w:val="0"/>
                <w:snapToGrid w:val="0"/>
                <w:szCs w:val="20"/>
              </w:rPr>
              <w:t xml:space="preserve">considered that treatment with </w:t>
            </w:r>
            <w:proofErr w:type="spellStart"/>
            <w:r w:rsidR="00857819" w:rsidRPr="007B6175">
              <w:rPr>
                <w:rFonts w:eastAsia="Times New Roman" w:cs="Arial"/>
                <w:bCs w:val="0"/>
                <w:snapToGrid w:val="0"/>
                <w:szCs w:val="20"/>
              </w:rPr>
              <w:t>galcanezumab</w:t>
            </w:r>
            <w:proofErr w:type="spellEnd"/>
            <w:r w:rsidR="00857819" w:rsidRPr="007B6175">
              <w:rPr>
                <w:rFonts w:eastAsia="Times New Roman" w:cs="Arial"/>
                <w:bCs w:val="0"/>
                <w:snapToGrid w:val="0"/>
                <w:szCs w:val="20"/>
              </w:rPr>
              <w:t xml:space="preserve"> resulted in a modest reduction in the number of migraine headache days compared to placebo (</w:t>
            </w:r>
            <w:r w:rsidR="00C42410">
              <w:rPr>
                <w:rFonts w:eastAsia="Times New Roman" w:cs="Arial"/>
                <w:bCs w:val="0"/>
                <w:snapToGrid w:val="0"/>
                <w:szCs w:val="20"/>
              </w:rPr>
              <w:t>p</w:t>
            </w:r>
            <w:r w:rsidR="00857819" w:rsidRPr="007B6175">
              <w:rPr>
                <w:rFonts w:eastAsia="Times New Roman" w:cs="Arial"/>
                <w:bCs w:val="0"/>
                <w:snapToGrid w:val="0"/>
                <w:szCs w:val="20"/>
              </w:rPr>
              <w:t xml:space="preserve">ara 7.5, </w:t>
            </w:r>
            <w:proofErr w:type="spellStart"/>
            <w:r w:rsidR="00857819" w:rsidRPr="007B6175">
              <w:rPr>
                <w:rFonts w:eastAsia="Times New Roman" w:cs="Arial"/>
                <w:bCs w:val="0"/>
                <w:snapToGrid w:val="0"/>
                <w:szCs w:val="20"/>
              </w:rPr>
              <w:t>galcanezumab</w:t>
            </w:r>
            <w:proofErr w:type="spellEnd"/>
            <w:r w:rsidR="00857819" w:rsidRPr="007B6175">
              <w:rPr>
                <w:rFonts w:eastAsia="Times New Roman" w:cs="Arial"/>
                <w:bCs w:val="0"/>
                <w:snapToGrid w:val="0"/>
                <w:szCs w:val="20"/>
              </w:rPr>
              <w:t xml:space="preserve"> PSD, November 2020 PBAC meeting).</w:t>
            </w:r>
            <w:r w:rsidR="00857819">
              <w:rPr>
                <w:rFonts w:eastAsia="Times New Roman" w:cs="Arial"/>
                <w:bCs w:val="0"/>
                <w:snapToGrid w:val="0"/>
                <w:szCs w:val="20"/>
              </w:rPr>
              <w:t xml:space="preserve"> </w:t>
            </w:r>
            <w:r w:rsidR="00857819" w:rsidRPr="007B6175">
              <w:rPr>
                <w:rFonts w:eastAsia="Times New Roman" w:cs="Arial"/>
                <w:bCs w:val="0"/>
                <w:snapToGrid w:val="0"/>
                <w:szCs w:val="20"/>
              </w:rPr>
              <w:t>The PBAC noted the average number of migraine headache days per month at baseline in the subgroup of patients with treatment-resistant episodic migraine was 10 and considered the magnitude of benefit observed in the CONQUER trial (i.e., reduction in migraine headache days per months of ~3) may not be achieved in the PBS population who are required to have 4 or more migraine headache days per month (</w:t>
            </w:r>
            <w:r w:rsidR="00C42410">
              <w:rPr>
                <w:rFonts w:eastAsia="Times New Roman" w:cs="Arial"/>
                <w:bCs w:val="0"/>
                <w:snapToGrid w:val="0"/>
                <w:szCs w:val="20"/>
              </w:rPr>
              <w:t>p</w:t>
            </w:r>
            <w:r w:rsidR="00857819" w:rsidRPr="007B6175">
              <w:rPr>
                <w:rFonts w:eastAsia="Times New Roman" w:cs="Arial"/>
                <w:bCs w:val="0"/>
                <w:snapToGrid w:val="0"/>
                <w:szCs w:val="20"/>
              </w:rPr>
              <w:t xml:space="preserve">ara 7.6, </w:t>
            </w:r>
            <w:proofErr w:type="spellStart"/>
            <w:r w:rsidR="00857819" w:rsidRPr="007B6175">
              <w:rPr>
                <w:rFonts w:eastAsia="Times New Roman" w:cs="Arial"/>
                <w:bCs w:val="0"/>
                <w:snapToGrid w:val="0"/>
                <w:szCs w:val="20"/>
              </w:rPr>
              <w:t>galcanezumab</w:t>
            </w:r>
            <w:proofErr w:type="spellEnd"/>
            <w:r w:rsidR="00857819" w:rsidRPr="007B6175">
              <w:rPr>
                <w:rFonts w:eastAsia="Times New Roman" w:cs="Arial"/>
                <w:bCs w:val="0"/>
                <w:snapToGrid w:val="0"/>
                <w:szCs w:val="20"/>
              </w:rPr>
              <w:t xml:space="preserve"> PSD, November 2020 PBAC meeting).</w:t>
            </w:r>
          </w:p>
        </w:tc>
        <w:tc>
          <w:tcPr>
            <w:tcW w:w="1733" w:type="pct"/>
          </w:tcPr>
          <w:p w14:paraId="061D1CBF" w14:textId="3E85AFCD" w:rsidR="00857819" w:rsidRPr="007B6175" w:rsidRDefault="00857819" w:rsidP="003A5DF2">
            <w:pPr>
              <w:pStyle w:val="TableText"/>
              <w:keepNext w:val="0"/>
              <w:rPr>
                <w:rFonts w:eastAsia="Times New Roman" w:cs="Arial"/>
                <w:bCs w:val="0"/>
                <w:snapToGrid w:val="0"/>
                <w:szCs w:val="20"/>
              </w:rPr>
            </w:pPr>
            <w:r>
              <w:rPr>
                <w:rFonts w:eastAsia="Times New Roman" w:cs="Arial"/>
                <w:bCs w:val="0"/>
                <w:snapToGrid w:val="0"/>
                <w:szCs w:val="20"/>
              </w:rPr>
              <w:t xml:space="preserve">The resubmission was based on the results for the subgroup of patients </w:t>
            </w:r>
            <w:r w:rsidRPr="007B6175">
              <w:rPr>
                <w:rFonts w:eastAsia="Times New Roman" w:cs="Arial"/>
                <w:bCs w:val="0"/>
                <w:snapToGrid w:val="0"/>
                <w:szCs w:val="20"/>
              </w:rPr>
              <w:t>with ‘high frequency’ episodic migraine, defined in the resubmission as 8 to 14 monthly migraine days</w:t>
            </w:r>
            <w:r>
              <w:rPr>
                <w:rFonts w:eastAsia="Times New Roman" w:cs="Arial"/>
                <w:bCs w:val="0"/>
                <w:snapToGrid w:val="0"/>
                <w:szCs w:val="20"/>
              </w:rPr>
              <w:t>.</w:t>
            </w:r>
          </w:p>
          <w:p w14:paraId="75447E9D" w14:textId="34C6511D" w:rsidR="00857819" w:rsidRPr="007B6175" w:rsidRDefault="00857819" w:rsidP="003A5DF2">
            <w:pPr>
              <w:pStyle w:val="TableText"/>
              <w:rPr>
                <w:rFonts w:eastAsia="Times New Roman" w:cs="Arial"/>
                <w:bCs w:val="0"/>
                <w:snapToGrid w:val="0"/>
                <w:szCs w:val="20"/>
              </w:rPr>
            </w:pPr>
          </w:p>
        </w:tc>
      </w:tr>
      <w:tr w:rsidR="003A5DF2" w:rsidRPr="007B6175" w14:paraId="5065454A" w14:textId="77777777" w:rsidTr="00857819">
        <w:trPr>
          <w:cantSplit/>
        </w:trPr>
        <w:tc>
          <w:tcPr>
            <w:tcW w:w="718" w:type="pct"/>
            <w:vMerge w:val="restart"/>
            <w:vAlign w:val="center"/>
          </w:tcPr>
          <w:p w14:paraId="4EFDE56C" w14:textId="5DB108E5" w:rsidR="003A5DF2" w:rsidRPr="007B6175" w:rsidRDefault="003A5DF2" w:rsidP="003A5DF2">
            <w:pPr>
              <w:pStyle w:val="TableText"/>
              <w:keepNext w:val="0"/>
            </w:pPr>
            <w:r w:rsidRPr="007B6175">
              <w:t>Economic model</w:t>
            </w:r>
          </w:p>
        </w:tc>
        <w:tc>
          <w:tcPr>
            <w:tcW w:w="2549" w:type="pct"/>
          </w:tcPr>
          <w:p w14:paraId="7D573DE4" w14:textId="2E2295EE" w:rsidR="003A5DF2" w:rsidRPr="007B6175" w:rsidRDefault="003A5DF2" w:rsidP="003A5DF2">
            <w:pPr>
              <w:pStyle w:val="TableText"/>
              <w:keepNext w:val="0"/>
              <w:rPr>
                <w:rFonts w:eastAsia="Times New Roman" w:cs="Arial"/>
                <w:bCs w:val="0"/>
                <w:snapToGrid w:val="0"/>
                <w:szCs w:val="20"/>
              </w:rPr>
            </w:pPr>
            <w:r w:rsidRPr="007B6175">
              <w:rPr>
                <w:rFonts w:eastAsia="Times New Roman" w:cs="Arial"/>
                <w:bCs w:val="0"/>
                <w:snapToGrid w:val="0"/>
                <w:szCs w:val="20"/>
              </w:rPr>
              <w:t xml:space="preserve">The ESC considered application of higher utilities to the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‘on-treatment’ health state was not adequately justified, and the model was sensitive to the use of these utilities (</w:t>
            </w:r>
            <w:r w:rsidR="00C42410">
              <w:rPr>
                <w:rFonts w:eastAsia="Times New Roman" w:cs="Arial"/>
                <w:bCs w:val="0"/>
                <w:snapToGrid w:val="0"/>
                <w:szCs w:val="20"/>
              </w:rPr>
              <w:t>p</w:t>
            </w:r>
            <w:r w:rsidRPr="007B6175">
              <w:rPr>
                <w:rFonts w:eastAsia="Times New Roman" w:cs="Arial"/>
                <w:bCs w:val="0"/>
                <w:snapToGrid w:val="0"/>
                <w:szCs w:val="20"/>
              </w:rPr>
              <w:t xml:space="preserve">ara 6.51,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PSD, November 2020 PBAC meeting).</w:t>
            </w:r>
          </w:p>
        </w:tc>
        <w:tc>
          <w:tcPr>
            <w:tcW w:w="1733" w:type="pct"/>
          </w:tcPr>
          <w:p w14:paraId="16EE55FB" w14:textId="32ED2B26" w:rsidR="003A5DF2" w:rsidRPr="007B6175" w:rsidRDefault="003A5DF2" w:rsidP="003A5DF2">
            <w:pPr>
              <w:pStyle w:val="TableText"/>
              <w:keepNext w:val="0"/>
              <w:rPr>
                <w:rFonts w:eastAsia="Times New Roman" w:cs="Arial"/>
                <w:bCs w:val="0"/>
                <w:snapToGrid w:val="0"/>
                <w:szCs w:val="20"/>
              </w:rPr>
            </w:pPr>
            <w:r w:rsidRPr="007B6175">
              <w:rPr>
                <w:rFonts w:eastAsia="Times New Roman" w:cs="Arial"/>
                <w:bCs w:val="0"/>
                <w:snapToGrid w:val="0"/>
                <w:szCs w:val="20"/>
              </w:rPr>
              <w:t>The resubmission included additional evidence from a correlation analysis to support the inclusion of the ‘on treatment’ health state utilities.</w:t>
            </w:r>
          </w:p>
        </w:tc>
      </w:tr>
      <w:tr w:rsidR="003A5DF2" w:rsidRPr="007B6175" w14:paraId="770FB4D0" w14:textId="77777777" w:rsidTr="00857819">
        <w:trPr>
          <w:cantSplit/>
        </w:trPr>
        <w:tc>
          <w:tcPr>
            <w:tcW w:w="718" w:type="pct"/>
            <w:vMerge/>
            <w:vAlign w:val="center"/>
          </w:tcPr>
          <w:p w14:paraId="327F5501" w14:textId="77777777" w:rsidR="003A5DF2" w:rsidRPr="007B6175" w:rsidRDefault="003A5DF2" w:rsidP="003A5DF2">
            <w:pPr>
              <w:pStyle w:val="TableText"/>
              <w:keepNext w:val="0"/>
            </w:pPr>
          </w:p>
        </w:tc>
        <w:tc>
          <w:tcPr>
            <w:tcW w:w="2549" w:type="pct"/>
          </w:tcPr>
          <w:p w14:paraId="59ECC9D3" w14:textId="19A2976C" w:rsidR="003A5DF2" w:rsidRPr="007B6175" w:rsidRDefault="003A5DF2" w:rsidP="003A5DF2">
            <w:pPr>
              <w:pStyle w:val="TableText"/>
              <w:keepNext w:val="0"/>
              <w:rPr>
                <w:rFonts w:eastAsia="Times New Roman" w:cs="Arial"/>
                <w:bCs w:val="0"/>
                <w:snapToGrid w:val="0"/>
                <w:szCs w:val="20"/>
              </w:rPr>
            </w:pPr>
            <w:r w:rsidRPr="007B6175">
              <w:rPr>
                <w:rFonts w:eastAsia="Times New Roman" w:cs="Arial"/>
                <w:bCs w:val="0"/>
                <w:snapToGrid w:val="0"/>
                <w:szCs w:val="20"/>
              </w:rPr>
              <w:t xml:space="preserve">The ESC considered that the maintenance of the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treatment response over the 5-year model time horizon was a highly optimistic assumption (</w:t>
            </w:r>
            <w:r w:rsidR="00C42410">
              <w:rPr>
                <w:rFonts w:eastAsia="Times New Roman" w:cs="Arial"/>
                <w:bCs w:val="0"/>
                <w:snapToGrid w:val="0"/>
                <w:szCs w:val="20"/>
              </w:rPr>
              <w:t>p</w:t>
            </w:r>
            <w:r w:rsidRPr="007B6175">
              <w:rPr>
                <w:rFonts w:eastAsia="Times New Roman" w:cs="Arial"/>
                <w:bCs w:val="0"/>
                <w:snapToGrid w:val="0"/>
                <w:szCs w:val="20"/>
              </w:rPr>
              <w:t xml:space="preserve">ara 6.60,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PSD, November 2020 PBAC meeting).</w:t>
            </w:r>
          </w:p>
        </w:tc>
        <w:tc>
          <w:tcPr>
            <w:tcW w:w="1733" w:type="pct"/>
          </w:tcPr>
          <w:p w14:paraId="6C0781E9" w14:textId="09EE1576" w:rsidR="003A5DF2" w:rsidRPr="007B6175" w:rsidRDefault="003A5DF2" w:rsidP="003A5DF2">
            <w:pPr>
              <w:pStyle w:val="TableText"/>
              <w:keepNext w:val="0"/>
              <w:rPr>
                <w:rFonts w:eastAsia="Times New Roman" w:cs="Arial"/>
                <w:bCs w:val="0"/>
                <w:snapToGrid w:val="0"/>
                <w:szCs w:val="20"/>
              </w:rPr>
            </w:pPr>
            <w:r w:rsidRPr="007B6175">
              <w:rPr>
                <w:rFonts w:eastAsia="Times New Roman" w:cs="Arial"/>
                <w:bCs w:val="0"/>
                <w:snapToGrid w:val="0"/>
                <w:szCs w:val="20"/>
              </w:rPr>
              <w:t xml:space="preserve">The resubmission presented a summary of available long-term effectiveness </w:t>
            </w:r>
            <w:r w:rsidR="007D5374">
              <w:rPr>
                <w:rFonts w:eastAsia="Times New Roman" w:cs="Arial"/>
                <w:bCs w:val="0"/>
                <w:snapToGrid w:val="0"/>
                <w:szCs w:val="20"/>
              </w:rPr>
              <w:t xml:space="preserve">studies for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and </w:t>
            </w:r>
            <w:r w:rsidR="007D5374">
              <w:rPr>
                <w:rFonts w:eastAsia="Times New Roman" w:cs="Arial"/>
                <w:bCs w:val="0"/>
                <w:snapToGrid w:val="0"/>
                <w:szCs w:val="20"/>
              </w:rPr>
              <w:t xml:space="preserve">other </w:t>
            </w:r>
            <w:r w:rsidRPr="007B6175">
              <w:rPr>
                <w:rFonts w:eastAsia="Times New Roman" w:cs="Arial"/>
                <w:bCs w:val="0"/>
                <w:snapToGrid w:val="0"/>
                <w:szCs w:val="20"/>
              </w:rPr>
              <w:t>CGRP inhibitor</w:t>
            </w:r>
            <w:r w:rsidR="007D5374">
              <w:rPr>
                <w:rFonts w:eastAsia="Times New Roman" w:cs="Arial"/>
                <w:bCs w:val="0"/>
                <w:snapToGrid w:val="0"/>
                <w:szCs w:val="20"/>
              </w:rPr>
              <w:t>s to support</w:t>
            </w:r>
            <w:r w:rsidR="00EA01AE">
              <w:rPr>
                <w:rFonts w:eastAsia="Times New Roman" w:cs="Arial"/>
                <w:bCs w:val="0"/>
                <w:snapToGrid w:val="0"/>
                <w:szCs w:val="20"/>
              </w:rPr>
              <w:t xml:space="preserve"> the maintenance of </w:t>
            </w:r>
            <w:r w:rsidR="003D77B9">
              <w:rPr>
                <w:rFonts w:eastAsia="Times New Roman" w:cs="Arial"/>
                <w:bCs w:val="0"/>
                <w:snapToGrid w:val="0"/>
                <w:szCs w:val="20"/>
              </w:rPr>
              <w:t>t</w:t>
            </w:r>
            <w:r w:rsidR="003D77B9">
              <w:rPr>
                <w:snapToGrid w:val="0"/>
                <w:szCs w:val="20"/>
              </w:rPr>
              <w:t xml:space="preserve">he </w:t>
            </w:r>
            <w:proofErr w:type="spellStart"/>
            <w:r w:rsidR="003D77B9">
              <w:rPr>
                <w:snapToGrid w:val="0"/>
                <w:szCs w:val="20"/>
              </w:rPr>
              <w:t>galcanezumab</w:t>
            </w:r>
            <w:proofErr w:type="spellEnd"/>
            <w:r w:rsidR="003D77B9">
              <w:rPr>
                <w:snapToGrid w:val="0"/>
                <w:szCs w:val="20"/>
              </w:rPr>
              <w:t xml:space="preserve"> </w:t>
            </w:r>
            <w:r w:rsidR="00EA01AE">
              <w:rPr>
                <w:rFonts w:eastAsia="Times New Roman" w:cs="Arial"/>
                <w:bCs w:val="0"/>
                <w:snapToGrid w:val="0"/>
                <w:szCs w:val="20"/>
              </w:rPr>
              <w:t xml:space="preserve">treatment </w:t>
            </w:r>
            <w:r w:rsidR="003D77B9">
              <w:rPr>
                <w:rFonts w:eastAsia="Times New Roman" w:cs="Arial"/>
                <w:bCs w:val="0"/>
                <w:snapToGrid w:val="0"/>
                <w:szCs w:val="20"/>
              </w:rPr>
              <w:t>r</w:t>
            </w:r>
            <w:r w:rsidR="003D77B9">
              <w:rPr>
                <w:snapToGrid w:val="0"/>
                <w:szCs w:val="20"/>
              </w:rPr>
              <w:t>esponse</w:t>
            </w:r>
            <w:r w:rsidR="003D77B9">
              <w:rPr>
                <w:bCs w:val="0"/>
                <w:snapToGrid w:val="0"/>
                <w:szCs w:val="20"/>
              </w:rPr>
              <w:t>.</w:t>
            </w:r>
          </w:p>
        </w:tc>
      </w:tr>
      <w:tr w:rsidR="003A5DF2" w:rsidRPr="007B6175" w14:paraId="01C890ED" w14:textId="77777777" w:rsidTr="00857819">
        <w:trPr>
          <w:cantSplit/>
        </w:trPr>
        <w:tc>
          <w:tcPr>
            <w:tcW w:w="718" w:type="pct"/>
            <w:vMerge/>
            <w:vAlign w:val="center"/>
          </w:tcPr>
          <w:p w14:paraId="3C899D4C" w14:textId="77777777" w:rsidR="003A5DF2" w:rsidRPr="007B6175" w:rsidRDefault="003A5DF2" w:rsidP="003A5DF2">
            <w:pPr>
              <w:pStyle w:val="TableText"/>
              <w:keepNext w:val="0"/>
            </w:pPr>
          </w:p>
        </w:tc>
        <w:tc>
          <w:tcPr>
            <w:tcW w:w="2549" w:type="pct"/>
          </w:tcPr>
          <w:p w14:paraId="066453A4" w14:textId="37983D8D" w:rsidR="003A5DF2" w:rsidRPr="007B6175" w:rsidRDefault="003A5DF2" w:rsidP="003A5DF2">
            <w:pPr>
              <w:pStyle w:val="TableText"/>
              <w:keepNext w:val="0"/>
              <w:rPr>
                <w:rFonts w:eastAsia="Times New Roman" w:cs="Arial"/>
                <w:bCs w:val="0"/>
                <w:snapToGrid w:val="0"/>
                <w:szCs w:val="20"/>
              </w:rPr>
            </w:pPr>
            <w:r w:rsidRPr="007B6175">
              <w:rPr>
                <w:rFonts w:eastAsia="Times New Roman" w:cs="Arial"/>
                <w:bCs w:val="0"/>
                <w:snapToGrid w:val="0"/>
                <w:szCs w:val="20"/>
              </w:rPr>
              <w:t>The ESC was of the view that the model presented in the submission had significant issues, incorporating numerous optimistic data assumptions and structural assumptions that mean it is unlikely to be reliable for decision making (</w:t>
            </w:r>
            <w:r w:rsidR="004C2E40">
              <w:rPr>
                <w:rFonts w:eastAsia="Times New Roman" w:cs="Arial"/>
                <w:bCs w:val="0"/>
                <w:snapToGrid w:val="0"/>
                <w:szCs w:val="20"/>
              </w:rPr>
              <w:t>p</w:t>
            </w:r>
            <w:r w:rsidRPr="007B6175">
              <w:rPr>
                <w:rFonts w:eastAsia="Times New Roman" w:cs="Arial"/>
                <w:bCs w:val="0"/>
                <w:snapToGrid w:val="0"/>
                <w:szCs w:val="20"/>
              </w:rPr>
              <w:t xml:space="preserve">ara 6.60,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PSD, November 2020 PBAC meeting).</w:t>
            </w:r>
          </w:p>
        </w:tc>
        <w:tc>
          <w:tcPr>
            <w:tcW w:w="1733" w:type="pct"/>
          </w:tcPr>
          <w:p w14:paraId="51E964B0" w14:textId="12CAE68C" w:rsidR="003A5DF2" w:rsidRPr="007B6175" w:rsidRDefault="003A5DF2" w:rsidP="003A5DF2">
            <w:pPr>
              <w:pStyle w:val="TableText"/>
              <w:keepNext w:val="0"/>
              <w:rPr>
                <w:rFonts w:eastAsia="Times New Roman" w:cs="Arial"/>
                <w:bCs w:val="0"/>
                <w:snapToGrid w:val="0"/>
                <w:szCs w:val="20"/>
              </w:rPr>
            </w:pPr>
            <w:r w:rsidRPr="007B6175">
              <w:rPr>
                <w:rFonts w:eastAsia="Times New Roman" w:cs="Arial"/>
                <w:bCs w:val="0"/>
                <w:snapToGrid w:val="0"/>
                <w:szCs w:val="20"/>
              </w:rPr>
              <w:t>The structure of the economic model was unchanged from the November 2020 submission. Model inputs were updated to reflect the characteristics and results for the CONQUER trial high frequency episodic migraine with ≥3 prior treatment failures subgroup.</w:t>
            </w:r>
          </w:p>
        </w:tc>
      </w:tr>
      <w:tr w:rsidR="003A5DF2" w:rsidRPr="007B6175" w14:paraId="29FC51F0" w14:textId="77777777" w:rsidTr="00857819">
        <w:trPr>
          <w:cantSplit/>
        </w:trPr>
        <w:tc>
          <w:tcPr>
            <w:tcW w:w="718" w:type="pct"/>
            <w:vMerge/>
            <w:vAlign w:val="center"/>
          </w:tcPr>
          <w:p w14:paraId="746234FF" w14:textId="77777777" w:rsidR="003A5DF2" w:rsidRPr="007B6175" w:rsidRDefault="003A5DF2" w:rsidP="003A5DF2">
            <w:pPr>
              <w:pStyle w:val="TableText"/>
              <w:keepNext w:val="0"/>
            </w:pPr>
          </w:p>
        </w:tc>
        <w:tc>
          <w:tcPr>
            <w:tcW w:w="2549" w:type="pct"/>
          </w:tcPr>
          <w:p w14:paraId="76981059" w14:textId="3694DD84" w:rsidR="003A5DF2" w:rsidRPr="007B6175" w:rsidRDefault="003A5DF2" w:rsidP="003A5DF2">
            <w:pPr>
              <w:pStyle w:val="TableText"/>
              <w:keepNext w:val="0"/>
              <w:rPr>
                <w:rFonts w:eastAsia="Times New Roman" w:cs="Arial"/>
                <w:bCs w:val="0"/>
                <w:snapToGrid w:val="0"/>
                <w:szCs w:val="20"/>
              </w:rPr>
            </w:pPr>
            <w:r w:rsidRPr="007B6175">
              <w:rPr>
                <w:rFonts w:eastAsia="Times New Roman" w:cs="Arial"/>
                <w:bCs w:val="0"/>
                <w:snapToGrid w:val="0"/>
                <w:szCs w:val="20"/>
              </w:rPr>
              <w:t xml:space="preserve">The PBAC noted the significant issues associated with the economic model (para 6.60) but considered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is not cost-effective for episodic migraine at the price requested in the submission (</w:t>
            </w:r>
            <w:r w:rsidR="004C2E40">
              <w:rPr>
                <w:rFonts w:eastAsia="Times New Roman" w:cs="Arial"/>
                <w:bCs w:val="0"/>
                <w:snapToGrid w:val="0"/>
                <w:szCs w:val="20"/>
              </w:rPr>
              <w:t>p</w:t>
            </w:r>
            <w:r w:rsidRPr="007B6175">
              <w:rPr>
                <w:rFonts w:eastAsia="Times New Roman" w:cs="Arial"/>
                <w:bCs w:val="0"/>
                <w:snapToGrid w:val="0"/>
                <w:szCs w:val="20"/>
              </w:rPr>
              <w:t xml:space="preserve">ara 7.7,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PSD, November 2020 PBAC meeting).</w:t>
            </w:r>
          </w:p>
        </w:tc>
        <w:tc>
          <w:tcPr>
            <w:tcW w:w="1733" w:type="pct"/>
          </w:tcPr>
          <w:p w14:paraId="42B80DF5" w14:textId="3E6DCC5F" w:rsidR="003A5DF2" w:rsidRPr="007B6175" w:rsidRDefault="003A5DF2" w:rsidP="003A5DF2">
            <w:pPr>
              <w:pStyle w:val="TableText"/>
              <w:keepNext w:val="0"/>
              <w:rPr>
                <w:rFonts w:eastAsia="Times New Roman" w:cs="Arial"/>
                <w:bCs w:val="0"/>
                <w:snapToGrid w:val="0"/>
                <w:szCs w:val="20"/>
              </w:rPr>
            </w:pPr>
            <w:r w:rsidRPr="007B6175">
              <w:rPr>
                <w:rFonts w:eastAsia="Times New Roman" w:cs="Arial"/>
                <w:bCs w:val="0"/>
                <w:snapToGrid w:val="0"/>
                <w:szCs w:val="20"/>
              </w:rPr>
              <w:t>The proposed effective AEMP was reduced from $</w:t>
            </w:r>
            <w:r w:rsidR="004C3CC2" w:rsidRPr="004C3CC2">
              <w:rPr>
                <w:rFonts w:eastAsia="Times New Roman" w:cs="Arial"/>
                <w:bCs w:val="0"/>
                <w:snapToGrid w:val="0"/>
                <w:color w:val="000000"/>
                <w:spacing w:val="53"/>
                <w:szCs w:val="20"/>
                <w:shd w:val="solid" w:color="000000" w:fill="000000"/>
                <w:fitText w:val="330" w:id="-1504954365"/>
                <w14:textFill>
                  <w14:solidFill>
                    <w14:srgbClr w14:val="000000">
                      <w14:alpha w14:val="100000"/>
                    </w14:srgbClr>
                  </w14:solidFill>
                </w14:textFill>
              </w:rPr>
              <w:t>|||</w:t>
            </w:r>
            <w:r w:rsidR="004C3CC2" w:rsidRPr="004C3CC2">
              <w:rPr>
                <w:rFonts w:eastAsia="Times New Roman" w:cs="Arial"/>
                <w:bCs w:val="0"/>
                <w:snapToGrid w:val="0"/>
                <w:color w:val="000000"/>
                <w:spacing w:val="1"/>
                <w:szCs w:val="20"/>
                <w:shd w:val="solid" w:color="000000" w:fill="000000"/>
                <w:fitText w:val="330" w:id="-1504954365"/>
                <w14:textFill>
                  <w14:solidFill>
                    <w14:srgbClr w14:val="000000">
                      <w14:alpha w14:val="100000"/>
                    </w14:srgbClr>
                  </w14:solidFill>
                </w14:textFill>
              </w:rPr>
              <w:t>|</w:t>
            </w:r>
            <w:r w:rsidRPr="007B6175">
              <w:rPr>
                <w:rFonts w:eastAsia="Times New Roman" w:cs="Arial"/>
                <w:bCs w:val="0"/>
                <w:snapToGrid w:val="0"/>
                <w:szCs w:val="20"/>
              </w:rPr>
              <w:t xml:space="preserve"> to $</w:t>
            </w:r>
            <w:r w:rsidR="004C3CC2" w:rsidRPr="004C3CC2">
              <w:rPr>
                <w:rFonts w:eastAsia="Times New Roman" w:cs="Arial"/>
                <w:bCs w:val="0"/>
                <w:snapToGrid w:val="0"/>
                <w:color w:val="000000"/>
                <w:spacing w:val="53"/>
                <w:szCs w:val="20"/>
                <w:shd w:val="solid" w:color="000000" w:fill="000000"/>
                <w:fitText w:val="330" w:id="-1504954364"/>
                <w14:textFill>
                  <w14:solidFill>
                    <w14:srgbClr w14:val="000000">
                      <w14:alpha w14:val="100000"/>
                    </w14:srgbClr>
                  </w14:solidFill>
                </w14:textFill>
              </w:rPr>
              <w:t>|||</w:t>
            </w:r>
            <w:r w:rsidR="004C3CC2" w:rsidRPr="004C3CC2">
              <w:rPr>
                <w:rFonts w:eastAsia="Times New Roman" w:cs="Arial"/>
                <w:bCs w:val="0"/>
                <w:snapToGrid w:val="0"/>
                <w:color w:val="000000"/>
                <w:spacing w:val="1"/>
                <w:szCs w:val="20"/>
                <w:shd w:val="solid" w:color="000000" w:fill="000000"/>
                <w:fitText w:val="330" w:id="-1504954364"/>
                <w14:textFill>
                  <w14:solidFill>
                    <w14:srgbClr w14:val="000000">
                      <w14:alpha w14:val="100000"/>
                    </w14:srgbClr>
                  </w14:solidFill>
                </w14:textFill>
              </w:rPr>
              <w:t>|</w:t>
            </w:r>
            <w:r w:rsidRPr="007B6175">
              <w:rPr>
                <w:rFonts w:eastAsia="Times New Roman" w:cs="Arial"/>
                <w:bCs w:val="0"/>
                <w:snapToGrid w:val="0"/>
                <w:szCs w:val="20"/>
              </w:rPr>
              <w:t xml:space="preserve">. The resubmission proposed </w:t>
            </w:r>
            <w:proofErr w:type="gramStart"/>
            <w:r w:rsidRPr="007B6175">
              <w:rPr>
                <w:rFonts w:eastAsia="Times New Roman" w:cs="Arial"/>
                <w:bCs w:val="0"/>
                <w:snapToGrid w:val="0"/>
                <w:szCs w:val="20"/>
              </w:rPr>
              <w:t>a</w:t>
            </w:r>
            <w:proofErr w:type="gramEnd"/>
            <w:r w:rsidRPr="007B6175">
              <w:rPr>
                <w:rFonts w:eastAsia="Times New Roman" w:cs="Arial"/>
                <w:bCs w:val="0"/>
                <w:snapToGrid w:val="0"/>
                <w:szCs w:val="20"/>
              </w:rPr>
              <w:t xml:space="preserve"> RSA with combined caps for chronic migraine and high frequency episodic migraine.</w:t>
            </w:r>
          </w:p>
        </w:tc>
      </w:tr>
      <w:tr w:rsidR="003A5DF2" w:rsidRPr="007B6175" w14:paraId="24294359" w14:textId="77777777" w:rsidTr="00857819">
        <w:trPr>
          <w:cantSplit/>
        </w:trPr>
        <w:tc>
          <w:tcPr>
            <w:tcW w:w="718" w:type="pct"/>
            <w:vAlign w:val="center"/>
          </w:tcPr>
          <w:p w14:paraId="5820102F" w14:textId="03A8B58D" w:rsidR="003A5DF2" w:rsidRPr="007B6175" w:rsidRDefault="003A5DF2" w:rsidP="003A5DF2">
            <w:pPr>
              <w:pStyle w:val="TableText"/>
              <w:keepNext w:val="0"/>
            </w:pPr>
            <w:r w:rsidRPr="007B6175">
              <w:t>Financial estimates</w:t>
            </w:r>
          </w:p>
        </w:tc>
        <w:tc>
          <w:tcPr>
            <w:tcW w:w="2549" w:type="pct"/>
          </w:tcPr>
          <w:p w14:paraId="6119AEEB" w14:textId="1F706D4E" w:rsidR="003A5DF2" w:rsidRPr="007B6175" w:rsidRDefault="003A5DF2" w:rsidP="003A5DF2">
            <w:pPr>
              <w:pStyle w:val="TableText"/>
              <w:keepNext w:val="0"/>
              <w:rPr>
                <w:rFonts w:eastAsia="Times New Roman" w:cs="Arial"/>
                <w:bCs w:val="0"/>
                <w:snapToGrid w:val="0"/>
                <w:szCs w:val="20"/>
              </w:rPr>
            </w:pPr>
            <w:r w:rsidRPr="007B6175">
              <w:rPr>
                <w:rFonts w:eastAsia="Times New Roman" w:cs="Arial"/>
                <w:bCs w:val="0"/>
                <w:snapToGrid w:val="0"/>
                <w:szCs w:val="20"/>
              </w:rPr>
              <w:t xml:space="preserve">The PBAC noted the estimated cost of listing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on the PBS for episodic migraine was high and uncertain. The PBAC considered the estimate that 2.3% of patients with migraine would be eligible for treatment with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if it was listed for episodic migraine was poorly supported and highly uncertain (</w:t>
            </w:r>
            <w:r w:rsidR="004C2E40">
              <w:rPr>
                <w:rFonts w:eastAsia="Times New Roman" w:cs="Arial"/>
                <w:bCs w:val="0"/>
                <w:snapToGrid w:val="0"/>
                <w:szCs w:val="20"/>
              </w:rPr>
              <w:t>p</w:t>
            </w:r>
            <w:r w:rsidRPr="007B6175">
              <w:rPr>
                <w:rFonts w:eastAsia="Times New Roman" w:cs="Arial"/>
                <w:bCs w:val="0"/>
                <w:snapToGrid w:val="0"/>
                <w:szCs w:val="20"/>
              </w:rPr>
              <w:t xml:space="preserve">ara 7.8,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PSD, November 2020 PBAC meeting).The PBAC advised any resubmission for episodic migraine should provide revised financial estimates, accounting for patients that may already have been attributed to the chronic migraine population (</w:t>
            </w:r>
            <w:r w:rsidR="004C2E40">
              <w:rPr>
                <w:rFonts w:eastAsia="Times New Roman" w:cs="Arial"/>
                <w:bCs w:val="0"/>
                <w:snapToGrid w:val="0"/>
                <w:szCs w:val="20"/>
              </w:rPr>
              <w:t>p</w:t>
            </w:r>
            <w:r w:rsidRPr="007B6175">
              <w:rPr>
                <w:rFonts w:eastAsia="Times New Roman" w:cs="Arial"/>
                <w:bCs w:val="0"/>
                <w:snapToGrid w:val="0"/>
                <w:szCs w:val="20"/>
              </w:rPr>
              <w:t xml:space="preserve">ara 7.9,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PSD, November 2020 PBAC meeting).</w:t>
            </w:r>
          </w:p>
        </w:tc>
        <w:tc>
          <w:tcPr>
            <w:tcW w:w="1733" w:type="pct"/>
          </w:tcPr>
          <w:p w14:paraId="31585107" w14:textId="753CF778" w:rsidR="003A5DF2" w:rsidRPr="007B6175" w:rsidRDefault="003A5DF2" w:rsidP="003A5DF2">
            <w:pPr>
              <w:pStyle w:val="TableText"/>
              <w:rPr>
                <w:rFonts w:eastAsia="Times New Roman" w:cs="Arial"/>
                <w:bCs w:val="0"/>
                <w:snapToGrid w:val="0"/>
                <w:szCs w:val="20"/>
              </w:rPr>
            </w:pPr>
            <w:r w:rsidRPr="007B6175">
              <w:rPr>
                <w:rFonts w:eastAsia="Times New Roman" w:cs="Arial"/>
                <w:bCs w:val="0"/>
                <w:snapToGrid w:val="0"/>
                <w:szCs w:val="20"/>
              </w:rPr>
              <w:t xml:space="preserve">The resubmission provided updated financial estimates. The assumed migraine prevalence was increased 14.5% to 22.8%. Other epidemiological inputs were updated based on the results of a clinician survey commissioned by the sponsor. The </w:t>
            </w:r>
            <w:proofErr w:type="spellStart"/>
            <w:r w:rsidRPr="007B6175">
              <w:rPr>
                <w:rFonts w:eastAsia="Times New Roman" w:cs="Arial"/>
                <w:bCs w:val="0"/>
                <w:snapToGrid w:val="0"/>
                <w:szCs w:val="20"/>
              </w:rPr>
              <w:t>galcanezumab</w:t>
            </w:r>
            <w:proofErr w:type="spellEnd"/>
            <w:r w:rsidRPr="007B6175">
              <w:rPr>
                <w:rFonts w:eastAsia="Times New Roman" w:cs="Arial"/>
                <w:bCs w:val="0"/>
                <w:snapToGrid w:val="0"/>
                <w:szCs w:val="20"/>
              </w:rPr>
              <w:t xml:space="preserve"> uptake rates were updated, with lower uptake assumed in Year 1, and higher uptake assumed for Years 2 to 6.</w:t>
            </w:r>
          </w:p>
        </w:tc>
      </w:tr>
    </w:tbl>
    <w:p w14:paraId="451D7156" w14:textId="68C15F36" w:rsidR="005C25FF" w:rsidRPr="007B6175" w:rsidRDefault="003E4415" w:rsidP="004E18E9">
      <w:pPr>
        <w:pStyle w:val="TableFigureFooter"/>
      </w:pPr>
      <w:r w:rsidRPr="007B6175">
        <w:t>Source:</w:t>
      </w:r>
      <w:r w:rsidR="00D0325E" w:rsidRPr="007B6175">
        <w:t xml:space="preserve"> </w:t>
      </w:r>
      <w:proofErr w:type="spellStart"/>
      <w:r w:rsidR="00D0325E" w:rsidRPr="007B6175">
        <w:t>Galcanezumab</w:t>
      </w:r>
      <w:proofErr w:type="spellEnd"/>
      <w:r w:rsidR="00D0325E" w:rsidRPr="007B6175">
        <w:t>, Public Summary Document, November 2020 PBAC meeting.</w:t>
      </w:r>
    </w:p>
    <w:p w14:paraId="5D6E962D" w14:textId="790AD3A9" w:rsidR="00593CC6" w:rsidRPr="007B6175" w:rsidRDefault="00593CC6" w:rsidP="004E18E9">
      <w:pPr>
        <w:pStyle w:val="TableFigureFooter"/>
      </w:pPr>
      <w:r w:rsidRPr="007B6175">
        <w:t>Abbreviations: AEMP, approved ex-ma</w:t>
      </w:r>
      <w:r w:rsidR="005416A7" w:rsidRPr="007B6175">
        <w:t>n</w:t>
      </w:r>
      <w:r w:rsidRPr="007B6175">
        <w:t>ufacturer price; PSD, public summary document</w:t>
      </w:r>
      <w:r w:rsidR="00E13842">
        <w:t>;</w:t>
      </w:r>
      <w:r w:rsidR="004C2E40" w:rsidRPr="004C2E40">
        <w:t xml:space="preserve"> </w:t>
      </w:r>
      <w:r w:rsidR="004C2E40">
        <w:t xml:space="preserve">RSA, </w:t>
      </w:r>
      <w:r w:rsidR="004C2E40" w:rsidRPr="004C2E40">
        <w:t>risk-sharing arrangement</w:t>
      </w:r>
    </w:p>
    <w:p w14:paraId="6EF99FC9" w14:textId="3CDBDE23" w:rsidR="001E429C" w:rsidRPr="001A48E1" w:rsidRDefault="00413EEF" w:rsidP="00340E3E">
      <w:pPr>
        <w:pStyle w:val="ExecSumBodyText"/>
      </w:pPr>
      <w:proofErr w:type="spellStart"/>
      <w:r w:rsidRPr="00340E3E">
        <w:t>Galcanezumab</w:t>
      </w:r>
      <w:proofErr w:type="spellEnd"/>
      <w:r w:rsidRPr="00340E3E">
        <w:t xml:space="preserve"> is currently listed on the PBS for treatment-resistant chronic migrain</w:t>
      </w:r>
      <w:r w:rsidR="00BF00E1" w:rsidRPr="0022754B">
        <w:t xml:space="preserve">e (patients experiencing </w:t>
      </w:r>
      <w:r w:rsidRPr="00570D1A">
        <w:t xml:space="preserve">an </w:t>
      </w:r>
      <w:r w:rsidRPr="00DD06B9">
        <w:t>average of 15 or more headache days per month, with at least 8 days of migraine</w:t>
      </w:r>
      <w:r w:rsidR="00BF00E1" w:rsidRPr="00570D1A">
        <w:t>).</w:t>
      </w:r>
      <w:r w:rsidR="001E429C" w:rsidRPr="00762C7E">
        <w:t xml:space="preserve"> </w:t>
      </w:r>
    </w:p>
    <w:p w14:paraId="76E4EF3C" w14:textId="52B9F7A4" w:rsidR="00B60939" w:rsidRDefault="00B50DB8" w:rsidP="004E18E9">
      <w:pPr>
        <w:pStyle w:val="2-SectionHeading"/>
      </w:pPr>
      <w:bookmarkStart w:id="10" w:name="_Toc93419735"/>
      <w:bookmarkStart w:id="11" w:name="_Toc93484669"/>
      <w:r w:rsidRPr="007B6175">
        <w:t>Requested listing</w:t>
      </w:r>
      <w:bookmarkEnd w:id="10"/>
      <w:bookmarkEnd w:id="11"/>
    </w:p>
    <w:p w14:paraId="435E2C77" w14:textId="7871D924" w:rsidR="00FE656D" w:rsidRPr="00340E3E" w:rsidRDefault="005055C6" w:rsidP="00340E3E">
      <w:pPr>
        <w:pStyle w:val="ExecSumBodyText"/>
      </w:pPr>
      <w:r w:rsidRPr="00340E3E">
        <w:t>Suggestions and additions proposed by the Secretariat are added in italics and suggested deletions are crossed out with strikethrough.</w:t>
      </w:r>
    </w:p>
    <w:tbl>
      <w:tblPr>
        <w:tblpPr w:leftFromText="195" w:rightFromText="195" w:vertAnchor="text"/>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268"/>
        <w:gridCol w:w="1276"/>
        <w:gridCol w:w="991"/>
        <w:gridCol w:w="850"/>
        <w:gridCol w:w="1914"/>
        <w:gridCol w:w="1728"/>
      </w:tblGrid>
      <w:tr w:rsidR="00667C74" w:rsidRPr="007B6175" w14:paraId="61A1155B" w14:textId="77777777" w:rsidTr="00667C74">
        <w:tc>
          <w:tcPr>
            <w:tcW w:w="1256" w:type="pct"/>
            <w:tcMar>
              <w:top w:w="0" w:type="dxa"/>
              <w:left w:w="108" w:type="dxa"/>
              <w:bottom w:w="0" w:type="dxa"/>
              <w:right w:w="108" w:type="dxa"/>
            </w:tcMar>
            <w:vAlign w:val="center"/>
            <w:hideMark/>
          </w:tcPr>
          <w:p w14:paraId="46AD4669" w14:textId="77777777" w:rsidR="00BF00E1" w:rsidRPr="007B6175" w:rsidRDefault="00BF00E1" w:rsidP="005D4AF3">
            <w:pPr>
              <w:pStyle w:val="TableFigureCaption"/>
              <w:jc w:val="center"/>
            </w:pPr>
            <w:r w:rsidRPr="007B6175">
              <w:t>Name, restriction, manner of administration, form</w:t>
            </w:r>
          </w:p>
        </w:tc>
        <w:tc>
          <w:tcPr>
            <w:tcW w:w="707" w:type="pct"/>
            <w:tcMar>
              <w:top w:w="0" w:type="dxa"/>
              <w:left w:w="108" w:type="dxa"/>
              <w:bottom w:w="0" w:type="dxa"/>
              <w:right w:w="108" w:type="dxa"/>
            </w:tcMar>
            <w:vAlign w:val="center"/>
            <w:hideMark/>
          </w:tcPr>
          <w:p w14:paraId="007311C6" w14:textId="77777777" w:rsidR="00BF00E1" w:rsidRPr="007B6175" w:rsidRDefault="00BF00E1" w:rsidP="005D4AF3">
            <w:pPr>
              <w:pStyle w:val="TableFigureCaption"/>
              <w:jc w:val="center"/>
            </w:pPr>
            <w:r w:rsidRPr="007B6175">
              <w:t>Maximum quantity (packs)</w:t>
            </w:r>
          </w:p>
        </w:tc>
        <w:tc>
          <w:tcPr>
            <w:tcW w:w="549" w:type="pct"/>
            <w:tcMar>
              <w:top w:w="0" w:type="dxa"/>
              <w:left w:w="108" w:type="dxa"/>
              <w:bottom w:w="0" w:type="dxa"/>
              <w:right w:w="108" w:type="dxa"/>
            </w:tcMar>
            <w:vAlign w:val="center"/>
            <w:hideMark/>
          </w:tcPr>
          <w:p w14:paraId="597D946C" w14:textId="77777777" w:rsidR="00BF00E1" w:rsidRPr="007B6175" w:rsidRDefault="00BF00E1" w:rsidP="005D4AF3">
            <w:pPr>
              <w:pStyle w:val="TableFigureCaption"/>
              <w:jc w:val="center"/>
            </w:pPr>
            <w:r w:rsidRPr="007B6175">
              <w:t>Maximum quantity (units)</w:t>
            </w:r>
          </w:p>
        </w:tc>
        <w:tc>
          <w:tcPr>
            <w:tcW w:w="471" w:type="pct"/>
            <w:tcMar>
              <w:top w:w="0" w:type="dxa"/>
              <w:left w:w="108" w:type="dxa"/>
              <w:bottom w:w="0" w:type="dxa"/>
              <w:right w:w="108" w:type="dxa"/>
            </w:tcMar>
            <w:vAlign w:val="center"/>
            <w:hideMark/>
          </w:tcPr>
          <w:p w14:paraId="41B3D59E" w14:textId="77777777" w:rsidR="00BF00E1" w:rsidRPr="007B6175" w:rsidRDefault="00BF00E1" w:rsidP="005D4AF3">
            <w:pPr>
              <w:pStyle w:val="TableFigureCaption"/>
              <w:jc w:val="center"/>
            </w:pPr>
            <w:r w:rsidRPr="007B6175">
              <w:t>No. of repeats</w:t>
            </w:r>
          </w:p>
        </w:tc>
        <w:tc>
          <w:tcPr>
            <w:tcW w:w="1060" w:type="pct"/>
            <w:tcMar>
              <w:top w:w="0" w:type="dxa"/>
              <w:left w:w="108" w:type="dxa"/>
              <w:bottom w:w="0" w:type="dxa"/>
              <w:right w:w="108" w:type="dxa"/>
            </w:tcMar>
            <w:vAlign w:val="center"/>
            <w:hideMark/>
          </w:tcPr>
          <w:p w14:paraId="2B16E04C" w14:textId="77777777" w:rsidR="00BF00E1" w:rsidRPr="007B6175" w:rsidRDefault="00BF00E1" w:rsidP="005D4AF3">
            <w:pPr>
              <w:pStyle w:val="TableFigureCaption"/>
              <w:jc w:val="center"/>
            </w:pPr>
            <w:r w:rsidRPr="007B6175">
              <w:t>Dispensed price for maximum quantity</w:t>
            </w:r>
          </w:p>
        </w:tc>
        <w:tc>
          <w:tcPr>
            <w:tcW w:w="0" w:type="auto"/>
            <w:tcMar>
              <w:top w:w="0" w:type="dxa"/>
              <w:left w:w="108" w:type="dxa"/>
              <w:bottom w:w="0" w:type="dxa"/>
              <w:right w:w="108" w:type="dxa"/>
            </w:tcMar>
            <w:vAlign w:val="center"/>
            <w:hideMark/>
          </w:tcPr>
          <w:p w14:paraId="27A78B8B" w14:textId="77777777" w:rsidR="00BF00E1" w:rsidRPr="007B6175" w:rsidRDefault="00BF00E1" w:rsidP="005D4AF3">
            <w:pPr>
              <w:pStyle w:val="TableFigureCaption"/>
              <w:jc w:val="center"/>
            </w:pPr>
            <w:r w:rsidRPr="007B6175">
              <w:t>Proprietary name and manufacturer</w:t>
            </w:r>
          </w:p>
        </w:tc>
      </w:tr>
      <w:tr w:rsidR="00667C74" w:rsidRPr="007B6175" w14:paraId="3D2F1F70" w14:textId="77777777" w:rsidTr="00667C74">
        <w:tc>
          <w:tcPr>
            <w:tcW w:w="1256" w:type="pct"/>
            <w:tcMar>
              <w:top w:w="0" w:type="dxa"/>
              <w:left w:w="108" w:type="dxa"/>
              <w:bottom w:w="0" w:type="dxa"/>
              <w:right w:w="108" w:type="dxa"/>
            </w:tcMar>
            <w:vAlign w:val="center"/>
            <w:hideMark/>
          </w:tcPr>
          <w:p w14:paraId="7BBD374C" w14:textId="1196E05B" w:rsidR="00BF00E1" w:rsidRPr="007B6175" w:rsidRDefault="00BF00E1" w:rsidP="005D4AF3">
            <w:pPr>
              <w:pStyle w:val="TableText"/>
              <w:rPr>
                <w:b/>
              </w:rPr>
            </w:pPr>
            <w:r w:rsidRPr="007B6175">
              <w:rPr>
                <w:b/>
                <w:bCs w:val="0"/>
              </w:rPr>
              <w:t>Initial</w:t>
            </w:r>
          </w:p>
        </w:tc>
        <w:tc>
          <w:tcPr>
            <w:tcW w:w="707" w:type="pct"/>
            <w:tcMar>
              <w:top w:w="0" w:type="dxa"/>
              <w:left w:w="108" w:type="dxa"/>
              <w:bottom w:w="0" w:type="dxa"/>
              <w:right w:w="108" w:type="dxa"/>
            </w:tcMar>
            <w:vAlign w:val="center"/>
          </w:tcPr>
          <w:p w14:paraId="24FF4663" w14:textId="77777777" w:rsidR="00BF00E1" w:rsidRPr="007B6175" w:rsidRDefault="00BF00E1" w:rsidP="005D4AF3">
            <w:pPr>
              <w:pStyle w:val="TableText"/>
              <w:jc w:val="center"/>
              <w:rPr>
                <w:rFonts w:ascii="Times" w:hAnsi="Times" w:cs="Times"/>
                <w:bCs w:val="0"/>
              </w:rPr>
            </w:pPr>
          </w:p>
        </w:tc>
        <w:tc>
          <w:tcPr>
            <w:tcW w:w="549" w:type="pct"/>
            <w:tcMar>
              <w:top w:w="0" w:type="dxa"/>
              <w:left w:w="108" w:type="dxa"/>
              <w:bottom w:w="0" w:type="dxa"/>
              <w:right w:w="108" w:type="dxa"/>
            </w:tcMar>
            <w:vAlign w:val="center"/>
          </w:tcPr>
          <w:p w14:paraId="703C0D78" w14:textId="77777777" w:rsidR="00BF00E1" w:rsidRPr="007B6175" w:rsidRDefault="00BF00E1" w:rsidP="005D4AF3">
            <w:pPr>
              <w:pStyle w:val="TableText"/>
              <w:jc w:val="center"/>
              <w:rPr>
                <w:rFonts w:ascii="Times" w:hAnsi="Times" w:cs="Times"/>
              </w:rPr>
            </w:pPr>
          </w:p>
        </w:tc>
        <w:tc>
          <w:tcPr>
            <w:tcW w:w="471" w:type="pct"/>
            <w:tcMar>
              <w:top w:w="0" w:type="dxa"/>
              <w:left w:w="108" w:type="dxa"/>
              <w:bottom w:w="0" w:type="dxa"/>
              <w:right w:w="108" w:type="dxa"/>
            </w:tcMar>
            <w:vAlign w:val="center"/>
          </w:tcPr>
          <w:p w14:paraId="4ADD95B3" w14:textId="77777777" w:rsidR="00BF00E1" w:rsidRPr="007B6175" w:rsidRDefault="00BF00E1" w:rsidP="005D4AF3">
            <w:pPr>
              <w:pStyle w:val="TableText"/>
              <w:jc w:val="center"/>
              <w:rPr>
                <w:rFonts w:ascii="Times" w:hAnsi="Times" w:cs="Times"/>
              </w:rPr>
            </w:pPr>
          </w:p>
        </w:tc>
        <w:tc>
          <w:tcPr>
            <w:tcW w:w="1060" w:type="pct"/>
            <w:tcMar>
              <w:top w:w="0" w:type="dxa"/>
              <w:left w:w="108" w:type="dxa"/>
              <w:bottom w:w="0" w:type="dxa"/>
              <w:right w:w="108" w:type="dxa"/>
            </w:tcMar>
            <w:vAlign w:val="center"/>
          </w:tcPr>
          <w:p w14:paraId="31C4DD74" w14:textId="77777777" w:rsidR="00BF00E1" w:rsidRPr="007B6175" w:rsidRDefault="00BF00E1" w:rsidP="005D4AF3">
            <w:pPr>
              <w:pStyle w:val="TableText"/>
              <w:rPr>
                <w:rFonts w:ascii="Times" w:hAnsi="Times" w:cs="Times"/>
              </w:rPr>
            </w:pPr>
          </w:p>
        </w:tc>
        <w:tc>
          <w:tcPr>
            <w:tcW w:w="0" w:type="auto"/>
            <w:tcMar>
              <w:top w:w="0" w:type="dxa"/>
              <w:left w:w="108" w:type="dxa"/>
              <w:bottom w:w="0" w:type="dxa"/>
              <w:right w:w="108" w:type="dxa"/>
            </w:tcMar>
            <w:vAlign w:val="center"/>
          </w:tcPr>
          <w:p w14:paraId="6870746B" w14:textId="77777777" w:rsidR="00BF00E1" w:rsidRPr="007B6175" w:rsidRDefault="00BF00E1" w:rsidP="005D4AF3">
            <w:pPr>
              <w:pStyle w:val="TableText"/>
              <w:rPr>
                <w:rFonts w:ascii="Times" w:hAnsi="Times" w:cs="Times"/>
              </w:rPr>
            </w:pPr>
          </w:p>
        </w:tc>
      </w:tr>
      <w:tr w:rsidR="00667C74" w:rsidRPr="007B6175" w14:paraId="0BB8406F" w14:textId="77777777" w:rsidTr="00667C74">
        <w:tc>
          <w:tcPr>
            <w:tcW w:w="1256" w:type="pct"/>
            <w:tcMar>
              <w:top w:w="0" w:type="dxa"/>
              <w:left w:w="108" w:type="dxa"/>
              <w:bottom w:w="0" w:type="dxa"/>
              <w:right w:w="108" w:type="dxa"/>
            </w:tcMar>
            <w:vAlign w:val="center"/>
            <w:hideMark/>
          </w:tcPr>
          <w:p w14:paraId="53D5DB1C" w14:textId="77777777" w:rsidR="00BF00E1" w:rsidRPr="007B6175" w:rsidRDefault="00BF00E1" w:rsidP="005D4AF3">
            <w:pPr>
              <w:pStyle w:val="TableText"/>
              <w:rPr>
                <w:rFonts w:cs="Times New Roman"/>
              </w:rPr>
            </w:pPr>
            <w:proofErr w:type="spellStart"/>
            <w:r w:rsidRPr="007B6175">
              <w:rPr>
                <w:smallCaps/>
              </w:rPr>
              <w:t>Galcanezumab</w:t>
            </w:r>
            <w:proofErr w:type="spellEnd"/>
          </w:p>
          <w:p w14:paraId="4E43AFB1" w14:textId="77777777" w:rsidR="00BF00E1" w:rsidRPr="007B6175" w:rsidRDefault="00BF00E1" w:rsidP="005D4AF3">
            <w:pPr>
              <w:pStyle w:val="TableText"/>
              <w:rPr>
                <w:smallCaps/>
              </w:rPr>
            </w:pPr>
            <w:r w:rsidRPr="007B6175">
              <w:t>120 mg / 1 mL solution for injection, pre-filled pen</w:t>
            </w:r>
          </w:p>
        </w:tc>
        <w:tc>
          <w:tcPr>
            <w:tcW w:w="707" w:type="pct"/>
            <w:tcMar>
              <w:top w:w="0" w:type="dxa"/>
              <w:left w:w="108" w:type="dxa"/>
              <w:bottom w:w="0" w:type="dxa"/>
              <w:right w:w="108" w:type="dxa"/>
            </w:tcMar>
            <w:vAlign w:val="center"/>
            <w:hideMark/>
          </w:tcPr>
          <w:p w14:paraId="15B7F012" w14:textId="77777777" w:rsidR="00BF00E1" w:rsidRPr="007B6175" w:rsidRDefault="00BF00E1" w:rsidP="005D4AF3">
            <w:pPr>
              <w:pStyle w:val="TableText"/>
              <w:jc w:val="center"/>
            </w:pPr>
            <w:r w:rsidRPr="007B6175">
              <w:t>2</w:t>
            </w:r>
          </w:p>
        </w:tc>
        <w:tc>
          <w:tcPr>
            <w:tcW w:w="549" w:type="pct"/>
            <w:tcMar>
              <w:top w:w="0" w:type="dxa"/>
              <w:left w:w="108" w:type="dxa"/>
              <w:bottom w:w="0" w:type="dxa"/>
              <w:right w:w="108" w:type="dxa"/>
            </w:tcMar>
            <w:vAlign w:val="center"/>
            <w:hideMark/>
          </w:tcPr>
          <w:p w14:paraId="4C81A30D" w14:textId="77777777" w:rsidR="00BF00E1" w:rsidRPr="007B6175" w:rsidRDefault="00BF00E1" w:rsidP="005D4AF3">
            <w:pPr>
              <w:pStyle w:val="TableText"/>
              <w:jc w:val="center"/>
            </w:pPr>
            <w:r w:rsidRPr="007B6175">
              <w:t>2</w:t>
            </w:r>
          </w:p>
        </w:tc>
        <w:tc>
          <w:tcPr>
            <w:tcW w:w="471" w:type="pct"/>
            <w:tcMar>
              <w:top w:w="0" w:type="dxa"/>
              <w:left w:w="108" w:type="dxa"/>
              <w:bottom w:w="0" w:type="dxa"/>
              <w:right w:w="108" w:type="dxa"/>
            </w:tcMar>
            <w:vAlign w:val="center"/>
            <w:hideMark/>
          </w:tcPr>
          <w:p w14:paraId="245912A0" w14:textId="2E8BE01C" w:rsidR="00BF00E1" w:rsidRPr="007B6175" w:rsidRDefault="00215C86" w:rsidP="005D4AF3">
            <w:pPr>
              <w:pStyle w:val="TableText"/>
              <w:jc w:val="center"/>
            </w:pPr>
            <w:r w:rsidRPr="007B6175">
              <w:t>1</w:t>
            </w:r>
          </w:p>
        </w:tc>
        <w:tc>
          <w:tcPr>
            <w:tcW w:w="1060" w:type="pct"/>
            <w:tcMar>
              <w:top w:w="0" w:type="dxa"/>
              <w:left w:w="108" w:type="dxa"/>
              <w:bottom w:w="0" w:type="dxa"/>
              <w:right w:w="108" w:type="dxa"/>
            </w:tcMar>
            <w:vAlign w:val="center"/>
            <w:hideMark/>
          </w:tcPr>
          <w:p w14:paraId="4C149506" w14:textId="77777777" w:rsidR="00215C86" w:rsidRPr="007B6175" w:rsidRDefault="00215C86" w:rsidP="005D4AF3">
            <w:pPr>
              <w:pStyle w:val="TableText"/>
              <w:jc w:val="center"/>
            </w:pPr>
            <w:r w:rsidRPr="007B6175">
              <w:t>$1110.96 (published)</w:t>
            </w:r>
          </w:p>
          <w:p w14:paraId="2512CCF6" w14:textId="61D921B7" w:rsidR="00BF00E1" w:rsidRPr="007B6175" w:rsidRDefault="00215C86" w:rsidP="005D4AF3">
            <w:pPr>
              <w:pStyle w:val="TableText"/>
              <w:jc w:val="center"/>
            </w:pPr>
            <w:r w:rsidRPr="007B6175">
              <w:t>$</w:t>
            </w:r>
            <w:r w:rsidR="004C3CC2" w:rsidRPr="004C3CC2">
              <w:rPr>
                <w:rFonts w:hint="eastAsia"/>
                <w:color w:val="000000"/>
                <w:w w:val="29"/>
                <w:shd w:val="solid" w:color="000000" w:fill="000000"/>
                <w:fitText w:val="130" w:id="-1504954363"/>
                <w14:textFill>
                  <w14:solidFill>
                    <w14:srgbClr w14:val="000000">
                      <w14:alpha w14:val="100000"/>
                    </w14:srgbClr>
                  </w14:solidFill>
                </w14:textFill>
              </w:rPr>
              <w:t xml:space="preserve">　</w:t>
            </w:r>
            <w:proofErr w:type="gramStart"/>
            <w:r w:rsidR="004C3CC2" w:rsidRPr="004C3CC2">
              <w:rPr>
                <w:color w:val="000000"/>
                <w:w w:val="29"/>
                <w:shd w:val="solid" w:color="000000" w:fill="000000"/>
                <w:fitText w:val="130" w:id="-1504954363"/>
                <w14:textFill>
                  <w14:solidFill>
                    <w14:srgbClr w14:val="000000">
                      <w14:alpha w14:val="100000"/>
                    </w14:srgbClr>
                  </w14:solidFill>
                </w14:textFill>
              </w:rPr>
              <w:t>|</w:t>
            </w:r>
            <w:r w:rsidR="004C3CC2" w:rsidRPr="004C3CC2">
              <w:rPr>
                <w:rFonts w:hint="eastAsia"/>
                <w:color w:val="000000"/>
                <w:spacing w:val="2"/>
                <w:w w:val="29"/>
                <w:shd w:val="solid" w:color="000000" w:fill="000000"/>
                <w:fitText w:val="130" w:id="-1504954363"/>
                <w14:textFill>
                  <w14:solidFill>
                    <w14:srgbClr w14:val="000000">
                      <w14:alpha w14:val="100000"/>
                    </w14:srgbClr>
                  </w14:solidFill>
                </w14:textFill>
              </w:rPr>
              <w:t xml:space="preserve">　</w:t>
            </w:r>
            <w:r w:rsidRPr="007B6175">
              <w:t xml:space="preserve"> (</w:t>
            </w:r>
            <w:proofErr w:type="gramEnd"/>
            <w:r w:rsidRPr="007B6175">
              <w:t>effective)</w:t>
            </w:r>
          </w:p>
        </w:tc>
        <w:tc>
          <w:tcPr>
            <w:tcW w:w="0" w:type="auto"/>
            <w:tcMar>
              <w:top w:w="0" w:type="dxa"/>
              <w:left w:w="108" w:type="dxa"/>
              <w:bottom w:w="0" w:type="dxa"/>
              <w:right w:w="108" w:type="dxa"/>
            </w:tcMar>
            <w:vAlign w:val="center"/>
            <w:hideMark/>
          </w:tcPr>
          <w:p w14:paraId="4CF1DED8" w14:textId="77777777" w:rsidR="00714815" w:rsidRPr="007B6175" w:rsidRDefault="00714815" w:rsidP="005D4AF3">
            <w:pPr>
              <w:pStyle w:val="TableText"/>
              <w:keepLines/>
              <w:jc w:val="center"/>
            </w:pPr>
            <w:proofErr w:type="spellStart"/>
            <w:r w:rsidRPr="007B6175">
              <w:t>Emgality</w:t>
            </w:r>
            <w:proofErr w:type="spellEnd"/>
            <w:r w:rsidRPr="007B6175">
              <w:rPr>
                <w:vertAlign w:val="superscript"/>
              </w:rPr>
              <w:t>®</w:t>
            </w:r>
            <w:r w:rsidRPr="007B6175">
              <w:t>,</w:t>
            </w:r>
          </w:p>
          <w:p w14:paraId="75FEEA85" w14:textId="77777777" w:rsidR="00714815" w:rsidRPr="007B6175" w:rsidRDefault="00714815" w:rsidP="005D4AF3">
            <w:pPr>
              <w:pStyle w:val="TableText"/>
              <w:keepLines/>
              <w:jc w:val="center"/>
            </w:pPr>
            <w:r w:rsidRPr="007B6175">
              <w:t>Eli Lilly</w:t>
            </w:r>
          </w:p>
          <w:p w14:paraId="5D4DC62B" w14:textId="4F77D94A" w:rsidR="00BF00E1" w:rsidRPr="007B6175" w:rsidRDefault="00714815" w:rsidP="005D4AF3">
            <w:pPr>
              <w:pStyle w:val="TableText"/>
              <w:jc w:val="center"/>
            </w:pPr>
            <w:r w:rsidRPr="007B6175">
              <w:t>Australia Pty Ltd</w:t>
            </w:r>
          </w:p>
        </w:tc>
      </w:tr>
      <w:tr w:rsidR="00667C74" w:rsidRPr="007B6175" w14:paraId="0F7A1FF0" w14:textId="77777777" w:rsidTr="00667C74">
        <w:tc>
          <w:tcPr>
            <w:tcW w:w="1256" w:type="pct"/>
            <w:tcMar>
              <w:top w:w="0" w:type="dxa"/>
              <w:left w:w="108" w:type="dxa"/>
              <w:bottom w:w="0" w:type="dxa"/>
              <w:right w:w="108" w:type="dxa"/>
            </w:tcMar>
            <w:vAlign w:val="center"/>
            <w:hideMark/>
          </w:tcPr>
          <w:p w14:paraId="368C8983" w14:textId="2D848876" w:rsidR="00BF00E1" w:rsidRPr="007B6175" w:rsidRDefault="00714815" w:rsidP="005D4AF3">
            <w:pPr>
              <w:pStyle w:val="TableText"/>
              <w:rPr>
                <w:b/>
              </w:rPr>
            </w:pPr>
            <w:r w:rsidRPr="007B6175">
              <w:rPr>
                <w:b/>
                <w:bCs w:val="0"/>
              </w:rPr>
              <w:t>Continuing</w:t>
            </w:r>
          </w:p>
        </w:tc>
        <w:tc>
          <w:tcPr>
            <w:tcW w:w="707" w:type="pct"/>
            <w:tcMar>
              <w:top w:w="0" w:type="dxa"/>
              <w:left w:w="108" w:type="dxa"/>
              <w:bottom w:w="0" w:type="dxa"/>
              <w:right w:w="108" w:type="dxa"/>
            </w:tcMar>
            <w:vAlign w:val="center"/>
          </w:tcPr>
          <w:p w14:paraId="4884405B" w14:textId="77777777" w:rsidR="00BF00E1" w:rsidRPr="007B6175" w:rsidRDefault="00BF00E1" w:rsidP="005D4AF3">
            <w:pPr>
              <w:pStyle w:val="TableText"/>
              <w:jc w:val="center"/>
              <w:rPr>
                <w:bCs w:val="0"/>
              </w:rPr>
            </w:pPr>
          </w:p>
        </w:tc>
        <w:tc>
          <w:tcPr>
            <w:tcW w:w="549" w:type="pct"/>
            <w:tcMar>
              <w:top w:w="0" w:type="dxa"/>
              <w:left w:w="108" w:type="dxa"/>
              <w:bottom w:w="0" w:type="dxa"/>
              <w:right w:w="108" w:type="dxa"/>
            </w:tcMar>
            <w:vAlign w:val="center"/>
          </w:tcPr>
          <w:p w14:paraId="14A5ADC4" w14:textId="77777777" w:rsidR="00BF00E1" w:rsidRPr="007B6175" w:rsidRDefault="00BF00E1" w:rsidP="005D4AF3">
            <w:pPr>
              <w:pStyle w:val="TableText"/>
              <w:jc w:val="center"/>
            </w:pPr>
          </w:p>
        </w:tc>
        <w:tc>
          <w:tcPr>
            <w:tcW w:w="471" w:type="pct"/>
            <w:tcMar>
              <w:top w:w="0" w:type="dxa"/>
              <w:left w:w="108" w:type="dxa"/>
              <w:bottom w:w="0" w:type="dxa"/>
              <w:right w:w="108" w:type="dxa"/>
            </w:tcMar>
            <w:vAlign w:val="center"/>
          </w:tcPr>
          <w:p w14:paraId="3307EF5A" w14:textId="77777777" w:rsidR="00BF00E1" w:rsidRPr="007B6175" w:rsidRDefault="00BF00E1" w:rsidP="005D4AF3">
            <w:pPr>
              <w:pStyle w:val="TableText"/>
              <w:jc w:val="center"/>
            </w:pPr>
          </w:p>
        </w:tc>
        <w:tc>
          <w:tcPr>
            <w:tcW w:w="1060" w:type="pct"/>
            <w:tcMar>
              <w:top w:w="0" w:type="dxa"/>
              <w:left w:w="108" w:type="dxa"/>
              <w:bottom w:w="0" w:type="dxa"/>
              <w:right w:w="108" w:type="dxa"/>
            </w:tcMar>
            <w:vAlign w:val="center"/>
          </w:tcPr>
          <w:p w14:paraId="52761D8C" w14:textId="77777777" w:rsidR="00BF00E1" w:rsidRPr="007B6175" w:rsidRDefault="00BF00E1" w:rsidP="005D4AF3">
            <w:pPr>
              <w:pStyle w:val="TableText"/>
            </w:pPr>
          </w:p>
        </w:tc>
        <w:tc>
          <w:tcPr>
            <w:tcW w:w="0" w:type="auto"/>
            <w:tcMar>
              <w:top w:w="0" w:type="dxa"/>
              <w:left w:w="108" w:type="dxa"/>
              <w:bottom w:w="0" w:type="dxa"/>
              <w:right w:w="108" w:type="dxa"/>
            </w:tcMar>
            <w:vAlign w:val="center"/>
          </w:tcPr>
          <w:p w14:paraId="18585323" w14:textId="77777777" w:rsidR="00BF00E1" w:rsidRPr="007B6175" w:rsidRDefault="00BF00E1" w:rsidP="005D4AF3">
            <w:pPr>
              <w:pStyle w:val="TableText"/>
            </w:pPr>
          </w:p>
        </w:tc>
      </w:tr>
      <w:tr w:rsidR="00667C74" w:rsidRPr="007B6175" w14:paraId="39D29C64" w14:textId="77777777" w:rsidTr="00667C74">
        <w:tc>
          <w:tcPr>
            <w:tcW w:w="1256" w:type="pct"/>
            <w:tcMar>
              <w:top w:w="0" w:type="dxa"/>
              <w:left w:w="108" w:type="dxa"/>
              <w:bottom w:w="0" w:type="dxa"/>
              <w:right w:w="108" w:type="dxa"/>
            </w:tcMar>
            <w:vAlign w:val="center"/>
            <w:hideMark/>
          </w:tcPr>
          <w:p w14:paraId="5B27F2D5" w14:textId="77777777" w:rsidR="00BF00E1" w:rsidRPr="007B6175" w:rsidRDefault="00BF00E1" w:rsidP="005D4AF3">
            <w:pPr>
              <w:pStyle w:val="TableText"/>
            </w:pPr>
            <w:proofErr w:type="spellStart"/>
            <w:r w:rsidRPr="007B6175">
              <w:rPr>
                <w:smallCaps/>
              </w:rPr>
              <w:t>Galcanezumab</w:t>
            </w:r>
            <w:proofErr w:type="spellEnd"/>
          </w:p>
          <w:p w14:paraId="269BBB82" w14:textId="77777777" w:rsidR="00BF00E1" w:rsidRPr="007B6175" w:rsidRDefault="00BF00E1" w:rsidP="005D4AF3">
            <w:pPr>
              <w:pStyle w:val="TableText"/>
            </w:pPr>
            <w:r w:rsidRPr="007B6175">
              <w:t>120 mg / 1 mL solution for injection, pre-filled pen</w:t>
            </w:r>
          </w:p>
        </w:tc>
        <w:tc>
          <w:tcPr>
            <w:tcW w:w="707" w:type="pct"/>
            <w:tcMar>
              <w:top w:w="0" w:type="dxa"/>
              <w:left w:w="108" w:type="dxa"/>
              <w:bottom w:w="0" w:type="dxa"/>
              <w:right w:w="108" w:type="dxa"/>
            </w:tcMar>
            <w:vAlign w:val="center"/>
            <w:hideMark/>
          </w:tcPr>
          <w:p w14:paraId="3F7533CE" w14:textId="77777777" w:rsidR="00BF00E1" w:rsidRPr="007B6175" w:rsidRDefault="00BF00E1" w:rsidP="005D4AF3">
            <w:pPr>
              <w:pStyle w:val="TableText"/>
              <w:jc w:val="center"/>
            </w:pPr>
            <w:r w:rsidRPr="007B6175">
              <w:t>1</w:t>
            </w:r>
          </w:p>
        </w:tc>
        <w:tc>
          <w:tcPr>
            <w:tcW w:w="549" w:type="pct"/>
            <w:tcMar>
              <w:top w:w="0" w:type="dxa"/>
              <w:left w:w="108" w:type="dxa"/>
              <w:bottom w:w="0" w:type="dxa"/>
              <w:right w:w="108" w:type="dxa"/>
            </w:tcMar>
            <w:vAlign w:val="center"/>
            <w:hideMark/>
          </w:tcPr>
          <w:p w14:paraId="0E514DEA" w14:textId="77777777" w:rsidR="00BF00E1" w:rsidRPr="007B6175" w:rsidRDefault="00BF00E1" w:rsidP="005D4AF3">
            <w:pPr>
              <w:pStyle w:val="TableText"/>
              <w:jc w:val="center"/>
            </w:pPr>
            <w:r w:rsidRPr="007B6175">
              <w:t>1</w:t>
            </w:r>
          </w:p>
        </w:tc>
        <w:tc>
          <w:tcPr>
            <w:tcW w:w="471" w:type="pct"/>
            <w:tcMar>
              <w:top w:w="0" w:type="dxa"/>
              <w:left w:w="108" w:type="dxa"/>
              <w:bottom w:w="0" w:type="dxa"/>
              <w:right w:w="108" w:type="dxa"/>
            </w:tcMar>
            <w:vAlign w:val="center"/>
            <w:hideMark/>
          </w:tcPr>
          <w:p w14:paraId="6026C8F2" w14:textId="072EAC3D" w:rsidR="00BF00E1" w:rsidRPr="007B6175" w:rsidRDefault="00714815" w:rsidP="005D4AF3">
            <w:pPr>
              <w:pStyle w:val="TableText"/>
              <w:jc w:val="center"/>
            </w:pPr>
            <w:r w:rsidRPr="007B6175">
              <w:t>5</w:t>
            </w:r>
          </w:p>
        </w:tc>
        <w:tc>
          <w:tcPr>
            <w:tcW w:w="1060" w:type="pct"/>
            <w:tcMar>
              <w:top w:w="0" w:type="dxa"/>
              <w:left w:w="108" w:type="dxa"/>
              <w:bottom w:w="0" w:type="dxa"/>
              <w:right w:w="108" w:type="dxa"/>
            </w:tcMar>
            <w:vAlign w:val="center"/>
            <w:hideMark/>
          </w:tcPr>
          <w:p w14:paraId="681B6682" w14:textId="77777777" w:rsidR="00714815" w:rsidRPr="007B6175" w:rsidRDefault="00714815" w:rsidP="005D4AF3">
            <w:pPr>
              <w:pStyle w:val="TableText"/>
            </w:pPr>
            <w:r w:rsidRPr="007B6175">
              <w:t>$569.96 (published)</w:t>
            </w:r>
          </w:p>
          <w:p w14:paraId="21BD2882" w14:textId="6E2D2258" w:rsidR="00BF00E1" w:rsidRPr="007B6175" w:rsidRDefault="00714815" w:rsidP="005D4AF3">
            <w:pPr>
              <w:pStyle w:val="TableText"/>
            </w:pPr>
            <w:r w:rsidRPr="007B6175">
              <w:t>$</w:t>
            </w:r>
            <w:r w:rsidR="004C3CC2" w:rsidRPr="004C3CC2">
              <w:rPr>
                <w:color w:val="000000"/>
                <w:spacing w:val="53"/>
                <w:shd w:val="solid" w:color="000000" w:fill="000000"/>
                <w:fitText w:val="330" w:id="-1504954362"/>
                <w14:textFill>
                  <w14:solidFill>
                    <w14:srgbClr w14:val="000000">
                      <w14:alpha w14:val="100000"/>
                    </w14:srgbClr>
                  </w14:solidFill>
                </w14:textFill>
              </w:rPr>
              <w:t>|||</w:t>
            </w:r>
            <w:r w:rsidR="004C3CC2" w:rsidRPr="004C3CC2">
              <w:rPr>
                <w:color w:val="000000"/>
                <w:spacing w:val="1"/>
                <w:shd w:val="solid" w:color="000000" w:fill="000000"/>
                <w:fitText w:val="330" w:id="-1504954362"/>
                <w14:textFill>
                  <w14:solidFill>
                    <w14:srgbClr w14:val="000000">
                      <w14:alpha w14:val="100000"/>
                    </w14:srgbClr>
                  </w14:solidFill>
                </w14:textFill>
              </w:rPr>
              <w:t>|</w:t>
            </w:r>
            <w:r w:rsidRPr="007B6175">
              <w:t xml:space="preserve"> (effective)</w:t>
            </w:r>
          </w:p>
        </w:tc>
        <w:tc>
          <w:tcPr>
            <w:tcW w:w="0" w:type="auto"/>
            <w:tcMar>
              <w:top w:w="0" w:type="dxa"/>
              <w:left w:w="108" w:type="dxa"/>
              <w:bottom w:w="0" w:type="dxa"/>
              <w:right w:w="108" w:type="dxa"/>
            </w:tcMar>
            <w:vAlign w:val="center"/>
            <w:hideMark/>
          </w:tcPr>
          <w:p w14:paraId="4A8C3C10" w14:textId="77777777" w:rsidR="00714815" w:rsidRPr="007B6175" w:rsidRDefault="00714815" w:rsidP="005D4AF3">
            <w:pPr>
              <w:pStyle w:val="TableText"/>
              <w:keepLines/>
              <w:jc w:val="center"/>
            </w:pPr>
            <w:proofErr w:type="spellStart"/>
            <w:r w:rsidRPr="007B6175">
              <w:t>Emgality</w:t>
            </w:r>
            <w:proofErr w:type="spellEnd"/>
            <w:r w:rsidRPr="007B6175">
              <w:rPr>
                <w:vertAlign w:val="superscript"/>
              </w:rPr>
              <w:t>®</w:t>
            </w:r>
            <w:r w:rsidRPr="007B6175">
              <w:t>,</w:t>
            </w:r>
          </w:p>
          <w:p w14:paraId="00E9213C" w14:textId="77777777" w:rsidR="00714815" w:rsidRPr="007B6175" w:rsidRDefault="00714815" w:rsidP="005D4AF3">
            <w:pPr>
              <w:pStyle w:val="TableText"/>
              <w:keepLines/>
              <w:jc w:val="center"/>
            </w:pPr>
            <w:r w:rsidRPr="007B6175">
              <w:t>Eli Lilly</w:t>
            </w:r>
          </w:p>
          <w:p w14:paraId="70C7BE0B" w14:textId="0AACB219" w:rsidR="00BF00E1" w:rsidRPr="007B6175" w:rsidRDefault="00714815" w:rsidP="005D4AF3">
            <w:pPr>
              <w:pStyle w:val="TableText"/>
              <w:jc w:val="center"/>
            </w:pPr>
            <w:r w:rsidRPr="007B6175">
              <w:t>Australia Pty Ltd</w:t>
            </w:r>
          </w:p>
        </w:tc>
      </w:tr>
    </w:tbl>
    <w:p w14:paraId="1F58EDA2" w14:textId="77777777" w:rsidR="00BF00E1" w:rsidRPr="007B6175" w:rsidRDefault="00BF00E1" w:rsidP="00BF00E1">
      <w:pPr>
        <w:pStyle w:val="TableFigureCaption"/>
        <w:rPr>
          <w:sz w:val="10"/>
        </w:rPr>
      </w:pPr>
    </w:p>
    <w:tbl>
      <w:tblPr>
        <w:tblW w:w="5000" w:type="pct"/>
        <w:tblLook w:val="0000" w:firstRow="0" w:lastRow="0" w:firstColumn="0" w:lastColumn="0" w:noHBand="0" w:noVBand="0"/>
      </w:tblPr>
      <w:tblGrid>
        <w:gridCol w:w="1980"/>
        <w:gridCol w:w="7037"/>
      </w:tblGrid>
      <w:tr w:rsidR="00BF00E1" w:rsidRPr="007B6175" w14:paraId="20421AD7" w14:textId="77777777" w:rsidTr="00845E08">
        <w:trPr>
          <w:cantSplit/>
        </w:trPr>
        <w:tc>
          <w:tcPr>
            <w:tcW w:w="1098" w:type="pct"/>
            <w:tcBorders>
              <w:top w:val="single" w:sz="4" w:space="0" w:color="auto"/>
              <w:left w:val="single" w:sz="4" w:space="0" w:color="auto"/>
              <w:bottom w:val="single" w:sz="4" w:space="0" w:color="auto"/>
              <w:right w:val="single" w:sz="4" w:space="0" w:color="auto"/>
            </w:tcBorders>
          </w:tcPr>
          <w:p w14:paraId="31A12B4E" w14:textId="77777777" w:rsidR="00BF00E1" w:rsidRPr="007B6175" w:rsidRDefault="00BF00E1" w:rsidP="00845E08">
            <w:pPr>
              <w:pStyle w:val="TableText"/>
              <w:rPr>
                <w:b/>
              </w:rPr>
            </w:pPr>
            <w:r w:rsidRPr="007B6175">
              <w:rPr>
                <w:b/>
              </w:rPr>
              <w:t>Category / Program:</w:t>
            </w:r>
          </w:p>
        </w:tc>
        <w:tc>
          <w:tcPr>
            <w:tcW w:w="3902" w:type="pct"/>
            <w:tcBorders>
              <w:top w:val="single" w:sz="4" w:space="0" w:color="auto"/>
              <w:left w:val="single" w:sz="4" w:space="0" w:color="auto"/>
              <w:bottom w:val="single" w:sz="4" w:space="0" w:color="auto"/>
              <w:right w:val="single" w:sz="4" w:space="0" w:color="auto"/>
            </w:tcBorders>
          </w:tcPr>
          <w:p w14:paraId="0F0725CE" w14:textId="77777777" w:rsidR="00BF00E1" w:rsidRPr="007B6175" w:rsidRDefault="00BF00E1" w:rsidP="00845E08">
            <w:pPr>
              <w:pStyle w:val="TableText"/>
            </w:pPr>
            <w:r w:rsidRPr="007B6175">
              <w:t>GENERAL – General Schedule (Code GE)</w:t>
            </w:r>
          </w:p>
        </w:tc>
      </w:tr>
      <w:tr w:rsidR="00BF00E1" w:rsidRPr="007B6175" w14:paraId="10982BD6" w14:textId="77777777" w:rsidTr="00845E08">
        <w:trPr>
          <w:cantSplit/>
        </w:trPr>
        <w:tc>
          <w:tcPr>
            <w:tcW w:w="1098" w:type="pct"/>
            <w:tcBorders>
              <w:top w:val="single" w:sz="4" w:space="0" w:color="auto"/>
              <w:left w:val="single" w:sz="4" w:space="0" w:color="auto"/>
              <w:bottom w:val="single" w:sz="4" w:space="0" w:color="auto"/>
              <w:right w:val="single" w:sz="4" w:space="0" w:color="auto"/>
            </w:tcBorders>
          </w:tcPr>
          <w:p w14:paraId="230C7D21" w14:textId="77777777" w:rsidR="00BF00E1" w:rsidRPr="007B6175" w:rsidRDefault="00BF00E1" w:rsidP="00845E08">
            <w:pPr>
              <w:pStyle w:val="TableText"/>
              <w:rPr>
                <w:b/>
              </w:rPr>
            </w:pPr>
            <w:r w:rsidRPr="007B6175">
              <w:rPr>
                <w:b/>
              </w:rPr>
              <w:t>Prescriber type:</w:t>
            </w:r>
          </w:p>
        </w:tc>
        <w:tc>
          <w:tcPr>
            <w:tcW w:w="3902" w:type="pct"/>
            <w:tcBorders>
              <w:top w:val="single" w:sz="4" w:space="0" w:color="auto"/>
              <w:left w:val="single" w:sz="4" w:space="0" w:color="auto"/>
              <w:bottom w:val="single" w:sz="4" w:space="0" w:color="auto"/>
              <w:right w:val="single" w:sz="4" w:space="0" w:color="auto"/>
            </w:tcBorders>
          </w:tcPr>
          <w:p w14:paraId="3129185B" w14:textId="307C3C9F" w:rsidR="00BF00E1" w:rsidRPr="007B6175" w:rsidRDefault="00BF00E1" w:rsidP="00845E08">
            <w:pPr>
              <w:pStyle w:val="TableText"/>
            </w:pPr>
            <w:r w:rsidRPr="007B6175">
              <w:t>Medical Practitioners</w:t>
            </w:r>
          </w:p>
        </w:tc>
      </w:tr>
      <w:tr w:rsidR="00BF00E1" w:rsidRPr="007B6175" w14:paraId="64FA0B8E" w14:textId="77777777" w:rsidTr="00845E08">
        <w:trPr>
          <w:cantSplit/>
        </w:trPr>
        <w:tc>
          <w:tcPr>
            <w:tcW w:w="1098" w:type="pct"/>
            <w:tcBorders>
              <w:top w:val="single" w:sz="4" w:space="0" w:color="auto"/>
              <w:left w:val="single" w:sz="4" w:space="0" w:color="auto"/>
              <w:bottom w:val="single" w:sz="4" w:space="0" w:color="auto"/>
              <w:right w:val="single" w:sz="4" w:space="0" w:color="auto"/>
            </w:tcBorders>
          </w:tcPr>
          <w:p w14:paraId="38D65CE0" w14:textId="77777777" w:rsidR="00BF00E1" w:rsidRPr="007B6175" w:rsidRDefault="00BF00E1" w:rsidP="00845E08">
            <w:pPr>
              <w:pStyle w:val="TableText"/>
              <w:rPr>
                <w:b/>
              </w:rPr>
            </w:pPr>
            <w:r w:rsidRPr="007B6175">
              <w:rPr>
                <w:b/>
              </w:rPr>
              <w:t>Condition:</w:t>
            </w:r>
          </w:p>
        </w:tc>
        <w:tc>
          <w:tcPr>
            <w:tcW w:w="3902" w:type="pct"/>
            <w:tcBorders>
              <w:top w:val="single" w:sz="4" w:space="0" w:color="auto"/>
              <w:left w:val="single" w:sz="4" w:space="0" w:color="auto"/>
              <w:bottom w:val="single" w:sz="4" w:space="0" w:color="auto"/>
              <w:right w:val="single" w:sz="4" w:space="0" w:color="auto"/>
            </w:tcBorders>
          </w:tcPr>
          <w:p w14:paraId="12B5D6B1" w14:textId="77FDD012" w:rsidR="00BF00E1" w:rsidRPr="007B6175" w:rsidRDefault="00667C74" w:rsidP="00845E08">
            <w:pPr>
              <w:pStyle w:val="TableText"/>
            </w:pPr>
            <w:r w:rsidRPr="007B6175">
              <w:t>Treatment-resistant migraine</w:t>
            </w:r>
          </w:p>
        </w:tc>
      </w:tr>
      <w:tr w:rsidR="00BF00E1" w:rsidRPr="007B6175" w14:paraId="0C5A4005" w14:textId="77777777" w:rsidTr="00845E08">
        <w:trPr>
          <w:cantSplit/>
        </w:trPr>
        <w:tc>
          <w:tcPr>
            <w:tcW w:w="1098" w:type="pct"/>
            <w:tcBorders>
              <w:top w:val="single" w:sz="4" w:space="0" w:color="auto"/>
              <w:left w:val="single" w:sz="4" w:space="0" w:color="auto"/>
              <w:bottom w:val="single" w:sz="4" w:space="0" w:color="auto"/>
              <w:right w:val="single" w:sz="4" w:space="0" w:color="auto"/>
            </w:tcBorders>
          </w:tcPr>
          <w:p w14:paraId="679A3CD2" w14:textId="77777777" w:rsidR="00BF00E1" w:rsidRPr="007B6175" w:rsidRDefault="00BF00E1" w:rsidP="00845E08">
            <w:pPr>
              <w:pStyle w:val="TableText"/>
              <w:rPr>
                <w:i/>
              </w:rPr>
            </w:pPr>
            <w:r w:rsidRPr="007B6175">
              <w:rPr>
                <w:b/>
              </w:rPr>
              <w:t>Restriction:</w:t>
            </w:r>
          </w:p>
        </w:tc>
        <w:tc>
          <w:tcPr>
            <w:tcW w:w="3902" w:type="pct"/>
            <w:tcBorders>
              <w:top w:val="single" w:sz="4" w:space="0" w:color="auto"/>
              <w:left w:val="single" w:sz="4" w:space="0" w:color="auto"/>
              <w:bottom w:val="single" w:sz="4" w:space="0" w:color="auto"/>
              <w:right w:val="single" w:sz="4" w:space="0" w:color="auto"/>
            </w:tcBorders>
          </w:tcPr>
          <w:p w14:paraId="231C3642" w14:textId="292E7BA0" w:rsidR="00BF00E1" w:rsidRPr="007B6175" w:rsidRDefault="00BF00E1" w:rsidP="00845E08">
            <w:pPr>
              <w:pStyle w:val="TableText"/>
            </w:pPr>
            <w:r w:rsidRPr="007B6175">
              <w:t>Streamlined</w:t>
            </w:r>
          </w:p>
        </w:tc>
      </w:tr>
      <w:tr w:rsidR="00BF00E1" w:rsidRPr="007B6175" w14:paraId="325AF6D5" w14:textId="77777777" w:rsidTr="00845E08">
        <w:trPr>
          <w:cantSplit/>
        </w:trPr>
        <w:tc>
          <w:tcPr>
            <w:tcW w:w="1098" w:type="pct"/>
            <w:tcBorders>
              <w:top w:val="double" w:sz="4" w:space="0" w:color="auto"/>
              <w:left w:val="single" w:sz="4" w:space="0" w:color="auto"/>
              <w:bottom w:val="single" w:sz="4" w:space="0" w:color="auto"/>
              <w:right w:val="single" w:sz="4" w:space="0" w:color="auto"/>
            </w:tcBorders>
          </w:tcPr>
          <w:p w14:paraId="7097FD2B" w14:textId="77777777" w:rsidR="00BF00E1" w:rsidRPr="007B6175" w:rsidRDefault="00BF00E1" w:rsidP="00845E08">
            <w:pPr>
              <w:pStyle w:val="TableText"/>
              <w:rPr>
                <w:b/>
              </w:rPr>
            </w:pPr>
            <w:r w:rsidRPr="007B6175">
              <w:rPr>
                <w:b/>
              </w:rPr>
              <w:t>Treatment phase:</w:t>
            </w:r>
          </w:p>
        </w:tc>
        <w:tc>
          <w:tcPr>
            <w:tcW w:w="3902" w:type="pct"/>
            <w:tcBorders>
              <w:top w:val="double" w:sz="4" w:space="0" w:color="auto"/>
              <w:left w:val="single" w:sz="4" w:space="0" w:color="auto"/>
              <w:bottom w:val="single" w:sz="4" w:space="0" w:color="auto"/>
              <w:right w:val="single" w:sz="4" w:space="0" w:color="auto"/>
            </w:tcBorders>
          </w:tcPr>
          <w:p w14:paraId="11D84EFD" w14:textId="16587EBE" w:rsidR="00BF00E1" w:rsidRPr="007B6175" w:rsidRDefault="00BF00E1" w:rsidP="00845E08">
            <w:pPr>
              <w:pStyle w:val="TableText"/>
            </w:pPr>
            <w:r w:rsidRPr="007B6175">
              <w:t>Initial</w:t>
            </w:r>
          </w:p>
        </w:tc>
      </w:tr>
      <w:tr w:rsidR="00B77066" w:rsidRPr="007B6175" w14:paraId="2310FE56" w14:textId="77777777" w:rsidTr="00845E08">
        <w:trPr>
          <w:cantSplit/>
        </w:trPr>
        <w:tc>
          <w:tcPr>
            <w:tcW w:w="1098" w:type="pct"/>
            <w:tcBorders>
              <w:top w:val="single" w:sz="4" w:space="0" w:color="auto"/>
              <w:left w:val="single" w:sz="4" w:space="0" w:color="auto"/>
              <w:bottom w:val="single" w:sz="4" w:space="0" w:color="auto"/>
              <w:right w:val="single" w:sz="4" w:space="0" w:color="auto"/>
            </w:tcBorders>
          </w:tcPr>
          <w:p w14:paraId="61187083" w14:textId="24E44073" w:rsidR="00B77066" w:rsidRPr="007B6175" w:rsidRDefault="00B77066" w:rsidP="00845E08">
            <w:pPr>
              <w:pStyle w:val="TableText"/>
              <w:rPr>
                <w:b/>
              </w:rPr>
            </w:pPr>
            <w:r w:rsidRPr="007B6175">
              <w:rPr>
                <w:b/>
              </w:rPr>
              <w:t>Treatment criteria:</w:t>
            </w:r>
          </w:p>
        </w:tc>
        <w:tc>
          <w:tcPr>
            <w:tcW w:w="3902" w:type="pct"/>
            <w:tcBorders>
              <w:top w:val="single" w:sz="4" w:space="0" w:color="auto"/>
              <w:bottom w:val="single" w:sz="4" w:space="0" w:color="auto"/>
              <w:right w:val="single" w:sz="4" w:space="0" w:color="auto"/>
            </w:tcBorders>
          </w:tcPr>
          <w:p w14:paraId="1AEB6F23" w14:textId="343E7389" w:rsidR="00B77066" w:rsidRDefault="00B77066" w:rsidP="00845E08">
            <w:pPr>
              <w:pStyle w:val="PBACTableText"/>
              <w:keepNext/>
              <w:jc w:val="left"/>
              <w:rPr>
                <w:lang w:bidi="en-US"/>
              </w:rPr>
            </w:pPr>
            <w:r w:rsidRPr="007B6175">
              <w:rPr>
                <w:lang w:bidi="en-US"/>
              </w:rPr>
              <w:t>Must be treated by a neurologist.</w:t>
            </w:r>
          </w:p>
          <w:p w14:paraId="5AE31D25" w14:textId="748C51CA" w:rsidR="005055C6" w:rsidRPr="005055C6" w:rsidRDefault="005055C6" w:rsidP="00845E08">
            <w:pPr>
              <w:pStyle w:val="PBACTableText"/>
              <w:keepNext/>
              <w:jc w:val="left"/>
              <w:rPr>
                <w:i/>
                <w:sz w:val="22"/>
                <w:lang w:bidi="en-US"/>
              </w:rPr>
            </w:pPr>
            <w:r w:rsidRPr="005055C6">
              <w:rPr>
                <w:i/>
                <w:sz w:val="22"/>
                <w:lang w:bidi="en-US"/>
              </w:rPr>
              <w:t>AND</w:t>
            </w:r>
          </w:p>
          <w:p w14:paraId="01A14642" w14:textId="253607EC" w:rsidR="005055C6" w:rsidRPr="007B6175" w:rsidRDefault="005055C6" w:rsidP="00845E08">
            <w:pPr>
              <w:pStyle w:val="PBACTableText"/>
              <w:keepNext/>
              <w:jc w:val="left"/>
              <w:rPr>
                <w:rFonts w:eastAsiaTheme="majorEastAsia"/>
                <w:lang w:bidi="en-US"/>
              </w:rPr>
            </w:pPr>
            <w:r w:rsidRPr="005055C6">
              <w:rPr>
                <w:i/>
                <w:color w:val="333333"/>
                <w:szCs w:val="18"/>
              </w:rPr>
              <w:t>Patient must not be undergoing concurrent treatment with the following PBS benefits: (</w:t>
            </w:r>
            <w:proofErr w:type="spellStart"/>
            <w:r w:rsidRPr="005055C6">
              <w:rPr>
                <w:i/>
                <w:color w:val="333333"/>
                <w:szCs w:val="18"/>
              </w:rPr>
              <w:t>i</w:t>
            </w:r>
            <w:proofErr w:type="spellEnd"/>
            <w:r w:rsidRPr="005055C6">
              <w:rPr>
                <w:i/>
                <w:color w:val="333333"/>
                <w:szCs w:val="18"/>
              </w:rPr>
              <w:t>) botulinum toxin type A listed for this PBS indication, (ii) another drug in the same pharmacological class as this drug listed for this PBS indication</w:t>
            </w:r>
          </w:p>
        </w:tc>
      </w:tr>
      <w:tr w:rsidR="00BF00E1" w:rsidRPr="007B6175" w14:paraId="58F6015A" w14:textId="77777777" w:rsidTr="00845E08">
        <w:trPr>
          <w:cantSplit/>
        </w:trPr>
        <w:tc>
          <w:tcPr>
            <w:tcW w:w="1098" w:type="pct"/>
            <w:tcBorders>
              <w:top w:val="single" w:sz="4" w:space="0" w:color="auto"/>
              <w:left w:val="single" w:sz="4" w:space="0" w:color="auto"/>
              <w:bottom w:val="single" w:sz="4" w:space="0" w:color="auto"/>
              <w:right w:val="single" w:sz="4" w:space="0" w:color="auto"/>
            </w:tcBorders>
          </w:tcPr>
          <w:p w14:paraId="66BC28B0" w14:textId="77777777" w:rsidR="00BF00E1" w:rsidRPr="007B6175" w:rsidRDefault="00BF00E1" w:rsidP="00845E08">
            <w:pPr>
              <w:pStyle w:val="TableText"/>
              <w:rPr>
                <w:b/>
              </w:rPr>
            </w:pPr>
            <w:r w:rsidRPr="007B6175">
              <w:rPr>
                <w:b/>
              </w:rPr>
              <w:t>Clinical criteria:</w:t>
            </w:r>
          </w:p>
        </w:tc>
        <w:tc>
          <w:tcPr>
            <w:tcW w:w="3902" w:type="pct"/>
            <w:tcBorders>
              <w:top w:val="single" w:sz="4" w:space="0" w:color="auto"/>
              <w:bottom w:val="single" w:sz="4" w:space="0" w:color="auto"/>
              <w:right w:val="single" w:sz="4" w:space="0" w:color="auto"/>
            </w:tcBorders>
          </w:tcPr>
          <w:p w14:paraId="14AA89BD" w14:textId="77777777" w:rsidR="00667C74" w:rsidRPr="005055C6" w:rsidRDefault="00667C74" w:rsidP="00845E08">
            <w:pPr>
              <w:keepNext/>
              <w:rPr>
                <w:rFonts w:ascii="Arial Narrow" w:eastAsiaTheme="majorEastAsia" w:hAnsi="Arial Narrow"/>
                <w:sz w:val="20"/>
                <w:lang w:bidi="en-US"/>
              </w:rPr>
            </w:pPr>
            <w:r w:rsidRPr="005055C6">
              <w:rPr>
                <w:rFonts w:ascii="Arial Narrow" w:eastAsiaTheme="majorEastAsia" w:hAnsi="Arial Narrow"/>
                <w:sz w:val="20"/>
                <w:lang w:bidi="en-US"/>
              </w:rPr>
              <w:t>Patient must have experienced at least 8 days of migraine per month, over a period of at least 6 months, prior to commencement of treatment with this medicine for this condition,</w:t>
            </w:r>
          </w:p>
          <w:p w14:paraId="6D72D579" w14:textId="77777777" w:rsidR="00667C74" w:rsidRPr="005055C6" w:rsidRDefault="00667C74" w:rsidP="00845E08">
            <w:pPr>
              <w:keepNext/>
              <w:rPr>
                <w:rFonts w:ascii="Arial Narrow" w:eastAsiaTheme="majorEastAsia" w:hAnsi="Arial Narrow"/>
                <w:sz w:val="20"/>
                <w:lang w:bidi="en-US"/>
              </w:rPr>
            </w:pPr>
            <w:r w:rsidRPr="005055C6">
              <w:rPr>
                <w:rFonts w:ascii="Arial Narrow" w:eastAsiaTheme="majorEastAsia" w:hAnsi="Arial Narrow"/>
                <w:sz w:val="20"/>
                <w:lang w:bidi="en-US"/>
              </w:rPr>
              <w:t>AND</w:t>
            </w:r>
          </w:p>
          <w:p w14:paraId="69747D8A" w14:textId="77777777" w:rsidR="00667C74" w:rsidRPr="005055C6" w:rsidRDefault="00667C74" w:rsidP="00845E08">
            <w:pPr>
              <w:keepNext/>
              <w:rPr>
                <w:rFonts w:ascii="Arial Narrow" w:eastAsiaTheme="majorEastAsia" w:hAnsi="Arial Narrow"/>
                <w:sz w:val="20"/>
                <w:lang w:bidi="en-US"/>
              </w:rPr>
            </w:pPr>
            <w:r w:rsidRPr="005055C6">
              <w:rPr>
                <w:rFonts w:ascii="Arial Narrow" w:eastAsiaTheme="majorEastAsia" w:hAnsi="Arial Narrow"/>
                <w:sz w:val="20"/>
                <w:lang w:bidi="en-US"/>
              </w:rPr>
              <w:t xml:space="preserve">Patient must have experienced an inadequate response, </w:t>
            </w:r>
            <w:proofErr w:type="gramStart"/>
            <w:r w:rsidRPr="005055C6">
              <w:rPr>
                <w:rFonts w:ascii="Arial Narrow" w:eastAsiaTheme="majorEastAsia" w:hAnsi="Arial Narrow"/>
                <w:sz w:val="20"/>
                <w:lang w:bidi="en-US"/>
              </w:rPr>
              <w:t>intolerance</w:t>
            </w:r>
            <w:proofErr w:type="gramEnd"/>
            <w:r w:rsidRPr="005055C6">
              <w:rPr>
                <w:rFonts w:ascii="Arial Narrow" w:eastAsiaTheme="majorEastAsia" w:hAnsi="Arial Narrow"/>
                <w:sz w:val="20"/>
                <w:lang w:bidi="en-US"/>
              </w:rPr>
              <w:t xml:space="preserve"> or a contraindication to at least three prophylactic migraine medications prior to commencement of treatment with this medicine for this condition,</w:t>
            </w:r>
          </w:p>
          <w:p w14:paraId="3500F744" w14:textId="77777777" w:rsidR="00667C74" w:rsidRPr="005055C6" w:rsidRDefault="00667C74" w:rsidP="00845E08">
            <w:pPr>
              <w:keepNext/>
              <w:rPr>
                <w:rFonts w:ascii="Arial Narrow" w:eastAsiaTheme="majorEastAsia" w:hAnsi="Arial Narrow"/>
                <w:sz w:val="20"/>
                <w:lang w:bidi="en-US"/>
              </w:rPr>
            </w:pPr>
            <w:r w:rsidRPr="005055C6">
              <w:rPr>
                <w:rFonts w:ascii="Arial Narrow" w:eastAsiaTheme="majorEastAsia" w:hAnsi="Arial Narrow"/>
                <w:sz w:val="20"/>
                <w:lang w:bidi="en-US"/>
              </w:rPr>
              <w:t>AND</w:t>
            </w:r>
          </w:p>
          <w:p w14:paraId="011AC745" w14:textId="77777777" w:rsidR="00667C74" w:rsidRPr="007B6175" w:rsidRDefault="00667C74" w:rsidP="00845E08">
            <w:pPr>
              <w:keepNext/>
              <w:rPr>
                <w:rFonts w:ascii="Arial Narrow" w:eastAsiaTheme="majorEastAsia" w:hAnsi="Arial Narrow"/>
                <w:sz w:val="20"/>
                <w:lang w:bidi="en-US"/>
              </w:rPr>
            </w:pPr>
            <w:r w:rsidRPr="00686295">
              <w:rPr>
                <w:rFonts w:ascii="Arial Narrow" w:eastAsiaTheme="majorEastAsia" w:hAnsi="Arial Narrow"/>
                <w:sz w:val="20"/>
                <w:lang w:bidi="en-US"/>
              </w:rPr>
              <w:t>Patient must be appropriately managed for medication overuse headache, prior to initiation of treatment with this medicine for this condition</w:t>
            </w:r>
          </w:p>
          <w:p w14:paraId="7B5B5431" w14:textId="77777777" w:rsidR="00667C74" w:rsidRPr="005055C6" w:rsidRDefault="00667C74" w:rsidP="00845E08">
            <w:pPr>
              <w:keepNext/>
              <w:rPr>
                <w:rFonts w:ascii="Arial Narrow" w:eastAsiaTheme="majorEastAsia" w:hAnsi="Arial Narrow"/>
                <w:strike/>
                <w:sz w:val="20"/>
                <w:lang w:bidi="en-US"/>
              </w:rPr>
            </w:pPr>
            <w:r w:rsidRPr="005055C6">
              <w:rPr>
                <w:rFonts w:ascii="Arial Narrow" w:eastAsiaTheme="majorEastAsia" w:hAnsi="Arial Narrow"/>
                <w:strike/>
                <w:sz w:val="20"/>
                <w:lang w:bidi="en-US"/>
              </w:rPr>
              <w:t>AND</w:t>
            </w:r>
          </w:p>
          <w:p w14:paraId="6B488A7E" w14:textId="79B9C97E" w:rsidR="00BF00E1" w:rsidRPr="007B6175" w:rsidRDefault="00667C74" w:rsidP="00845E08">
            <w:pPr>
              <w:pStyle w:val="TableText"/>
              <w:rPr>
                <w:rFonts w:cs="Arial"/>
              </w:rPr>
            </w:pPr>
            <w:r w:rsidRPr="005055C6">
              <w:rPr>
                <w:strike/>
                <w:lang w:bidi="en-US"/>
              </w:rPr>
              <w:t>Patient must not have previously received PBS-subsidised treatment with this drug for this condition</w:t>
            </w:r>
          </w:p>
        </w:tc>
      </w:tr>
      <w:tr w:rsidR="00BF00E1" w:rsidRPr="007B6175" w14:paraId="51B5A889" w14:textId="77777777" w:rsidTr="00845E08">
        <w:trPr>
          <w:cantSplit/>
        </w:trPr>
        <w:tc>
          <w:tcPr>
            <w:tcW w:w="1098" w:type="pct"/>
            <w:tcBorders>
              <w:top w:val="single" w:sz="4" w:space="0" w:color="auto"/>
              <w:left w:val="single" w:sz="4" w:space="0" w:color="auto"/>
              <w:bottom w:val="single" w:sz="4" w:space="0" w:color="auto"/>
              <w:right w:val="single" w:sz="4" w:space="0" w:color="auto"/>
            </w:tcBorders>
          </w:tcPr>
          <w:p w14:paraId="709EC404" w14:textId="77777777" w:rsidR="00BF00E1" w:rsidRPr="007B6175" w:rsidRDefault="00BF00E1" w:rsidP="0021441F">
            <w:pPr>
              <w:pStyle w:val="TableText"/>
              <w:keepNext w:val="0"/>
              <w:rPr>
                <w:b/>
              </w:rPr>
            </w:pPr>
            <w:r w:rsidRPr="007B6175">
              <w:rPr>
                <w:b/>
              </w:rPr>
              <w:t>Population criteria:</w:t>
            </w:r>
          </w:p>
        </w:tc>
        <w:tc>
          <w:tcPr>
            <w:tcW w:w="3902" w:type="pct"/>
            <w:tcBorders>
              <w:top w:val="single" w:sz="4" w:space="0" w:color="auto"/>
              <w:bottom w:val="single" w:sz="4" w:space="0" w:color="auto"/>
              <w:right w:val="single" w:sz="4" w:space="0" w:color="auto"/>
            </w:tcBorders>
          </w:tcPr>
          <w:p w14:paraId="15D2C3FE" w14:textId="6E6AED4A" w:rsidR="00BF00E1" w:rsidRPr="005055C6" w:rsidRDefault="00667C74" w:rsidP="0021441F">
            <w:pPr>
              <w:pStyle w:val="TableText"/>
              <w:keepNext w:val="0"/>
            </w:pPr>
            <w:r w:rsidRPr="005055C6">
              <w:rPr>
                <w:rFonts w:cs="Arial"/>
                <w:lang w:bidi="en-US"/>
              </w:rPr>
              <w:t>Patient must be aged 18 years or older.</w:t>
            </w:r>
          </w:p>
        </w:tc>
      </w:tr>
      <w:tr w:rsidR="00BF00E1" w:rsidRPr="007B6175" w14:paraId="3AB8E6A9" w14:textId="77777777" w:rsidTr="00845E08">
        <w:trPr>
          <w:cantSplit/>
        </w:trPr>
        <w:tc>
          <w:tcPr>
            <w:tcW w:w="1098" w:type="pct"/>
            <w:tcBorders>
              <w:top w:val="single" w:sz="4" w:space="0" w:color="auto"/>
              <w:left w:val="single" w:sz="4" w:space="0" w:color="auto"/>
              <w:bottom w:val="double" w:sz="4" w:space="0" w:color="auto"/>
              <w:right w:val="single" w:sz="4" w:space="0" w:color="auto"/>
            </w:tcBorders>
          </w:tcPr>
          <w:p w14:paraId="410F71A0" w14:textId="77777777" w:rsidR="00BF00E1" w:rsidRPr="007B6175" w:rsidRDefault="00BF00E1" w:rsidP="0021441F">
            <w:pPr>
              <w:pStyle w:val="TableText"/>
              <w:keepNext w:val="0"/>
              <w:rPr>
                <w:b/>
              </w:rPr>
            </w:pPr>
            <w:r w:rsidRPr="007B6175">
              <w:rPr>
                <w:b/>
              </w:rPr>
              <w:t>Prescriber Instructions:</w:t>
            </w:r>
          </w:p>
        </w:tc>
        <w:tc>
          <w:tcPr>
            <w:tcW w:w="3902" w:type="pct"/>
            <w:tcBorders>
              <w:top w:val="single" w:sz="4" w:space="0" w:color="auto"/>
              <w:left w:val="nil"/>
              <w:bottom w:val="double" w:sz="4" w:space="0" w:color="auto"/>
              <w:right w:val="single" w:sz="4" w:space="0" w:color="auto"/>
            </w:tcBorders>
          </w:tcPr>
          <w:p w14:paraId="28FAF1B6" w14:textId="77777777" w:rsidR="00715924" w:rsidRPr="005055C6" w:rsidRDefault="00715924" w:rsidP="0021441F">
            <w:pPr>
              <w:pStyle w:val="TableText"/>
              <w:keepNext w:val="0"/>
              <w:rPr>
                <w:rFonts w:cs="Arial"/>
                <w:lang w:bidi="en-US"/>
              </w:rPr>
            </w:pPr>
            <w:r w:rsidRPr="005055C6">
              <w:rPr>
                <w:rFonts w:cs="Arial"/>
                <w:lang w:bidi="en-US"/>
              </w:rPr>
              <w:t>Prophylactic migraine medications are propranolol, amitriptyline, pizotifen, candesartan, verapamil, nortriptyline, sodium valproate or topiramate.</w:t>
            </w:r>
          </w:p>
          <w:p w14:paraId="0886E982" w14:textId="3E179FFE" w:rsidR="00BF00E1" w:rsidRPr="00686295" w:rsidRDefault="00715924" w:rsidP="0021441F">
            <w:pPr>
              <w:pStyle w:val="TableText"/>
              <w:keepNext w:val="0"/>
            </w:pPr>
            <w:r w:rsidRPr="00686295">
              <w:rPr>
                <w:rFonts w:cs="Arial"/>
                <w:lang w:bidi="en-US"/>
              </w:rPr>
              <w:t>Patient must have a baseline measurement of the number of migraine days per month documented in their medical records.</w:t>
            </w:r>
          </w:p>
        </w:tc>
      </w:tr>
      <w:tr w:rsidR="00BF00E1" w:rsidRPr="007B6175" w14:paraId="10F5416B" w14:textId="77777777" w:rsidTr="00845E08">
        <w:trPr>
          <w:cantSplit/>
        </w:trPr>
        <w:tc>
          <w:tcPr>
            <w:tcW w:w="1098" w:type="pct"/>
            <w:tcBorders>
              <w:top w:val="double" w:sz="4" w:space="0" w:color="auto"/>
              <w:left w:val="single" w:sz="4" w:space="0" w:color="auto"/>
              <w:bottom w:val="single" w:sz="4" w:space="0" w:color="auto"/>
              <w:right w:val="single" w:sz="4" w:space="0" w:color="auto"/>
            </w:tcBorders>
          </w:tcPr>
          <w:p w14:paraId="6275B157" w14:textId="77777777" w:rsidR="00BF00E1" w:rsidRPr="007B6175" w:rsidRDefault="00BF00E1" w:rsidP="0021441F">
            <w:pPr>
              <w:pStyle w:val="TableText"/>
              <w:keepNext w:val="0"/>
              <w:rPr>
                <w:b/>
              </w:rPr>
            </w:pPr>
            <w:r w:rsidRPr="007B6175">
              <w:rPr>
                <w:b/>
              </w:rPr>
              <w:t>Treatment phase:</w:t>
            </w:r>
          </w:p>
        </w:tc>
        <w:tc>
          <w:tcPr>
            <w:tcW w:w="3902" w:type="pct"/>
            <w:tcBorders>
              <w:top w:val="double" w:sz="4" w:space="0" w:color="auto"/>
              <w:left w:val="single" w:sz="4" w:space="0" w:color="auto"/>
              <w:bottom w:val="single" w:sz="4" w:space="0" w:color="auto"/>
              <w:right w:val="single" w:sz="4" w:space="0" w:color="auto"/>
            </w:tcBorders>
          </w:tcPr>
          <w:p w14:paraId="58214F8A" w14:textId="69E4A885" w:rsidR="00BF00E1" w:rsidRPr="007B6175" w:rsidRDefault="00715924" w:rsidP="0021441F">
            <w:pPr>
              <w:pStyle w:val="TableText"/>
              <w:keepNext w:val="0"/>
            </w:pPr>
            <w:r w:rsidRPr="007B6175">
              <w:t>Continuing</w:t>
            </w:r>
          </w:p>
        </w:tc>
      </w:tr>
      <w:tr w:rsidR="002A65D1" w:rsidRPr="007B6175" w14:paraId="1E9E72CF" w14:textId="77777777" w:rsidTr="00845E08">
        <w:trPr>
          <w:cantSplit/>
        </w:trPr>
        <w:tc>
          <w:tcPr>
            <w:tcW w:w="1098" w:type="pct"/>
            <w:tcBorders>
              <w:top w:val="single" w:sz="4" w:space="0" w:color="auto"/>
              <w:left w:val="single" w:sz="4" w:space="0" w:color="auto"/>
              <w:bottom w:val="single" w:sz="4" w:space="0" w:color="auto"/>
              <w:right w:val="single" w:sz="4" w:space="0" w:color="auto"/>
            </w:tcBorders>
          </w:tcPr>
          <w:p w14:paraId="3164A974" w14:textId="5158C755" w:rsidR="002A65D1" w:rsidRPr="007B6175" w:rsidRDefault="002A65D1" w:rsidP="0021441F">
            <w:pPr>
              <w:pStyle w:val="TableText"/>
              <w:keepNext w:val="0"/>
              <w:rPr>
                <w:b/>
              </w:rPr>
            </w:pPr>
            <w:r w:rsidRPr="007B6175">
              <w:rPr>
                <w:b/>
              </w:rPr>
              <w:t>Treatment criteria:</w:t>
            </w:r>
          </w:p>
        </w:tc>
        <w:tc>
          <w:tcPr>
            <w:tcW w:w="3902" w:type="pct"/>
            <w:tcBorders>
              <w:top w:val="single" w:sz="4" w:space="0" w:color="auto"/>
              <w:bottom w:val="single" w:sz="4" w:space="0" w:color="auto"/>
              <w:right w:val="single" w:sz="4" w:space="0" w:color="auto"/>
            </w:tcBorders>
          </w:tcPr>
          <w:p w14:paraId="7594BD03" w14:textId="77777777" w:rsidR="002A65D1" w:rsidRDefault="002A65D1" w:rsidP="0021441F">
            <w:pPr>
              <w:rPr>
                <w:rFonts w:ascii="Arial Narrow" w:eastAsiaTheme="majorEastAsia" w:hAnsi="Arial Narrow"/>
                <w:sz w:val="20"/>
                <w:lang w:bidi="en-US"/>
              </w:rPr>
            </w:pPr>
            <w:r w:rsidRPr="007B6175">
              <w:rPr>
                <w:rFonts w:ascii="Arial Narrow" w:eastAsiaTheme="majorEastAsia" w:hAnsi="Arial Narrow"/>
                <w:sz w:val="20"/>
                <w:lang w:bidi="en-US"/>
              </w:rPr>
              <w:t>Must be treated by a specialist neurologist or in consultation with a specialist neurologist.</w:t>
            </w:r>
          </w:p>
          <w:p w14:paraId="5244D408" w14:textId="098314E9" w:rsidR="005055C6" w:rsidRPr="00E13842" w:rsidRDefault="005055C6" w:rsidP="0021441F">
            <w:pPr>
              <w:rPr>
                <w:rFonts w:ascii="Arial Narrow" w:eastAsiaTheme="majorEastAsia" w:hAnsi="Arial Narrow"/>
                <w:i/>
                <w:sz w:val="20"/>
                <w:szCs w:val="20"/>
                <w:lang w:bidi="en-US"/>
              </w:rPr>
            </w:pPr>
            <w:r w:rsidRPr="00E13842">
              <w:rPr>
                <w:rFonts w:ascii="Arial Narrow" w:eastAsiaTheme="majorEastAsia" w:hAnsi="Arial Narrow"/>
                <w:i/>
                <w:sz w:val="20"/>
                <w:szCs w:val="20"/>
                <w:lang w:bidi="en-US"/>
              </w:rPr>
              <w:t>AND</w:t>
            </w:r>
          </w:p>
          <w:p w14:paraId="7DC58C25" w14:textId="5F1801FF" w:rsidR="005055C6" w:rsidRPr="007B6175" w:rsidRDefault="005055C6" w:rsidP="0021441F">
            <w:pPr>
              <w:rPr>
                <w:rFonts w:ascii="Arial Narrow" w:eastAsiaTheme="majorEastAsia" w:hAnsi="Arial Narrow"/>
                <w:sz w:val="20"/>
                <w:lang w:bidi="en-US"/>
              </w:rPr>
            </w:pPr>
            <w:r w:rsidRPr="00E13842">
              <w:rPr>
                <w:rFonts w:ascii="Arial Narrow" w:hAnsi="Arial Narrow"/>
                <w:i/>
                <w:color w:val="333333"/>
                <w:sz w:val="20"/>
                <w:szCs w:val="20"/>
              </w:rPr>
              <w:t>Patient must not be undergoing concurrent treatment with the following PBS benefits: (</w:t>
            </w:r>
            <w:proofErr w:type="spellStart"/>
            <w:r w:rsidRPr="00E13842">
              <w:rPr>
                <w:rFonts w:ascii="Arial Narrow" w:hAnsi="Arial Narrow"/>
                <w:i/>
                <w:color w:val="333333"/>
                <w:sz w:val="20"/>
                <w:szCs w:val="20"/>
              </w:rPr>
              <w:t>i</w:t>
            </w:r>
            <w:proofErr w:type="spellEnd"/>
            <w:r w:rsidRPr="00E13842">
              <w:rPr>
                <w:rFonts w:ascii="Arial Narrow" w:hAnsi="Arial Narrow"/>
                <w:i/>
                <w:color w:val="333333"/>
                <w:sz w:val="20"/>
                <w:szCs w:val="20"/>
              </w:rPr>
              <w:t>) botulinum toxin type A listed for this PBS indication, (ii) another drug in the same pharmacological class as this drug listed for this PBS indication</w:t>
            </w:r>
          </w:p>
        </w:tc>
      </w:tr>
      <w:tr w:rsidR="00BF00E1" w:rsidRPr="007B6175" w14:paraId="0004F239" w14:textId="77777777" w:rsidTr="00845E08">
        <w:trPr>
          <w:cantSplit/>
        </w:trPr>
        <w:tc>
          <w:tcPr>
            <w:tcW w:w="1098" w:type="pct"/>
            <w:tcBorders>
              <w:top w:val="single" w:sz="4" w:space="0" w:color="auto"/>
              <w:left w:val="single" w:sz="4" w:space="0" w:color="auto"/>
              <w:bottom w:val="double" w:sz="4" w:space="0" w:color="auto"/>
              <w:right w:val="single" w:sz="4" w:space="0" w:color="auto"/>
            </w:tcBorders>
          </w:tcPr>
          <w:p w14:paraId="2BDB6902" w14:textId="77777777" w:rsidR="00BF00E1" w:rsidRPr="007B6175" w:rsidRDefault="00BF00E1" w:rsidP="0021441F">
            <w:pPr>
              <w:pStyle w:val="TableText"/>
              <w:keepNext w:val="0"/>
              <w:rPr>
                <w:b/>
              </w:rPr>
            </w:pPr>
            <w:r w:rsidRPr="007B6175">
              <w:rPr>
                <w:b/>
              </w:rPr>
              <w:t>Clinical criteria:</w:t>
            </w:r>
          </w:p>
        </w:tc>
        <w:tc>
          <w:tcPr>
            <w:tcW w:w="3902" w:type="pct"/>
            <w:tcBorders>
              <w:top w:val="single" w:sz="4" w:space="0" w:color="auto"/>
              <w:bottom w:val="double" w:sz="4" w:space="0" w:color="auto"/>
              <w:right w:val="single" w:sz="4" w:space="0" w:color="auto"/>
            </w:tcBorders>
          </w:tcPr>
          <w:p w14:paraId="32F52BEF" w14:textId="77777777" w:rsidR="00715924" w:rsidRPr="007B6175" w:rsidRDefault="00715924" w:rsidP="0021441F">
            <w:pPr>
              <w:rPr>
                <w:rFonts w:ascii="Arial Narrow" w:eastAsiaTheme="majorEastAsia" w:hAnsi="Arial Narrow"/>
                <w:sz w:val="20"/>
                <w:lang w:bidi="en-US"/>
              </w:rPr>
            </w:pPr>
            <w:r w:rsidRPr="007B6175">
              <w:rPr>
                <w:rFonts w:ascii="Arial Narrow" w:eastAsiaTheme="majorEastAsia" w:hAnsi="Arial Narrow"/>
                <w:sz w:val="20"/>
                <w:lang w:bidi="en-US"/>
              </w:rPr>
              <w:t>Patient must have previously received PBS-subsidised treatment with this drug for this condition</w:t>
            </w:r>
          </w:p>
          <w:p w14:paraId="02A340E7" w14:textId="77777777" w:rsidR="00715924" w:rsidRPr="007B6175" w:rsidRDefault="00715924" w:rsidP="0021441F">
            <w:pPr>
              <w:rPr>
                <w:rFonts w:ascii="Arial Narrow" w:eastAsiaTheme="majorEastAsia" w:hAnsi="Arial Narrow"/>
                <w:sz w:val="20"/>
                <w:lang w:bidi="en-US"/>
              </w:rPr>
            </w:pPr>
            <w:r w:rsidRPr="007B6175">
              <w:rPr>
                <w:rFonts w:ascii="Arial Narrow" w:eastAsiaTheme="majorEastAsia" w:hAnsi="Arial Narrow"/>
                <w:sz w:val="20"/>
                <w:lang w:bidi="en-US"/>
              </w:rPr>
              <w:t>AND</w:t>
            </w:r>
          </w:p>
          <w:p w14:paraId="4BFD7F8F" w14:textId="77777777" w:rsidR="00715924" w:rsidRPr="007B6175" w:rsidRDefault="00715924" w:rsidP="0021441F">
            <w:pPr>
              <w:rPr>
                <w:rFonts w:ascii="Arial Narrow" w:eastAsiaTheme="majorEastAsia" w:hAnsi="Arial Narrow"/>
                <w:sz w:val="20"/>
                <w:lang w:bidi="en-US"/>
              </w:rPr>
            </w:pPr>
            <w:r w:rsidRPr="007B6175">
              <w:rPr>
                <w:rFonts w:ascii="Arial Narrow" w:eastAsiaTheme="majorEastAsia" w:hAnsi="Arial Narrow"/>
                <w:sz w:val="20"/>
                <w:lang w:bidi="en-US"/>
              </w:rPr>
              <w:t>Patient must have achieved and maintained a 50% or greater reduction from baseline in the number of migraine headache days per month</w:t>
            </w:r>
          </w:p>
          <w:p w14:paraId="57138025" w14:textId="77777777" w:rsidR="00715924" w:rsidRPr="007B6175" w:rsidRDefault="00715924" w:rsidP="0021441F">
            <w:pPr>
              <w:rPr>
                <w:rFonts w:ascii="Arial Narrow" w:eastAsiaTheme="majorEastAsia" w:hAnsi="Arial Narrow"/>
                <w:sz w:val="20"/>
                <w:lang w:bidi="en-US"/>
              </w:rPr>
            </w:pPr>
            <w:r w:rsidRPr="007B6175">
              <w:rPr>
                <w:rFonts w:ascii="Arial Narrow" w:eastAsiaTheme="majorEastAsia" w:hAnsi="Arial Narrow"/>
                <w:sz w:val="20"/>
                <w:lang w:bidi="en-US"/>
              </w:rPr>
              <w:t>AND</w:t>
            </w:r>
          </w:p>
          <w:p w14:paraId="7C05A7D8" w14:textId="55E3F263" w:rsidR="00BF00E1" w:rsidRPr="007B6175" w:rsidRDefault="00715924" w:rsidP="0021441F">
            <w:pPr>
              <w:pStyle w:val="TableText"/>
              <w:keepNext w:val="0"/>
              <w:rPr>
                <w:lang w:bidi="en-US"/>
              </w:rPr>
            </w:pPr>
            <w:r w:rsidRPr="007B6175">
              <w:rPr>
                <w:lang w:bidi="en-US"/>
              </w:rPr>
              <w:t>Patient must continue to be appropriately managed for medication overuse headache</w:t>
            </w:r>
          </w:p>
        </w:tc>
      </w:tr>
      <w:tr w:rsidR="002161ED" w:rsidRPr="007B6175" w14:paraId="1770144D" w14:textId="77777777" w:rsidTr="00845E08">
        <w:trPr>
          <w:cantSplit/>
        </w:trPr>
        <w:tc>
          <w:tcPr>
            <w:tcW w:w="1098" w:type="pct"/>
            <w:tcBorders>
              <w:top w:val="double" w:sz="4" w:space="0" w:color="auto"/>
              <w:left w:val="single" w:sz="4" w:space="0" w:color="auto"/>
              <w:bottom w:val="single" w:sz="4" w:space="0" w:color="auto"/>
              <w:right w:val="single" w:sz="4" w:space="0" w:color="auto"/>
            </w:tcBorders>
          </w:tcPr>
          <w:p w14:paraId="218CD0E6" w14:textId="51BB0BC9" w:rsidR="00B21616" w:rsidRPr="005055C6" w:rsidRDefault="00B21616" w:rsidP="0021441F">
            <w:pPr>
              <w:pStyle w:val="TableText"/>
              <w:keepNext w:val="0"/>
              <w:rPr>
                <w:b/>
                <w:strike/>
              </w:rPr>
            </w:pPr>
            <w:r w:rsidRPr="005055C6">
              <w:rPr>
                <w:b/>
                <w:strike/>
              </w:rPr>
              <w:t>Treatment phase:</w:t>
            </w:r>
          </w:p>
        </w:tc>
        <w:tc>
          <w:tcPr>
            <w:tcW w:w="3902" w:type="pct"/>
            <w:tcBorders>
              <w:top w:val="double" w:sz="4" w:space="0" w:color="auto"/>
              <w:bottom w:val="single" w:sz="4" w:space="0" w:color="auto"/>
              <w:right w:val="single" w:sz="4" w:space="0" w:color="auto"/>
            </w:tcBorders>
          </w:tcPr>
          <w:p w14:paraId="3236C48C" w14:textId="4F0DDD99" w:rsidR="00B21616" w:rsidRPr="005055C6" w:rsidRDefault="00DA05EF"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Grandfathered</w:t>
            </w:r>
          </w:p>
        </w:tc>
      </w:tr>
      <w:tr w:rsidR="002161ED" w:rsidRPr="007B6175" w14:paraId="04319BD4" w14:textId="77777777" w:rsidTr="00845E08">
        <w:trPr>
          <w:cantSplit/>
        </w:trPr>
        <w:tc>
          <w:tcPr>
            <w:tcW w:w="1098" w:type="pct"/>
            <w:tcBorders>
              <w:top w:val="single" w:sz="4" w:space="0" w:color="auto"/>
              <w:left w:val="single" w:sz="4" w:space="0" w:color="auto"/>
              <w:bottom w:val="single" w:sz="4" w:space="0" w:color="auto"/>
              <w:right w:val="single" w:sz="4" w:space="0" w:color="auto"/>
            </w:tcBorders>
          </w:tcPr>
          <w:p w14:paraId="63D4A00C" w14:textId="1C0EB3BA" w:rsidR="00B21616" w:rsidRPr="005055C6" w:rsidRDefault="00B21616" w:rsidP="0021441F">
            <w:pPr>
              <w:pStyle w:val="TableText"/>
              <w:keepNext w:val="0"/>
              <w:rPr>
                <w:b/>
                <w:strike/>
              </w:rPr>
            </w:pPr>
            <w:r w:rsidRPr="005055C6">
              <w:rPr>
                <w:b/>
                <w:strike/>
              </w:rPr>
              <w:t>Treatment criteria:</w:t>
            </w:r>
          </w:p>
        </w:tc>
        <w:tc>
          <w:tcPr>
            <w:tcW w:w="3902" w:type="pct"/>
            <w:tcBorders>
              <w:top w:val="single" w:sz="4" w:space="0" w:color="auto"/>
              <w:bottom w:val="single" w:sz="4" w:space="0" w:color="auto"/>
              <w:right w:val="single" w:sz="4" w:space="0" w:color="auto"/>
            </w:tcBorders>
          </w:tcPr>
          <w:p w14:paraId="6F0CD21C" w14:textId="7B119D87" w:rsidR="00B21616" w:rsidRPr="005055C6" w:rsidRDefault="00B21616"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Must be treated by a specialist neurologist or in consultation with a specialist neurologist.</w:t>
            </w:r>
          </w:p>
        </w:tc>
      </w:tr>
      <w:tr w:rsidR="002161ED" w:rsidRPr="007B6175" w14:paraId="2E86C96F" w14:textId="77777777" w:rsidTr="00845E08">
        <w:trPr>
          <w:cantSplit/>
        </w:trPr>
        <w:tc>
          <w:tcPr>
            <w:tcW w:w="1098" w:type="pct"/>
            <w:tcBorders>
              <w:top w:val="single" w:sz="4" w:space="0" w:color="auto"/>
              <w:left w:val="single" w:sz="4" w:space="0" w:color="auto"/>
              <w:bottom w:val="single" w:sz="4" w:space="0" w:color="auto"/>
              <w:right w:val="single" w:sz="4" w:space="0" w:color="auto"/>
            </w:tcBorders>
          </w:tcPr>
          <w:p w14:paraId="518FC633" w14:textId="6FD183DB" w:rsidR="00B21616" w:rsidRPr="005055C6" w:rsidRDefault="00B21616" w:rsidP="0021441F">
            <w:pPr>
              <w:pStyle w:val="TableText"/>
              <w:keepNext w:val="0"/>
              <w:rPr>
                <w:b/>
                <w:strike/>
              </w:rPr>
            </w:pPr>
            <w:r w:rsidRPr="005055C6">
              <w:rPr>
                <w:b/>
                <w:strike/>
              </w:rPr>
              <w:lastRenderedPageBreak/>
              <w:t>Clinical criteria:</w:t>
            </w:r>
          </w:p>
        </w:tc>
        <w:tc>
          <w:tcPr>
            <w:tcW w:w="3902" w:type="pct"/>
            <w:tcBorders>
              <w:top w:val="single" w:sz="4" w:space="0" w:color="auto"/>
              <w:bottom w:val="single" w:sz="4" w:space="0" w:color="auto"/>
              <w:right w:val="single" w:sz="4" w:space="0" w:color="auto"/>
            </w:tcBorders>
          </w:tcPr>
          <w:p w14:paraId="23B781DF" w14:textId="77777777" w:rsidR="00B21616" w:rsidRPr="005055C6" w:rsidRDefault="00B21616"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Patient must have previously received non-PBS-subsidised treatment with this drug for this condition prior to [listing date]</w:t>
            </w:r>
          </w:p>
          <w:p w14:paraId="51FE0A9F" w14:textId="77777777" w:rsidR="00B21616" w:rsidRPr="005055C6" w:rsidRDefault="00B21616"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AND</w:t>
            </w:r>
          </w:p>
          <w:p w14:paraId="19EA61F6" w14:textId="77777777" w:rsidR="00B21616" w:rsidRPr="005055C6" w:rsidRDefault="00B21616"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Patient must have experienced at least 8 days of migraine per month, over a period of at least 6 months, prior to commencement of treatment with this drug for this condition</w:t>
            </w:r>
          </w:p>
          <w:p w14:paraId="4FBCD8EF" w14:textId="77777777" w:rsidR="00B21616" w:rsidRPr="005055C6" w:rsidRDefault="00B21616"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AND</w:t>
            </w:r>
          </w:p>
          <w:p w14:paraId="1ADB1601" w14:textId="77777777" w:rsidR="00B21616" w:rsidRPr="005055C6" w:rsidRDefault="00B21616"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 xml:space="preserve">Patient must have experienced an inadequate response, </w:t>
            </w:r>
            <w:proofErr w:type="gramStart"/>
            <w:r w:rsidRPr="005055C6">
              <w:rPr>
                <w:rFonts w:ascii="Arial Narrow" w:eastAsiaTheme="majorEastAsia" w:hAnsi="Arial Narrow"/>
                <w:strike/>
                <w:sz w:val="20"/>
                <w:lang w:bidi="en-US"/>
              </w:rPr>
              <w:t>intolerance</w:t>
            </w:r>
            <w:proofErr w:type="gramEnd"/>
            <w:r w:rsidRPr="005055C6">
              <w:rPr>
                <w:rFonts w:ascii="Arial Narrow" w:eastAsiaTheme="majorEastAsia" w:hAnsi="Arial Narrow"/>
                <w:strike/>
                <w:sz w:val="20"/>
                <w:lang w:bidi="en-US"/>
              </w:rPr>
              <w:t xml:space="preserve"> or a contraindication to at least three prophylactic migraine medications prior to commencement of treatment with this drug for this condition</w:t>
            </w:r>
          </w:p>
          <w:p w14:paraId="61E7DB49" w14:textId="77777777" w:rsidR="00B21616" w:rsidRPr="005055C6" w:rsidRDefault="00B21616"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AND</w:t>
            </w:r>
          </w:p>
          <w:p w14:paraId="16D45ED5" w14:textId="77777777" w:rsidR="00B21616" w:rsidRPr="005055C6" w:rsidRDefault="00B21616"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Patient must have achieved and maintained a 50% or greater reduction from baseline in the number of migraine days per month</w:t>
            </w:r>
          </w:p>
          <w:p w14:paraId="6C46C6A7" w14:textId="77777777" w:rsidR="00B21616" w:rsidRPr="005055C6" w:rsidRDefault="00B21616"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AND</w:t>
            </w:r>
          </w:p>
          <w:p w14:paraId="13B36F11" w14:textId="723FD420" w:rsidR="00B21616" w:rsidRPr="005055C6" w:rsidRDefault="00B21616" w:rsidP="0021441F">
            <w:pPr>
              <w:rPr>
                <w:rFonts w:ascii="Arial Narrow" w:eastAsiaTheme="majorEastAsia" w:hAnsi="Arial Narrow"/>
                <w:strike/>
                <w:sz w:val="20"/>
                <w:lang w:bidi="en-US"/>
              </w:rPr>
            </w:pPr>
            <w:r w:rsidRPr="005055C6">
              <w:rPr>
                <w:rFonts w:ascii="Arial Narrow" w:eastAsiaTheme="majorEastAsia" w:hAnsi="Arial Narrow"/>
                <w:strike/>
                <w:sz w:val="20"/>
                <w:lang w:bidi="en-US"/>
              </w:rPr>
              <w:t>Patient must continue to be appropriately managed for medication overuse headache</w:t>
            </w:r>
          </w:p>
        </w:tc>
      </w:tr>
    </w:tbl>
    <w:p w14:paraId="78FD4C41" w14:textId="2B446A27" w:rsidR="0064434C" w:rsidRPr="007B6175" w:rsidRDefault="00BF00E1" w:rsidP="00B77066">
      <w:pPr>
        <w:pStyle w:val="TableFigureFooter"/>
      </w:pPr>
      <w:r w:rsidRPr="007B6175">
        <w:t xml:space="preserve">Source: </w:t>
      </w:r>
      <w:r w:rsidR="00B77066" w:rsidRPr="007B6175">
        <w:t>Table 1.5.1, pp36-37; Table 1.5.2, p38; Table 1.5.3, p39</w:t>
      </w:r>
      <w:r w:rsidR="00B42FB2" w:rsidRPr="007B6175">
        <w:t>; Table 1.5.4, p39 of the resubmission.</w:t>
      </w:r>
    </w:p>
    <w:p w14:paraId="2A065591" w14:textId="777680B6" w:rsidR="00165A26" w:rsidRPr="007B6175" w:rsidRDefault="00165A26" w:rsidP="00340E3E">
      <w:pPr>
        <w:pStyle w:val="ExecSumBodyText"/>
      </w:pPr>
      <w:r w:rsidRPr="007B6175">
        <w:t>The resubmission requested a special pricing arrangement (SPA)</w:t>
      </w:r>
      <w:r w:rsidR="00385F7B">
        <w:t>.</w:t>
      </w:r>
      <w:r w:rsidRPr="007B6175">
        <w:t xml:space="preserve"> </w:t>
      </w:r>
    </w:p>
    <w:p w14:paraId="281CC070" w14:textId="3244D910" w:rsidR="00B30EA5" w:rsidRPr="00B663F3" w:rsidRDefault="00165A26" w:rsidP="00340E3E">
      <w:pPr>
        <w:pStyle w:val="ExecSumBodyText"/>
      </w:pPr>
      <w:r w:rsidRPr="00B663F3">
        <w:t>The proposed effective ex-manufacturer price ($</w:t>
      </w:r>
      <w:r w:rsidR="004C3CC2" w:rsidRPr="004C3CC2">
        <w:rPr>
          <w:color w:val="000000"/>
          <w:w w:val="60"/>
          <w:shd w:val="solid" w:color="000000" w:fill="000000"/>
          <w:fitText w:val="470" w:id="-1504954361"/>
          <w14:textFill>
            <w14:solidFill>
              <w14:srgbClr w14:val="000000">
                <w14:alpha w14:val="100000"/>
              </w14:srgbClr>
            </w14:solidFill>
          </w14:textFill>
        </w:rPr>
        <w:t>||</w:t>
      </w:r>
      <w:proofErr w:type="gramStart"/>
      <w:r w:rsidR="004C3CC2" w:rsidRPr="004C3CC2">
        <w:rPr>
          <w:color w:val="000000"/>
          <w:w w:val="60"/>
          <w:shd w:val="solid" w:color="000000" w:fill="000000"/>
          <w:fitText w:val="470" w:id="-1504954361"/>
          <w14:textFill>
            <w14:solidFill>
              <w14:srgbClr w14:val="000000">
                <w14:alpha w14:val="100000"/>
              </w14:srgbClr>
            </w14:solidFill>
          </w14:textFill>
        </w:rPr>
        <w:t>|  |</w:t>
      </w:r>
      <w:proofErr w:type="gramEnd"/>
      <w:r w:rsidR="004C3CC2" w:rsidRPr="004C3CC2">
        <w:rPr>
          <w:color w:val="000000"/>
          <w:w w:val="60"/>
          <w:shd w:val="solid" w:color="000000" w:fill="000000"/>
          <w:fitText w:val="470" w:id="-1504954361"/>
          <w14:textFill>
            <w14:solidFill>
              <w14:srgbClr w14:val="000000">
                <w14:alpha w14:val="100000"/>
              </w14:srgbClr>
            </w14:solidFill>
          </w14:textFill>
        </w:rPr>
        <w:t>|</w:t>
      </w:r>
      <w:r w:rsidR="004C3CC2" w:rsidRPr="004C3CC2">
        <w:rPr>
          <w:color w:val="000000"/>
          <w:spacing w:val="6"/>
          <w:w w:val="60"/>
          <w:shd w:val="solid" w:color="000000" w:fill="000000"/>
          <w:fitText w:val="470" w:id="-1504954361"/>
          <w14:textFill>
            <w14:solidFill>
              <w14:srgbClr w14:val="000000">
                <w14:alpha w14:val="100000"/>
              </w14:srgbClr>
            </w14:solidFill>
          </w14:textFill>
        </w:rPr>
        <w:t>|</w:t>
      </w:r>
      <w:r w:rsidRPr="00B663F3">
        <w:t>) was lower than the effective ex-manufacturer price proposed in the November 2020 episodic migraine submission ($</w:t>
      </w:r>
      <w:r w:rsidR="004C3CC2" w:rsidRPr="00046698">
        <w:rPr>
          <w:color w:val="000000"/>
          <w:w w:val="15"/>
          <w:shd w:val="solid" w:color="000000" w:fill="000000"/>
          <w:fitText w:val="-20" w:id="-1504954360"/>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4360"/>
          <w14:textFill>
            <w14:solidFill>
              <w14:srgbClr w14:val="000000">
                <w14:alpha w14:val="100000"/>
              </w14:srgbClr>
            </w14:solidFill>
          </w14:textFill>
        </w:rPr>
        <w:t>|</w:t>
      </w:r>
      <w:r w:rsidRPr="00B663F3">
        <w:t xml:space="preserve">), but higher than the effective price of </w:t>
      </w:r>
      <w:proofErr w:type="spellStart"/>
      <w:r w:rsidRPr="00B663F3">
        <w:t>galcanezumab</w:t>
      </w:r>
      <w:proofErr w:type="spellEnd"/>
      <w:r w:rsidRPr="00B663F3">
        <w:t xml:space="preserve"> under the chronic migraine PBS listing ($</w:t>
      </w:r>
      <w:r w:rsidR="004C3CC2" w:rsidRPr="00046698">
        <w:rPr>
          <w:color w:val="000000"/>
          <w:w w:val="15"/>
          <w:shd w:val="solid" w:color="000000" w:fill="000000"/>
          <w:fitText w:val="-20" w:id="-1504954359"/>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4359"/>
          <w14:textFill>
            <w14:solidFill>
              <w14:srgbClr w14:val="000000">
                <w14:alpha w14:val="100000"/>
              </w14:srgbClr>
            </w14:solidFill>
          </w14:textFill>
        </w:rPr>
        <w:t>|</w:t>
      </w:r>
      <w:r w:rsidRPr="00B663F3">
        <w:t xml:space="preserve">). The PBAC previously noted the price requested for episodic migraine was higher than the price recommended by the PBAC for chronic migraine in July 2019 and considered this was not adequately justified in the submission, noting that the magnitude of benefit provided by </w:t>
      </w:r>
      <w:proofErr w:type="spellStart"/>
      <w:r w:rsidRPr="00B663F3">
        <w:t>galcanezumab</w:t>
      </w:r>
      <w:proofErr w:type="spellEnd"/>
      <w:r w:rsidRPr="00B663F3">
        <w:t xml:space="preserve"> is likely to be less for episodic migraine than for chronic migraine (</w:t>
      </w:r>
      <w:r w:rsidR="00686295">
        <w:t>p</w:t>
      </w:r>
      <w:r w:rsidRPr="00B663F3">
        <w:t xml:space="preserve">ara 7.7, </w:t>
      </w:r>
      <w:proofErr w:type="spellStart"/>
      <w:r w:rsidRPr="00B663F3">
        <w:t>galcanezumab</w:t>
      </w:r>
      <w:proofErr w:type="spellEnd"/>
      <w:r w:rsidRPr="00B663F3">
        <w:t xml:space="preserve"> </w:t>
      </w:r>
      <w:r w:rsidR="008969FA">
        <w:t>Public Summary Document [</w:t>
      </w:r>
      <w:r w:rsidRPr="00B663F3">
        <w:t>PSD</w:t>
      </w:r>
      <w:r w:rsidR="008969FA">
        <w:t>]</w:t>
      </w:r>
      <w:r w:rsidRPr="00B663F3">
        <w:t>, November 2020 PBAC meeting</w:t>
      </w:r>
      <w:r w:rsidR="001E429C" w:rsidRPr="00B663F3">
        <w:t xml:space="preserve">). </w:t>
      </w:r>
    </w:p>
    <w:p w14:paraId="278AFE33" w14:textId="77777777" w:rsidR="00B30EA5" w:rsidRPr="007B6175" w:rsidRDefault="00B30EA5" w:rsidP="00DD06B9">
      <w:pPr>
        <w:pStyle w:val="ExecSumBodyText"/>
      </w:pPr>
      <w:r w:rsidRPr="00B663F3">
        <w:t>The proposed restriction includes patients with treatment-resistant chronic and high frequency episodic migraine and would replace the current treatment-resistant chronic migraine listing</w:t>
      </w:r>
      <w:r w:rsidRPr="007B6175">
        <w:rPr>
          <w:i/>
        </w:rPr>
        <w:t>.</w:t>
      </w:r>
    </w:p>
    <w:p w14:paraId="259F441D" w14:textId="419CE90C" w:rsidR="005A49C9" w:rsidRPr="007B6175" w:rsidRDefault="00686295" w:rsidP="00DD06B9">
      <w:pPr>
        <w:pStyle w:val="ExecSumBodyText"/>
      </w:pPr>
      <w:bookmarkStart w:id="12" w:name="_Ref98252579"/>
      <w:r>
        <w:t xml:space="preserve">The PBAC considered it would be </w:t>
      </w:r>
      <w:r w:rsidR="005A49C9" w:rsidRPr="00B663F3">
        <w:t xml:space="preserve">appropriate to specify </w:t>
      </w:r>
      <w:r w:rsidR="006E4E58" w:rsidRPr="00B663F3">
        <w:t>‘</w:t>
      </w:r>
      <w:r w:rsidR="005A49C9" w:rsidRPr="00B663F3">
        <w:t>migraine headache days</w:t>
      </w:r>
      <w:r w:rsidR="006E4E58" w:rsidRPr="00B663F3">
        <w:t>’</w:t>
      </w:r>
      <w:r w:rsidR="005A49C9" w:rsidRPr="00B663F3">
        <w:t xml:space="preserve"> </w:t>
      </w:r>
      <w:r w:rsidR="00EB0E2A">
        <w:t xml:space="preserve">(rather than ‘migraine days’) </w:t>
      </w:r>
      <w:proofErr w:type="gramStart"/>
      <w:r w:rsidR="005A49C9" w:rsidRPr="00B663F3">
        <w:t>in order to</w:t>
      </w:r>
      <w:proofErr w:type="gramEnd"/>
      <w:r w:rsidR="005A49C9" w:rsidRPr="00B663F3">
        <w:t xml:space="preserve"> align with the definitions used in the CONQUER trial.</w:t>
      </w:r>
      <w:bookmarkEnd w:id="12"/>
      <w:r w:rsidR="005A49C9" w:rsidRPr="00B663F3">
        <w:t xml:space="preserve"> </w:t>
      </w:r>
    </w:p>
    <w:p w14:paraId="3CF3FEE4" w14:textId="09A4C43B" w:rsidR="00B30EA5" w:rsidRPr="007B6175" w:rsidRDefault="00EB0E2A" w:rsidP="003F1F72">
      <w:pPr>
        <w:pStyle w:val="ExecSumBodyText"/>
      </w:pPr>
      <w:bookmarkStart w:id="13" w:name="_Ref98252585"/>
      <w:r>
        <w:t>The PBAC considered it would be appropriate to amend the</w:t>
      </w:r>
      <w:r w:rsidR="003F1F72">
        <w:t xml:space="preserve"> treatment criteria </w:t>
      </w:r>
      <w:r w:rsidR="00D80F9A">
        <w:t xml:space="preserve">in the continuing restriction </w:t>
      </w:r>
      <w:r w:rsidR="003F1F72">
        <w:t>“</w:t>
      </w:r>
      <w:r w:rsidR="003F1F72" w:rsidRPr="003F1F72">
        <w:t>Must be treated by a specialist neurologist or in consultation with a specialist neurologist</w:t>
      </w:r>
      <w:r w:rsidR="003F1F72">
        <w:t>” to “</w:t>
      </w:r>
      <w:r w:rsidR="003F1F72" w:rsidRPr="003F1F72">
        <w:t>Must be treated by a neurologist or in consultation with a neurologist</w:t>
      </w:r>
      <w:r w:rsidR="003F1F72">
        <w:t xml:space="preserve">” to be </w:t>
      </w:r>
      <w:r>
        <w:t xml:space="preserve">consistent with the </w:t>
      </w:r>
      <w:r w:rsidR="003F1F72">
        <w:t xml:space="preserve">terminology used in the initial </w:t>
      </w:r>
      <w:r>
        <w:t>restriction</w:t>
      </w:r>
      <w:r w:rsidR="003F1F72">
        <w:t xml:space="preserve"> criteria</w:t>
      </w:r>
      <w:r w:rsidR="00B30EA5" w:rsidRPr="007B6175">
        <w:t>.</w:t>
      </w:r>
      <w:bookmarkEnd w:id="13"/>
      <w:r w:rsidR="00B30EA5" w:rsidRPr="007B6175">
        <w:t xml:space="preserve"> </w:t>
      </w:r>
    </w:p>
    <w:p w14:paraId="2E2095E0" w14:textId="18F04BEA" w:rsidR="00A33EDD" w:rsidRPr="007B6175" w:rsidRDefault="00EB0E2A" w:rsidP="00DD06B9">
      <w:pPr>
        <w:pStyle w:val="ExecSumBodyText"/>
      </w:pPr>
      <w:r>
        <w:t>Consistent with the current chronic migraine PBS listing, t</w:t>
      </w:r>
      <w:r w:rsidR="00A33EDD" w:rsidRPr="007B6175">
        <w:t xml:space="preserve">he proposed continuing treatment restriction specifies that patients must have achieved and maintained a 50% or greater reduction from baseline in the number of migraine headache days per month. </w:t>
      </w:r>
    </w:p>
    <w:p w14:paraId="4C895D08" w14:textId="47FFE563" w:rsidR="00B30EA5" w:rsidRDefault="00B42FB2" w:rsidP="00570D1A">
      <w:pPr>
        <w:pStyle w:val="ExecSumBodyText"/>
      </w:pPr>
      <w:r w:rsidRPr="007B6175">
        <w:t xml:space="preserve">The resubmission proposed an Authority Required (Streamlined) general schedule listing of </w:t>
      </w:r>
      <w:proofErr w:type="spellStart"/>
      <w:r w:rsidRPr="007B6175">
        <w:t>galcanezumab</w:t>
      </w:r>
      <w:proofErr w:type="spellEnd"/>
      <w:r w:rsidRPr="007B6175">
        <w:t xml:space="preserve"> for the grandfathered treatment of patients receiving </w:t>
      </w:r>
      <w:proofErr w:type="spellStart"/>
      <w:r w:rsidRPr="007B6175">
        <w:t>galcanezumab</w:t>
      </w:r>
      <w:proofErr w:type="spellEnd"/>
      <w:r w:rsidRPr="007B6175">
        <w:t xml:space="preserve"> under the sponsor’s special access program. The resubmission estimated that </w:t>
      </w:r>
      <w:r w:rsidR="00716F79" w:rsidRPr="005E1561">
        <w:t>&lt; 500</w:t>
      </w:r>
      <w:r w:rsidRPr="007B6175">
        <w:t xml:space="preserve"> patients would be eligible for grandfathered treatment based on </w:t>
      </w:r>
      <w:r w:rsidRPr="007B6175">
        <w:lastRenderedPageBreak/>
        <w:t>the proposed PBS listing criteria.</w:t>
      </w:r>
      <w:r w:rsidR="00EB0E2A">
        <w:t xml:space="preserve"> The PBAC noted a separate restriction to allow transition to PBS-subsidised treatment </w:t>
      </w:r>
      <w:r w:rsidR="00D80F9A">
        <w:t xml:space="preserve">would </w:t>
      </w:r>
      <w:r w:rsidR="00EB0E2A">
        <w:t xml:space="preserve">not </w:t>
      </w:r>
      <w:r w:rsidR="00D80F9A">
        <w:t xml:space="preserve">be </w:t>
      </w:r>
      <w:r w:rsidR="00EB0E2A">
        <w:t xml:space="preserve">required with the proposed wording above. </w:t>
      </w:r>
    </w:p>
    <w:p w14:paraId="1178F8E9" w14:textId="7CBBA37B" w:rsidR="00AE5EE8" w:rsidRPr="00AE5EE8" w:rsidRDefault="00AE5EE8" w:rsidP="00AE5EE8">
      <w:pPr>
        <w:ind w:firstLine="720"/>
        <w:rPr>
          <w:i/>
        </w:rPr>
      </w:pPr>
      <w:bookmarkStart w:id="14" w:name="_Hlk76375324"/>
      <w:r w:rsidRPr="00AE5EE8">
        <w:rPr>
          <w:i/>
        </w:rPr>
        <w:t>For more detail on PBAC’s view, see section 7 PBAC outcome.</w:t>
      </w:r>
      <w:bookmarkEnd w:id="14"/>
    </w:p>
    <w:p w14:paraId="7075B85C" w14:textId="5C8AA570" w:rsidR="00B50DB8" w:rsidRPr="007B6175" w:rsidRDefault="00203181" w:rsidP="004E18E9">
      <w:pPr>
        <w:pStyle w:val="2-SectionHeading"/>
      </w:pPr>
      <w:bookmarkStart w:id="15" w:name="_Toc93419736"/>
      <w:bookmarkStart w:id="16" w:name="_Toc93484670"/>
      <w:r w:rsidRPr="007B6175">
        <w:t xml:space="preserve">Population and </w:t>
      </w:r>
      <w:r w:rsidR="008E0D3C" w:rsidRPr="007B6175">
        <w:t>d</w:t>
      </w:r>
      <w:r w:rsidRPr="007B6175">
        <w:t>isease</w:t>
      </w:r>
      <w:bookmarkEnd w:id="15"/>
      <w:bookmarkEnd w:id="16"/>
    </w:p>
    <w:p w14:paraId="77C1BA0E" w14:textId="3C6EFFA2" w:rsidR="00BD306A" w:rsidRPr="007B6175" w:rsidRDefault="00BD306A" w:rsidP="00340E3E">
      <w:pPr>
        <w:pStyle w:val="ExecSumBodyText"/>
      </w:pPr>
      <w:r w:rsidRPr="007B6175">
        <w:t xml:space="preserve">Migraine is a disabling primary headache disorder characterised by recurrent headaches of moderate to severe intensity, which tend to be aggravated by routine physical activity, and are often associated with nausea, photophobia and phonophobia. Approximately 90% of migraine patients have moderate or severe pain and have a reduced ability to function during the headache attacks, with one-third requiring bed rest during their attacks (Lipton et al., 2007). Migraine episodes can also significantly impair functional ability at work or school, at home, and in social situations (American Headache Society Consensus Statement, 2018). </w:t>
      </w:r>
    </w:p>
    <w:p w14:paraId="7E97C025" w14:textId="222ED1C7" w:rsidR="00BD306A" w:rsidRPr="007B6175" w:rsidRDefault="004F3F1A" w:rsidP="00340E3E">
      <w:pPr>
        <w:pStyle w:val="ExecSumBodyText"/>
      </w:pPr>
      <w:r w:rsidRPr="007B6175">
        <w:t xml:space="preserve">The resubmission positioned </w:t>
      </w:r>
      <w:proofErr w:type="spellStart"/>
      <w:r w:rsidRPr="007B6175">
        <w:t>galcanezumab</w:t>
      </w:r>
      <w:proofErr w:type="spellEnd"/>
      <w:r w:rsidRPr="007B6175">
        <w:t xml:space="preserve"> as an alternative to best supportive care for use in patients with treatment-resistant high-frequency episodic migraine, defined in the resubmission as patients with 8 to 14 migraine headache days per month with &lt;15 monthly headache days, who have an inadequate response, </w:t>
      </w:r>
      <w:proofErr w:type="gramStart"/>
      <w:r w:rsidRPr="007B6175">
        <w:t>intolerance</w:t>
      </w:r>
      <w:proofErr w:type="gramEnd"/>
      <w:r w:rsidRPr="007B6175">
        <w:t xml:space="preserve"> or contraindication to at least three prophylactic migraine medications. </w:t>
      </w:r>
      <w:r w:rsidR="00A84299" w:rsidRPr="00B663F3">
        <w:rPr>
          <w:iCs/>
        </w:rPr>
        <w:t xml:space="preserve">The November 2020 submission targeted a broader population of patients with episodic migraine, based on 4 to 14 monthly migraine days. </w:t>
      </w:r>
    </w:p>
    <w:p w14:paraId="34F9A011" w14:textId="609D2015" w:rsidR="002C2775" w:rsidRPr="007B6175" w:rsidRDefault="004C070D" w:rsidP="00570D1A">
      <w:pPr>
        <w:pStyle w:val="ExecSumBodyText"/>
      </w:pPr>
      <w:proofErr w:type="spellStart"/>
      <w:r w:rsidRPr="007B6175">
        <w:t>Galcanezumab</w:t>
      </w:r>
      <w:proofErr w:type="spellEnd"/>
      <w:r w:rsidRPr="007B6175">
        <w:t xml:space="preserve"> is administered by subcutaneous injection using a pre-filled pen device which is suitable for patient self-administration. Following an initial loading dose of </w:t>
      </w:r>
      <w:r w:rsidR="00716F79" w:rsidRPr="007B6175">
        <w:t>240</w:t>
      </w:r>
      <w:r w:rsidR="00716F79">
        <w:t> </w:t>
      </w:r>
      <w:r w:rsidRPr="007B6175">
        <w:t xml:space="preserve">mg, the recommended dose of </w:t>
      </w:r>
      <w:proofErr w:type="spellStart"/>
      <w:r w:rsidRPr="007B6175">
        <w:t>galcanezumab</w:t>
      </w:r>
      <w:proofErr w:type="spellEnd"/>
      <w:r w:rsidRPr="007B6175">
        <w:t xml:space="preserve"> is 120</w:t>
      </w:r>
      <w:r w:rsidR="00716F79">
        <w:t> </w:t>
      </w:r>
      <w:r w:rsidRPr="007B6175">
        <w:t>mg once a month.</w:t>
      </w:r>
    </w:p>
    <w:p w14:paraId="51E5AE96" w14:textId="12BB1A2E" w:rsidR="00B50DB8" w:rsidRPr="007B6175" w:rsidRDefault="00B50DB8" w:rsidP="004E18E9">
      <w:pPr>
        <w:pStyle w:val="2-SectionHeading"/>
      </w:pPr>
      <w:bookmarkStart w:id="17" w:name="_Toc93419737"/>
      <w:bookmarkStart w:id="18" w:name="_Toc93484671"/>
      <w:r w:rsidRPr="007B6175">
        <w:t>Comparator</w:t>
      </w:r>
      <w:bookmarkEnd w:id="17"/>
      <w:bookmarkEnd w:id="18"/>
    </w:p>
    <w:p w14:paraId="747A75CC" w14:textId="42545133" w:rsidR="00A05472" w:rsidRPr="007B6175" w:rsidRDefault="004C070D" w:rsidP="00340E3E">
      <w:pPr>
        <w:pStyle w:val="ExecSumBodyText"/>
      </w:pPr>
      <w:r w:rsidRPr="007B6175">
        <w:t xml:space="preserve">The resubmission nominated best supportive care as the main comparator. </w:t>
      </w:r>
      <w:r w:rsidRPr="00B663F3">
        <w:t>The PBAC previously considered that best supportive care was an appropriate comparator for patients with episodic migraine who have failed at least three prophylactic migraine medications (</w:t>
      </w:r>
      <w:r w:rsidR="005E6E94">
        <w:t>p</w:t>
      </w:r>
      <w:r w:rsidRPr="00B663F3">
        <w:t xml:space="preserve">ara 7.4, </w:t>
      </w:r>
      <w:proofErr w:type="spellStart"/>
      <w:r w:rsidRPr="00B663F3">
        <w:t>galcanezumab</w:t>
      </w:r>
      <w:proofErr w:type="spellEnd"/>
      <w:r w:rsidR="002E4BC8" w:rsidRPr="00B663F3">
        <w:t xml:space="preserve"> PSD</w:t>
      </w:r>
      <w:r w:rsidRPr="00B663F3">
        <w:t>, November 2020 PBAC meeting).</w:t>
      </w:r>
      <w:r w:rsidRPr="007B6175">
        <w:t xml:space="preserve"> </w:t>
      </w:r>
    </w:p>
    <w:p w14:paraId="7F9C27C8" w14:textId="77777777" w:rsidR="00223D5A" w:rsidRPr="007B6175" w:rsidRDefault="00223D5A" w:rsidP="00223D5A">
      <w:pPr>
        <w:pStyle w:val="2-SectionHeading"/>
        <w:numPr>
          <w:ilvl w:val="0"/>
          <w:numId w:val="1"/>
        </w:numPr>
      </w:pPr>
      <w:bookmarkStart w:id="19" w:name="_Toc93419738"/>
      <w:bookmarkStart w:id="20" w:name="_Toc93484672"/>
      <w:bookmarkStart w:id="21" w:name="_Toc22897640"/>
      <w:r w:rsidRPr="007B6175">
        <w:t>Consideration of the evidence</w:t>
      </w:r>
      <w:bookmarkEnd w:id="19"/>
      <w:bookmarkEnd w:id="20"/>
    </w:p>
    <w:p w14:paraId="1F8A0595" w14:textId="77777777" w:rsidR="00A43A18" w:rsidRPr="006E1229" w:rsidRDefault="00A43A18" w:rsidP="00A43A18">
      <w:pPr>
        <w:pStyle w:val="3-SubsectionHeading"/>
      </w:pPr>
      <w:bookmarkStart w:id="22" w:name="_Toc93419739"/>
      <w:bookmarkStart w:id="23" w:name="_Toc93484673"/>
      <w:r w:rsidRPr="006E1229">
        <w:t>Sponsor hearing</w:t>
      </w:r>
    </w:p>
    <w:p w14:paraId="10CAE365" w14:textId="5D33E174" w:rsidR="00A43A18" w:rsidRPr="00F91542" w:rsidRDefault="00A43A18" w:rsidP="00A43A18">
      <w:pPr>
        <w:widowControl w:val="0"/>
        <w:numPr>
          <w:ilvl w:val="1"/>
          <w:numId w:val="1"/>
        </w:numPr>
        <w:spacing w:after="120"/>
        <w:ind w:left="720" w:hanging="720"/>
        <w:rPr>
          <w:rFonts w:cs="Calibri"/>
          <w:bCs/>
          <w:snapToGrid w:val="0"/>
        </w:rPr>
      </w:pPr>
      <w:r w:rsidRPr="00F91542">
        <w:rPr>
          <w:rFonts w:cs="Calibri"/>
          <w:bCs/>
          <w:snapToGrid w:val="0"/>
        </w:rPr>
        <w:t>The</w:t>
      </w:r>
      <w:r>
        <w:rPr>
          <w:rFonts w:cs="Calibri"/>
          <w:bCs/>
          <w:snapToGrid w:val="0"/>
        </w:rPr>
        <w:t>re was no hearing for this item</w:t>
      </w:r>
      <w:r w:rsidRPr="00F91542">
        <w:rPr>
          <w:rFonts w:cs="Calibri"/>
          <w:bCs/>
          <w:snapToGrid w:val="0"/>
        </w:rPr>
        <w:t>.</w:t>
      </w:r>
    </w:p>
    <w:p w14:paraId="0BA55577" w14:textId="77777777" w:rsidR="00A43A18" w:rsidRPr="00465389" w:rsidRDefault="00A43A18" w:rsidP="00A43A18">
      <w:pPr>
        <w:pStyle w:val="3-SubsectionHeading"/>
      </w:pPr>
      <w:r w:rsidRPr="00465389">
        <w:t>Consumer comments</w:t>
      </w:r>
    </w:p>
    <w:p w14:paraId="60CC7E29" w14:textId="06E4ACBC" w:rsidR="00A43A18" w:rsidRPr="00211CDE" w:rsidRDefault="00E13842" w:rsidP="00A43A18">
      <w:pPr>
        <w:widowControl w:val="0"/>
        <w:numPr>
          <w:ilvl w:val="1"/>
          <w:numId w:val="1"/>
        </w:numPr>
        <w:spacing w:after="120"/>
        <w:ind w:left="720" w:hanging="720"/>
        <w:rPr>
          <w:rFonts w:asciiTheme="minorHAnsi" w:hAnsiTheme="minorHAnsi"/>
          <w:bCs/>
          <w:snapToGrid w:val="0"/>
        </w:rPr>
      </w:pPr>
      <w:r w:rsidRPr="00211CDE">
        <w:t>The PBAC noted and welcome</w:t>
      </w:r>
      <w:r w:rsidR="00557182" w:rsidRPr="00211CDE">
        <w:t>d the input from individuals (30) and organisations (2</w:t>
      </w:r>
      <w:r w:rsidRPr="00211CDE">
        <w:t xml:space="preserve">) via the Consumer Comments facility on the PBS website. </w:t>
      </w:r>
      <w:r w:rsidR="002A7CFA">
        <w:t xml:space="preserve">The comments described the benefit of treatment with </w:t>
      </w:r>
      <w:proofErr w:type="spellStart"/>
      <w:r w:rsidR="002A7CFA">
        <w:t>galcanezumab</w:t>
      </w:r>
      <w:proofErr w:type="spellEnd"/>
      <w:r w:rsidR="002A7CFA">
        <w:t xml:space="preserve"> including reduction in number and severity of migraines, reduced use of acute medications, improvement in quality of life and the </w:t>
      </w:r>
      <w:r w:rsidR="002A7CFA">
        <w:lastRenderedPageBreak/>
        <w:t xml:space="preserve">ability to self-administer. The comments included </w:t>
      </w:r>
      <w:proofErr w:type="gramStart"/>
      <w:r w:rsidR="002A7CFA">
        <w:t>a number of</w:t>
      </w:r>
      <w:proofErr w:type="gramEnd"/>
      <w:r w:rsidR="002A7CFA">
        <w:t xml:space="preserve"> requests for GP prescribing to improve access, noting the challenges with securing appointments with neurologists.</w:t>
      </w:r>
    </w:p>
    <w:p w14:paraId="2C020621" w14:textId="0DC35961" w:rsidR="00465389" w:rsidRPr="00211CDE" w:rsidRDefault="00557182" w:rsidP="00A43A18">
      <w:pPr>
        <w:widowControl w:val="0"/>
        <w:numPr>
          <w:ilvl w:val="1"/>
          <w:numId w:val="1"/>
        </w:numPr>
        <w:spacing w:after="120"/>
        <w:ind w:left="720" w:hanging="720"/>
        <w:rPr>
          <w:rFonts w:asciiTheme="minorHAnsi" w:hAnsiTheme="minorHAnsi"/>
          <w:bCs/>
          <w:snapToGrid w:val="0"/>
        </w:rPr>
      </w:pPr>
      <w:r w:rsidRPr="00211CDE">
        <w:t>The PBAC noted the advice received from Migraine &amp; Headache Australia</w:t>
      </w:r>
      <w:r w:rsidR="002012AF" w:rsidRPr="00211CDE">
        <w:t xml:space="preserve"> that </w:t>
      </w:r>
      <w:r w:rsidR="00465389">
        <w:t xml:space="preserve">the disease burden </w:t>
      </w:r>
      <w:r w:rsidR="002012AF" w:rsidRPr="00465389">
        <w:t xml:space="preserve">for patients with high frequency episodic migraine is very similar to that of patients with chronic migraine. </w:t>
      </w:r>
      <w:r w:rsidR="00465389">
        <w:t>The advice noted the devastating impacts on quality of life, ability to work and livelihood for people living with migraine and the significant benefits of treatment with the CGRP antibodies.</w:t>
      </w:r>
    </w:p>
    <w:p w14:paraId="18896497" w14:textId="1A4890BE" w:rsidR="00557182" w:rsidRPr="007F4437" w:rsidRDefault="00211CDE" w:rsidP="00A43A18">
      <w:pPr>
        <w:widowControl w:val="0"/>
        <w:numPr>
          <w:ilvl w:val="1"/>
          <w:numId w:val="1"/>
        </w:numPr>
        <w:spacing w:after="120"/>
        <w:ind w:left="720" w:hanging="720"/>
        <w:rPr>
          <w:rFonts w:asciiTheme="minorHAnsi" w:hAnsiTheme="minorHAnsi"/>
          <w:bCs/>
          <w:snapToGrid w:val="0"/>
        </w:rPr>
      </w:pPr>
      <w:r>
        <w:t>The PBAC noted the support from Migraine Australia for a single PBS listing for treatment resistant migraine, rather than separate listings for high frequency episodic and chronic migraine.</w:t>
      </w:r>
    </w:p>
    <w:p w14:paraId="609C0765" w14:textId="314DAA39" w:rsidR="00B60939" w:rsidRPr="007B6175" w:rsidRDefault="00B60939" w:rsidP="002E4F02">
      <w:pPr>
        <w:pStyle w:val="3-SubsectionHeading"/>
      </w:pPr>
      <w:r w:rsidRPr="007B6175">
        <w:t xml:space="preserve">Clinical </w:t>
      </w:r>
      <w:r w:rsidR="00BC3CCC" w:rsidRPr="007B6175">
        <w:t>t</w:t>
      </w:r>
      <w:r w:rsidRPr="007B6175">
        <w:t>rial</w:t>
      </w:r>
      <w:bookmarkEnd w:id="21"/>
      <w:bookmarkEnd w:id="22"/>
      <w:bookmarkEnd w:id="23"/>
    </w:p>
    <w:p w14:paraId="55F3A066" w14:textId="7B53311B" w:rsidR="000563B1" w:rsidRPr="007B6175" w:rsidRDefault="00BC3CCC" w:rsidP="00340E3E">
      <w:pPr>
        <w:pStyle w:val="ExecSumBodyText"/>
      </w:pPr>
      <w:r w:rsidRPr="007B6175">
        <w:rPr>
          <w:snapToGrid/>
        </w:rPr>
        <w:t xml:space="preserve">The resubmission was based on one head-to-head randomised trial </w:t>
      </w:r>
      <w:r w:rsidR="00AA2CE5" w:rsidRPr="007B6175">
        <w:rPr>
          <w:snapToGrid/>
        </w:rPr>
        <w:t xml:space="preserve">(CONQUER), which </w:t>
      </w:r>
      <w:r w:rsidRPr="007B6175">
        <w:rPr>
          <w:snapToGrid/>
        </w:rPr>
        <w:t>compar</w:t>
      </w:r>
      <w:r w:rsidR="00AA2CE5" w:rsidRPr="007B6175">
        <w:rPr>
          <w:snapToGrid/>
        </w:rPr>
        <w:t>ed</w:t>
      </w:r>
      <w:r w:rsidRPr="007B6175">
        <w:rPr>
          <w:snapToGrid/>
        </w:rPr>
        <w:t xml:space="preserve"> </w:t>
      </w:r>
      <w:proofErr w:type="spellStart"/>
      <w:r w:rsidRPr="007B6175">
        <w:rPr>
          <w:snapToGrid/>
        </w:rPr>
        <w:t>galcanezumab</w:t>
      </w:r>
      <w:proofErr w:type="spellEnd"/>
      <w:r w:rsidRPr="007B6175">
        <w:rPr>
          <w:snapToGrid/>
        </w:rPr>
        <w:t xml:space="preserve"> </w:t>
      </w:r>
      <w:r w:rsidR="00716F79" w:rsidRPr="007B6175">
        <w:rPr>
          <w:snapToGrid/>
        </w:rPr>
        <w:t>120</w:t>
      </w:r>
      <w:r w:rsidR="00716F79">
        <w:rPr>
          <w:snapToGrid/>
        </w:rPr>
        <w:t> </w:t>
      </w:r>
      <w:r w:rsidRPr="007B6175">
        <w:rPr>
          <w:snapToGrid/>
        </w:rPr>
        <w:t xml:space="preserve">mg once monthly </w:t>
      </w:r>
      <w:r w:rsidR="00AA2CE5" w:rsidRPr="007B6175">
        <w:rPr>
          <w:snapToGrid/>
        </w:rPr>
        <w:t xml:space="preserve">or </w:t>
      </w:r>
      <w:r w:rsidRPr="007B6175">
        <w:rPr>
          <w:snapToGrid/>
        </w:rPr>
        <w:t>placebo,</w:t>
      </w:r>
      <w:r w:rsidR="00BC3C2F" w:rsidRPr="007B6175">
        <w:rPr>
          <w:snapToGrid/>
        </w:rPr>
        <w:t xml:space="preserve"> </w:t>
      </w:r>
      <w:r w:rsidRPr="007B6175">
        <w:rPr>
          <w:snapToGrid/>
        </w:rPr>
        <w:t xml:space="preserve">in patients with chronic </w:t>
      </w:r>
      <w:r w:rsidR="00AA2CE5" w:rsidRPr="007B6175">
        <w:rPr>
          <w:snapToGrid/>
        </w:rPr>
        <w:t>or</w:t>
      </w:r>
      <w:r w:rsidRPr="007B6175">
        <w:rPr>
          <w:snapToGrid/>
        </w:rPr>
        <w:t xml:space="preserve"> episodic migraine, who had previously failed 2 </w:t>
      </w:r>
      <w:r w:rsidR="00AA2CE5" w:rsidRPr="007B6175">
        <w:rPr>
          <w:snapToGrid/>
        </w:rPr>
        <w:t>to</w:t>
      </w:r>
      <w:r w:rsidRPr="007B6175">
        <w:rPr>
          <w:snapToGrid/>
        </w:rPr>
        <w:t xml:space="preserve"> 4 preventive </w:t>
      </w:r>
      <w:r w:rsidR="00AA2CE5" w:rsidRPr="007B6175">
        <w:rPr>
          <w:snapToGrid/>
        </w:rPr>
        <w:t xml:space="preserve">migraine </w:t>
      </w:r>
      <w:r w:rsidRPr="007B6175">
        <w:rPr>
          <w:snapToGrid/>
        </w:rPr>
        <w:t>treatments</w:t>
      </w:r>
      <w:r w:rsidR="00AA2CE5" w:rsidRPr="007B6175">
        <w:rPr>
          <w:snapToGrid/>
        </w:rPr>
        <w:t>.</w:t>
      </w:r>
      <w:r w:rsidR="00310FB9">
        <w:rPr>
          <w:snapToGrid/>
        </w:rPr>
        <w:t xml:space="preserve"> </w:t>
      </w:r>
      <w:r w:rsidR="00310FB9" w:rsidRPr="00B663F3">
        <w:rPr>
          <w:iCs/>
          <w:snapToGrid/>
        </w:rPr>
        <w:t xml:space="preserve">The CONQUER trial was previously considered by the PBAC as part of the July 2019 and November 2020 </w:t>
      </w:r>
      <w:proofErr w:type="spellStart"/>
      <w:r w:rsidR="00310FB9" w:rsidRPr="00B663F3">
        <w:rPr>
          <w:iCs/>
          <w:snapToGrid/>
        </w:rPr>
        <w:t>galcanezumab</w:t>
      </w:r>
      <w:proofErr w:type="spellEnd"/>
      <w:r w:rsidR="00310FB9" w:rsidRPr="00B663F3">
        <w:rPr>
          <w:iCs/>
          <w:snapToGrid/>
        </w:rPr>
        <w:t xml:space="preserve"> submissions.</w:t>
      </w:r>
    </w:p>
    <w:p w14:paraId="2B59ABAC" w14:textId="6D15A4AC" w:rsidR="00862502" w:rsidRPr="007B6175" w:rsidRDefault="000563B1" w:rsidP="00340E3E">
      <w:pPr>
        <w:pStyle w:val="ExecSumBodyText"/>
        <w:rPr>
          <w:snapToGrid/>
        </w:rPr>
      </w:pPr>
      <w:r w:rsidRPr="007B6175">
        <w:rPr>
          <w:snapToGrid/>
        </w:rPr>
        <w:t xml:space="preserve">Details of the trial presented in the </w:t>
      </w:r>
      <w:r w:rsidR="00CE3169">
        <w:rPr>
          <w:snapToGrid/>
        </w:rPr>
        <w:t>re</w:t>
      </w:r>
      <w:r w:rsidRPr="007B6175">
        <w:rPr>
          <w:snapToGrid/>
        </w:rPr>
        <w:t xml:space="preserve">submission are provided in the table below. </w:t>
      </w:r>
    </w:p>
    <w:p w14:paraId="1B390ECB" w14:textId="7BF4D79B" w:rsidR="002913ED" w:rsidRPr="007B6175" w:rsidRDefault="002913ED" w:rsidP="00765995">
      <w:pPr>
        <w:pStyle w:val="TableHeading"/>
      </w:pPr>
      <w:r w:rsidRPr="007B6175">
        <w:lastRenderedPageBreak/>
        <w:t xml:space="preserve">Table </w:t>
      </w:r>
      <w:r>
        <w:fldChar w:fldCharType="begin"/>
      </w:r>
      <w:r>
        <w:instrText>SEQ Table \* ARABIC</w:instrText>
      </w:r>
      <w:r>
        <w:fldChar w:fldCharType="separate"/>
      </w:r>
      <w:r w:rsidR="00046698">
        <w:rPr>
          <w:noProof/>
        </w:rPr>
        <w:t>3</w:t>
      </w:r>
      <w:r>
        <w:fldChar w:fldCharType="end"/>
      </w:r>
      <w:r w:rsidR="0071406C" w:rsidRPr="007B6175">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9726DC" w:rsidRPr="007B6175" w14:paraId="2B3F5A20" w14:textId="77777777" w:rsidTr="00A36F4A">
        <w:tc>
          <w:tcPr>
            <w:tcW w:w="796" w:type="pct"/>
            <w:tcBorders>
              <w:top w:val="single" w:sz="4" w:space="0" w:color="auto"/>
            </w:tcBorders>
            <w:vAlign w:val="center"/>
          </w:tcPr>
          <w:p w14:paraId="5FB55073" w14:textId="77777777" w:rsidR="009726DC" w:rsidRPr="007B6175" w:rsidRDefault="009726DC" w:rsidP="001D7528">
            <w:pPr>
              <w:pStyle w:val="TableText"/>
              <w:rPr>
                <w:b/>
                <w:bCs w:val="0"/>
              </w:rPr>
            </w:pPr>
            <w:r w:rsidRPr="007B6175">
              <w:rPr>
                <w:b/>
                <w:bCs w:val="0"/>
              </w:rPr>
              <w:t>Trial ID</w:t>
            </w:r>
          </w:p>
        </w:tc>
        <w:tc>
          <w:tcPr>
            <w:tcW w:w="3027" w:type="pct"/>
            <w:tcBorders>
              <w:top w:val="single" w:sz="4" w:space="0" w:color="auto"/>
              <w:bottom w:val="nil"/>
            </w:tcBorders>
            <w:vAlign w:val="center"/>
          </w:tcPr>
          <w:p w14:paraId="49DC374D" w14:textId="77777777" w:rsidR="009726DC" w:rsidRPr="007B6175" w:rsidRDefault="009726DC" w:rsidP="001D7528">
            <w:pPr>
              <w:pStyle w:val="TableText"/>
              <w:jc w:val="center"/>
              <w:rPr>
                <w:b/>
                <w:bCs w:val="0"/>
                <w:szCs w:val="18"/>
              </w:rPr>
            </w:pPr>
            <w:r w:rsidRPr="007B6175">
              <w:rPr>
                <w:b/>
                <w:bCs w:val="0"/>
              </w:rPr>
              <w:t>Protocol title/ Publication title</w:t>
            </w:r>
          </w:p>
        </w:tc>
        <w:tc>
          <w:tcPr>
            <w:tcW w:w="1177" w:type="pct"/>
            <w:tcBorders>
              <w:top w:val="single" w:sz="4" w:space="0" w:color="auto"/>
              <w:bottom w:val="nil"/>
            </w:tcBorders>
          </w:tcPr>
          <w:p w14:paraId="2042518D" w14:textId="77777777" w:rsidR="009726DC" w:rsidRPr="007B6175" w:rsidRDefault="009726DC" w:rsidP="001D7528">
            <w:pPr>
              <w:pStyle w:val="TableText"/>
              <w:jc w:val="center"/>
              <w:rPr>
                <w:b/>
                <w:bCs w:val="0"/>
                <w:szCs w:val="18"/>
              </w:rPr>
            </w:pPr>
            <w:r w:rsidRPr="007B6175">
              <w:rPr>
                <w:b/>
                <w:bCs w:val="0"/>
              </w:rPr>
              <w:t>Publication citation</w:t>
            </w:r>
          </w:p>
        </w:tc>
      </w:tr>
      <w:tr w:rsidR="009726DC" w:rsidRPr="007B6175" w14:paraId="28142EF6" w14:textId="77777777" w:rsidTr="00A36F4A">
        <w:tc>
          <w:tcPr>
            <w:tcW w:w="796" w:type="pct"/>
            <w:vMerge w:val="restart"/>
            <w:tcBorders>
              <w:top w:val="single" w:sz="4" w:space="0" w:color="auto"/>
            </w:tcBorders>
            <w:vAlign w:val="center"/>
          </w:tcPr>
          <w:p w14:paraId="3871578A" w14:textId="77777777" w:rsidR="009726DC" w:rsidRPr="007B6175" w:rsidRDefault="009726DC" w:rsidP="001D7528">
            <w:pPr>
              <w:pStyle w:val="TableText"/>
            </w:pPr>
            <w:r w:rsidRPr="007B6175">
              <w:t>CONQUER</w:t>
            </w:r>
          </w:p>
          <w:p w14:paraId="6F3821C5" w14:textId="77777777" w:rsidR="009726DC" w:rsidRPr="007B6175" w:rsidRDefault="009726DC" w:rsidP="001D7528">
            <w:pPr>
              <w:pStyle w:val="TableText"/>
            </w:pPr>
            <w:r w:rsidRPr="007B6175">
              <w:t>(NCT03559257)</w:t>
            </w:r>
          </w:p>
        </w:tc>
        <w:tc>
          <w:tcPr>
            <w:tcW w:w="3027" w:type="pct"/>
            <w:tcBorders>
              <w:top w:val="single" w:sz="4" w:space="0" w:color="auto"/>
              <w:bottom w:val="nil"/>
            </w:tcBorders>
            <w:vAlign w:val="center"/>
          </w:tcPr>
          <w:p w14:paraId="57747E32" w14:textId="77777777" w:rsidR="009726DC" w:rsidRPr="007B6175" w:rsidRDefault="009726DC" w:rsidP="001D7528">
            <w:pPr>
              <w:pStyle w:val="TableText"/>
              <w:rPr>
                <w:szCs w:val="18"/>
              </w:rPr>
            </w:pPr>
            <w:r w:rsidRPr="007B6175">
              <w:rPr>
                <w:szCs w:val="18"/>
              </w:rPr>
              <w:t xml:space="preserve">A randomized, double-blind, placebo-controlled study of </w:t>
            </w:r>
            <w:proofErr w:type="spellStart"/>
            <w:r w:rsidRPr="007B6175">
              <w:rPr>
                <w:szCs w:val="18"/>
              </w:rPr>
              <w:t>galcanezumab</w:t>
            </w:r>
            <w:proofErr w:type="spellEnd"/>
            <w:r w:rsidRPr="007B6175">
              <w:rPr>
                <w:szCs w:val="18"/>
              </w:rPr>
              <w:t xml:space="preserve"> in adults with treatment-resistant migraine – the CONQUER study. </w:t>
            </w:r>
            <w:proofErr w:type="gramStart"/>
            <w:r w:rsidRPr="007B6175">
              <w:rPr>
                <w:szCs w:val="18"/>
              </w:rPr>
              <w:t>Final results</w:t>
            </w:r>
            <w:proofErr w:type="gramEnd"/>
            <w:r w:rsidRPr="007B6175">
              <w:rPr>
                <w:szCs w:val="18"/>
              </w:rPr>
              <w:t xml:space="preserve"> from the double-blind treatment phase and interim results from the open-label treatment phase.</w:t>
            </w:r>
          </w:p>
        </w:tc>
        <w:tc>
          <w:tcPr>
            <w:tcW w:w="1177" w:type="pct"/>
            <w:tcBorders>
              <w:top w:val="single" w:sz="4" w:space="0" w:color="auto"/>
              <w:bottom w:val="nil"/>
            </w:tcBorders>
          </w:tcPr>
          <w:p w14:paraId="2B1A3947" w14:textId="77777777" w:rsidR="009726DC" w:rsidRPr="007B6175" w:rsidRDefault="009726DC" w:rsidP="001D7528">
            <w:pPr>
              <w:pStyle w:val="TableText"/>
              <w:rPr>
                <w:szCs w:val="18"/>
              </w:rPr>
            </w:pPr>
            <w:r w:rsidRPr="007B6175">
              <w:rPr>
                <w:szCs w:val="18"/>
              </w:rPr>
              <w:t>Clinical study report, September 2019.</w:t>
            </w:r>
          </w:p>
        </w:tc>
      </w:tr>
      <w:tr w:rsidR="009726DC" w:rsidRPr="007B6175" w14:paraId="09A799E1" w14:textId="77777777" w:rsidTr="00A36F4A">
        <w:tc>
          <w:tcPr>
            <w:tcW w:w="796" w:type="pct"/>
            <w:vMerge/>
            <w:vAlign w:val="center"/>
          </w:tcPr>
          <w:p w14:paraId="295A68DD" w14:textId="77777777" w:rsidR="009726DC" w:rsidRPr="007B6175" w:rsidRDefault="009726DC" w:rsidP="001D7528">
            <w:pPr>
              <w:pStyle w:val="TableText"/>
            </w:pPr>
          </w:p>
        </w:tc>
        <w:tc>
          <w:tcPr>
            <w:tcW w:w="3027" w:type="pct"/>
            <w:tcBorders>
              <w:top w:val="single" w:sz="4" w:space="0" w:color="auto"/>
              <w:bottom w:val="nil"/>
            </w:tcBorders>
            <w:vAlign w:val="center"/>
          </w:tcPr>
          <w:p w14:paraId="0C75A36E" w14:textId="77777777" w:rsidR="009726DC" w:rsidRPr="007B6175" w:rsidRDefault="009726DC" w:rsidP="001D7528">
            <w:pPr>
              <w:pStyle w:val="TableText"/>
              <w:rPr>
                <w:szCs w:val="18"/>
              </w:rPr>
            </w:pPr>
            <w:r w:rsidRPr="007B6175">
              <w:rPr>
                <w:szCs w:val="18"/>
              </w:rPr>
              <w:t xml:space="preserve">A randomized, double-blind, placebo-controlled study of </w:t>
            </w:r>
            <w:proofErr w:type="spellStart"/>
            <w:r w:rsidRPr="007B6175">
              <w:rPr>
                <w:szCs w:val="18"/>
              </w:rPr>
              <w:t>galcanezumab</w:t>
            </w:r>
            <w:proofErr w:type="spellEnd"/>
            <w:r w:rsidRPr="007B6175">
              <w:rPr>
                <w:szCs w:val="18"/>
              </w:rPr>
              <w:t xml:space="preserve"> in adults with treatment-resistant migraine – the CONQUER study. </w:t>
            </w:r>
            <w:proofErr w:type="gramStart"/>
            <w:r w:rsidRPr="007B6175">
              <w:rPr>
                <w:szCs w:val="18"/>
              </w:rPr>
              <w:t>Final results</w:t>
            </w:r>
            <w:proofErr w:type="gramEnd"/>
            <w:r w:rsidRPr="007B6175">
              <w:rPr>
                <w:szCs w:val="18"/>
              </w:rPr>
              <w:t xml:space="preserve"> from the open-label treatment phase.</w:t>
            </w:r>
          </w:p>
        </w:tc>
        <w:tc>
          <w:tcPr>
            <w:tcW w:w="1177" w:type="pct"/>
            <w:tcBorders>
              <w:top w:val="single" w:sz="4" w:space="0" w:color="auto"/>
              <w:bottom w:val="nil"/>
            </w:tcBorders>
          </w:tcPr>
          <w:p w14:paraId="180B6ED5" w14:textId="77777777" w:rsidR="009726DC" w:rsidRPr="007B6175" w:rsidRDefault="009726DC" w:rsidP="001D7528">
            <w:pPr>
              <w:pStyle w:val="TableText"/>
              <w:rPr>
                <w:szCs w:val="18"/>
              </w:rPr>
            </w:pPr>
            <w:r w:rsidRPr="007B6175">
              <w:rPr>
                <w:szCs w:val="18"/>
              </w:rPr>
              <w:t>Clinical study report addendum, December 2019.</w:t>
            </w:r>
          </w:p>
        </w:tc>
      </w:tr>
      <w:tr w:rsidR="009726DC" w:rsidRPr="007B6175" w14:paraId="3C015037" w14:textId="77777777" w:rsidTr="00A36F4A">
        <w:tc>
          <w:tcPr>
            <w:tcW w:w="796" w:type="pct"/>
            <w:vMerge/>
            <w:vAlign w:val="center"/>
          </w:tcPr>
          <w:p w14:paraId="7DC6FE90" w14:textId="77777777" w:rsidR="009726DC" w:rsidRPr="007B6175" w:rsidRDefault="009726DC" w:rsidP="001D7528">
            <w:pPr>
              <w:pStyle w:val="TableText"/>
            </w:pPr>
          </w:p>
        </w:tc>
        <w:tc>
          <w:tcPr>
            <w:tcW w:w="3027" w:type="pct"/>
            <w:tcBorders>
              <w:top w:val="single" w:sz="4" w:space="0" w:color="auto"/>
              <w:bottom w:val="nil"/>
            </w:tcBorders>
            <w:vAlign w:val="center"/>
          </w:tcPr>
          <w:p w14:paraId="5620D27F" w14:textId="77777777" w:rsidR="009726DC" w:rsidRPr="007B6175" w:rsidRDefault="009726DC" w:rsidP="001D7528">
            <w:pPr>
              <w:pStyle w:val="TableText"/>
              <w:rPr>
                <w:szCs w:val="18"/>
              </w:rPr>
            </w:pPr>
            <w:proofErr w:type="spellStart"/>
            <w:r w:rsidRPr="007B6175">
              <w:rPr>
                <w:szCs w:val="18"/>
              </w:rPr>
              <w:t>Mulleners</w:t>
            </w:r>
            <w:proofErr w:type="spellEnd"/>
            <w:r w:rsidRPr="007B6175">
              <w:rPr>
                <w:szCs w:val="18"/>
              </w:rPr>
              <w:t xml:space="preserve"> W, Kim B, </w:t>
            </w:r>
            <w:proofErr w:type="spellStart"/>
            <w:r w:rsidRPr="007B6175">
              <w:rPr>
                <w:szCs w:val="18"/>
              </w:rPr>
              <w:t>Lainez</w:t>
            </w:r>
            <w:proofErr w:type="spellEnd"/>
            <w:r w:rsidRPr="007B6175">
              <w:rPr>
                <w:szCs w:val="18"/>
              </w:rPr>
              <w:t xml:space="preserve">, MJ, </w:t>
            </w:r>
            <w:proofErr w:type="spellStart"/>
            <w:r w:rsidRPr="007B6175">
              <w:rPr>
                <w:szCs w:val="18"/>
              </w:rPr>
              <w:t>Lanteri-Minet</w:t>
            </w:r>
            <w:proofErr w:type="spellEnd"/>
            <w:r w:rsidRPr="007B6175">
              <w:rPr>
                <w:szCs w:val="18"/>
              </w:rPr>
              <w:t xml:space="preserve"> M et al. A phase 3 placebo-controlled study of </w:t>
            </w:r>
            <w:proofErr w:type="spellStart"/>
            <w:r w:rsidRPr="007B6175">
              <w:rPr>
                <w:szCs w:val="18"/>
              </w:rPr>
              <w:t>galcanezumab</w:t>
            </w:r>
            <w:proofErr w:type="spellEnd"/>
            <w:r w:rsidRPr="007B6175">
              <w:rPr>
                <w:szCs w:val="18"/>
              </w:rPr>
              <w:t xml:space="preserve"> in patients with treatment-resistant migraine: Results from the 3-month double-blind treatment phase of the CONQUER study.</w:t>
            </w:r>
          </w:p>
        </w:tc>
        <w:tc>
          <w:tcPr>
            <w:tcW w:w="1177" w:type="pct"/>
            <w:tcBorders>
              <w:top w:val="single" w:sz="4" w:space="0" w:color="auto"/>
              <w:bottom w:val="nil"/>
            </w:tcBorders>
          </w:tcPr>
          <w:p w14:paraId="44383977" w14:textId="77777777" w:rsidR="009726DC" w:rsidRPr="007B6175" w:rsidRDefault="009726DC" w:rsidP="001D7528">
            <w:pPr>
              <w:pStyle w:val="TableText"/>
              <w:rPr>
                <w:szCs w:val="18"/>
              </w:rPr>
            </w:pPr>
            <w:r w:rsidRPr="007B6175">
              <w:rPr>
                <w:i/>
                <w:iCs/>
                <w:szCs w:val="18"/>
              </w:rPr>
              <w:t>Journal of the Neurological Sciences</w:t>
            </w:r>
            <w:r w:rsidRPr="007B6175">
              <w:rPr>
                <w:szCs w:val="18"/>
              </w:rPr>
              <w:t xml:space="preserve"> 2019; 405 (Supplement):128.</w:t>
            </w:r>
          </w:p>
        </w:tc>
      </w:tr>
      <w:tr w:rsidR="009726DC" w:rsidRPr="007B6175" w14:paraId="0B7B4E9D" w14:textId="77777777" w:rsidTr="00A36F4A">
        <w:tc>
          <w:tcPr>
            <w:tcW w:w="796" w:type="pct"/>
            <w:vMerge/>
            <w:vAlign w:val="center"/>
          </w:tcPr>
          <w:p w14:paraId="196F1A7C" w14:textId="77777777" w:rsidR="009726DC" w:rsidRPr="007B6175" w:rsidRDefault="009726DC" w:rsidP="001D7528">
            <w:pPr>
              <w:pStyle w:val="TableText"/>
            </w:pPr>
          </w:p>
        </w:tc>
        <w:tc>
          <w:tcPr>
            <w:tcW w:w="3027" w:type="pct"/>
            <w:tcBorders>
              <w:top w:val="single" w:sz="4" w:space="0" w:color="auto"/>
              <w:bottom w:val="nil"/>
            </w:tcBorders>
            <w:vAlign w:val="center"/>
          </w:tcPr>
          <w:p w14:paraId="5657CBFB" w14:textId="77777777" w:rsidR="009726DC" w:rsidRPr="007B6175" w:rsidRDefault="009726DC" w:rsidP="001D7528">
            <w:pPr>
              <w:pStyle w:val="TableText"/>
              <w:rPr>
                <w:szCs w:val="18"/>
              </w:rPr>
            </w:pPr>
            <w:proofErr w:type="spellStart"/>
            <w:r w:rsidRPr="007B6175">
              <w:rPr>
                <w:szCs w:val="18"/>
              </w:rPr>
              <w:t>Maizels</w:t>
            </w:r>
            <w:proofErr w:type="spellEnd"/>
            <w:r w:rsidRPr="007B6175">
              <w:rPr>
                <w:szCs w:val="18"/>
              </w:rPr>
              <w:t xml:space="preserve">, M, Buse D, </w:t>
            </w:r>
            <w:proofErr w:type="spellStart"/>
            <w:r w:rsidRPr="007B6175">
              <w:rPr>
                <w:szCs w:val="18"/>
              </w:rPr>
              <w:t>Jedynak</w:t>
            </w:r>
            <w:proofErr w:type="spellEnd"/>
            <w:r w:rsidRPr="007B6175">
              <w:rPr>
                <w:szCs w:val="18"/>
              </w:rPr>
              <w:t xml:space="preserve"> JP, Hand A et al. Assessment of anxiety and depression in a randomized, double-blind, placebo-controlled study of </w:t>
            </w:r>
            <w:proofErr w:type="spellStart"/>
            <w:r w:rsidRPr="007B6175">
              <w:rPr>
                <w:szCs w:val="18"/>
              </w:rPr>
              <w:t>galcanezumab</w:t>
            </w:r>
            <w:proofErr w:type="spellEnd"/>
            <w:r w:rsidRPr="007B6175">
              <w:rPr>
                <w:szCs w:val="18"/>
              </w:rPr>
              <w:t xml:space="preserve"> in adults with treatment-resistant migraine: Results from the CONQUER study.</w:t>
            </w:r>
          </w:p>
        </w:tc>
        <w:tc>
          <w:tcPr>
            <w:tcW w:w="1177" w:type="pct"/>
            <w:tcBorders>
              <w:top w:val="single" w:sz="4" w:space="0" w:color="auto"/>
              <w:bottom w:val="nil"/>
            </w:tcBorders>
          </w:tcPr>
          <w:p w14:paraId="01393A39" w14:textId="77777777" w:rsidR="009726DC" w:rsidRPr="007B6175" w:rsidRDefault="009726DC" w:rsidP="001D7528">
            <w:pPr>
              <w:pStyle w:val="TableText"/>
              <w:rPr>
                <w:szCs w:val="18"/>
              </w:rPr>
            </w:pPr>
            <w:r w:rsidRPr="007B6175">
              <w:rPr>
                <w:i/>
                <w:iCs/>
                <w:szCs w:val="18"/>
              </w:rPr>
              <w:t>Journal of the Neurological Sciences</w:t>
            </w:r>
            <w:r w:rsidRPr="007B6175">
              <w:rPr>
                <w:szCs w:val="18"/>
              </w:rPr>
              <w:t xml:space="preserve"> 2019; 405 (Supplement):129-130.</w:t>
            </w:r>
          </w:p>
        </w:tc>
      </w:tr>
      <w:tr w:rsidR="009726DC" w:rsidRPr="007B6175" w14:paraId="36AA818A" w14:textId="77777777" w:rsidTr="00A36F4A">
        <w:tc>
          <w:tcPr>
            <w:tcW w:w="796" w:type="pct"/>
            <w:vMerge/>
            <w:vAlign w:val="center"/>
          </w:tcPr>
          <w:p w14:paraId="14838F77" w14:textId="77777777" w:rsidR="009726DC" w:rsidRPr="007B6175" w:rsidRDefault="009726DC" w:rsidP="001D7528">
            <w:pPr>
              <w:pStyle w:val="TableText"/>
            </w:pPr>
          </w:p>
        </w:tc>
        <w:tc>
          <w:tcPr>
            <w:tcW w:w="3027" w:type="pct"/>
            <w:tcBorders>
              <w:top w:val="single" w:sz="4" w:space="0" w:color="auto"/>
              <w:bottom w:val="nil"/>
            </w:tcBorders>
            <w:vAlign w:val="center"/>
          </w:tcPr>
          <w:p w14:paraId="16239094" w14:textId="77777777" w:rsidR="009726DC" w:rsidRPr="007B6175" w:rsidRDefault="009726DC" w:rsidP="001D7528">
            <w:pPr>
              <w:pStyle w:val="TableText"/>
              <w:rPr>
                <w:szCs w:val="18"/>
              </w:rPr>
            </w:pPr>
            <w:proofErr w:type="spellStart"/>
            <w:r w:rsidRPr="007B6175">
              <w:rPr>
                <w:szCs w:val="18"/>
              </w:rPr>
              <w:t>Ailani</w:t>
            </w:r>
            <w:proofErr w:type="spellEnd"/>
            <w:r w:rsidRPr="007B6175">
              <w:rPr>
                <w:szCs w:val="18"/>
              </w:rPr>
              <w:t xml:space="preserve">, J, </w:t>
            </w:r>
            <w:proofErr w:type="spellStart"/>
            <w:r w:rsidRPr="007B6175">
              <w:rPr>
                <w:szCs w:val="18"/>
              </w:rPr>
              <w:t>Kuruppu</w:t>
            </w:r>
            <w:proofErr w:type="spellEnd"/>
            <w:r w:rsidRPr="007B6175">
              <w:rPr>
                <w:szCs w:val="18"/>
              </w:rPr>
              <w:t xml:space="preserve"> D, </w:t>
            </w:r>
            <w:proofErr w:type="spellStart"/>
            <w:r w:rsidRPr="007B6175">
              <w:rPr>
                <w:szCs w:val="18"/>
              </w:rPr>
              <w:t>Rettiganti</w:t>
            </w:r>
            <w:proofErr w:type="spellEnd"/>
            <w:r w:rsidRPr="007B6175">
              <w:rPr>
                <w:szCs w:val="18"/>
              </w:rPr>
              <w:t xml:space="preserve"> M, Oakes T et al. Does wearing </w:t>
            </w:r>
            <w:proofErr w:type="gramStart"/>
            <w:r w:rsidRPr="007B6175">
              <w:rPr>
                <w:szCs w:val="18"/>
              </w:rPr>
              <w:t>off of</w:t>
            </w:r>
            <w:proofErr w:type="gramEnd"/>
            <w:r w:rsidRPr="007B6175">
              <w:rPr>
                <w:szCs w:val="18"/>
              </w:rPr>
              <w:t xml:space="preserve"> efficacy occur in </w:t>
            </w:r>
            <w:proofErr w:type="spellStart"/>
            <w:r w:rsidRPr="007B6175">
              <w:rPr>
                <w:szCs w:val="18"/>
              </w:rPr>
              <w:t>galcanezumab</w:t>
            </w:r>
            <w:proofErr w:type="spellEnd"/>
            <w:r w:rsidRPr="007B6175">
              <w:rPr>
                <w:szCs w:val="18"/>
              </w:rPr>
              <w:t xml:space="preserve">-treated patients at the end of the monthly treatment cycle: A post-hoc analysis of four phase 3 randomized trials. </w:t>
            </w:r>
          </w:p>
        </w:tc>
        <w:tc>
          <w:tcPr>
            <w:tcW w:w="1177" w:type="pct"/>
            <w:tcBorders>
              <w:top w:val="single" w:sz="4" w:space="0" w:color="auto"/>
              <w:bottom w:val="nil"/>
            </w:tcBorders>
          </w:tcPr>
          <w:p w14:paraId="6D6E2C68" w14:textId="77777777" w:rsidR="009726DC" w:rsidRPr="007B6175" w:rsidRDefault="009726DC" w:rsidP="001D7528">
            <w:pPr>
              <w:pStyle w:val="TableText"/>
              <w:rPr>
                <w:szCs w:val="18"/>
              </w:rPr>
            </w:pPr>
            <w:r w:rsidRPr="007B6175">
              <w:rPr>
                <w:i/>
                <w:iCs/>
                <w:szCs w:val="18"/>
              </w:rPr>
              <w:t xml:space="preserve">Headache </w:t>
            </w:r>
            <w:r w:rsidRPr="007B6175">
              <w:rPr>
                <w:szCs w:val="18"/>
              </w:rPr>
              <w:t>2021; 61 (SUPPL 1):153-154.</w:t>
            </w:r>
          </w:p>
        </w:tc>
      </w:tr>
      <w:tr w:rsidR="009726DC" w:rsidRPr="007B6175" w14:paraId="528F601D" w14:textId="77777777" w:rsidTr="00A36F4A">
        <w:tc>
          <w:tcPr>
            <w:tcW w:w="796" w:type="pct"/>
            <w:vMerge/>
            <w:vAlign w:val="center"/>
          </w:tcPr>
          <w:p w14:paraId="46384EA5" w14:textId="77777777" w:rsidR="009726DC" w:rsidRPr="007B6175" w:rsidRDefault="009726DC" w:rsidP="001D7528">
            <w:pPr>
              <w:pStyle w:val="TableText"/>
            </w:pPr>
          </w:p>
        </w:tc>
        <w:tc>
          <w:tcPr>
            <w:tcW w:w="3027" w:type="pct"/>
            <w:tcBorders>
              <w:top w:val="single" w:sz="4" w:space="0" w:color="auto"/>
              <w:bottom w:val="nil"/>
            </w:tcBorders>
            <w:vAlign w:val="center"/>
          </w:tcPr>
          <w:p w14:paraId="792DDCAA" w14:textId="77777777" w:rsidR="009726DC" w:rsidRPr="007B6175" w:rsidRDefault="009726DC" w:rsidP="001D7528">
            <w:pPr>
              <w:pStyle w:val="TableText"/>
              <w:rPr>
                <w:szCs w:val="18"/>
              </w:rPr>
            </w:pPr>
            <w:r w:rsidRPr="007B6175">
              <w:rPr>
                <w:szCs w:val="18"/>
              </w:rPr>
              <w:t xml:space="preserve">Okonkwo R, </w:t>
            </w:r>
            <w:proofErr w:type="spellStart"/>
            <w:r w:rsidRPr="007B6175">
              <w:rPr>
                <w:szCs w:val="18"/>
              </w:rPr>
              <w:t>Tockhorn</w:t>
            </w:r>
            <w:proofErr w:type="spellEnd"/>
            <w:r w:rsidRPr="007B6175">
              <w:rPr>
                <w:szCs w:val="18"/>
              </w:rPr>
              <w:t xml:space="preserve">-Heidenreich A, Stroud C, Paget MA et al. Efficacy of </w:t>
            </w:r>
            <w:proofErr w:type="spellStart"/>
            <w:r w:rsidRPr="007B6175">
              <w:rPr>
                <w:szCs w:val="18"/>
              </w:rPr>
              <w:t>galcanezumab</w:t>
            </w:r>
            <w:proofErr w:type="spellEnd"/>
            <w:r w:rsidRPr="007B6175">
              <w:rPr>
                <w:szCs w:val="18"/>
              </w:rPr>
              <w:t xml:space="preserve"> in patients with migraine and history of failure to 3-4 preventive medication categories: subgroup results from CONQUER study. </w:t>
            </w:r>
          </w:p>
        </w:tc>
        <w:tc>
          <w:tcPr>
            <w:tcW w:w="1177" w:type="pct"/>
            <w:tcBorders>
              <w:top w:val="single" w:sz="4" w:space="0" w:color="auto"/>
              <w:bottom w:val="nil"/>
            </w:tcBorders>
          </w:tcPr>
          <w:p w14:paraId="6F7765F5" w14:textId="77777777" w:rsidR="009726DC" w:rsidRPr="007B6175" w:rsidRDefault="009726DC" w:rsidP="001D7528">
            <w:pPr>
              <w:pStyle w:val="TableText"/>
              <w:rPr>
                <w:szCs w:val="18"/>
              </w:rPr>
            </w:pPr>
            <w:r w:rsidRPr="007B6175">
              <w:rPr>
                <w:i/>
                <w:iCs/>
                <w:szCs w:val="18"/>
              </w:rPr>
              <w:t xml:space="preserve">Journal of Headache and Pain </w:t>
            </w:r>
            <w:r w:rsidRPr="007B6175">
              <w:rPr>
                <w:szCs w:val="18"/>
              </w:rPr>
              <w:t>2021; 22(1).</w:t>
            </w:r>
          </w:p>
        </w:tc>
      </w:tr>
      <w:tr w:rsidR="009726DC" w:rsidRPr="007B6175" w14:paraId="0AE72952" w14:textId="77777777" w:rsidTr="00A36F4A">
        <w:tc>
          <w:tcPr>
            <w:tcW w:w="796" w:type="pct"/>
            <w:vMerge/>
            <w:vAlign w:val="center"/>
          </w:tcPr>
          <w:p w14:paraId="616718F7" w14:textId="77777777" w:rsidR="009726DC" w:rsidRPr="007B6175" w:rsidRDefault="009726DC" w:rsidP="001D7528">
            <w:pPr>
              <w:pStyle w:val="TableText"/>
            </w:pPr>
          </w:p>
        </w:tc>
        <w:tc>
          <w:tcPr>
            <w:tcW w:w="3027" w:type="pct"/>
            <w:tcBorders>
              <w:top w:val="single" w:sz="4" w:space="0" w:color="auto"/>
              <w:bottom w:val="single" w:sz="4" w:space="0" w:color="auto"/>
            </w:tcBorders>
            <w:vAlign w:val="center"/>
          </w:tcPr>
          <w:p w14:paraId="4B35B32A" w14:textId="77777777" w:rsidR="009726DC" w:rsidRPr="007B6175" w:rsidRDefault="009726DC" w:rsidP="001D7528">
            <w:pPr>
              <w:pStyle w:val="TableText"/>
              <w:rPr>
                <w:szCs w:val="18"/>
              </w:rPr>
            </w:pPr>
            <w:r w:rsidRPr="007B6175">
              <w:rPr>
                <w:szCs w:val="18"/>
              </w:rPr>
              <w:t xml:space="preserve">Schwedt TJ, </w:t>
            </w:r>
            <w:proofErr w:type="spellStart"/>
            <w:r w:rsidRPr="007B6175">
              <w:rPr>
                <w:szCs w:val="18"/>
              </w:rPr>
              <w:t>Kuruppu</w:t>
            </w:r>
            <w:proofErr w:type="spellEnd"/>
            <w:r w:rsidRPr="007B6175">
              <w:rPr>
                <w:szCs w:val="18"/>
              </w:rPr>
              <w:t xml:space="preserve"> DK, Dong Y, Standley K et al. Early onset of effect following </w:t>
            </w:r>
            <w:proofErr w:type="spellStart"/>
            <w:r w:rsidRPr="007B6175">
              <w:rPr>
                <w:szCs w:val="18"/>
              </w:rPr>
              <w:t>galcanezumab</w:t>
            </w:r>
            <w:proofErr w:type="spellEnd"/>
            <w:r w:rsidRPr="007B6175">
              <w:rPr>
                <w:szCs w:val="18"/>
              </w:rPr>
              <w:t xml:space="preserve"> treatment in patients with previous preventative medication failures. </w:t>
            </w:r>
          </w:p>
        </w:tc>
        <w:tc>
          <w:tcPr>
            <w:tcW w:w="1177" w:type="pct"/>
            <w:tcBorders>
              <w:top w:val="single" w:sz="4" w:space="0" w:color="auto"/>
              <w:bottom w:val="nil"/>
            </w:tcBorders>
          </w:tcPr>
          <w:p w14:paraId="662740A0" w14:textId="77777777" w:rsidR="009726DC" w:rsidRPr="007B6175" w:rsidRDefault="009726DC" w:rsidP="001D7528">
            <w:pPr>
              <w:pStyle w:val="TableText"/>
              <w:rPr>
                <w:szCs w:val="18"/>
              </w:rPr>
            </w:pPr>
            <w:r w:rsidRPr="007B6175">
              <w:rPr>
                <w:i/>
                <w:iCs/>
                <w:szCs w:val="18"/>
              </w:rPr>
              <w:t xml:space="preserve">Journal of Headache and Pain </w:t>
            </w:r>
            <w:r w:rsidRPr="007B6175">
              <w:rPr>
                <w:szCs w:val="18"/>
              </w:rPr>
              <w:t>2021; 22(1):15.</w:t>
            </w:r>
          </w:p>
        </w:tc>
      </w:tr>
      <w:tr w:rsidR="009726DC" w:rsidRPr="007B6175" w14:paraId="0373C098" w14:textId="77777777" w:rsidTr="00A36F4A">
        <w:tc>
          <w:tcPr>
            <w:tcW w:w="796" w:type="pct"/>
            <w:vMerge/>
            <w:vAlign w:val="center"/>
          </w:tcPr>
          <w:p w14:paraId="6128F78B" w14:textId="77777777" w:rsidR="009726DC" w:rsidRPr="007B6175" w:rsidRDefault="009726DC" w:rsidP="001D7528">
            <w:pPr>
              <w:pStyle w:val="TableText"/>
            </w:pPr>
          </w:p>
        </w:tc>
        <w:tc>
          <w:tcPr>
            <w:tcW w:w="3027" w:type="pct"/>
            <w:tcBorders>
              <w:top w:val="single" w:sz="4" w:space="0" w:color="auto"/>
              <w:bottom w:val="single" w:sz="4" w:space="0" w:color="auto"/>
            </w:tcBorders>
            <w:vAlign w:val="center"/>
          </w:tcPr>
          <w:p w14:paraId="7BAD77A5" w14:textId="121B65C1" w:rsidR="009726DC" w:rsidRPr="007B6175" w:rsidRDefault="003C4789" w:rsidP="001D7528">
            <w:pPr>
              <w:pStyle w:val="TableText"/>
              <w:rPr>
                <w:szCs w:val="18"/>
              </w:rPr>
            </w:pPr>
            <w:r w:rsidRPr="007B6175">
              <w:rPr>
                <w:szCs w:val="18"/>
              </w:rPr>
              <w:t xml:space="preserve">Reuter U, Lucas C, </w:t>
            </w:r>
            <w:proofErr w:type="spellStart"/>
            <w:r w:rsidRPr="007B6175">
              <w:rPr>
                <w:szCs w:val="18"/>
              </w:rPr>
              <w:t>Dolezil</w:t>
            </w:r>
            <w:proofErr w:type="spellEnd"/>
            <w:r w:rsidRPr="007B6175">
              <w:rPr>
                <w:szCs w:val="18"/>
              </w:rPr>
              <w:t xml:space="preserve"> D, Hand AL et al. </w:t>
            </w:r>
            <w:proofErr w:type="spellStart"/>
            <w:r w:rsidRPr="007B6175">
              <w:rPr>
                <w:szCs w:val="18"/>
              </w:rPr>
              <w:t>Galcanezumab</w:t>
            </w:r>
            <w:proofErr w:type="spellEnd"/>
            <w:r w:rsidRPr="007B6175">
              <w:rPr>
                <w:szCs w:val="18"/>
              </w:rPr>
              <w:t xml:space="preserve"> in patients with multiple previous migraine preventive medication category failures: results from the open-label period of the CONQUER trial.</w:t>
            </w:r>
          </w:p>
        </w:tc>
        <w:tc>
          <w:tcPr>
            <w:tcW w:w="1177" w:type="pct"/>
            <w:tcBorders>
              <w:top w:val="single" w:sz="4" w:space="0" w:color="auto"/>
              <w:bottom w:val="single" w:sz="4" w:space="0" w:color="auto"/>
            </w:tcBorders>
          </w:tcPr>
          <w:p w14:paraId="48D3E136" w14:textId="77777777" w:rsidR="009726DC" w:rsidRPr="007B6175" w:rsidRDefault="009726DC" w:rsidP="001D7528">
            <w:pPr>
              <w:pStyle w:val="TableText"/>
              <w:rPr>
                <w:szCs w:val="18"/>
              </w:rPr>
            </w:pPr>
            <w:r w:rsidRPr="007B6175">
              <w:rPr>
                <w:i/>
                <w:iCs/>
                <w:szCs w:val="18"/>
              </w:rPr>
              <w:t xml:space="preserve">Adv </w:t>
            </w:r>
            <w:proofErr w:type="spellStart"/>
            <w:r w:rsidRPr="007B6175">
              <w:rPr>
                <w:i/>
                <w:iCs/>
                <w:szCs w:val="18"/>
              </w:rPr>
              <w:t>Ther</w:t>
            </w:r>
            <w:proofErr w:type="spellEnd"/>
            <w:r w:rsidRPr="007B6175">
              <w:rPr>
                <w:i/>
                <w:iCs/>
                <w:szCs w:val="18"/>
              </w:rPr>
              <w:t xml:space="preserve">. </w:t>
            </w:r>
            <w:r w:rsidRPr="007B6175">
              <w:rPr>
                <w:szCs w:val="18"/>
              </w:rPr>
              <w:t>2021; 38(11):5465-5483.</w:t>
            </w:r>
          </w:p>
        </w:tc>
      </w:tr>
    </w:tbl>
    <w:p w14:paraId="51D8173A" w14:textId="5D74D218" w:rsidR="008E0D3C" w:rsidRPr="007B6175" w:rsidRDefault="008E0D3C" w:rsidP="00EC5836">
      <w:pPr>
        <w:pStyle w:val="TableFigureFooter"/>
        <w:rPr>
          <w:sz w:val="20"/>
        </w:rPr>
      </w:pPr>
      <w:r w:rsidRPr="007B6175">
        <w:t xml:space="preserve">Source: </w:t>
      </w:r>
      <w:r w:rsidR="003C4789" w:rsidRPr="007B6175">
        <w:t>Table 2.3.1, pp47-49 of the resubmission.</w:t>
      </w:r>
    </w:p>
    <w:p w14:paraId="5197E537" w14:textId="3A3B10BF" w:rsidR="0018137C" w:rsidRPr="007B6175" w:rsidRDefault="0018137C" w:rsidP="00340E3E">
      <w:pPr>
        <w:pStyle w:val="ExecSumBodyText"/>
      </w:pPr>
      <w:r w:rsidRPr="007B6175">
        <w:t xml:space="preserve">The key features of the CONQUER randomised trial </w:t>
      </w:r>
      <w:r w:rsidR="001748A4" w:rsidRPr="007B6175">
        <w:t xml:space="preserve">and CONQUER trial subgroup </w:t>
      </w:r>
      <w:r w:rsidR="00E47159" w:rsidRPr="007B6175">
        <w:t xml:space="preserve">forming the basis of the resubmission are presented in </w:t>
      </w:r>
      <w:r w:rsidR="001831E7" w:rsidRPr="007B6175">
        <w:t>the table below</w:t>
      </w:r>
      <w:r w:rsidR="00E47159" w:rsidRPr="007B6175">
        <w:t>.</w:t>
      </w:r>
      <w:r w:rsidRPr="007B6175">
        <w:t xml:space="preserve"> </w:t>
      </w:r>
    </w:p>
    <w:p w14:paraId="1F12979B" w14:textId="4F316241" w:rsidR="008A3CE1" w:rsidRPr="007B6175" w:rsidRDefault="008A3CE1" w:rsidP="00765995">
      <w:pPr>
        <w:pStyle w:val="TableHeading"/>
      </w:pPr>
      <w:r w:rsidRPr="007B6175">
        <w:t xml:space="preserve">Table </w:t>
      </w:r>
      <w:r>
        <w:fldChar w:fldCharType="begin"/>
      </w:r>
      <w:r>
        <w:instrText>SEQ Table \* ARABIC</w:instrText>
      </w:r>
      <w:r>
        <w:fldChar w:fldCharType="separate"/>
      </w:r>
      <w:r w:rsidR="00046698">
        <w:rPr>
          <w:noProof/>
        </w:rPr>
        <w:t>4</w:t>
      </w:r>
      <w:r>
        <w:fldChar w:fldCharType="end"/>
      </w:r>
      <w:r w:rsidR="0071406C" w:rsidRPr="007B6175">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18137C" w:rsidRPr="007B6175" w14:paraId="4CF2DECB" w14:textId="77777777" w:rsidTr="00F75DE5">
        <w:trPr>
          <w:cantSplit/>
          <w:tblHeader/>
        </w:trPr>
        <w:tc>
          <w:tcPr>
            <w:tcW w:w="713" w:type="pct"/>
            <w:shd w:val="clear" w:color="auto" w:fill="auto"/>
            <w:vAlign w:val="center"/>
          </w:tcPr>
          <w:p w14:paraId="189B4BD7" w14:textId="77777777" w:rsidR="0018137C" w:rsidRPr="007B6175" w:rsidRDefault="0018137C" w:rsidP="00F75DE5">
            <w:pPr>
              <w:pStyle w:val="Tableheadingrow"/>
              <w:rPr>
                <w:lang w:val="en-AU"/>
              </w:rPr>
            </w:pPr>
            <w:r w:rsidRPr="007B6175">
              <w:rPr>
                <w:lang w:val="en-AU"/>
              </w:rPr>
              <w:t>Trial</w:t>
            </w:r>
          </w:p>
        </w:tc>
        <w:tc>
          <w:tcPr>
            <w:tcW w:w="466" w:type="pct"/>
            <w:shd w:val="clear" w:color="auto" w:fill="auto"/>
            <w:vAlign w:val="center"/>
          </w:tcPr>
          <w:p w14:paraId="18B924D1" w14:textId="77777777" w:rsidR="0018137C" w:rsidRPr="007B6175" w:rsidRDefault="0018137C" w:rsidP="00F75DE5">
            <w:pPr>
              <w:pStyle w:val="Tableheadingrow"/>
              <w:jc w:val="center"/>
              <w:rPr>
                <w:lang w:val="en-AU"/>
              </w:rPr>
            </w:pPr>
            <w:r w:rsidRPr="007B6175">
              <w:rPr>
                <w:lang w:val="en-AU"/>
              </w:rPr>
              <w:t>N</w:t>
            </w:r>
          </w:p>
        </w:tc>
        <w:tc>
          <w:tcPr>
            <w:tcW w:w="782" w:type="pct"/>
            <w:shd w:val="clear" w:color="auto" w:fill="auto"/>
            <w:vAlign w:val="center"/>
          </w:tcPr>
          <w:p w14:paraId="11C611C3" w14:textId="77777777" w:rsidR="0018137C" w:rsidRPr="007B6175" w:rsidRDefault="0018137C" w:rsidP="00F75DE5">
            <w:pPr>
              <w:pStyle w:val="Tableheadingrow"/>
              <w:jc w:val="center"/>
              <w:rPr>
                <w:lang w:val="en-AU"/>
              </w:rPr>
            </w:pPr>
            <w:r w:rsidRPr="007B6175">
              <w:rPr>
                <w:lang w:val="en-AU"/>
              </w:rPr>
              <w:t>Design/ duration</w:t>
            </w:r>
          </w:p>
        </w:tc>
        <w:tc>
          <w:tcPr>
            <w:tcW w:w="621" w:type="pct"/>
            <w:shd w:val="clear" w:color="auto" w:fill="auto"/>
            <w:vAlign w:val="center"/>
          </w:tcPr>
          <w:p w14:paraId="76A42347" w14:textId="77777777" w:rsidR="0018137C" w:rsidRPr="007B6175" w:rsidRDefault="0018137C" w:rsidP="00F75DE5">
            <w:pPr>
              <w:pStyle w:val="Tableheadingrow"/>
              <w:jc w:val="center"/>
              <w:rPr>
                <w:lang w:val="en-AU"/>
              </w:rPr>
            </w:pPr>
            <w:r w:rsidRPr="007B6175">
              <w:rPr>
                <w:lang w:val="en-AU"/>
              </w:rPr>
              <w:t>Risk of bias</w:t>
            </w:r>
          </w:p>
        </w:tc>
        <w:tc>
          <w:tcPr>
            <w:tcW w:w="857" w:type="pct"/>
            <w:shd w:val="clear" w:color="auto" w:fill="auto"/>
            <w:vAlign w:val="center"/>
          </w:tcPr>
          <w:p w14:paraId="11EA58E7" w14:textId="77777777" w:rsidR="0018137C" w:rsidRPr="007B6175" w:rsidRDefault="0018137C" w:rsidP="00F75DE5">
            <w:pPr>
              <w:pStyle w:val="Tableheadingrow"/>
              <w:jc w:val="center"/>
              <w:rPr>
                <w:lang w:val="en-AU"/>
              </w:rPr>
            </w:pPr>
            <w:r w:rsidRPr="007B6175">
              <w:rPr>
                <w:lang w:val="en-AU"/>
              </w:rPr>
              <w:t>Patient population</w:t>
            </w:r>
          </w:p>
        </w:tc>
        <w:tc>
          <w:tcPr>
            <w:tcW w:w="622" w:type="pct"/>
            <w:shd w:val="clear" w:color="auto" w:fill="auto"/>
            <w:vAlign w:val="center"/>
          </w:tcPr>
          <w:p w14:paraId="66613E01" w14:textId="77777777" w:rsidR="0018137C" w:rsidRPr="007B6175" w:rsidRDefault="0018137C" w:rsidP="00F75DE5">
            <w:pPr>
              <w:pStyle w:val="Tableheadingrow"/>
              <w:jc w:val="center"/>
              <w:rPr>
                <w:lang w:val="en-AU"/>
              </w:rPr>
            </w:pPr>
            <w:r w:rsidRPr="007B6175">
              <w:rPr>
                <w:lang w:val="en-AU"/>
              </w:rPr>
              <w:t>Outcome</w:t>
            </w:r>
          </w:p>
        </w:tc>
        <w:tc>
          <w:tcPr>
            <w:tcW w:w="939" w:type="pct"/>
            <w:shd w:val="clear" w:color="auto" w:fill="auto"/>
            <w:vAlign w:val="center"/>
          </w:tcPr>
          <w:p w14:paraId="3B948D05" w14:textId="77777777" w:rsidR="0018137C" w:rsidRPr="007B6175" w:rsidRDefault="0018137C" w:rsidP="00F75DE5">
            <w:pPr>
              <w:pStyle w:val="Tableheadingrow"/>
              <w:jc w:val="center"/>
              <w:rPr>
                <w:lang w:val="en-AU"/>
              </w:rPr>
            </w:pPr>
            <w:r w:rsidRPr="007B6175">
              <w:rPr>
                <w:lang w:val="en-AU"/>
              </w:rPr>
              <w:t>Use in modelled evaluation</w:t>
            </w:r>
          </w:p>
        </w:tc>
      </w:tr>
      <w:tr w:rsidR="0018137C" w:rsidRPr="007B6175" w14:paraId="41E8FD11" w14:textId="77777777" w:rsidTr="00F75DE5">
        <w:trPr>
          <w:cantSplit/>
        </w:trPr>
        <w:tc>
          <w:tcPr>
            <w:tcW w:w="5000" w:type="pct"/>
            <w:gridSpan w:val="7"/>
            <w:shd w:val="clear" w:color="auto" w:fill="auto"/>
            <w:vAlign w:val="center"/>
          </w:tcPr>
          <w:p w14:paraId="1C59F3C1" w14:textId="77777777" w:rsidR="0018137C" w:rsidRPr="007B6175" w:rsidRDefault="0018137C" w:rsidP="00F75DE5">
            <w:pPr>
              <w:pStyle w:val="Tableheadingrow"/>
              <w:rPr>
                <w:lang w:val="en-AU"/>
              </w:rPr>
            </w:pPr>
            <w:proofErr w:type="spellStart"/>
            <w:r w:rsidRPr="007B6175">
              <w:rPr>
                <w:lang w:val="en-AU"/>
              </w:rPr>
              <w:t>Galcanezumab</w:t>
            </w:r>
            <w:proofErr w:type="spellEnd"/>
            <w:r w:rsidRPr="007B6175">
              <w:rPr>
                <w:lang w:val="en-AU"/>
              </w:rPr>
              <w:t xml:space="preserve"> versus placebo</w:t>
            </w:r>
          </w:p>
        </w:tc>
      </w:tr>
      <w:tr w:rsidR="002B333B" w:rsidRPr="007B6175" w14:paraId="24113308" w14:textId="77777777" w:rsidTr="00F75DE5">
        <w:trPr>
          <w:cantSplit/>
        </w:trPr>
        <w:tc>
          <w:tcPr>
            <w:tcW w:w="713" w:type="pct"/>
            <w:shd w:val="clear" w:color="auto" w:fill="auto"/>
            <w:vAlign w:val="center"/>
          </w:tcPr>
          <w:p w14:paraId="224159BB" w14:textId="77777777" w:rsidR="002B333B" w:rsidRPr="007B6175" w:rsidRDefault="002B333B" w:rsidP="00F75DE5">
            <w:pPr>
              <w:pStyle w:val="TableText"/>
            </w:pPr>
            <w:r w:rsidRPr="007B6175">
              <w:t>CONQUER</w:t>
            </w:r>
          </w:p>
        </w:tc>
        <w:tc>
          <w:tcPr>
            <w:tcW w:w="466" w:type="pct"/>
            <w:shd w:val="clear" w:color="auto" w:fill="auto"/>
            <w:vAlign w:val="center"/>
          </w:tcPr>
          <w:p w14:paraId="401C2BA2" w14:textId="65867E0C" w:rsidR="002B333B" w:rsidRPr="007B6175" w:rsidRDefault="002B333B" w:rsidP="004C4921">
            <w:pPr>
              <w:pStyle w:val="TableText"/>
              <w:jc w:val="center"/>
            </w:pPr>
            <w:r w:rsidRPr="007B6175">
              <w:t>462</w:t>
            </w:r>
          </w:p>
        </w:tc>
        <w:tc>
          <w:tcPr>
            <w:tcW w:w="782" w:type="pct"/>
            <w:vMerge w:val="restart"/>
            <w:shd w:val="clear" w:color="auto" w:fill="auto"/>
            <w:vAlign w:val="center"/>
          </w:tcPr>
          <w:p w14:paraId="2F6D85AE" w14:textId="77777777" w:rsidR="002B333B" w:rsidRPr="007B6175" w:rsidRDefault="002B333B" w:rsidP="002C53E8">
            <w:pPr>
              <w:pStyle w:val="TableText"/>
              <w:jc w:val="center"/>
            </w:pPr>
            <w:r w:rsidRPr="007B6175">
              <w:t xml:space="preserve">Randomised, double blinded, multi centre, </w:t>
            </w:r>
          </w:p>
          <w:p w14:paraId="2F1BB3AD" w14:textId="17AE2F24" w:rsidR="002B333B" w:rsidRPr="007B6175" w:rsidRDefault="002B333B" w:rsidP="002C53E8">
            <w:pPr>
              <w:pStyle w:val="TableText"/>
              <w:jc w:val="center"/>
            </w:pPr>
            <w:r w:rsidRPr="007B6175">
              <w:t>(12 weeks with 12-week open-label extension)</w:t>
            </w:r>
          </w:p>
        </w:tc>
        <w:tc>
          <w:tcPr>
            <w:tcW w:w="621" w:type="pct"/>
            <w:shd w:val="clear" w:color="auto" w:fill="auto"/>
            <w:vAlign w:val="center"/>
          </w:tcPr>
          <w:p w14:paraId="54C8BABB" w14:textId="013CFA1F" w:rsidR="002B333B" w:rsidRPr="00B663F3" w:rsidRDefault="002B333B" w:rsidP="00E47159">
            <w:pPr>
              <w:pStyle w:val="TableText"/>
              <w:jc w:val="center"/>
            </w:pPr>
            <w:r w:rsidRPr="00B663F3">
              <w:t>Low</w:t>
            </w:r>
          </w:p>
        </w:tc>
        <w:tc>
          <w:tcPr>
            <w:tcW w:w="857" w:type="pct"/>
            <w:shd w:val="clear" w:color="auto" w:fill="auto"/>
            <w:vAlign w:val="center"/>
          </w:tcPr>
          <w:p w14:paraId="64A44BB4" w14:textId="77777777" w:rsidR="002B333B" w:rsidRPr="007B6175" w:rsidRDefault="002B333B" w:rsidP="003D1AAE">
            <w:pPr>
              <w:pStyle w:val="TableText"/>
              <w:numPr>
                <w:ilvl w:val="0"/>
                <w:numId w:val="22"/>
              </w:numPr>
              <w:ind w:left="133" w:hanging="189"/>
              <w:jc w:val="center"/>
            </w:pPr>
            <w:r w:rsidRPr="007B6175">
              <w:t>≥4 migraine headache days per month</w:t>
            </w:r>
          </w:p>
          <w:p w14:paraId="33B06B54" w14:textId="5FDC241E" w:rsidR="002B333B" w:rsidRPr="007B6175" w:rsidRDefault="002B333B" w:rsidP="003D1AAE">
            <w:pPr>
              <w:pStyle w:val="TableText"/>
              <w:numPr>
                <w:ilvl w:val="0"/>
                <w:numId w:val="22"/>
              </w:numPr>
              <w:ind w:left="133" w:hanging="189"/>
              <w:jc w:val="center"/>
            </w:pPr>
            <w:r w:rsidRPr="007B6175">
              <w:t xml:space="preserve">2 to 4 prior treatment failures </w:t>
            </w:r>
          </w:p>
        </w:tc>
        <w:tc>
          <w:tcPr>
            <w:tcW w:w="622" w:type="pct"/>
            <w:vMerge w:val="restart"/>
            <w:shd w:val="clear" w:color="auto" w:fill="auto"/>
            <w:vAlign w:val="center"/>
          </w:tcPr>
          <w:p w14:paraId="121255BA" w14:textId="77777777" w:rsidR="002B333B" w:rsidRPr="007B6175" w:rsidRDefault="002B333B" w:rsidP="00F75DE5">
            <w:pPr>
              <w:pStyle w:val="TableText"/>
              <w:jc w:val="center"/>
            </w:pPr>
            <w:r w:rsidRPr="007B6175">
              <w:t>Change from baseline in monthly migraine headache days</w:t>
            </w:r>
          </w:p>
        </w:tc>
        <w:tc>
          <w:tcPr>
            <w:tcW w:w="939" w:type="pct"/>
            <w:vMerge w:val="restart"/>
            <w:shd w:val="clear" w:color="auto" w:fill="auto"/>
            <w:vAlign w:val="center"/>
          </w:tcPr>
          <w:p w14:paraId="646F7CBC" w14:textId="38942E0A" w:rsidR="002B333B" w:rsidRPr="007B6175" w:rsidRDefault="002B333B" w:rsidP="00F75DE5">
            <w:pPr>
              <w:pStyle w:val="TableText"/>
              <w:jc w:val="center"/>
            </w:pPr>
            <w:r w:rsidRPr="007B6175">
              <w:t xml:space="preserve">≥50% responder for change in migraine days; change from baseline in </w:t>
            </w:r>
            <w:r w:rsidR="00B10BB3" w:rsidRPr="007B6175">
              <w:t xml:space="preserve">monthly </w:t>
            </w:r>
            <w:r w:rsidRPr="007B6175">
              <w:t>migraine headache days</w:t>
            </w:r>
          </w:p>
        </w:tc>
      </w:tr>
      <w:tr w:rsidR="002B333B" w:rsidRPr="007B6175" w14:paraId="55130474" w14:textId="77777777" w:rsidTr="00F75DE5">
        <w:trPr>
          <w:cantSplit/>
        </w:trPr>
        <w:tc>
          <w:tcPr>
            <w:tcW w:w="713" w:type="pct"/>
            <w:shd w:val="clear" w:color="auto" w:fill="auto"/>
            <w:vAlign w:val="center"/>
          </w:tcPr>
          <w:p w14:paraId="0B487F06" w14:textId="4E7A57F6" w:rsidR="002B333B" w:rsidRPr="007B6175" w:rsidRDefault="002B333B" w:rsidP="00F75DE5">
            <w:pPr>
              <w:pStyle w:val="TableText"/>
            </w:pPr>
            <w:r w:rsidRPr="007B6175">
              <w:t>CONQUER (high frequency episodic migraine subgroup</w:t>
            </w:r>
          </w:p>
        </w:tc>
        <w:tc>
          <w:tcPr>
            <w:tcW w:w="466" w:type="pct"/>
            <w:shd w:val="clear" w:color="auto" w:fill="auto"/>
            <w:vAlign w:val="center"/>
          </w:tcPr>
          <w:p w14:paraId="773DB8FB" w14:textId="3D543635" w:rsidR="002B333B" w:rsidRPr="007B6175" w:rsidRDefault="002B333B" w:rsidP="00F75DE5">
            <w:pPr>
              <w:pStyle w:val="TableText"/>
              <w:jc w:val="center"/>
            </w:pPr>
            <w:r w:rsidRPr="007B6175">
              <w:t>80</w:t>
            </w:r>
          </w:p>
        </w:tc>
        <w:tc>
          <w:tcPr>
            <w:tcW w:w="782" w:type="pct"/>
            <w:vMerge/>
            <w:shd w:val="clear" w:color="auto" w:fill="auto"/>
            <w:vAlign w:val="center"/>
          </w:tcPr>
          <w:p w14:paraId="15EE710B" w14:textId="55155BBF" w:rsidR="002B333B" w:rsidRPr="007B6175" w:rsidRDefault="002B333B" w:rsidP="002C53E8">
            <w:pPr>
              <w:pStyle w:val="TableText"/>
              <w:jc w:val="center"/>
            </w:pPr>
          </w:p>
        </w:tc>
        <w:tc>
          <w:tcPr>
            <w:tcW w:w="621" w:type="pct"/>
            <w:shd w:val="clear" w:color="auto" w:fill="auto"/>
            <w:vAlign w:val="center"/>
          </w:tcPr>
          <w:p w14:paraId="77737036" w14:textId="6C7AF8AF" w:rsidR="002B333B" w:rsidRPr="00B663F3" w:rsidRDefault="002B333B" w:rsidP="00F75DE5">
            <w:pPr>
              <w:pStyle w:val="TableText"/>
              <w:jc w:val="center"/>
            </w:pPr>
            <w:r w:rsidRPr="00B663F3">
              <w:t>High</w:t>
            </w:r>
          </w:p>
        </w:tc>
        <w:tc>
          <w:tcPr>
            <w:tcW w:w="857" w:type="pct"/>
            <w:shd w:val="clear" w:color="auto" w:fill="auto"/>
            <w:vAlign w:val="center"/>
          </w:tcPr>
          <w:p w14:paraId="2D3DAE4B" w14:textId="77777777" w:rsidR="002B333B" w:rsidRPr="007B6175" w:rsidRDefault="002B333B" w:rsidP="004C4921">
            <w:pPr>
              <w:pStyle w:val="TableText"/>
              <w:jc w:val="center"/>
            </w:pPr>
            <w:r w:rsidRPr="007B6175">
              <w:t>- 8 to 14 monthly migraine headache days per month</w:t>
            </w:r>
          </w:p>
          <w:p w14:paraId="22A4B0D2" w14:textId="0D2CECCE" w:rsidR="002B333B" w:rsidRPr="007B6175" w:rsidRDefault="002B333B" w:rsidP="004C4921">
            <w:pPr>
              <w:pStyle w:val="TableText"/>
              <w:jc w:val="center"/>
            </w:pPr>
            <w:r w:rsidRPr="007B6175">
              <w:t>- 3 to 4 prior treatment failures</w:t>
            </w:r>
          </w:p>
        </w:tc>
        <w:tc>
          <w:tcPr>
            <w:tcW w:w="622" w:type="pct"/>
            <w:vMerge/>
            <w:shd w:val="clear" w:color="auto" w:fill="auto"/>
            <w:vAlign w:val="center"/>
          </w:tcPr>
          <w:p w14:paraId="23201CAB" w14:textId="77777777" w:rsidR="002B333B" w:rsidRPr="007B6175" w:rsidRDefault="002B333B" w:rsidP="00F75DE5">
            <w:pPr>
              <w:pStyle w:val="TableText"/>
              <w:jc w:val="center"/>
            </w:pPr>
          </w:p>
        </w:tc>
        <w:tc>
          <w:tcPr>
            <w:tcW w:w="939" w:type="pct"/>
            <w:vMerge/>
            <w:shd w:val="clear" w:color="auto" w:fill="auto"/>
            <w:vAlign w:val="center"/>
          </w:tcPr>
          <w:p w14:paraId="21F87E53" w14:textId="77777777" w:rsidR="002B333B" w:rsidRPr="007B6175" w:rsidRDefault="002B333B" w:rsidP="00F75DE5">
            <w:pPr>
              <w:pStyle w:val="TableText"/>
              <w:jc w:val="center"/>
            </w:pPr>
          </w:p>
        </w:tc>
      </w:tr>
    </w:tbl>
    <w:p w14:paraId="3991B8AE" w14:textId="35161E28" w:rsidR="002B333B" w:rsidRPr="007B6175" w:rsidRDefault="002B333B" w:rsidP="00B10BB3">
      <w:pPr>
        <w:pStyle w:val="TableFooter"/>
      </w:pPr>
      <w:r w:rsidRPr="007B6175">
        <w:t>Source: Table 1, pp1-2 of Attachment 3.1 of the resubmission; Table 2.5.3, p55; Table 2.5.5, pp57-59 of the resubmission.</w:t>
      </w:r>
    </w:p>
    <w:p w14:paraId="5E78F345" w14:textId="36AD3EBC" w:rsidR="005B467F" w:rsidRDefault="005B467F" w:rsidP="00340E3E">
      <w:pPr>
        <w:pStyle w:val="ExecSumBodyText"/>
      </w:pPr>
      <w:r w:rsidRPr="007B6175">
        <w:rPr>
          <w:snapToGrid/>
        </w:rPr>
        <w:t xml:space="preserve">Chronic migraine was defined in the CONQUER trial as having at least 8 migraine headache days and at least 15 headache days per 30-day period in the baseline period. Migraine headache days counted towards headache days. Episodic migraine was </w:t>
      </w:r>
      <w:r w:rsidRPr="007B6175">
        <w:rPr>
          <w:snapToGrid/>
        </w:rPr>
        <w:lastRenderedPageBreak/>
        <w:t xml:space="preserve">defined as having fewer than 15 headache days per 30-day period in the baseline period. </w:t>
      </w:r>
    </w:p>
    <w:p w14:paraId="676B67C1" w14:textId="77777777" w:rsidR="00A53CF3" w:rsidRPr="007B6175" w:rsidRDefault="00A53CF3" w:rsidP="00340E3E">
      <w:pPr>
        <w:pStyle w:val="ExecSumBodyText"/>
      </w:pPr>
      <w:r w:rsidRPr="007B6175">
        <w:t xml:space="preserve">The CONQUER trial included a four-week baseline period, which required patients to comply with a headache diary. </w:t>
      </w:r>
      <w:r w:rsidRPr="00B663F3">
        <w:t>It is unclear how the efficacy results from these trials would apply to those who did not comply with a headache diary. For example, if the non-compliers were different from the compliers who initiated the randomised phase and these differences affect the treatment effect estimates, then the trial results cannot be generalised.</w:t>
      </w:r>
      <w:r w:rsidRPr="007B6175">
        <w:rPr>
          <w:i/>
        </w:rPr>
        <w:t xml:space="preserve"> </w:t>
      </w:r>
    </w:p>
    <w:p w14:paraId="4D730B41" w14:textId="6F763CE1" w:rsidR="001F079D" w:rsidRPr="0021441F" w:rsidRDefault="00A53CF3" w:rsidP="00570D1A">
      <w:pPr>
        <w:pStyle w:val="ExecSumBodyText"/>
        <w:rPr>
          <w:i/>
          <w:iCs/>
        </w:rPr>
      </w:pPr>
      <w:r w:rsidRPr="0021441F">
        <w:t xml:space="preserve">Patients in the trial were permitted to use acute medicines for the treatment of migraines, however, they were not permitted to use them in a prophylactic manner. </w:t>
      </w:r>
      <w:r w:rsidRPr="00B663F3">
        <w:t>Patients were not permitted to use any other prophylactic medications during the trial.</w:t>
      </w:r>
      <w:r w:rsidRPr="00B663F3">
        <w:rPr>
          <w:iCs/>
        </w:rPr>
        <w:t xml:space="preserve"> This may not reflect the management of patients in the PBS population</w:t>
      </w:r>
      <w:r w:rsidRPr="007B6175">
        <w:rPr>
          <w:i/>
          <w:iCs/>
        </w:rPr>
        <w:t>.</w:t>
      </w:r>
    </w:p>
    <w:p w14:paraId="38DAED30" w14:textId="3BBC8954" w:rsidR="00EF6EBE" w:rsidRPr="00C67A68" w:rsidRDefault="00EF6EBE" w:rsidP="001A48E1">
      <w:pPr>
        <w:pStyle w:val="ExecSumBodyText"/>
        <w:rPr>
          <w:snapToGrid/>
        </w:rPr>
      </w:pPr>
      <w:r>
        <w:rPr>
          <w:snapToGrid/>
        </w:rPr>
        <w:t xml:space="preserve">A </w:t>
      </w:r>
      <w:r w:rsidR="001C0773">
        <w:rPr>
          <w:snapToGrid/>
        </w:rPr>
        <w:t>list</w:t>
      </w:r>
      <w:r w:rsidR="003776AE">
        <w:rPr>
          <w:snapToGrid/>
        </w:rPr>
        <w:t xml:space="preserve"> of the </w:t>
      </w:r>
      <w:r>
        <w:rPr>
          <w:snapToGrid/>
        </w:rPr>
        <w:t xml:space="preserve">CONQUER trial </w:t>
      </w:r>
      <w:r w:rsidR="00DA4B3C">
        <w:rPr>
          <w:snapToGrid/>
        </w:rPr>
        <w:t xml:space="preserve">subgroups </w:t>
      </w:r>
      <w:r w:rsidR="003776AE">
        <w:rPr>
          <w:snapToGrid/>
        </w:rPr>
        <w:t xml:space="preserve">included in the resubmission is </w:t>
      </w:r>
      <w:r>
        <w:rPr>
          <w:snapToGrid/>
        </w:rPr>
        <w:t>presented in the table below.</w:t>
      </w:r>
    </w:p>
    <w:p w14:paraId="60FE7929" w14:textId="176552E8" w:rsidR="00E14E47" w:rsidRDefault="00E14E47" w:rsidP="00E71C1F">
      <w:pPr>
        <w:pStyle w:val="Tableheadingrow"/>
      </w:pPr>
      <w:r>
        <w:t xml:space="preserve">Table </w:t>
      </w:r>
      <w:r>
        <w:fldChar w:fldCharType="begin"/>
      </w:r>
      <w:r>
        <w:instrText xml:space="preserve"> SEQ Table \* ARABIC </w:instrText>
      </w:r>
      <w:r>
        <w:fldChar w:fldCharType="separate"/>
      </w:r>
      <w:r w:rsidR="00046698">
        <w:rPr>
          <w:noProof/>
        </w:rPr>
        <w:t>5</w:t>
      </w:r>
      <w:r>
        <w:fldChar w:fldCharType="end"/>
      </w:r>
      <w:r>
        <w:t xml:space="preserve">: </w:t>
      </w:r>
      <w:r w:rsidRPr="00E14E47">
        <w:t xml:space="preserve">CONQUER trial </w:t>
      </w:r>
      <w:r w:rsidR="001C0773">
        <w:t>subgroups</w:t>
      </w:r>
      <w:r w:rsidR="001C0773" w:rsidRPr="00E14E47">
        <w:t xml:space="preserve"> </w:t>
      </w:r>
      <w:r w:rsidRPr="00E14E47">
        <w:t>included in the resubmission</w:t>
      </w:r>
    </w:p>
    <w:tbl>
      <w:tblPr>
        <w:tblStyle w:val="TableGrid"/>
        <w:tblW w:w="0" w:type="auto"/>
        <w:tblLook w:val="04A0" w:firstRow="1" w:lastRow="0" w:firstColumn="1" w:lastColumn="0" w:noHBand="0" w:noVBand="1"/>
      </w:tblPr>
      <w:tblGrid>
        <w:gridCol w:w="4106"/>
        <w:gridCol w:w="2410"/>
        <w:gridCol w:w="2501"/>
      </w:tblGrid>
      <w:tr w:rsidR="002161ED" w14:paraId="115BE142" w14:textId="77777777" w:rsidTr="002161ED">
        <w:tc>
          <w:tcPr>
            <w:tcW w:w="4106" w:type="dxa"/>
            <w:vAlign w:val="center"/>
          </w:tcPr>
          <w:p w14:paraId="21BAD5F8" w14:textId="0E1A07B4" w:rsidR="002161ED" w:rsidRDefault="002161ED" w:rsidP="002161ED">
            <w:pPr>
              <w:pStyle w:val="Tableheadingrow"/>
            </w:pPr>
            <w:r>
              <w:rPr>
                <w:lang w:val="en-AU"/>
              </w:rPr>
              <w:t>CONQUER trial population</w:t>
            </w:r>
          </w:p>
        </w:tc>
        <w:tc>
          <w:tcPr>
            <w:tcW w:w="2410" w:type="dxa"/>
            <w:vAlign w:val="center"/>
          </w:tcPr>
          <w:p w14:paraId="17AF3CD9" w14:textId="337BEFBD" w:rsidR="002161ED" w:rsidRDefault="002161ED" w:rsidP="002161ED">
            <w:pPr>
              <w:pStyle w:val="Tableheadingrow"/>
              <w:jc w:val="center"/>
            </w:pPr>
            <w:r>
              <w:rPr>
                <w:lang w:val="en-AU"/>
              </w:rPr>
              <w:t>Number of prior treatments</w:t>
            </w:r>
          </w:p>
        </w:tc>
        <w:tc>
          <w:tcPr>
            <w:tcW w:w="2501" w:type="dxa"/>
            <w:vAlign w:val="center"/>
          </w:tcPr>
          <w:p w14:paraId="38BE1BB0" w14:textId="34A8E859" w:rsidR="002161ED" w:rsidRDefault="002161ED" w:rsidP="002161ED">
            <w:pPr>
              <w:pStyle w:val="Tableheadingrow"/>
              <w:jc w:val="center"/>
            </w:pPr>
            <w:r>
              <w:rPr>
                <w:lang w:val="en-AU"/>
              </w:rPr>
              <w:t>Included migraine subtypes</w:t>
            </w:r>
          </w:p>
        </w:tc>
      </w:tr>
      <w:tr w:rsidR="002161ED" w14:paraId="4E210D76" w14:textId="77777777" w:rsidTr="002161ED">
        <w:tc>
          <w:tcPr>
            <w:tcW w:w="4106" w:type="dxa"/>
            <w:shd w:val="clear" w:color="auto" w:fill="C6D9F1" w:themeFill="text2" w:themeFillTint="33"/>
          </w:tcPr>
          <w:p w14:paraId="53F64FCA" w14:textId="17A63C11" w:rsidR="002161ED" w:rsidRPr="002161ED" w:rsidRDefault="002161ED" w:rsidP="0021441F">
            <w:pPr>
              <w:pStyle w:val="TableText"/>
            </w:pPr>
            <w:r w:rsidRPr="002161ED">
              <w:t>ITT population</w:t>
            </w:r>
          </w:p>
        </w:tc>
        <w:tc>
          <w:tcPr>
            <w:tcW w:w="2410" w:type="dxa"/>
            <w:shd w:val="clear" w:color="auto" w:fill="C6D9F1" w:themeFill="text2" w:themeFillTint="33"/>
            <w:vAlign w:val="center"/>
          </w:tcPr>
          <w:p w14:paraId="2B5FC87C" w14:textId="0761FD51" w:rsidR="002161ED" w:rsidRPr="002161ED" w:rsidRDefault="002161ED" w:rsidP="0021441F">
            <w:pPr>
              <w:pStyle w:val="TableText"/>
              <w:jc w:val="center"/>
            </w:pPr>
            <w:r w:rsidRPr="002161ED">
              <w:t>2 to 4</w:t>
            </w:r>
          </w:p>
        </w:tc>
        <w:tc>
          <w:tcPr>
            <w:tcW w:w="2501" w:type="dxa"/>
            <w:shd w:val="clear" w:color="auto" w:fill="C6D9F1" w:themeFill="text2" w:themeFillTint="33"/>
            <w:vAlign w:val="center"/>
          </w:tcPr>
          <w:p w14:paraId="149AF732" w14:textId="1A9F6996" w:rsidR="002161ED" w:rsidRPr="002161ED" w:rsidRDefault="002161ED" w:rsidP="0021441F">
            <w:pPr>
              <w:pStyle w:val="TableText"/>
              <w:jc w:val="center"/>
            </w:pPr>
            <w:r w:rsidRPr="002161ED">
              <w:t>Chronic + episodic</w:t>
            </w:r>
          </w:p>
        </w:tc>
      </w:tr>
      <w:tr w:rsidR="002161ED" w14:paraId="032F0AFF" w14:textId="77777777" w:rsidTr="002161ED">
        <w:tc>
          <w:tcPr>
            <w:tcW w:w="4106" w:type="dxa"/>
            <w:shd w:val="clear" w:color="auto" w:fill="C6D9F1" w:themeFill="text2" w:themeFillTint="33"/>
          </w:tcPr>
          <w:p w14:paraId="4F83245A" w14:textId="5F5B0A14" w:rsidR="002161ED" w:rsidRPr="002161ED" w:rsidRDefault="002161ED" w:rsidP="0021441F">
            <w:pPr>
              <w:pStyle w:val="TableText"/>
            </w:pPr>
            <w:r w:rsidRPr="002161ED">
              <w:t>Episodic migraine subgroup</w:t>
            </w:r>
          </w:p>
        </w:tc>
        <w:tc>
          <w:tcPr>
            <w:tcW w:w="2410" w:type="dxa"/>
            <w:shd w:val="clear" w:color="auto" w:fill="C6D9F1" w:themeFill="text2" w:themeFillTint="33"/>
            <w:vAlign w:val="center"/>
          </w:tcPr>
          <w:p w14:paraId="75168043" w14:textId="6D838638" w:rsidR="002161ED" w:rsidRPr="002161ED" w:rsidRDefault="002161ED" w:rsidP="0021441F">
            <w:pPr>
              <w:pStyle w:val="TableText"/>
              <w:jc w:val="center"/>
            </w:pPr>
            <w:r w:rsidRPr="002161ED">
              <w:t>2 to 4</w:t>
            </w:r>
          </w:p>
        </w:tc>
        <w:tc>
          <w:tcPr>
            <w:tcW w:w="2501" w:type="dxa"/>
            <w:shd w:val="clear" w:color="auto" w:fill="C6D9F1" w:themeFill="text2" w:themeFillTint="33"/>
            <w:vAlign w:val="center"/>
          </w:tcPr>
          <w:p w14:paraId="7B4375EF" w14:textId="70A26D6B" w:rsidR="002161ED" w:rsidRPr="002161ED" w:rsidRDefault="002161ED" w:rsidP="0021441F">
            <w:pPr>
              <w:pStyle w:val="TableText"/>
              <w:jc w:val="center"/>
            </w:pPr>
            <w:r w:rsidRPr="002161ED">
              <w:t>Episodic</w:t>
            </w:r>
          </w:p>
        </w:tc>
      </w:tr>
      <w:tr w:rsidR="002161ED" w14:paraId="2997AE62" w14:textId="77777777" w:rsidTr="002161ED">
        <w:tc>
          <w:tcPr>
            <w:tcW w:w="4106" w:type="dxa"/>
            <w:shd w:val="clear" w:color="auto" w:fill="C6D9F1" w:themeFill="text2" w:themeFillTint="33"/>
          </w:tcPr>
          <w:p w14:paraId="1A363328" w14:textId="429E7A0E" w:rsidR="002161ED" w:rsidRPr="002161ED" w:rsidRDefault="002161ED" w:rsidP="0021441F">
            <w:pPr>
              <w:pStyle w:val="TableText"/>
            </w:pPr>
            <w:r w:rsidRPr="002161ED">
              <w:t>Episodic migraine subgroup with ≥3 prior treatments</w:t>
            </w:r>
          </w:p>
        </w:tc>
        <w:tc>
          <w:tcPr>
            <w:tcW w:w="2410" w:type="dxa"/>
            <w:shd w:val="clear" w:color="auto" w:fill="C6D9F1" w:themeFill="text2" w:themeFillTint="33"/>
            <w:vAlign w:val="center"/>
          </w:tcPr>
          <w:p w14:paraId="2C55406D" w14:textId="2D78C779" w:rsidR="002161ED" w:rsidRPr="002161ED" w:rsidRDefault="002161ED" w:rsidP="0021441F">
            <w:pPr>
              <w:pStyle w:val="TableText"/>
              <w:jc w:val="center"/>
            </w:pPr>
            <w:r w:rsidRPr="002161ED">
              <w:t>3 to 4</w:t>
            </w:r>
          </w:p>
        </w:tc>
        <w:tc>
          <w:tcPr>
            <w:tcW w:w="2501" w:type="dxa"/>
            <w:shd w:val="clear" w:color="auto" w:fill="C6D9F1" w:themeFill="text2" w:themeFillTint="33"/>
            <w:vAlign w:val="center"/>
          </w:tcPr>
          <w:p w14:paraId="5D956698" w14:textId="224C8F1E" w:rsidR="002161ED" w:rsidRPr="002161ED" w:rsidRDefault="002161ED" w:rsidP="0021441F">
            <w:pPr>
              <w:pStyle w:val="TableText"/>
              <w:jc w:val="center"/>
            </w:pPr>
            <w:r w:rsidRPr="002161ED">
              <w:t>Episodic</w:t>
            </w:r>
          </w:p>
        </w:tc>
      </w:tr>
      <w:tr w:rsidR="002161ED" w14:paraId="6E846160" w14:textId="77777777" w:rsidTr="002161ED">
        <w:tc>
          <w:tcPr>
            <w:tcW w:w="4106" w:type="dxa"/>
          </w:tcPr>
          <w:p w14:paraId="2389ECB7" w14:textId="3005AF4C" w:rsidR="002161ED" w:rsidRPr="0021441F" w:rsidRDefault="002161ED" w:rsidP="002161ED">
            <w:pPr>
              <w:pStyle w:val="Tableheadingrow"/>
              <w:rPr>
                <w:b w:val="0"/>
                <w:bCs/>
              </w:rPr>
            </w:pPr>
            <w:r w:rsidRPr="0021441F">
              <w:rPr>
                <w:b w:val="0"/>
                <w:bCs/>
              </w:rPr>
              <w:t>High frequency episodic migraine subgroup</w:t>
            </w:r>
          </w:p>
        </w:tc>
        <w:tc>
          <w:tcPr>
            <w:tcW w:w="2410" w:type="dxa"/>
            <w:vAlign w:val="center"/>
          </w:tcPr>
          <w:p w14:paraId="7D4AF0DC" w14:textId="129F2134" w:rsidR="002161ED" w:rsidRPr="0021441F" w:rsidRDefault="002161ED" w:rsidP="0021441F">
            <w:pPr>
              <w:pStyle w:val="Tableheadingrow"/>
              <w:jc w:val="center"/>
              <w:rPr>
                <w:b w:val="0"/>
                <w:bCs/>
              </w:rPr>
            </w:pPr>
            <w:r w:rsidRPr="0021441F">
              <w:rPr>
                <w:b w:val="0"/>
                <w:bCs/>
              </w:rPr>
              <w:t>2 to 4</w:t>
            </w:r>
          </w:p>
        </w:tc>
        <w:tc>
          <w:tcPr>
            <w:tcW w:w="2501" w:type="dxa"/>
            <w:vAlign w:val="center"/>
          </w:tcPr>
          <w:p w14:paraId="3F071398" w14:textId="22804325" w:rsidR="002161ED" w:rsidRPr="0021441F" w:rsidRDefault="002161ED" w:rsidP="0021441F">
            <w:pPr>
              <w:pStyle w:val="Tableheadingrow"/>
              <w:jc w:val="center"/>
              <w:rPr>
                <w:b w:val="0"/>
                <w:bCs/>
              </w:rPr>
            </w:pPr>
            <w:r w:rsidRPr="0021441F">
              <w:rPr>
                <w:b w:val="0"/>
                <w:bCs/>
              </w:rPr>
              <w:t>Episodic</w:t>
            </w:r>
          </w:p>
        </w:tc>
      </w:tr>
      <w:tr w:rsidR="002161ED" w14:paraId="5D09F712" w14:textId="77777777" w:rsidTr="002161ED">
        <w:tc>
          <w:tcPr>
            <w:tcW w:w="4106" w:type="dxa"/>
          </w:tcPr>
          <w:p w14:paraId="7D2CFA4D" w14:textId="37683117" w:rsidR="002161ED" w:rsidRPr="0021441F" w:rsidRDefault="002161ED" w:rsidP="002161ED">
            <w:pPr>
              <w:pStyle w:val="Tableheadingrow"/>
              <w:rPr>
                <w:b w:val="0"/>
                <w:bCs/>
              </w:rPr>
            </w:pPr>
            <w:r w:rsidRPr="0021441F">
              <w:rPr>
                <w:b w:val="0"/>
                <w:bCs/>
              </w:rPr>
              <w:t>High frequency episodic migraine subgroup with ≥3 prior treatments</w:t>
            </w:r>
          </w:p>
        </w:tc>
        <w:tc>
          <w:tcPr>
            <w:tcW w:w="2410" w:type="dxa"/>
            <w:vAlign w:val="center"/>
          </w:tcPr>
          <w:p w14:paraId="418B60BF" w14:textId="7DC9816F" w:rsidR="002161ED" w:rsidRPr="0021441F" w:rsidRDefault="002161ED" w:rsidP="0021441F">
            <w:pPr>
              <w:pStyle w:val="Tableheadingrow"/>
              <w:jc w:val="center"/>
              <w:rPr>
                <w:b w:val="0"/>
                <w:bCs/>
              </w:rPr>
            </w:pPr>
            <w:r w:rsidRPr="0021441F">
              <w:rPr>
                <w:b w:val="0"/>
                <w:bCs/>
              </w:rPr>
              <w:t>3 to 4</w:t>
            </w:r>
          </w:p>
        </w:tc>
        <w:tc>
          <w:tcPr>
            <w:tcW w:w="2501" w:type="dxa"/>
            <w:vAlign w:val="center"/>
          </w:tcPr>
          <w:p w14:paraId="1B0B5422" w14:textId="6C1C1CE2" w:rsidR="002161ED" w:rsidRPr="0021441F" w:rsidRDefault="002161ED" w:rsidP="0021441F">
            <w:pPr>
              <w:pStyle w:val="Tableheadingrow"/>
              <w:jc w:val="center"/>
              <w:rPr>
                <w:b w:val="0"/>
                <w:bCs/>
              </w:rPr>
            </w:pPr>
            <w:r w:rsidRPr="0021441F">
              <w:rPr>
                <w:b w:val="0"/>
                <w:bCs/>
              </w:rPr>
              <w:t>Episodic</w:t>
            </w:r>
          </w:p>
        </w:tc>
      </w:tr>
    </w:tbl>
    <w:p w14:paraId="0147DF21" w14:textId="10C091D7" w:rsidR="00A51DE5" w:rsidRDefault="00A51DE5" w:rsidP="00A51DE5">
      <w:pPr>
        <w:pStyle w:val="TableFooter"/>
      </w:pPr>
      <w:r w:rsidRPr="00C67A68">
        <w:t>Source</w:t>
      </w:r>
      <w:r>
        <w:t>:</w:t>
      </w:r>
      <w:r w:rsidR="00E830E6">
        <w:t xml:space="preserve"> Section 2.6, pp60-69; Section 2.7, </w:t>
      </w:r>
      <w:r w:rsidR="00CE5D31">
        <w:t>pp69-76 of the resubmission; Attachment 3.1</w:t>
      </w:r>
      <w:r w:rsidR="00FF5D28">
        <w:t xml:space="preserve">, pp5-7 </w:t>
      </w:r>
      <w:r w:rsidR="00CE5D31">
        <w:t>of the resubmission.</w:t>
      </w:r>
    </w:p>
    <w:p w14:paraId="61975107" w14:textId="19A538A9" w:rsidR="004A003E" w:rsidRPr="00C67A68" w:rsidRDefault="004A003E" w:rsidP="0021441F">
      <w:pPr>
        <w:pStyle w:val="TableFooter"/>
        <w:rPr>
          <w:snapToGrid/>
        </w:rPr>
      </w:pPr>
      <w:r>
        <w:t xml:space="preserve">Blue shading indicates CONQUER trial populations presented in the November 2020 </w:t>
      </w:r>
      <w:proofErr w:type="spellStart"/>
      <w:r>
        <w:t>galcanezumab</w:t>
      </w:r>
      <w:proofErr w:type="spellEnd"/>
      <w:r>
        <w:t xml:space="preserve"> submission </w:t>
      </w:r>
    </w:p>
    <w:p w14:paraId="033C9FAA" w14:textId="4AA3923B" w:rsidR="00530F89" w:rsidRPr="00B663F3" w:rsidRDefault="00480000" w:rsidP="00340E3E">
      <w:pPr>
        <w:pStyle w:val="ExecSumBodyText"/>
        <w:rPr>
          <w:snapToGrid/>
        </w:rPr>
      </w:pPr>
      <w:r w:rsidRPr="00B663F3">
        <w:rPr>
          <w:snapToGrid/>
        </w:rPr>
        <w:t>R</w:t>
      </w:r>
      <w:r w:rsidR="00715BBC" w:rsidRPr="00B663F3">
        <w:rPr>
          <w:snapToGrid/>
        </w:rPr>
        <w:t xml:space="preserve">esults for the </w:t>
      </w:r>
      <w:r w:rsidRPr="00B663F3">
        <w:rPr>
          <w:snapToGrid/>
        </w:rPr>
        <w:t xml:space="preserve">high </w:t>
      </w:r>
      <w:r w:rsidR="00715BBC" w:rsidRPr="00B663F3">
        <w:rPr>
          <w:snapToGrid/>
        </w:rPr>
        <w:t xml:space="preserve">frequency episodic migraine subgroups </w:t>
      </w:r>
      <w:r w:rsidRPr="00B663F3">
        <w:rPr>
          <w:snapToGrid/>
        </w:rPr>
        <w:t xml:space="preserve">presented </w:t>
      </w:r>
      <w:r w:rsidR="00715BBC" w:rsidRPr="00B663F3">
        <w:rPr>
          <w:snapToGrid/>
        </w:rPr>
        <w:t xml:space="preserve">in the resubmission were </w:t>
      </w:r>
      <w:r w:rsidRPr="00B663F3">
        <w:rPr>
          <w:snapToGrid/>
        </w:rPr>
        <w:t>based on p</w:t>
      </w:r>
      <w:r w:rsidR="00715BBC" w:rsidRPr="00B663F3">
        <w:rPr>
          <w:snapToGrid/>
        </w:rPr>
        <w:t xml:space="preserve">ost hoc </w:t>
      </w:r>
      <w:r w:rsidRPr="00B663F3">
        <w:rPr>
          <w:snapToGrid/>
        </w:rPr>
        <w:t xml:space="preserve">analyses </w:t>
      </w:r>
      <w:r w:rsidR="00715BBC" w:rsidRPr="00B663F3">
        <w:rPr>
          <w:snapToGrid/>
        </w:rPr>
        <w:t>and were at high risk of bias.</w:t>
      </w:r>
    </w:p>
    <w:p w14:paraId="0941E696" w14:textId="7E975980" w:rsidR="00A53CF3" w:rsidRPr="007B6175" w:rsidRDefault="00C67A68" w:rsidP="00340E3E">
      <w:pPr>
        <w:pStyle w:val="ExecSumBodyText"/>
        <w:rPr>
          <w:snapToGrid/>
        </w:rPr>
      </w:pPr>
      <w:r>
        <w:rPr>
          <w:snapToGrid/>
        </w:rPr>
        <w:t xml:space="preserve">As in the November 2020 </w:t>
      </w:r>
      <w:proofErr w:type="spellStart"/>
      <w:r>
        <w:rPr>
          <w:snapToGrid/>
        </w:rPr>
        <w:t>galcanezumab</w:t>
      </w:r>
      <w:proofErr w:type="spellEnd"/>
      <w:r>
        <w:rPr>
          <w:snapToGrid/>
        </w:rPr>
        <w:t xml:space="preserve"> episodic migraine submission, data from the E</w:t>
      </w:r>
      <w:r w:rsidR="00A53CF3" w:rsidRPr="00A53CF3">
        <w:rPr>
          <w:snapToGrid/>
        </w:rPr>
        <w:t xml:space="preserve">VOLVE </w:t>
      </w:r>
      <w:r>
        <w:rPr>
          <w:snapToGrid/>
        </w:rPr>
        <w:t xml:space="preserve">and CGAJ </w:t>
      </w:r>
      <w:r w:rsidR="003035BB">
        <w:rPr>
          <w:snapToGrid/>
        </w:rPr>
        <w:t xml:space="preserve">trials </w:t>
      </w:r>
      <w:r>
        <w:rPr>
          <w:snapToGrid/>
        </w:rPr>
        <w:t xml:space="preserve">were used to inform </w:t>
      </w:r>
      <w:r w:rsidR="003035BB">
        <w:rPr>
          <w:snapToGrid/>
        </w:rPr>
        <w:t xml:space="preserve">aspects </w:t>
      </w:r>
      <w:r>
        <w:rPr>
          <w:snapToGrid/>
        </w:rPr>
        <w:t>of the economic model (</w:t>
      </w:r>
      <w:r w:rsidR="003035BB">
        <w:rPr>
          <w:snapToGrid/>
        </w:rPr>
        <w:t xml:space="preserve">EVOLVE trials: the </w:t>
      </w:r>
      <w:r>
        <w:rPr>
          <w:snapToGrid/>
        </w:rPr>
        <w:t>d</w:t>
      </w:r>
      <w:r w:rsidR="00A53CF3" w:rsidRPr="00A53CF3">
        <w:rPr>
          <w:snapToGrid/>
        </w:rPr>
        <w:t>istribution of monthly migraine days</w:t>
      </w:r>
      <w:r w:rsidR="003035BB">
        <w:rPr>
          <w:snapToGrid/>
        </w:rPr>
        <w:t xml:space="preserve"> and</w:t>
      </w:r>
      <w:r w:rsidR="00A53CF3" w:rsidRPr="00A53CF3">
        <w:rPr>
          <w:snapToGrid/>
        </w:rPr>
        <w:t xml:space="preserve"> </w:t>
      </w:r>
      <w:r w:rsidR="00897936">
        <w:rPr>
          <w:snapToGrid/>
        </w:rPr>
        <w:t xml:space="preserve">duration of </w:t>
      </w:r>
      <w:r w:rsidR="00A53CF3" w:rsidRPr="00A53CF3">
        <w:rPr>
          <w:snapToGrid/>
        </w:rPr>
        <w:t xml:space="preserve">waning treatment effect following </w:t>
      </w:r>
      <w:proofErr w:type="spellStart"/>
      <w:r w:rsidR="00A53CF3" w:rsidRPr="00A53CF3">
        <w:rPr>
          <w:snapToGrid/>
        </w:rPr>
        <w:t>galcanezumab</w:t>
      </w:r>
      <w:proofErr w:type="spellEnd"/>
      <w:r w:rsidR="00A53CF3" w:rsidRPr="00A53CF3">
        <w:rPr>
          <w:snapToGrid/>
        </w:rPr>
        <w:t xml:space="preserve"> discontinuation</w:t>
      </w:r>
      <w:r w:rsidR="003035BB">
        <w:rPr>
          <w:snapToGrid/>
        </w:rPr>
        <w:t xml:space="preserve">; CGAJ: </w:t>
      </w:r>
      <w:proofErr w:type="spellStart"/>
      <w:r w:rsidR="003035BB">
        <w:rPr>
          <w:snapToGrid/>
        </w:rPr>
        <w:t>galcanezumab</w:t>
      </w:r>
      <w:proofErr w:type="spellEnd"/>
      <w:r w:rsidR="003035BB">
        <w:rPr>
          <w:snapToGrid/>
        </w:rPr>
        <w:t xml:space="preserve"> t</w:t>
      </w:r>
      <w:r w:rsidR="00A53CF3" w:rsidRPr="00A53CF3">
        <w:rPr>
          <w:snapToGrid/>
        </w:rPr>
        <w:t>reatment discontinuation rates</w:t>
      </w:r>
      <w:r w:rsidR="003035BB">
        <w:rPr>
          <w:snapToGrid/>
        </w:rPr>
        <w:t>).</w:t>
      </w:r>
    </w:p>
    <w:p w14:paraId="4A4FE085" w14:textId="5C484046" w:rsidR="00B60939" w:rsidRPr="007B6175" w:rsidRDefault="00B60939" w:rsidP="00EC5836">
      <w:pPr>
        <w:pStyle w:val="3-SubsectionHeading"/>
      </w:pPr>
      <w:bookmarkStart w:id="24" w:name="_Toc22897641"/>
      <w:bookmarkStart w:id="25" w:name="_Toc93419740"/>
      <w:bookmarkStart w:id="26" w:name="_Toc93484674"/>
      <w:r w:rsidRPr="007B6175">
        <w:t>Comparative effectiveness</w:t>
      </w:r>
      <w:bookmarkEnd w:id="24"/>
      <w:bookmarkEnd w:id="25"/>
      <w:bookmarkEnd w:id="26"/>
    </w:p>
    <w:p w14:paraId="0B55398D" w14:textId="0E0C20FA" w:rsidR="00C578A6" w:rsidRPr="007B6175" w:rsidRDefault="00274F2D" w:rsidP="00340E3E">
      <w:pPr>
        <w:pStyle w:val="ExecSumBodyText"/>
      </w:pPr>
      <w:r w:rsidRPr="007B6175">
        <w:rPr>
          <w:snapToGrid/>
        </w:rPr>
        <w:t>Results for the CONQUER I</w:t>
      </w:r>
      <w:r w:rsidR="00C578A6" w:rsidRPr="007B6175">
        <w:rPr>
          <w:snapToGrid/>
        </w:rPr>
        <w:t>TT population and the ITT episodic migraine subpopulation</w:t>
      </w:r>
      <w:r w:rsidRPr="007B6175">
        <w:rPr>
          <w:snapToGrid/>
        </w:rPr>
        <w:t xml:space="preserve"> are presented in the table below. </w:t>
      </w:r>
      <w:r w:rsidRPr="00B663F3">
        <w:rPr>
          <w:iCs/>
          <w:snapToGrid/>
        </w:rPr>
        <w:t>The results are unchanged from the November 2020 submission.</w:t>
      </w:r>
    </w:p>
    <w:p w14:paraId="6B550C38" w14:textId="7663BE34" w:rsidR="008A3CE1" w:rsidRPr="007B6175" w:rsidRDefault="008A3CE1" w:rsidP="00765995">
      <w:pPr>
        <w:pStyle w:val="TableHeading"/>
      </w:pPr>
      <w:r w:rsidRPr="007B6175">
        <w:lastRenderedPageBreak/>
        <w:t xml:space="preserve">Table </w:t>
      </w:r>
      <w:r>
        <w:fldChar w:fldCharType="begin"/>
      </w:r>
      <w:r>
        <w:instrText>SEQ Table \* ARABIC</w:instrText>
      </w:r>
      <w:r>
        <w:fldChar w:fldCharType="separate"/>
      </w:r>
      <w:r w:rsidR="00046698">
        <w:rPr>
          <w:noProof/>
        </w:rPr>
        <w:t>6</w:t>
      </w:r>
      <w:r>
        <w:fldChar w:fldCharType="end"/>
      </w:r>
      <w:r w:rsidR="0071406C" w:rsidRPr="007B6175">
        <w:t>: ITT population and episodic migraine subpopulation results for CONQUER trial</w:t>
      </w:r>
    </w:p>
    <w:tbl>
      <w:tblPr>
        <w:tblStyle w:val="TableGrid"/>
        <w:tblW w:w="5000" w:type="pct"/>
        <w:tblCellMar>
          <w:left w:w="57" w:type="dxa"/>
          <w:right w:w="57" w:type="dxa"/>
        </w:tblCellMar>
        <w:tblLook w:val="04A0" w:firstRow="1" w:lastRow="0" w:firstColumn="1" w:lastColumn="0" w:noHBand="0" w:noVBand="1"/>
      </w:tblPr>
      <w:tblGrid>
        <w:gridCol w:w="2567"/>
        <w:gridCol w:w="577"/>
        <w:gridCol w:w="1641"/>
        <w:gridCol w:w="577"/>
        <w:gridCol w:w="1641"/>
        <w:gridCol w:w="2014"/>
      </w:tblGrid>
      <w:tr w:rsidR="00274F2D" w:rsidRPr="007B6175" w14:paraId="1A0109FC" w14:textId="77777777" w:rsidTr="00A36F4A">
        <w:tc>
          <w:tcPr>
            <w:tcW w:w="1423" w:type="pct"/>
            <w:vMerge w:val="restart"/>
          </w:tcPr>
          <w:p w14:paraId="4BCB56EE" w14:textId="77777777" w:rsidR="00274F2D" w:rsidRPr="007B6175" w:rsidRDefault="00274F2D" w:rsidP="001D7528">
            <w:pPr>
              <w:pStyle w:val="TableText"/>
              <w:rPr>
                <w:b/>
              </w:rPr>
            </w:pPr>
          </w:p>
        </w:tc>
        <w:tc>
          <w:tcPr>
            <w:tcW w:w="1230" w:type="pct"/>
            <w:gridSpan w:val="2"/>
            <w:vAlign w:val="center"/>
          </w:tcPr>
          <w:p w14:paraId="52D2D807" w14:textId="77777777" w:rsidR="00274F2D" w:rsidRPr="007B6175" w:rsidRDefault="00274F2D" w:rsidP="001D7528">
            <w:pPr>
              <w:pStyle w:val="TableText"/>
              <w:jc w:val="center"/>
              <w:rPr>
                <w:b/>
              </w:rPr>
            </w:pPr>
            <w:proofErr w:type="spellStart"/>
            <w:r w:rsidRPr="007B6175">
              <w:rPr>
                <w:b/>
              </w:rPr>
              <w:t>Galcanezumab</w:t>
            </w:r>
            <w:proofErr w:type="spellEnd"/>
          </w:p>
        </w:tc>
        <w:tc>
          <w:tcPr>
            <w:tcW w:w="1230" w:type="pct"/>
            <w:gridSpan w:val="2"/>
            <w:vAlign w:val="center"/>
          </w:tcPr>
          <w:p w14:paraId="7DB67023" w14:textId="77777777" w:rsidR="00274F2D" w:rsidRPr="007B6175" w:rsidRDefault="00274F2D" w:rsidP="001D7528">
            <w:pPr>
              <w:pStyle w:val="TableText"/>
              <w:jc w:val="center"/>
              <w:rPr>
                <w:b/>
              </w:rPr>
            </w:pPr>
            <w:r w:rsidRPr="007B6175">
              <w:rPr>
                <w:b/>
              </w:rPr>
              <w:t>Placebo</w:t>
            </w:r>
          </w:p>
        </w:tc>
        <w:tc>
          <w:tcPr>
            <w:tcW w:w="1117" w:type="pct"/>
            <w:vMerge w:val="restart"/>
          </w:tcPr>
          <w:p w14:paraId="5AF8E89F" w14:textId="77777777" w:rsidR="00274F2D" w:rsidRPr="007B6175" w:rsidRDefault="00274F2D" w:rsidP="001D7528">
            <w:pPr>
              <w:pStyle w:val="TableText"/>
              <w:jc w:val="center"/>
              <w:rPr>
                <w:b/>
              </w:rPr>
            </w:pPr>
            <w:r w:rsidRPr="007B6175">
              <w:rPr>
                <w:b/>
              </w:rPr>
              <w:t>LS mean change difference (95% CI)</w:t>
            </w:r>
          </w:p>
        </w:tc>
      </w:tr>
      <w:tr w:rsidR="00274F2D" w:rsidRPr="007B6175" w14:paraId="7F76941F" w14:textId="77777777" w:rsidTr="00A36F4A">
        <w:tc>
          <w:tcPr>
            <w:tcW w:w="1423" w:type="pct"/>
            <w:vMerge/>
          </w:tcPr>
          <w:p w14:paraId="34E8C371" w14:textId="77777777" w:rsidR="00274F2D" w:rsidRPr="007B6175" w:rsidRDefault="00274F2D" w:rsidP="001D7528">
            <w:pPr>
              <w:pStyle w:val="TableText"/>
            </w:pPr>
          </w:p>
        </w:tc>
        <w:tc>
          <w:tcPr>
            <w:tcW w:w="320" w:type="pct"/>
          </w:tcPr>
          <w:p w14:paraId="609E970C" w14:textId="77777777" w:rsidR="00274F2D" w:rsidRPr="007B6175" w:rsidRDefault="00274F2D" w:rsidP="001D7528">
            <w:pPr>
              <w:pStyle w:val="TableText"/>
              <w:jc w:val="center"/>
              <w:rPr>
                <w:b/>
              </w:rPr>
            </w:pPr>
            <w:r w:rsidRPr="007B6175">
              <w:rPr>
                <w:b/>
              </w:rPr>
              <w:t>N</w:t>
            </w:r>
          </w:p>
        </w:tc>
        <w:tc>
          <w:tcPr>
            <w:tcW w:w="910" w:type="pct"/>
          </w:tcPr>
          <w:p w14:paraId="3F158EC3" w14:textId="77777777" w:rsidR="00274F2D" w:rsidRPr="007B6175" w:rsidRDefault="00274F2D" w:rsidP="001D7528">
            <w:pPr>
              <w:pStyle w:val="TableText"/>
              <w:jc w:val="center"/>
              <w:rPr>
                <w:b/>
              </w:rPr>
            </w:pPr>
            <w:r w:rsidRPr="007B6175">
              <w:rPr>
                <w:b/>
              </w:rPr>
              <w:t>Mean days (SE)</w:t>
            </w:r>
          </w:p>
        </w:tc>
        <w:tc>
          <w:tcPr>
            <w:tcW w:w="320" w:type="pct"/>
          </w:tcPr>
          <w:p w14:paraId="39129BCB" w14:textId="77777777" w:rsidR="00274F2D" w:rsidRPr="007B6175" w:rsidRDefault="00274F2D" w:rsidP="001D7528">
            <w:pPr>
              <w:pStyle w:val="TableText"/>
              <w:jc w:val="center"/>
              <w:rPr>
                <w:b/>
              </w:rPr>
            </w:pPr>
            <w:r w:rsidRPr="007B6175">
              <w:rPr>
                <w:b/>
              </w:rPr>
              <w:t>N</w:t>
            </w:r>
          </w:p>
        </w:tc>
        <w:tc>
          <w:tcPr>
            <w:tcW w:w="910" w:type="pct"/>
          </w:tcPr>
          <w:p w14:paraId="19EF8321" w14:textId="77777777" w:rsidR="00274F2D" w:rsidRPr="007B6175" w:rsidRDefault="00274F2D" w:rsidP="001D7528">
            <w:pPr>
              <w:pStyle w:val="TableText"/>
              <w:jc w:val="center"/>
              <w:rPr>
                <w:b/>
              </w:rPr>
            </w:pPr>
            <w:r w:rsidRPr="007B6175">
              <w:rPr>
                <w:b/>
              </w:rPr>
              <w:t>Mean days (SE)</w:t>
            </w:r>
          </w:p>
        </w:tc>
        <w:tc>
          <w:tcPr>
            <w:tcW w:w="1117" w:type="pct"/>
            <w:vMerge/>
          </w:tcPr>
          <w:p w14:paraId="14864E4D" w14:textId="77777777" w:rsidR="00274F2D" w:rsidRPr="007B6175" w:rsidRDefault="00274F2D" w:rsidP="001D7528">
            <w:pPr>
              <w:pStyle w:val="TableText"/>
              <w:jc w:val="center"/>
              <w:rPr>
                <w:b/>
              </w:rPr>
            </w:pPr>
          </w:p>
        </w:tc>
      </w:tr>
      <w:tr w:rsidR="00274F2D" w:rsidRPr="007B6175" w14:paraId="1710F243" w14:textId="77777777" w:rsidTr="00A36F4A">
        <w:tc>
          <w:tcPr>
            <w:tcW w:w="5000" w:type="pct"/>
            <w:gridSpan w:val="6"/>
          </w:tcPr>
          <w:p w14:paraId="031D534A" w14:textId="77777777" w:rsidR="00274F2D" w:rsidRPr="007B6175" w:rsidRDefault="00274F2D" w:rsidP="001D7528">
            <w:pPr>
              <w:pStyle w:val="TableText"/>
              <w:rPr>
                <w:b/>
              </w:rPr>
            </w:pPr>
            <w:r w:rsidRPr="007B6175">
              <w:rPr>
                <w:b/>
              </w:rPr>
              <w:t>Change from baseline in number of monthly migraine headache days</w:t>
            </w:r>
          </w:p>
        </w:tc>
      </w:tr>
      <w:tr w:rsidR="00274F2D" w:rsidRPr="007B6175" w14:paraId="7F4407CC" w14:textId="77777777" w:rsidTr="00A36F4A">
        <w:tc>
          <w:tcPr>
            <w:tcW w:w="5000" w:type="pct"/>
            <w:gridSpan w:val="6"/>
          </w:tcPr>
          <w:p w14:paraId="002AA68C" w14:textId="77777777" w:rsidR="00274F2D" w:rsidRPr="007B6175" w:rsidRDefault="00274F2D" w:rsidP="001D7528">
            <w:pPr>
              <w:pStyle w:val="TableText"/>
              <w:rPr>
                <w:b/>
              </w:rPr>
            </w:pPr>
            <w:r w:rsidRPr="007B6175">
              <w:rPr>
                <w:b/>
              </w:rPr>
              <w:t xml:space="preserve">Double blind treatment phase (12 weeks; </w:t>
            </w:r>
            <w:proofErr w:type="spellStart"/>
            <w:r w:rsidRPr="007B6175">
              <w:rPr>
                <w:b/>
              </w:rPr>
              <w:t>galcanezumab</w:t>
            </w:r>
            <w:proofErr w:type="spellEnd"/>
            <w:r w:rsidRPr="007B6175">
              <w:rPr>
                <w:b/>
              </w:rPr>
              <w:t xml:space="preserve"> versus placebo)</w:t>
            </w:r>
          </w:p>
        </w:tc>
      </w:tr>
      <w:tr w:rsidR="00274F2D" w:rsidRPr="007B6175" w14:paraId="0B06DFCB" w14:textId="77777777" w:rsidTr="00A36F4A">
        <w:tc>
          <w:tcPr>
            <w:tcW w:w="1423" w:type="pct"/>
          </w:tcPr>
          <w:p w14:paraId="6FEC0D20" w14:textId="77777777" w:rsidR="00274F2D" w:rsidRPr="007B6175" w:rsidRDefault="00274F2D" w:rsidP="001D7528">
            <w:pPr>
              <w:pStyle w:val="TableText"/>
            </w:pPr>
            <w:r w:rsidRPr="007B6175">
              <w:t>ITT population</w:t>
            </w:r>
          </w:p>
        </w:tc>
        <w:tc>
          <w:tcPr>
            <w:tcW w:w="320" w:type="pct"/>
            <w:vAlign w:val="center"/>
          </w:tcPr>
          <w:p w14:paraId="4DC08221" w14:textId="77777777" w:rsidR="00274F2D" w:rsidRPr="007B6175" w:rsidRDefault="00274F2D" w:rsidP="001D7528">
            <w:pPr>
              <w:pStyle w:val="TableText"/>
              <w:jc w:val="center"/>
            </w:pPr>
            <w:r w:rsidRPr="007B6175">
              <w:t>230</w:t>
            </w:r>
          </w:p>
        </w:tc>
        <w:tc>
          <w:tcPr>
            <w:tcW w:w="910" w:type="pct"/>
            <w:vAlign w:val="center"/>
          </w:tcPr>
          <w:p w14:paraId="6D4D0F6A" w14:textId="77777777" w:rsidR="00274F2D" w:rsidRPr="007B6175" w:rsidRDefault="00274F2D" w:rsidP="001D7528">
            <w:pPr>
              <w:pStyle w:val="TableText"/>
              <w:jc w:val="center"/>
            </w:pPr>
            <w:r w:rsidRPr="007B6175">
              <w:t>-4.14 (0.32)</w:t>
            </w:r>
          </w:p>
        </w:tc>
        <w:tc>
          <w:tcPr>
            <w:tcW w:w="320" w:type="pct"/>
            <w:vAlign w:val="center"/>
          </w:tcPr>
          <w:p w14:paraId="40555722" w14:textId="77777777" w:rsidR="00274F2D" w:rsidRPr="007B6175" w:rsidRDefault="00274F2D" w:rsidP="001D7528">
            <w:pPr>
              <w:pStyle w:val="TableText"/>
              <w:jc w:val="center"/>
            </w:pPr>
            <w:r w:rsidRPr="007B6175">
              <w:t>228</w:t>
            </w:r>
          </w:p>
        </w:tc>
        <w:tc>
          <w:tcPr>
            <w:tcW w:w="910" w:type="pct"/>
            <w:vAlign w:val="center"/>
          </w:tcPr>
          <w:p w14:paraId="24FC967C" w14:textId="77777777" w:rsidR="00274F2D" w:rsidRPr="007B6175" w:rsidRDefault="00274F2D" w:rsidP="001D7528">
            <w:pPr>
              <w:pStyle w:val="TableText"/>
              <w:jc w:val="center"/>
            </w:pPr>
            <w:r w:rsidRPr="007B6175">
              <w:t>-1.02 (0.32)</w:t>
            </w:r>
          </w:p>
        </w:tc>
        <w:tc>
          <w:tcPr>
            <w:tcW w:w="1117" w:type="pct"/>
            <w:vAlign w:val="center"/>
          </w:tcPr>
          <w:p w14:paraId="0925D271" w14:textId="77777777" w:rsidR="00274F2D" w:rsidRPr="007B6175" w:rsidRDefault="00274F2D" w:rsidP="001D7528">
            <w:pPr>
              <w:pStyle w:val="TableText"/>
              <w:jc w:val="center"/>
            </w:pPr>
            <w:r w:rsidRPr="007B6175">
              <w:t>-3.12 (-3.92, -2.32)</w:t>
            </w:r>
          </w:p>
        </w:tc>
      </w:tr>
      <w:tr w:rsidR="00274F2D" w:rsidRPr="007B6175" w14:paraId="7534C8B2" w14:textId="77777777" w:rsidTr="00A36F4A">
        <w:tc>
          <w:tcPr>
            <w:tcW w:w="1423" w:type="pct"/>
          </w:tcPr>
          <w:p w14:paraId="21C41EB4" w14:textId="77777777" w:rsidR="00274F2D" w:rsidRPr="007B6175" w:rsidRDefault="00274F2D" w:rsidP="001D7528">
            <w:pPr>
              <w:pStyle w:val="TableText"/>
            </w:pPr>
            <w:r w:rsidRPr="007B6175">
              <w:t>ITT episodic subpopulation</w:t>
            </w:r>
          </w:p>
        </w:tc>
        <w:tc>
          <w:tcPr>
            <w:tcW w:w="320" w:type="pct"/>
            <w:tcBorders>
              <w:bottom w:val="double" w:sz="4" w:space="0" w:color="auto"/>
            </w:tcBorders>
            <w:vAlign w:val="center"/>
          </w:tcPr>
          <w:p w14:paraId="7BDA9C74" w14:textId="77777777" w:rsidR="00274F2D" w:rsidRPr="007B6175" w:rsidRDefault="00274F2D" w:rsidP="001D7528">
            <w:pPr>
              <w:pStyle w:val="TableText"/>
              <w:jc w:val="center"/>
            </w:pPr>
            <w:r w:rsidRPr="007B6175">
              <w:t>137</w:t>
            </w:r>
          </w:p>
        </w:tc>
        <w:tc>
          <w:tcPr>
            <w:tcW w:w="910" w:type="pct"/>
            <w:tcBorders>
              <w:bottom w:val="double" w:sz="4" w:space="0" w:color="auto"/>
            </w:tcBorders>
            <w:vAlign w:val="center"/>
          </w:tcPr>
          <w:p w14:paraId="0CB10FC5" w14:textId="77777777" w:rsidR="00274F2D" w:rsidRPr="007B6175" w:rsidRDefault="00274F2D" w:rsidP="001D7528">
            <w:pPr>
              <w:pStyle w:val="TableText"/>
              <w:jc w:val="center"/>
            </w:pPr>
            <w:r w:rsidRPr="007B6175">
              <w:t>-2.88 (0.34)</w:t>
            </w:r>
          </w:p>
        </w:tc>
        <w:tc>
          <w:tcPr>
            <w:tcW w:w="320" w:type="pct"/>
            <w:tcBorders>
              <w:bottom w:val="double" w:sz="4" w:space="0" w:color="auto"/>
            </w:tcBorders>
            <w:vAlign w:val="center"/>
          </w:tcPr>
          <w:p w14:paraId="7FB6B554" w14:textId="77777777" w:rsidR="00274F2D" w:rsidRPr="007B6175" w:rsidRDefault="00274F2D" w:rsidP="001D7528">
            <w:pPr>
              <w:pStyle w:val="TableText"/>
              <w:jc w:val="center"/>
            </w:pPr>
            <w:r w:rsidRPr="007B6175">
              <w:t>132</w:t>
            </w:r>
          </w:p>
        </w:tc>
        <w:tc>
          <w:tcPr>
            <w:tcW w:w="910" w:type="pct"/>
            <w:vAlign w:val="center"/>
          </w:tcPr>
          <w:p w14:paraId="1F5763A2" w14:textId="77777777" w:rsidR="00274F2D" w:rsidRPr="007B6175" w:rsidRDefault="00274F2D" w:rsidP="001D7528">
            <w:pPr>
              <w:pStyle w:val="TableText"/>
              <w:jc w:val="center"/>
            </w:pPr>
            <w:r w:rsidRPr="007B6175">
              <w:t>-0.31 (0.34)</w:t>
            </w:r>
          </w:p>
        </w:tc>
        <w:tc>
          <w:tcPr>
            <w:tcW w:w="1117" w:type="pct"/>
            <w:vAlign w:val="center"/>
          </w:tcPr>
          <w:p w14:paraId="76960B1A" w14:textId="77777777" w:rsidR="00274F2D" w:rsidRPr="007B6175" w:rsidRDefault="00274F2D" w:rsidP="001D7528">
            <w:pPr>
              <w:pStyle w:val="TableText"/>
              <w:jc w:val="center"/>
            </w:pPr>
            <w:r w:rsidRPr="007B6175">
              <w:t>-2.57 (-3.41, -1.72)</w:t>
            </w:r>
          </w:p>
        </w:tc>
      </w:tr>
      <w:tr w:rsidR="00274F2D" w:rsidRPr="007B6175" w14:paraId="138EF7ED" w14:textId="77777777" w:rsidTr="00A36F4A">
        <w:tc>
          <w:tcPr>
            <w:tcW w:w="1423" w:type="pct"/>
            <w:tcBorders>
              <w:top w:val="double" w:sz="4" w:space="0" w:color="auto"/>
            </w:tcBorders>
          </w:tcPr>
          <w:p w14:paraId="0504565E" w14:textId="77777777" w:rsidR="00274F2D" w:rsidRPr="007B6175" w:rsidRDefault="00274F2D" w:rsidP="001D7528">
            <w:pPr>
              <w:pStyle w:val="TableText"/>
              <w:rPr>
                <w:b/>
              </w:rPr>
            </w:pPr>
          </w:p>
        </w:tc>
        <w:tc>
          <w:tcPr>
            <w:tcW w:w="1230" w:type="pct"/>
            <w:gridSpan w:val="2"/>
            <w:tcBorders>
              <w:top w:val="double" w:sz="4" w:space="0" w:color="auto"/>
            </w:tcBorders>
            <w:vAlign w:val="center"/>
          </w:tcPr>
          <w:p w14:paraId="127217D0" w14:textId="77777777" w:rsidR="00274F2D" w:rsidRPr="007B6175" w:rsidRDefault="00274F2D" w:rsidP="001D7528">
            <w:pPr>
              <w:keepNext/>
              <w:jc w:val="center"/>
              <w:rPr>
                <w:rFonts w:ascii="Arial Narrow" w:eastAsiaTheme="minorHAnsi" w:hAnsi="Arial Narrow"/>
                <w:b/>
                <w:sz w:val="20"/>
                <w:szCs w:val="20"/>
                <w:lang w:eastAsia="en-US"/>
              </w:rPr>
            </w:pPr>
            <w:proofErr w:type="spellStart"/>
            <w:r w:rsidRPr="007B6175">
              <w:rPr>
                <w:rFonts w:ascii="Arial Narrow" w:eastAsiaTheme="minorHAnsi" w:hAnsi="Arial Narrow"/>
                <w:b/>
                <w:sz w:val="20"/>
                <w:szCs w:val="20"/>
                <w:lang w:eastAsia="en-US"/>
              </w:rPr>
              <w:t>Galcanezumab</w:t>
            </w:r>
            <w:proofErr w:type="spellEnd"/>
          </w:p>
          <w:p w14:paraId="3E083ADD" w14:textId="77777777" w:rsidR="00274F2D" w:rsidRPr="007B6175" w:rsidRDefault="00274F2D" w:rsidP="001D7528">
            <w:pPr>
              <w:pStyle w:val="TableText"/>
              <w:jc w:val="center"/>
            </w:pPr>
            <w:r w:rsidRPr="007B6175">
              <w:rPr>
                <w:rFonts w:eastAsiaTheme="minorHAnsi"/>
                <w:b/>
                <w:szCs w:val="20"/>
                <w:lang w:eastAsia="en-US"/>
              </w:rPr>
              <w:t>Model estimated rate (SE)</w:t>
            </w:r>
          </w:p>
        </w:tc>
        <w:tc>
          <w:tcPr>
            <w:tcW w:w="1230" w:type="pct"/>
            <w:gridSpan w:val="2"/>
            <w:tcBorders>
              <w:top w:val="double" w:sz="4" w:space="0" w:color="auto"/>
            </w:tcBorders>
            <w:vAlign w:val="center"/>
          </w:tcPr>
          <w:p w14:paraId="5CC701E1" w14:textId="77777777" w:rsidR="00274F2D" w:rsidRPr="007B6175" w:rsidRDefault="00274F2D" w:rsidP="001D7528">
            <w:pPr>
              <w:keepNext/>
              <w:jc w:val="center"/>
              <w:rPr>
                <w:rFonts w:ascii="Arial Narrow" w:eastAsiaTheme="minorHAnsi" w:hAnsi="Arial Narrow"/>
                <w:b/>
                <w:sz w:val="20"/>
                <w:szCs w:val="20"/>
                <w:lang w:eastAsia="en-US"/>
              </w:rPr>
            </w:pPr>
            <w:r w:rsidRPr="007B6175">
              <w:rPr>
                <w:rFonts w:ascii="Arial Narrow" w:eastAsiaTheme="minorHAnsi" w:hAnsi="Arial Narrow"/>
                <w:b/>
                <w:sz w:val="20"/>
                <w:szCs w:val="20"/>
                <w:lang w:eastAsia="en-US"/>
              </w:rPr>
              <w:t xml:space="preserve">Placebo </w:t>
            </w:r>
          </w:p>
          <w:p w14:paraId="59A00D85" w14:textId="77777777" w:rsidR="00274F2D" w:rsidRPr="007B6175" w:rsidRDefault="00274F2D" w:rsidP="001D7528">
            <w:pPr>
              <w:pStyle w:val="TableText"/>
              <w:jc w:val="center"/>
            </w:pPr>
            <w:r w:rsidRPr="007B6175">
              <w:rPr>
                <w:rFonts w:eastAsiaTheme="minorHAnsi"/>
                <w:b/>
                <w:szCs w:val="20"/>
                <w:lang w:eastAsia="en-US"/>
              </w:rPr>
              <w:t>Model estimated rate (SE)</w:t>
            </w:r>
          </w:p>
        </w:tc>
        <w:tc>
          <w:tcPr>
            <w:tcW w:w="1117" w:type="pct"/>
            <w:tcBorders>
              <w:top w:val="double" w:sz="4" w:space="0" w:color="auto"/>
            </w:tcBorders>
            <w:vAlign w:val="center"/>
          </w:tcPr>
          <w:p w14:paraId="6C33A006" w14:textId="77777777" w:rsidR="00274F2D" w:rsidRPr="007B6175" w:rsidRDefault="00274F2D" w:rsidP="001D7528">
            <w:pPr>
              <w:pStyle w:val="TableText"/>
              <w:jc w:val="center"/>
            </w:pPr>
            <w:r w:rsidRPr="007B6175">
              <w:rPr>
                <w:rFonts w:eastAsiaTheme="minorHAnsi"/>
                <w:b/>
                <w:szCs w:val="20"/>
                <w:lang w:eastAsia="en-US"/>
              </w:rPr>
              <w:t>OR (95%CI)</w:t>
            </w:r>
          </w:p>
        </w:tc>
      </w:tr>
      <w:tr w:rsidR="00274F2D" w:rsidRPr="007B6175" w14:paraId="52E4D4A9" w14:textId="77777777" w:rsidTr="00A36F4A">
        <w:tc>
          <w:tcPr>
            <w:tcW w:w="5000" w:type="pct"/>
            <w:gridSpan w:val="6"/>
          </w:tcPr>
          <w:p w14:paraId="6EC9E861" w14:textId="77777777" w:rsidR="00274F2D" w:rsidRPr="007B6175" w:rsidRDefault="00274F2D" w:rsidP="001D7528">
            <w:pPr>
              <w:pStyle w:val="TableText"/>
              <w:rPr>
                <w:rFonts w:cs="Times New Roman"/>
                <w:b/>
                <w:szCs w:val="20"/>
                <w:lang w:eastAsia="en-US"/>
              </w:rPr>
            </w:pPr>
            <w:r w:rsidRPr="007B6175">
              <w:rPr>
                <w:b/>
              </w:rPr>
              <w:t>Estimated proportion of ≥50%, ≥75% and 100% responders for migraine headache days</w:t>
            </w:r>
          </w:p>
        </w:tc>
      </w:tr>
      <w:tr w:rsidR="00274F2D" w:rsidRPr="007B6175" w14:paraId="5845F4A3" w14:textId="77777777" w:rsidTr="00A36F4A">
        <w:tc>
          <w:tcPr>
            <w:tcW w:w="5000" w:type="pct"/>
            <w:gridSpan w:val="6"/>
            <w:vAlign w:val="center"/>
          </w:tcPr>
          <w:p w14:paraId="2FBF4850" w14:textId="77777777" w:rsidR="00274F2D" w:rsidRPr="007B6175" w:rsidRDefault="00274F2D" w:rsidP="001D7528">
            <w:pPr>
              <w:pStyle w:val="TableText"/>
            </w:pPr>
            <w:r w:rsidRPr="007B6175">
              <w:rPr>
                <w:rFonts w:cs="Times New Roman"/>
                <w:b/>
                <w:szCs w:val="20"/>
                <w:lang w:eastAsia="en-US"/>
              </w:rPr>
              <w:t>ITT population</w:t>
            </w:r>
          </w:p>
        </w:tc>
      </w:tr>
      <w:tr w:rsidR="00274F2D" w:rsidRPr="007B6175" w14:paraId="26A5A68D" w14:textId="77777777" w:rsidTr="00A36F4A">
        <w:tc>
          <w:tcPr>
            <w:tcW w:w="1423" w:type="pct"/>
            <w:vAlign w:val="center"/>
          </w:tcPr>
          <w:p w14:paraId="0EC6E750" w14:textId="77777777" w:rsidR="00274F2D" w:rsidRPr="007B6175" w:rsidRDefault="00274F2D" w:rsidP="001D7528">
            <w:pPr>
              <w:pStyle w:val="TableText"/>
            </w:pPr>
            <w:r w:rsidRPr="007B6175">
              <w:rPr>
                <w:rFonts w:cs="Calibri"/>
                <w:lang w:eastAsia="en-US"/>
              </w:rPr>
              <w:t>≥</w:t>
            </w:r>
            <w:r w:rsidRPr="007B6175">
              <w:rPr>
                <w:lang w:eastAsia="en-US"/>
              </w:rPr>
              <w:t>50% responders</w:t>
            </w:r>
          </w:p>
        </w:tc>
        <w:tc>
          <w:tcPr>
            <w:tcW w:w="1230" w:type="pct"/>
            <w:gridSpan w:val="2"/>
            <w:vAlign w:val="center"/>
          </w:tcPr>
          <w:p w14:paraId="7FA49038" w14:textId="77777777" w:rsidR="00274F2D" w:rsidRPr="007B6175" w:rsidRDefault="00274F2D" w:rsidP="001D7528">
            <w:pPr>
              <w:pStyle w:val="TableText"/>
              <w:jc w:val="center"/>
            </w:pPr>
            <w:r w:rsidRPr="007B6175">
              <w:t>37.7 (2.5)</w:t>
            </w:r>
          </w:p>
        </w:tc>
        <w:tc>
          <w:tcPr>
            <w:tcW w:w="1230" w:type="pct"/>
            <w:gridSpan w:val="2"/>
            <w:vAlign w:val="center"/>
          </w:tcPr>
          <w:p w14:paraId="673DC255" w14:textId="77777777" w:rsidR="00274F2D" w:rsidRPr="007B6175" w:rsidRDefault="00274F2D" w:rsidP="001D7528">
            <w:pPr>
              <w:pStyle w:val="TableText"/>
              <w:jc w:val="center"/>
            </w:pPr>
            <w:r w:rsidRPr="007B6175">
              <w:t>13.3 (1.8)</w:t>
            </w:r>
          </w:p>
        </w:tc>
        <w:tc>
          <w:tcPr>
            <w:tcW w:w="1117" w:type="pct"/>
            <w:vAlign w:val="center"/>
          </w:tcPr>
          <w:p w14:paraId="475518CF" w14:textId="77777777" w:rsidR="00274F2D" w:rsidRPr="007B6175" w:rsidRDefault="00274F2D" w:rsidP="001D7528">
            <w:pPr>
              <w:pStyle w:val="TableText"/>
              <w:jc w:val="center"/>
            </w:pPr>
            <w:r w:rsidRPr="007B6175">
              <w:rPr>
                <w:rFonts w:cs="Times New Roman"/>
                <w:b/>
                <w:szCs w:val="20"/>
                <w:lang w:eastAsia="en-US"/>
              </w:rPr>
              <w:t>3.94 (2.72, 5.69)</w:t>
            </w:r>
          </w:p>
        </w:tc>
      </w:tr>
      <w:tr w:rsidR="00274F2D" w:rsidRPr="007B6175" w14:paraId="7D131AC3" w14:textId="77777777" w:rsidTr="00A36F4A">
        <w:tc>
          <w:tcPr>
            <w:tcW w:w="1423" w:type="pct"/>
            <w:vAlign w:val="center"/>
          </w:tcPr>
          <w:p w14:paraId="3BF33189" w14:textId="77777777" w:rsidR="00274F2D" w:rsidRPr="007B6175" w:rsidRDefault="00274F2D" w:rsidP="001D7528">
            <w:pPr>
              <w:pStyle w:val="TableText"/>
            </w:pPr>
            <w:r w:rsidRPr="007B6175">
              <w:rPr>
                <w:lang w:eastAsia="en-US"/>
              </w:rPr>
              <w:t>≥75% responders</w:t>
            </w:r>
          </w:p>
        </w:tc>
        <w:tc>
          <w:tcPr>
            <w:tcW w:w="1230" w:type="pct"/>
            <w:gridSpan w:val="2"/>
            <w:vAlign w:val="center"/>
          </w:tcPr>
          <w:p w14:paraId="7BC02517" w14:textId="77777777" w:rsidR="00274F2D" w:rsidRPr="007B6175" w:rsidRDefault="00274F2D" w:rsidP="001D7528">
            <w:pPr>
              <w:pStyle w:val="TableText"/>
              <w:jc w:val="center"/>
            </w:pPr>
            <w:r w:rsidRPr="007B6175">
              <w:t>14.5 (2.0)</w:t>
            </w:r>
          </w:p>
        </w:tc>
        <w:tc>
          <w:tcPr>
            <w:tcW w:w="1230" w:type="pct"/>
            <w:gridSpan w:val="2"/>
            <w:vAlign w:val="center"/>
          </w:tcPr>
          <w:p w14:paraId="155BD8C5" w14:textId="77777777" w:rsidR="00274F2D" w:rsidRPr="007B6175" w:rsidRDefault="00274F2D" w:rsidP="001D7528">
            <w:pPr>
              <w:pStyle w:val="TableText"/>
              <w:jc w:val="center"/>
            </w:pPr>
            <w:r w:rsidRPr="007B6175">
              <w:t>3.3 (1.1)</w:t>
            </w:r>
          </w:p>
        </w:tc>
        <w:tc>
          <w:tcPr>
            <w:tcW w:w="1117" w:type="pct"/>
            <w:vAlign w:val="center"/>
          </w:tcPr>
          <w:p w14:paraId="7F97C951" w14:textId="77777777" w:rsidR="00274F2D" w:rsidRPr="007B6175" w:rsidRDefault="00274F2D" w:rsidP="001D7528">
            <w:pPr>
              <w:pStyle w:val="TableText"/>
              <w:jc w:val="center"/>
            </w:pPr>
            <w:r w:rsidRPr="007B6175">
              <w:rPr>
                <w:rFonts w:cs="Times New Roman"/>
                <w:b/>
                <w:szCs w:val="20"/>
                <w:lang w:eastAsia="en-US"/>
              </w:rPr>
              <w:t>5.01 (2.35, 10.68)</w:t>
            </w:r>
          </w:p>
        </w:tc>
      </w:tr>
      <w:tr w:rsidR="00274F2D" w:rsidRPr="007B6175" w14:paraId="770A330B" w14:textId="77777777" w:rsidTr="00A36F4A">
        <w:tc>
          <w:tcPr>
            <w:tcW w:w="1423" w:type="pct"/>
            <w:vAlign w:val="center"/>
          </w:tcPr>
          <w:p w14:paraId="60F6B23C" w14:textId="77777777" w:rsidR="00274F2D" w:rsidRPr="007B6175" w:rsidRDefault="00274F2D" w:rsidP="001D7528">
            <w:pPr>
              <w:pStyle w:val="TableText"/>
            </w:pPr>
            <w:r w:rsidRPr="007B6175">
              <w:rPr>
                <w:lang w:eastAsia="en-US"/>
              </w:rPr>
              <w:t>100% responders</w:t>
            </w:r>
          </w:p>
        </w:tc>
        <w:tc>
          <w:tcPr>
            <w:tcW w:w="1230" w:type="pct"/>
            <w:gridSpan w:val="2"/>
            <w:vAlign w:val="center"/>
          </w:tcPr>
          <w:p w14:paraId="73208A53" w14:textId="77777777" w:rsidR="00274F2D" w:rsidRPr="007B6175" w:rsidRDefault="00274F2D" w:rsidP="001D7528">
            <w:pPr>
              <w:pStyle w:val="TableText"/>
              <w:jc w:val="center"/>
            </w:pPr>
            <w:r w:rsidRPr="007B6175">
              <w:t>4.9 (1.4)</w:t>
            </w:r>
          </w:p>
        </w:tc>
        <w:tc>
          <w:tcPr>
            <w:tcW w:w="1230" w:type="pct"/>
            <w:gridSpan w:val="2"/>
            <w:vAlign w:val="center"/>
          </w:tcPr>
          <w:p w14:paraId="42678CE3" w14:textId="77777777" w:rsidR="00274F2D" w:rsidRPr="007B6175" w:rsidRDefault="00274F2D" w:rsidP="001D7528">
            <w:pPr>
              <w:pStyle w:val="TableText"/>
              <w:jc w:val="center"/>
            </w:pPr>
            <w:r w:rsidRPr="007B6175">
              <w:t>0</w:t>
            </w:r>
          </w:p>
        </w:tc>
        <w:tc>
          <w:tcPr>
            <w:tcW w:w="1117" w:type="pct"/>
            <w:vAlign w:val="center"/>
          </w:tcPr>
          <w:p w14:paraId="1994A853" w14:textId="77777777" w:rsidR="00274F2D" w:rsidRPr="007B6175" w:rsidRDefault="00274F2D" w:rsidP="001D7528">
            <w:pPr>
              <w:pStyle w:val="TableText"/>
              <w:jc w:val="center"/>
            </w:pPr>
            <w:r w:rsidRPr="007B6175">
              <w:rPr>
                <w:rFonts w:cs="Times New Roman"/>
                <w:lang w:eastAsia="en-US"/>
              </w:rPr>
              <w:t>NE</w:t>
            </w:r>
          </w:p>
        </w:tc>
      </w:tr>
      <w:tr w:rsidR="00274F2D" w:rsidRPr="007B6175" w14:paraId="26609E89" w14:textId="77777777" w:rsidTr="00A36F4A">
        <w:tc>
          <w:tcPr>
            <w:tcW w:w="5000" w:type="pct"/>
            <w:gridSpan w:val="6"/>
            <w:vAlign w:val="center"/>
          </w:tcPr>
          <w:p w14:paraId="5D55245B" w14:textId="77777777" w:rsidR="00274F2D" w:rsidRPr="007B6175" w:rsidRDefault="00274F2D" w:rsidP="001D7528">
            <w:pPr>
              <w:pStyle w:val="TableText"/>
            </w:pPr>
            <w:r w:rsidRPr="007B6175">
              <w:rPr>
                <w:rFonts w:cs="Times New Roman"/>
                <w:b/>
                <w:lang w:eastAsia="en-US"/>
              </w:rPr>
              <w:t>Episodic migraine subpopulation</w:t>
            </w:r>
          </w:p>
        </w:tc>
      </w:tr>
      <w:tr w:rsidR="00274F2D" w:rsidRPr="007B6175" w14:paraId="2A3292E8" w14:textId="77777777" w:rsidTr="00A36F4A">
        <w:tc>
          <w:tcPr>
            <w:tcW w:w="1423" w:type="pct"/>
            <w:vAlign w:val="center"/>
          </w:tcPr>
          <w:p w14:paraId="63AEC1B0" w14:textId="77777777" w:rsidR="00274F2D" w:rsidRPr="007B6175" w:rsidRDefault="00274F2D" w:rsidP="001D7528">
            <w:pPr>
              <w:pStyle w:val="TableText"/>
            </w:pPr>
            <w:r w:rsidRPr="007B6175">
              <w:rPr>
                <w:rFonts w:cs="Calibri"/>
                <w:lang w:eastAsia="en-US"/>
              </w:rPr>
              <w:t>≥</w:t>
            </w:r>
            <w:r w:rsidRPr="007B6175">
              <w:rPr>
                <w:lang w:eastAsia="en-US"/>
              </w:rPr>
              <w:t>50% responders</w:t>
            </w:r>
          </w:p>
        </w:tc>
        <w:tc>
          <w:tcPr>
            <w:tcW w:w="1230" w:type="pct"/>
            <w:gridSpan w:val="2"/>
            <w:vAlign w:val="center"/>
          </w:tcPr>
          <w:p w14:paraId="42496790" w14:textId="77777777" w:rsidR="00274F2D" w:rsidRPr="007B6175" w:rsidRDefault="00274F2D" w:rsidP="001D7528">
            <w:pPr>
              <w:pStyle w:val="TableText"/>
              <w:jc w:val="center"/>
            </w:pPr>
            <w:r w:rsidRPr="007B6175">
              <w:t>41.8 (3.2)</w:t>
            </w:r>
          </w:p>
        </w:tc>
        <w:tc>
          <w:tcPr>
            <w:tcW w:w="1230" w:type="pct"/>
            <w:gridSpan w:val="2"/>
            <w:vAlign w:val="center"/>
          </w:tcPr>
          <w:p w14:paraId="1516C500" w14:textId="77777777" w:rsidR="00274F2D" w:rsidRPr="007B6175" w:rsidRDefault="00274F2D" w:rsidP="001D7528">
            <w:pPr>
              <w:pStyle w:val="TableText"/>
              <w:jc w:val="center"/>
            </w:pPr>
            <w:r w:rsidRPr="007B6175">
              <w:t>17.1 (2.5)</w:t>
            </w:r>
          </w:p>
        </w:tc>
        <w:tc>
          <w:tcPr>
            <w:tcW w:w="1117" w:type="pct"/>
            <w:vAlign w:val="center"/>
          </w:tcPr>
          <w:p w14:paraId="259041A1" w14:textId="77777777" w:rsidR="00274F2D" w:rsidRPr="007B6175" w:rsidRDefault="00274F2D" w:rsidP="001D7528">
            <w:pPr>
              <w:pStyle w:val="TableText"/>
              <w:jc w:val="center"/>
            </w:pPr>
            <w:r w:rsidRPr="007B6175">
              <w:rPr>
                <w:rFonts w:cs="Times New Roman"/>
                <w:b/>
                <w:lang w:eastAsia="en-US"/>
              </w:rPr>
              <w:t>3.48 (2.25, 5.38)</w:t>
            </w:r>
          </w:p>
        </w:tc>
      </w:tr>
      <w:tr w:rsidR="00274F2D" w:rsidRPr="007B6175" w14:paraId="716A05F1" w14:textId="77777777" w:rsidTr="00A36F4A">
        <w:tc>
          <w:tcPr>
            <w:tcW w:w="1423" w:type="pct"/>
            <w:vAlign w:val="center"/>
          </w:tcPr>
          <w:p w14:paraId="713AAAD1" w14:textId="77777777" w:rsidR="00274F2D" w:rsidRPr="007B6175" w:rsidRDefault="00274F2D" w:rsidP="001D7528">
            <w:pPr>
              <w:pStyle w:val="TableText"/>
            </w:pPr>
            <w:r w:rsidRPr="007B6175">
              <w:rPr>
                <w:lang w:eastAsia="en-US"/>
              </w:rPr>
              <w:t>≥75% responders</w:t>
            </w:r>
          </w:p>
        </w:tc>
        <w:tc>
          <w:tcPr>
            <w:tcW w:w="1230" w:type="pct"/>
            <w:gridSpan w:val="2"/>
            <w:vAlign w:val="center"/>
          </w:tcPr>
          <w:p w14:paraId="72B7FA46" w14:textId="77777777" w:rsidR="00274F2D" w:rsidRPr="007B6175" w:rsidRDefault="00274F2D" w:rsidP="001D7528">
            <w:pPr>
              <w:pStyle w:val="TableText"/>
              <w:jc w:val="center"/>
            </w:pPr>
            <w:r w:rsidRPr="007B6175">
              <w:t>18.4 (2.5)</w:t>
            </w:r>
          </w:p>
        </w:tc>
        <w:tc>
          <w:tcPr>
            <w:tcW w:w="1230" w:type="pct"/>
            <w:gridSpan w:val="2"/>
            <w:vAlign w:val="center"/>
          </w:tcPr>
          <w:p w14:paraId="1709546E" w14:textId="77777777" w:rsidR="00274F2D" w:rsidRPr="007B6175" w:rsidRDefault="00274F2D" w:rsidP="001D7528">
            <w:pPr>
              <w:pStyle w:val="TableText"/>
              <w:jc w:val="center"/>
            </w:pPr>
            <w:r w:rsidRPr="007B6175">
              <w:t>3.7 (1.5)</w:t>
            </w:r>
          </w:p>
        </w:tc>
        <w:tc>
          <w:tcPr>
            <w:tcW w:w="1117" w:type="pct"/>
            <w:vAlign w:val="center"/>
          </w:tcPr>
          <w:p w14:paraId="5BF8C352" w14:textId="77777777" w:rsidR="00274F2D" w:rsidRPr="007B6175" w:rsidRDefault="00274F2D" w:rsidP="001D7528">
            <w:pPr>
              <w:pStyle w:val="TableText"/>
              <w:jc w:val="center"/>
            </w:pPr>
            <w:r w:rsidRPr="007B6175">
              <w:rPr>
                <w:rFonts w:cs="Times New Roman"/>
                <w:b/>
                <w:lang w:eastAsia="en-US"/>
              </w:rPr>
              <w:t>5.88 (2.37, 14.55)</w:t>
            </w:r>
          </w:p>
        </w:tc>
      </w:tr>
      <w:tr w:rsidR="00274F2D" w:rsidRPr="007B6175" w14:paraId="2292FF22" w14:textId="77777777" w:rsidTr="00A36F4A">
        <w:tc>
          <w:tcPr>
            <w:tcW w:w="1423" w:type="pct"/>
            <w:vAlign w:val="center"/>
          </w:tcPr>
          <w:p w14:paraId="0B72D0A3" w14:textId="77777777" w:rsidR="00274F2D" w:rsidRPr="007B6175" w:rsidRDefault="00274F2D" w:rsidP="001D7528">
            <w:pPr>
              <w:pStyle w:val="TableText"/>
            </w:pPr>
            <w:r w:rsidRPr="007B6175">
              <w:rPr>
                <w:lang w:eastAsia="en-US"/>
              </w:rPr>
              <w:t>100% responders</w:t>
            </w:r>
          </w:p>
        </w:tc>
        <w:tc>
          <w:tcPr>
            <w:tcW w:w="1230" w:type="pct"/>
            <w:gridSpan w:val="2"/>
            <w:vAlign w:val="center"/>
          </w:tcPr>
          <w:p w14:paraId="4EBAA7D9" w14:textId="77777777" w:rsidR="00274F2D" w:rsidRPr="007B6175" w:rsidRDefault="00274F2D" w:rsidP="001D7528">
            <w:pPr>
              <w:pStyle w:val="TableText"/>
              <w:jc w:val="center"/>
            </w:pPr>
            <w:r w:rsidRPr="007B6175">
              <w:t>7.7 (1.9)</w:t>
            </w:r>
          </w:p>
        </w:tc>
        <w:tc>
          <w:tcPr>
            <w:tcW w:w="1230" w:type="pct"/>
            <w:gridSpan w:val="2"/>
            <w:vAlign w:val="center"/>
          </w:tcPr>
          <w:p w14:paraId="69C6173B" w14:textId="77777777" w:rsidR="00274F2D" w:rsidRPr="007B6175" w:rsidRDefault="00274F2D" w:rsidP="001D7528">
            <w:pPr>
              <w:pStyle w:val="TableText"/>
              <w:jc w:val="center"/>
            </w:pPr>
            <w:r w:rsidRPr="007B6175">
              <w:t>0</w:t>
            </w:r>
          </w:p>
        </w:tc>
        <w:tc>
          <w:tcPr>
            <w:tcW w:w="1117" w:type="pct"/>
            <w:vAlign w:val="center"/>
          </w:tcPr>
          <w:p w14:paraId="6F7625BF" w14:textId="77777777" w:rsidR="00274F2D" w:rsidRPr="007B6175" w:rsidRDefault="00274F2D" w:rsidP="001D7528">
            <w:pPr>
              <w:pStyle w:val="TableText"/>
              <w:jc w:val="center"/>
            </w:pPr>
            <w:r w:rsidRPr="007B6175">
              <w:rPr>
                <w:rFonts w:cs="Times New Roman"/>
                <w:lang w:eastAsia="en-US"/>
              </w:rPr>
              <w:t>NE</w:t>
            </w:r>
          </w:p>
        </w:tc>
      </w:tr>
      <w:tr w:rsidR="00274F2D" w:rsidRPr="007B6175" w14:paraId="020ED21F" w14:textId="77777777" w:rsidTr="00A36F4A">
        <w:tc>
          <w:tcPr>
            <w:tcW w:w="1423" w:type="pct"/>
            <w:vAlign w:val="center"/>
          </w:tcPr>
          <w:p w14:paraId="7C5280CF" w14:textId="77777777" w:rsidR="00274F2D" w:rsidRPr="007B6175" w:rsidRDefault="00274F2D" w:rsidP="001D7528">
            <w:pPr>
              <w:pStyle w:val="TableText"/>
            </w:pPr>
            <w:r w:rsidRPr="007B6175">
              <w:rPr>
                <w:lang w:eastAsia="en-US"/>
              </w:rPr>
              <w:t>≥30% responders</w:t>
            </w:r>
          </w:p>
        </w:tc>
        <w:tc>
          <w:tcPr>
            <w:tcW w:w="1230" w:type="pct"/>
            <w:gridSpan w:val="2"/>
            <w:vAlign w:val="center"/>
          </w:tcPr>
          <w:p w14:paraId="04246DA7" w14:textId="77777777" w:rsidR="00274F2D" w:rsidRPr="007B6175" w:rsidRDefault="00274F2D" w:rsidP="001D7528">
            <w:pPr>
              <w:pStyle w:val="TableText"/>
              <w:jc w:val="center"/>
            </w:pPr>
            <w:r w:rsidRPr="007B6175">
              <w:t>60.7 (NR)</w:t>
            </w:r>
          </w:p>
        </w:tc>
        <w:tc>
          <w:tcPr>
            <w:tcW w:w="1230" w:type="pct"/>
            <w:gridSpan w:val="2"/>
            <w:vAlign w:val="center"/>
          </w:tcPr>
          <w:p w14:paraId="048F5B3D" w14:textId="77777777" w:rsidR="00274F2D" w:rsidRPr="007B6175" w:rsidRDefault="00274F2D" w:rsidP="001D7528">
            <w:pPr>
              <w:pStyle w:val="TableText"/>
              <w:jc w:val="center"/>
            </w:pPr>
            <w:r w:rsidRPr="007B6175">
              <w:t>32.5 (NR)</w:t>
            </w:r>
          </w:p>
        </w:tc>
        <w:tc>
          <w:tcPr>
            <w:tcW w:w="1117" w:type="pct"/>
            <w:vAlign w:val="center"/>
          </w:tcPr>
          <w:p w14:paraId="0AABF626" w14:textId="77777777" w:rsidR="00274F2D" w:rsidRPr="007B6175" w:rsidRDefault="00274F2D" w:rsidP="001D7528">
            <w:pPr>
              <w:pStyle w:val="TableText"/>
              <w:jc w:val="center"/>
            </w:pPr>
            <w:r w:rsidRPr="007B6175">
              <w:rPr>
                <w:rFonts w:cs="Times New Roman"/>
                <w:lang w:eastAsia="en-US"/>
              </w:rPr>
              <w:t>NR</w:t>
            </w:r>
          </w:p>
        </w:tc>
      </w:tr>
    </w:tbl>
    <w:p w14:paraId="19A10A64" w14:textId="25B57A6E" w:rsidR="007C3E64" w:rsidRPr="007B6175" w:rsidRDefault="00274F2D" w:rsidP="005F6A09">
      <w:pPr>
        <w:pStyle w:val="TableFooter"/>
      </w:pPr>
      <w:r w:rsidRPr="007B6175">
        <w:t xml:space="preserve">Source: </w:t>
      </w:r>
      <w:r w:rsidR="007C3E64" w:rsidRPr="007B6175">
        <w:t>Table 4, pp5-6; Table 5, p6 of Attachment 3.1 of the resubmission; Table CGAJ.11.4, p102 of the CONQUER clinical study report.</w:t>
      </w:r>
    </w:p>
    <w:p w14:paraId="3E269F1C" w14:textId="522ADAB4" w:rsidR="007C3E64" w:rsidRPr="007B6175" w:rsidRDefault="005F6A09" w:rsidP="005F6A09">
      <w:pPr>
        <w:pStyle w:val="TableFooter"/>
      </w:pPr>
      <w:r w:rsidRPr="007B6175">
        <w:t xml:space="preserve">Abbreviations: CI, confidence interval; ITT, intention to treat; LS, least squares; NE, not estimable; NR, not reported; </w:t>
      </w:r>
      <w:proofErr w:type="gramStart"/>
      <w:r w:rsidRPr="007B6175">
        <w:t>OR,</w:t>
      </w:r>
      <w:proofErr w:type="gramEnd"/>
      <w:r w:rsidRPr="007B6175">
        <w:t xml:space="preserve"> odds ratio; SE, standard error.</w:t>
      </w:r>
    </w:p>
    <w:p w14:paraId="6096B6CE" w14:textId="61564A3F" w:rsidR="005F6A09" w:rsidRPr="007B6175" w:rsidRDefault="005F6A09" w:rsidP="00340E3E">
      <w:pPr>
        <w:pStyle w:val="ExecSumBodyText"/>
        <w:rPr>
          <w:snapToGrid/>
        </w:rPr>
      </w:pPr>
      <w:r w:rsidRPr="007B6175">
        <w:rPr>
          <w:snapToGrid/>
        </w:rPr>
        <w:t xml:space="preserve">Treatment with </w:t>
      </w:r>
      <w:proofErr w:type="spellStart"/>
      <w:r w:rsidRPr="007B6175">
        <w:rPr>
          <w:snapToGrid/>
        </w:rPr>
        <w:t>galcanezumab</w:t>
      </w:r>
      <w:proofErr w:type="spellEnd"/>
      <w:r w:rsidRPr="007B6175">
        <w:rPr>
          <w:snapToGrid/>
        </w:rPr>
        <w:t xml:space="preserve"> was associated with a statistically significant reduction in mean monthly migraine days</w:t>
      </w:r>
      <w:r w:rsidRPr="007B6175">
        <w:t xml:space="preserve"> and a statistically significant </w:t>
      </w:r>
      <w:r w:rsidRPr="007B6175">
        <w:rPr>
          <w:snapToGrid/>
        </w:rPr>
        <w:t xml:space="preserve">increase in the proportion of patients achieving a ≥50% reduction in monthly migraine days compared with placebo at 12 weeks. </w:t>
      </w:r>
      <w:r w:rsidRPr="00B663F3">
        <w:rPr>
          <w:iCs/>
          <w:snapToGrid/>
        </w:rPr>
        <w:t>In the episodic migraine treatment group, the upper confidence interval for the change in monthly migraine days (-1.72 days) was less than the proposed minimum clinically important difference (MCID) of at least 2 days.</w:t>
      </w:r>
    </w:p>
    <w:p w14:paraId="5B744940" w14:textId="6A55E5F2" w:rsidR="000078ED" w:rsidRPr="007B6175" w:rsidRDefault="00193487" w:rsidP="00340E3E">
      <w:pPr>
        <w:pStyle w:val="ExecSumBodyText"/>
        <w:rPr>
          <w:lang w:eastAsia="en-US"/>
        </w:rPr>
      </w:pPr>
      <w:r w:rsidRPr="007B6175">
        <w:t>Health outcomes measured using the Migraine-Specific Quality of Life Questionnaire (MSQ), the Migraine Disability Assessment score (MIDAS), and the EQ-5D-5L in the ITT population and the episodic migraine subpopulation</w:t>
      </w:r>
      <w:r w:rsidR="0062207C">
        <w:t xml:space="preserve"> were provided in the submission.</w:t>
      </w:r>
      <w:r w:rsidR="00605915" w:rsidRPr="007B6175">
        <w:t xml:space="preserve"> </w:t>
      </w:r>
      <w:r w:rsidR="00125D4D" w:rsidRPr="007B6175">
        <w:rPr>
          <w:lang w:eastAsia="en-US"/>
        </w:rPr>
        <w:t>In th</w:t>
      </w:r>
      <w:r w:rsidR="0038410E" w:rsidRPr="007B6175">
        <w:rPr>
          <w:lang w:eastAsia="en-US"/>
        </w:rPr>
        <w:t>e ITT population and the episodic migraine subpopulation, t</w:t>
      </w:r>
      <w:r w:rsidR="000078ED" w:rsidRPr="007B6175">
        <w:rPr>
          <w:lang w:eastAsia="en-US"/>
        </w:rPr>
        <w:t xml:space="preserve">here was a statistically significant improvement from baseline </w:t>
      </w:r>
      <w:r w:rsidR="0038410E" w:rsidRPr="007B6175">
        <w:rPr>
          <w:lang w:eastAsia="en-US"/>
        </w:rPr>
        <w:t>i</w:t>
      </w:r>
      <w:r w:rsidR="000078ED" w:rsidRPr="007B6175">
        <w:rPr>
          <w:lang w:eastAsia="en-US"/>
        </w:rPr>
        <w:t xml:space="preserve">n the MSQ total score and all domain scores in the </w:t>
      </w:r>
      <w:proofErr w:type="spellStart"/>
      <w:r w:rsidR="000078ED" w:rsidRPr="007B6175">
        <w:rPr>
          <w:lang w:eastAsia="en-US"/>
        </w:rPr>
        <w:t>galcanezumab</w:t>
      </w:r>
      <w:proofErr w:type="spellEnd"/>
      <w:r w:rsidR="000078ED" w:rsidRPr="007B6175">
        <w:rPr>
          <w:lang w:eastAsia="en-US"/>
        </w:rPr>
        <w:t xml:space="preserve"> treatment group compared with placebo. Similarly, there was a statistically significant reduction in perceived migraine-related disability (MIDAS total score) at </w:t>
      </w:r>
      <w:r w:rsidR="0048744D" w:rsidRPr="007B6175">
        <w:rPr>
          <w:lang w:eastAsia="en-US"/>
        </w:rPr>
        <w:t>M</w:t>
      </w:r>
      <w:r w:rsidR="000078ED" w:rsidRPr="007B6175">
        <w:rPr>
          <w:lang w:eastAsia="en-US"/>
        </w:rPr>
        <w:t xml:space="preserve">onth 3 for patients in the </w:t>
      </w:r>
      <w:proofErr w:type="spellStart"/>
      <w:r w:rsidR="000078ED" w:rsidRPr="007B6175">
        <w:rPr>
          <w:lang w:eastAsia="en-US"/>
        </w:rPr>
        <w:t>galcanezumab</w:t>
      </w:r>
      <w:proofErr w:type="spellEnd"/>
      <w:r w:rsidR="000078ED" w:rsidRPr="007B6175">
        <w:rPr>
          <w:lang w:eastAsia="en-US"/>
        </w:rPr>
        <w:t xml:space="preserve"> treatment group compared with the placebo group. There was no statistically significant change from baseline in the EQ-5D </w:t>
      </w:r>
      <w:r w:rsidR="00125D4D" w:rsidRPr="007B6175">
        <w:rPr>
          <w:lang w:eastAsia="en-US"/>
        </w:rPr>
        <w:t>for</w:t>
      </w:r>
      <w:r w:rsidR="000078ED" w:rsidRPr="007B6175">
        <w:rPr>
          <w:lang w:eastAsia="en-US"/>
        </w:rPr>
        <w:t xml:space="preserve"> either treatment group.</w:t>
      </w:r>
    </w:p>
    <w:p w14:paraId="761281AF" w14:textId="16A237CA" w:rsidR="000078ED" w:rsidRPr="007B6175" w:rsidRDefault="001D6E91" w:rsidP="00570D1A">
      <w:pPr>
        <w:pStyle w:val="ExecSumBodyText"/>
        <w:rPr>
          <w:snapToGrid/>
        </w:rPr>
      </w:pPr>
      <w:r w:rsidRPr="007B6175">
        <w:rPr>
          <w:snapToGrid/>
        </w:rPr>
        <w:t xml:space="preserve">Efficacy results for the CONQUER </w:t>
      </w:r>
      <w:r w:rsidR="000078ED" w:rsidRPr="007B6175">
        <w:rPr>
          <w:snapToGrid/>
        </w:rPr>
        <w:t xml:space="preserve">trial </w:t>
      </w:r>
      <w:r w:rsidRPr="007B6175">
        <w:rPr>
          <w:snapToGrid/>
        </w:rPr>
        <w:t xml:space="preserve">subgroup of </w:t>
      </w:r>
      <w:bookmarkStart w:id="27" w:name="_Hlk90237622"/>
      <w:r w:rsidRPr="007B6175">
        <w:rPr>
          <w:snapToGrid/>
        </w:rPr>
        <w:t xml:space="preserve">patients with high frequency episodic migraine with 2 to </w:t>
      </w:r>
      <w:r w:rsidR="000078ED" w:rsidRPr="007B6175">
        <w:rPr>
          <w:snapToGrid/>
        </w:rPr>
        <w:t>4</w:t>
      </w:r>
      <w:r w:rsidRPr="007B6175">
        <w:rPr>
          <w:snapToGrid/>
        </w:rPr>
        <w:t xml:space="preserve"> and 3 to 4 prior treatment failures are summarised in the table below.</w:t>
      </w:r>
      <w:bookmarkEnd w:id="27"/>
    </w:p>
    <w:p w14:paraId="7825FA3A" w14:textId="0459BADD" w:rsidR="008A3CE1" w:rsidRPr="007B6175" w:rsidRDefault="008A3CE1" w:rsidP="007B6175">
      <w:pPr>
        <w:pStyle w:val="TableHeading"/>
        <w:jc w:val="both"/>
      </w:pPr>
      <w:r w:rsidRPr="007B6175">
        <w:lastRenderedPageBreak/>
        <w:t xml:space="preserve">Table </w:t>
      </w:r>
      <w:r>
        <w:fldChar w:fldCharType="begin"/>
      </w:r>
      <w:r>
        <w:instrText>SEQ Table \* ARABIC</w:instrText>
      </w:r>
      <w:r>
        <w:fldChar w:fldCharType="separate"/>
      </w:r>
      <w:r w:rsidR="00046698">
        <w:rPr>
          <w:noProof/>
        </w:rPr>
        <w:t>7</w:t>
      </w:r>
      <w:r>
        <w:fldChar w:fldCharType="end"/>
      </w:r>
      <w:r w:rsidR="00B417F5" w:rsidRPr="007B6175">
        <w:t>: Summary of results for the high frequency episodic migraine subgroups in the CONQUER trial, double blind treatment phase (12 weeks)</w:t>
      </w:r>
    </w:p>
    <w:tbl>
      <w:tblPr>
        <w:tblStyle w:val="TableGrid"/>
        <w:tblW w:w="5000" w:type="pct"/>
        <w:tblCellMar>
          <w:left w:w="28" w:type="dxa"/>
          <w:right w:w="28" w:type="dxa"/>
        </w:tblCellMar>
        <w:tblLook w:val="04A0" w:firstRow="1" w:lastRow="0" w:firstColumn="1" w:lastColumn="0" w:noHBand="0" w:noVBand="1"/>
      </w:tblPr>
      <w:tblGrid>
        <w:gridCol w:w="2411"/>
        <w:gridCol w:w="1100"/>
        <w:gridCol w:w="1102"/>
        <w:gridCol w:w="1102"/>
        <w:gridCol w:w="1102"/>
        <w:gridCol w:w="1102"/>
        <w:gridCol w:w="1098"/>
      </w:tblGrid>
      <w:tr w:rsidR="000078ED" w:rsidRPr="007B6175" w14:paraId="007949A6" w14:textId="77777777" w:rsidTr="00F75DE5">
        <w:tc>
          <w:tcPr>
            <w:tcW w:w="1337" w:type="pct"/>
            <w:vMerge w:val="restart"/>
          </w:tcPr>
          <w:p w14:paraId="3F060F6F" w14:textId="77777777" w:rsidR="000078ED" w:rsidRPr="007B6175" w:rsidRDefault="000078ED" w:rsidP="00A36F4A">
            <w:pPr>
              <w:pStyle w:val="PBACTableText"/>
              <w:keepNext/>
              <w:rPr>
                <w:b/>
              </w:rPr>
            </w:pPr>
          </w:p>
        </w:tc>
        <w:tc>
          <w:tcPr>
            <w:tcW w:w="1832" w:type="pct"/>
            <w:gridSpan w:val="3"/>
            <w:vAlign w:val="center"/>
          </w:tcPr>
          <w:p w14:paraId="668AEEB6" w14:textId="77777777" w:rsidR="000078ED" w:rsidRPr="007B6175" w:rsidRDefault="000078ED" w:rsidP="00A36F4A">
            <w:pPr>
              <w:pStyle w:val="PBACTableText"/>
              <w:keepNext/>
              <w:rPr>
                <w:b/>
              </w:rPr>
            </w:pPr>
            <w:r w:rsidRPr="007B6175">
              <w:rPr>
                <w:b/>
              </w:rPr>
              <w:t xml:space="preserve">High frequency EM subgroup </w:t>
            </w:r>
          </w:p>
          <w:p w14:paraId="7AF4B0B4" w14:textId="77777777" w:rsidR="000078ED" w:rsidRPr="007B6175" w:rsidRDefault="000078ED" w:rsidP="00A36F4A">
            <w:pPr>
              <w:pStyle w:val="PBACTableText"/>
              <w:keepNext/>
              <w:rPr>
                <w:b/>
              </w:rPr>
            </w:pPr>
            <w:r w:rsidRPr="007B6175">
              <w:rPr>
                <w:b/>
              </w:rPr>
              <w:t>(2 to 4 prior treatments)</w:t>
            </w:r>
          </w:p>
        </w:tc>
        <w:tc>
          <w:tcPr>
            <w:tcW w:w="1831" w:type="pct"/>
            <w:gridSpan w:val="3"/>
          </w:tcPr>
          <w:p w14:paraId="182BDB82" w14:textId="77777777" w:rsidR="000078ED" w:rsidRPr="007B6175" w:rsidRDefault="000078ED" w:rsidP="00A36F4A">
            <w:pPr>
              <w:pStyle w:val="PBACTableText"/>
              <w:keepNext/>
              <w:rPr>
                <w:b/>
              </w:rPr>
            </w:pPr>
            <w:r w:rsidRPr="007B6175">
              <w:rPr>
                <w:b/>
              </w:rPr>
              <w:t xml:space="preserve">High frequency EM subgroup </w:t>
            </w:r>
          </w:p>
          <w:p w14:paraId="6590D647" w14:textId="77777777" w:rsidR="000078ED" w:rsidRPr="007B6175" w:rsidRDefault="000078ED" w:rsidP="00A36F4A">
            <w:pPr>
              <w:pStyle w:val="PBACTableText"/>
              <w:keepNext/>
              <w:rPr>
                <w:b/>
              </w:rPr>
            </w:pPr>
            <w:r w:rsidRPr="007B6175">
              <w:rPr>
                <w:b/>
              </w:rPr>
              <w:t xml:space="preserve">(3 to 4 prior treatments) </w:t>
            </w:r>
          </w:p>
        </w:tc>
      </w:tr>
      <w:tr w:rsidR="000078ED" w:rsidRPr="007B6175" w14:paraId="427BDD30" w14:textId="77777777" w:rsidTr="00F75DE5">
        <w:tc>
          <w:tcPr>
            <w:tcW w:w="1337" w:type="pct"/>
            <w:vMerge/>
          </w:tcPr>
          <w:p w14:paraId="480B0F57" w14:textId="77777777" w:rsidR="000078ED" w:rsidRPr="007B6175" w:rsidRDefault="000078ED" w:rsidP="00A36F4A">
            <w:pPr>
              <w:pStyle w:val="PBACTableText"/>
              <w:keepNext/>
              <w:rPr>
                <w:b/>
              </w:rPr>
            </w:pPr>
          </w:p>
        </w:tc>
        <w:tc>
          <w:tcPr>
            <w:tcW w:w="610" w:type="pct"/>
            <w:vAlign w:val="center"/>
          </w:tcPr>
          <w:p w14:paraId="6B58529F" w14:textId="77777777" w:rsidR="000078ED" w:rsidRPr="007B6175" w:rsidRDefault="000078ED" w:rsidP="00A36F4A">
            <w:pPr>
              <w:pStyle w:val="PBACTableText"/>
              <w:keepNext/>
              <w:rPr>
                <w:b/>
              </w:rPr>
            </w:pPr>
            <w:r w:rsidRPr="007B6175">
              <w:rPr>
                <w:b/>
              </w:rPr>
              <w:t>GAL</w:t>
            </w:r>
          </w:p>
          <w:p w14:paraId="36669725" w14:textId="77777777" w:rsidR="000078ED" w:rsidRPr="007B6175" w:rsidRDefault="000078ED" w:rsidP="00A36F4A">
            <w:pPr>
              <w:pStyle w:val="PBACTableText"/>
              <w:keepNext/>
              <w:rPr>
                <w:b/>
              </w:rPr>
            </w:pPr>
            <w:r w:rsidRPr="007B6175">
              <w:rPr>
                <w:b/>
              </w:rPr>
              <w:t>N=102</w:t>
            </w:r>
          </w:p>
        </w:tc>
        <w:tc>
          <w:tcPr>
            <w:tcW w:w="611" w:type="pct"/>
            <w:vAlign w:val="center"/>
          </w:tcPr>
          <w:p w14:paraId="18C14A2C" w14:textId="77777777" w:rsidR="000078ED" w:rsidRPr="007B6175" w:rsidRDefault="000078ED" w:rsidP="00A36F4A">
            <w:pPr>
              <w:pStyle w:val="PBACTableText"/>
              <w:keepNext/>
              <w:rPr>
                <w:b/>
              </w:rPr>
            </w:pPr>
            <w:r w:rsidRPr="007B6175">
              <w:rPr>
                <w:b/>
              </w:rPr>
              <w:t>PBO</w:t>
            </w:r>
          </w:p>
          <w:p w14:paraId="4A474AC2" w14:textId="77777777" w:rsidR="000078ED" w:rsidRPr="007B6175" w:rsidRDefault="000078ED" w:rsidP="00A36F4A">
            <w:pPr>
              <w:pStyle w:val="PBACTableText"/>
              <w:keepNext/>
              <w:rPr>
                <w:b/>
              </w:rPr>
            </w:pPr>
            <w:r w:rsidRPr="007B6175">
              <w:rPr>
                <w:b/>
              </w:rPr>
              <w:t>N=96</w:t>
            </w:r>
          </w:p>
        </w:tc>
        <w:tc>
          <w:tcPr>
            <w:tcW w:w="611" w:type="pct"/>
            <w:vAlign w:val="center"/>
          </w:tcPr>
          <w:p w14:paraId="2C0BC6F9" w14:textId="77777777" w:rsidR="000078ED" w:rsidRPr="007B6175" w:rsidRDefault="000078ED" w:rsidP="00A36F4A">
            <w:pPr>
              <w:pStyle w:val="PBACTableText"/>
              <w:keepNext/>
              <w:rPr>
                <w:b/>
              </w:rPr>
            </w:pPr>
            <w:r w:rsidRPr="007B6175">
              <w:rPr>
                <w:b/>
              </w:rPr>
              <w:t>Difference</w:t>
            </w:r>
          </w:p>
          <w:p w14:paraId="5ADD17C5" w14:textId="77777777" w:rsidR="000078ED" w:rsidRPr="007B6175" w:rsidRDefault="000078ED" w:rsidP="00A36F4A">
            <w:pPr>
              <w:pStyle w:val="PBACTableText"/>
              <w:keepNext/>
              <w:rPr>
                <w:b/>
              </w:rPr>
            </w:pPr>
            <w:r w:rsidRPr="007B6175">
              <w:rPr>
                <w:b/>
              </w:rPr>
              <w:t>(95% CI)</w:t>
            </w:r>
          </w:p>
        </w:tc>
        <w:tc>
          <w:tcPr>
            <w:tcW w:w="611" w:type="pct"/>
            <w:vAlign w:val="center"/>
          </w:tcPr>
          <w:p w14:paraId="6EE5CE2F" w14:textId="77777777" w:rsidR="000078ED" w:rsidRPr="007B6175" w:rsidRDefault="000078ED" w:rsidP="00A36F4A">
            <w:pPr>
              <w:pStyle w:val="PBACTableText"/>
              <w:keepNext/>
              <w:rPr>
                <w:b/>
              </w:rPr>
            </w:pPr>
            <w:r w:rsidRPr="007B6175">
              <w:rPr>
                <w:b/>
              </w:rPr>
              <w:t>GAL</w:t>
            </w:r>
          </w:p>
          <w:p w14:paraId="0123D751" w14:textId="77777777" w:rsidR="000078ED" w:rsidRPr="007B6175" w:rsidRDefault="000078ED" w:rsidP="00A36F4A">
            <w:pPr>
              <w:pStyle w:val="PBACTableText"/>
              <w:keepNext/>
              <w:rPr>
                <w:b/>
              </w:rPr>
            </w:pPr>
            <w:r w:rsidRPr="007B6175">
              <w:rPr>
                <w:b/>
              </w:rPr>
              <w:t>N=48</w:t>
            </w:r>
          </w:p>
        </w:tc>
        <w:tc>
          <w:tcPr>
            <w:tcW w:w="611" w:type="pct"/>
            <w:vAlign w:val="center"/>
          </w:tcPr>
          <w:p w14:paraId="5707E3D0" w14:textId="77777777" w:rsidR="000078ED" w:rsidRPr="007B6175" w:rsidRDefault="000078ED" w:rsidP="00A36F4A">
            <w:pPr>
              <w:pStyle w:val="PBACTableText"/>
              <w:keepNext/>
              <w:rPr>
                <w:b/>
              </w:rPr>
            </w:pPr>
            <w:r w:rsidRPr="007B6175">
              <w:rPr>
                <w:b/>
              </w:rPr>
              <w:t>PBO</w:t>
            </w:r>
          </w:p>
          <w:p w14:paraId="64BB94E7" w14:textId="77777777" w:rsidR="000078ED" w:rsidRPr="007B6175" w:rsidRDefault="000078ED" w:rsidP="00A36F4A">
            <w:pPr>
              <w:pStyle w:val="PBACTableText"/>
              <w:keepNext/>
              <w:rPr>
                <w:b/>
              </w:rPr>
            </w:pPr>
            <w:r w:rsidRPr="007B6175">
              <w:rPr>
                <w:b/>
              </w:rPr>
              <w:t>N=32</w:t>
            </w:r>
          </w:p>
        </w:tc>
        <w:tc>
          <w:tcPr>
            <w:tcW w:w="609" w:type="pct"/>
            <w:vAlign w:val="center"/>
          </w:tcPr>
          <w:p w14:paraId="0B4C4E45" w14:textId="77777777" w:rsidR="000078ED" w:rsidRPr="007B6175" w:rsidRDefault="000078ED" w:rsidP="00A36F4A">
            <w:pPr>
              <w:pStyle w:val="PBACTableText"/>
              <w:keepNext/>
              <w:rPr>
                <w:b/>
              </w:rPr>
            </w:pPr>
            <w:r w:rsidRPr="007B6175">
              <w:rPr>
                <w:b/>
              </w:rPr>
              <w:t>Difference</w:t>
            </w:r>
          </w:p>
          <w:p w14:paraId="09635335" w14:textId="77777777" w:rsidR="000078ED" w:rsidRPr="007B6175" w:rsidRDefault="000078ED" w:rsidP="00A36F4A">
            <w:pPr>
              <w:pStyle w:val="PBACTableText"/>
              <w:keepNext/>
              <w:rPr>
                <w:b/>
              </w:rPr>
            </w:pPr>
            <w:r w:rsidRPr="007B6175">
              <w:rPr>
                <w:b/>
              </w:rPr>
              <w:t>(95% CI)</w:t>
            </w:r>
          </w:p>
        </w:tc>
      </w:tr>
      <w:tr w:rsidR="000078ED" w:rsidRPr="007B6175" w14:paraId="70A51E1E" w14:textId="77777777" w:rsidTr="00F75DE5">
        <w:tc>
          <w:tcPr>
            <w:tcW w:w="1337" w:type="pct"/>
          </w:tcPr>
          <w:p w14:paraId="24E15879" w14:textId="77777777" w:rsidR="000078ED" w:rsidRPr="007B6175" w:rsidRDefault="000078ED" w:rsidP="00A36F4A">
            <w:pPr>
              <w:pStyle w:val="PBACTableText"/>
              <w:keepNext/>
              <w:jc w:val="left"/>
            </w:pPr>
            <w:r w:rsidRPr="007B6175">
              <w:t>Change from baseline in number of monthly migraine headache days, LS mean (SE)</w:t>
            </w:r>
          </w:p>
        </w:tc>
        <w:tc>
          <w:tcPr>
            <w:tcW w:w="610" w:type="pct"/>
            <w:vAlign w:val="center"/>
          </w:tcPr>
          <w:p w14:paraId="740BF238" w14:textId="77777777" w:rsidR="000078ED" w:rsidRPr="007B6175" w:rsidRDefault="000078ED" w:rsidP="00A36F4A">
            <w:pPr>
              <w:pStyle w:val="PBACTableText"/>
              <w:keepNext/>
            </w:pPr>
            <w:r w:rsidRPr="007B6175">
              <w:t>-3.09 (0.40)</w:t>
            </w:r>
          </w:p>
        </w:tc>
        <w:tc>
          <w:tcPr>
            <w:tcW w:w="611" w:type="pct"/>
            <w:vAlign w:val="center"/>
          </w:tcPr>
          <w:p w14:paraId="09584D80" w14:textId="77777777" w:rsidR="000078ED" w:rsidRPr="007B6175" w:rsidRDefault="000078ED" w:rsidP="00A36F4A">
            <w:pPr>
              <w:pStyle w:val="PBACTableText"/>
              <w:keepNext/>
            </w:pPr>
            <w:r w:rsidRPr="007B6175">
              <w:t>-0.78 (0.40)</w:t>
            </w:r>
          </w:p>
        </w:tc>
        <w:tc>
          <w:tcPr>
            <w:tcW w:w="611" w:type="pct"/>
            <w:vAlign w:val="center"/>
          </w:tcPr>
          <w:p w14:paraId="1BA1E46B" w14:textId="77777777" w:rsidR="000078ED" w:rsidRPr="007B6175" w:rsidRDefault="000078ED" w:rsidP="00A36F4A">
            <w:pPr>
              <w:pStyle w:val="PBACTableText"/>
              <w:keepNext/>
            </w:pPr>
            <w:r w:rsidRPr="007B6175">
              <w:t>-2.31</w:t>
            </w:r>
          </w:p>
          <w:p w14:paraId="2CC4AA33" w14:textId="77777777" w:rsidR="000078ED" w:rsidRPr="007B6175" w:rsidRDefault="000078ED" w:rsidP="00A36F4A">
            <w:pPr>
              <w:pStyle w:val="PBACTableText"/>
              <w:keepNext/>
            </w:pPr>
            <w:r w:rsidRPr="007B6175">
              <w:t>(-3.26, -1.36)</w:t>
            </w:r>
          </w:p>
        </w:tc>
        <w:tc>
          <w:tcPr>
            <w:tcW w:w="611" w:type="pct"/>
            <w:vAlign w:val="center"/>
          </w:tcPr>
          <w:p w14:paraId="0FC22B64" w14:textId="77777777" w:rsidR="000078ED" w:rsidRPr="007B6175" w:rsidRDefault="000078ED" w:rsidP="00A36F4A">
            <w:pPr>
              <w:pStyle w:val="PBACTableText"/>
              <w:keepNext/>
            </w:pPr>
            <w:r w:rsidRPr="007B6175">
              <w:t>-4.19 (0.58)</w:t>
            </w:r>
          </w:p>
        </w:tc>
        <w:tc>
          <w:tcPr>
            <w:tcW w:w="611" w:type="pct"/>
            <w:vAlign w:val="center"/>
          </w:tcPr>
          <w:p w14:paraId="27074C09" w14:textId="77777777" w:rsidR="000078ED" w:rsidRPr="007B6175" w:rsidRDefault="000078ED" w:rsidP="00A36F4A">
            <w:pPr>
              <w:pStyle w:val="PBACTableText"/>
              <w:keepNext/>
            </w:pPr>
            <w:r w:rsidRPr="007B6175">
              <w:t>-1.76 (0.73)</w:t>
            </w:r>
          </w:p>
        </w:tc>
        <w:tc>
          <w:tcPr>
            <w:tcW w:w="609" w:type="pct"/>
            <w:vAlign w:val="center"/>
          </w:tcPr>
          <w:p w14:paraId="5DFCAB4B" w14:textId="77777777" w:rsidR="000078ED" w:rsidRPr="007B6175" w:rsidRDefault="000078ED" w:rsidP="00A36F4A">
            <w:pPr>
              <w:pStyle w:val="PBACTableText"/>
              <w:keepNext/>
            </w:pPr>
            <w:r w:rsidRPr="007B6175">
              <w:t>-2.43</w:t>
            </w:r>
          </w:p>
          <w:p w14:paraId="414434A9" w14:textId="77777777" w:rsidR="000078ED" w:rsidRPr="007B6175" w:rsidRDefault="000078ED" w:rsidP="00A36F4A">
            <w:pPr>
              <w:pStyle w:val="PBACTableText"/>
              <w:keepNext/>
            </w:pPr>
            <w:r w:rsidRPr="007B6175">
              <w:t>(-4.08, -0.79)</w:t>
            </w:r>
          </w:p>
        </w:tc>
      </w:tr>
      <w:tr w:rsidR="000078ED" w:rsidRPr="007B6175" w14:paraId="69D9394C" w14:textId="77777777" w:rsidTr="00F75DE5">
        <w:tc>
          <w:tcPr>
            <w:tcW w:w="1337" w:type="pct"/>
          </w:tcPr>
          <w:p w14:paraId="0981663A" w14:textId="77777777" w:rsidR="000078ED" w:rsidRPr="007B6175" w:rsidRDefault="000078ED" w:rsidP="00A36F4A">
            <w:pPr>
              <w:pStyle w:val="PBACTableText"/>
              <w:keepNext/>
              <w:jc w:val="left"/>
            </w:pPr>
            <w:r w:rsidRPr="007B6175">
              <w:t>Change from baseline in number of monthly headache days, LS mean (SE)</w:t>
            </w:r>
          </w:p>
        </w:tc>
        <w:tc>
          <w:tcPr>
            <w:tcW w:w="610" w:type="pct"/>
            <w:vAlign w:val="center"/>
          </w:tcPr>
          <w:p w14:paraId="443B8654" w14:textId="77777777" w:rsidR="000078ED" w:rsidRPr="007B6175" w:rsidRDefault="000078ED" w:rsidP="00A36F4A">
            <w:pPr>
              <w:pStyle w:val="PBACTableText"/>
              <w:keepNext/>
            </w:pPr>
            <w:r w:rsidRPr="007B6175">
              <w:t>-2.80 (0.41)</w:t>
            </w:r>
          </w:p>
        </w:tc>
        <w:tc>
          <w:tcPr>
            <w:tcW w:w="611" w:type="pct"/>
            <w:vAlign w:val="center"/>
          </w:tcPr>
          <w:p w14:paraId="3A9D1464" w14:textId="77777777" w:rsidR="000078ED" w:rsidRPr="007B6175" w:rsidRDefault="000078ED" w:rsidP="00A36F4A">
            <w:pPr>
              <w:pStyle w:val="PBACTableText"/>
              <w:keepNext/>
            </w:pPr>
            <w:r w:rsidRPr="007B6175">
              <w:t>-0.25 (0.42)</w:t>
            </w:r>
          </w:p>
        </w:tc>
        <w:tc>
          <w:tcPr>
            <w:tcW w:w="611" w:type="pct"/>
            <w:vAlign w:val="center"/>
          </w:tcPr>
          <w:p w14:paraId="37240BEE" w14:textId="77777777" w:rsidR="000078ED" w:rsidRPr="007B6175" w:rsidRDefault="000078ED" w:rsidP="00A36F4A">
            <w:pPr>
              <w:pStyle w:val="PBACTableText"/>
              <w:keepNext/>
            </w:pPr>
            <w:r w:rsidRPr="007B6175">
              <w:t>-2.54</w:t>
            </w:r>
          </w:p>
          <w:p w14:paraId="7CEA8DDD" w14:textId="77777777" w:rsidR="000078ED" w:rsidRPr="007B6175" w:rsidRDefault="000078ED" w:rsidP="00A36F4A">
            <w:pPr>
              <w:pStyle w:val="PBACTableText"/>
              <w:keepNext/>
            </w:pPr>
            <w:r w:rsidRPr="007B6175">
              <w:t>(-3.53, -1.56)</w:t>
            </w:r>
          </w:p>
        </w:tc>
        <w:tc>
          <w:tcPr>
            <w:tcW w:w="611" w:type="pct"/>
            <w:vAlign w:val="center"/>
          </w:tcPr>
          <w:p w14:paraId="4D514069" w14:textId="77777777" w:rsidR="000078ED" w:rsidRPr="007B6175" w:rsidRDefault="000078ED" w:rsidP="00A36F4A">
            <w:pPr>
              <w:keepNext/>
              <w:jc w:val="center"/>
              <w:rPr>
                <w:rFonts w:ascii="Arial Narrow" w:hAnsi="Arial Narrow"/>
                <w:sz w:val="20"/>
                <w:szCs w:val="20"/>
                <w:lang w:eastAsia="en-US"/>
              </w:rPr>
            </w:pPr>
            <w:r w:rsidRPr="007B6175">
              <w:rPr>
                <w:rFonts w:ascii="Arial Narrow" w:hAnsi="Arial Narrow"/>
                <w:sz w:val="20"/>
                <w:szCs w:val="20"/>
                <w:lang w:eastAsia="en-US"/>
              </w:rPr>
              <w:t>-4.04 (0.59)</w:t>
            </w:r>
          </w:p>
        </w:tc>
        <w:tc>
          <w:tcPr>
            <w:tcW w:w="611" w:type="pct"/>
            <w:vAlign w:val="center"/>
          </w:tcPr>
          <w:p w14:paraId="4120CFFD" w14:textId="77777777" w:rsidR="000078ED" w:rsidRPr="007B6175" w:rsidRDefault="000078ED" w:rsidP="00A36F4A">
            <w:pPr>
              <w:pStyle w:val="PBACTableText"/>
              <w:keepNext/>
            </w:pPr>
            <w:r w:rsidRPr="007B6175">
              <w:t>-1.43 (0.75)</w:t>
            </w:r>
          </w:p>
        </w:tc>
        <w:tc>
          <w:tcPr>
            <w:tcW w:w="609" w:type="pct"/>
            <w:vAlign w:val="center"/>
          </w:tcPr>
          <w:p w14:paraId="22D80091" w14:textId="77777777" w:rsidR="000078ED" w:rsidRPr="007B6175" w:rsidRDefault="000078ED" w:rsidP="00A36F4A">
            <w:pPr>
              <w:pStyle w:val="PBACTableText"/>
              <w:keepNext/>
            </w:pPr>
            <w:r w:rsidRPr="007B6175">
              <w:t>-2.61</w:t>
            </w:r>
          </w:p>
          <w:p w14:paraId="539A847B" w14:textId="77777777" w:rsidR="000078ED" w:rsidRPr="007B6175" w:rsidRDefault="000078ED" w:rsidP="00A36F4A">
            <w:pPr>
              <w:pStyle w:val="PBACTableText"/>
              <w:keepNext/>
            </w:pPr>
            <w:r w:rsidRPr="007B6175">
              <w:t>(-4.28, -0.94)</w:t>
            </w:r>
          </w:p>
        </w:tc>
      </w:tr>
      <w:tr w:rsidR="000078ED" w:rsidRPr="007B6175" w14:paraId="77B64B63" w14:textId="77777777" w:rsidTr="00F75DE5">
        <w:tc>
          <w:tcPr>
            <w:tcW w:w="1337" w:type="pct"/>
          </w:tcPr>
          <w:p w14:paraId="4D7817E9" w14:textId="314AF973" w:rsidR="000078ED" w:rsidRPr="007B6175" w:rsidRDefault="000078ED" w:rsidP="00A36F4A">
            <w:pPr>
              <w:pStyle w:val="PBACTableText"/>
              <w:keepNext/>
              <w:jc w:val="left"/>
            </w:pPr>
            <w:r w:rsidRPr="007B6175">
              <w:rPr>
                <w:rFonts w:cs="Calibri"/>
              </w:rPr>
              <w:t>≥</w:t>
            </w:r>
            <w:r w:rsidRPr="007B6175">
              <w:t xml:space="preserve">50% responders, </w:t>
            </w:r>
            <w:r w:rsidR="00182CFA">
              <w:t xml:space="preserve">monthly migraine headache days, </w:t>
            </w:r>
            <w:r w:rsidRPr="007B6175">
              <w:t>model estimated rate (SE)</w:t>
            </w:r>
          </w:p>
        </w:tc>
        <w:tc>
          <w:tcPr>
            <w:tcW w:w="610" w:type="pct"/>
            <w:vAlign w:val="center"/>
          </w:tcPr>
          <w:p w14:paraId="133A36CA" w14:textId="77777777" w:rsidR="000078ED" w:rsidRPr="007B6175" w:rsidRDefault="000078ED" w:rsidP="00A36F4A">
            <w:pPr>
              <w:pStyle w:val="PBACTableText"/>
              <w:keepNext/>
            </w:pPr>
            <w:r w:rsidRPr="007B6175">
              <w:t>36.7 (3.6)</w:t>
            </w:r>
          </w:p>
        </w:tc>
        <w:tc>
          <w:tcPr>
            <w:tcW w:w="611" w:type="pct"/>
            <w:vAlign w:val="center"/>
          </w:tcPr>
          <w:p w14:paraId="3B54A180" w14:textId="77777777" w:rsidR="000078ED" w:rsidRPr="007B6175" w:rsidRDefault="000078ED" w:rsidP="00A36F4A">
            <w:pPr>
              <w:pStyle w:val="PBACTableText"/>
              <w:keepNext/>
            </w:pPr>
            <w:r w:rsidRPr="007B6175">
              <w:t>17.5 (3.0)</w:t>
            </w:r>
          </w:p>
        </w:tc>
        <w:tc>
          <w:tcPr>
            <w:tcW w:w="611" w:type="pct"/>
            <w:vAlign w:val="center"/>
          </w:tcPr>
          <w:p w14:paraId="38C4753B" w14:textId="77777777" w:rsidR="000078ED" w:rsidRPr="007B6175" w:rsidRDefault="000078ED" w:rsidP="00A36F4A">
            <w:pPr>
              <w:pStyle w:val="PBACTableText"/>
              <w:keepNext/>
            </w:pPr>
            <w:r w:rsidRPr="007B6175">
              <w:t>19.2 (NR)</w:t>
            </w:r>
          </w:p>
        </w:tc>
        <w:tc>
          <w:tcPr>
            <w:tcW w:w="611" w:type="pct"/>
            <w:vAlign w:val="center"/>
          </w:tcPr>
          <w:p w14:paraId="63D22815" w14:textId="77777777" w:rsidR="000078ED" w:rsidRPr="007B6175" w:rsidRDefault="000078ED" w:rsidP="00A36F4A">
            <w:pPr>
              <w:pStyle w:val="PBACTableText"/>
              <w:keepNext/>
            </w:pPr>
            <w:r w:rsidRPr="007B6175">
              <w:t>37.7 (5.3)</w:t>
            </w:r>
          </w:p>
        </w:tc>
        <w:tc>
          <w:tcPr>
            <w:tcW w:w="611" w:type="pct"/>
            <w:vAlign w:val="center"/>
          </w:tcPr>
          <w:p w14:paraId="10588AB1" w14:textId="77777777" w:rsidR="000078ED" w:rsidRPr="007B6175" w:rsidRDefault="000078ED" w:rsidP="00A36F4A">
            <w:pPr>
              <w:pStyle w:val="PBACTableText"/>
              <w:keepNext/>
            </w:pPr>
            <w:r w:rsidRPr="007B6175">
              <w:t>15.0 (4.8)</w:t>
            </w:r>
          </w:p>
        </w:tc>
        <w:tc>
          <w:tcPr>
            <w:tcW w:w="609" w:type="pct"/>
            <w:vAlign w:val="center"/>
          </w:tcPr>
          <w:p w14:paraId="2FCD72B5" w14:textId="77777777" w:rsidR="000078ED" w:rsidRPr="007B6175" w:rsidRDefault="000078ED" w:rsidP="00A36F4A">
            <w:pPr>
              <w:pStyle w:val="PBACTableText"/>
              <w:keepNext/>
            </w:pPr>
            <w:r w:rsidRPr="007B6175">
              <w:t>22.7 (NR)</w:t>
            </w:r>
          </w:p>
        </w:tc>
      </w:tr>
      <w:tr w:rsidR="000078ED" w:rsidRPr="007B6175" w14:paraId="617E7679" w14:textId="77777777" w:rsidTr="00F75DE5">
        <w:tc>
          <w:tcPr>
            <w:tcW w:w="1337" w:type="pct"/>
          </w:tcPr>
          <w:p w14:paraId="277719AA" w14:textId="359A2810" w:rsidR="000078ED" w:rsidRPr="00E91BA7" w:rsidRDefault="000078ED" w:rsidP="00A36F4A">
            <w:pPr>
              <w:pStyle w:val="PBACTableText"/>
              <w:keepNext/>
              <w:jc w:val="left"/>
            </w:pPr>
            <w:r w:rsidRPr="00E91BA7">
              <w:rPr>
                <w:rFonts w:cs="Calibri"/>
              </w:rPr>
              <w:t>≥30% responders</w:t>
            </w:r>
            <w:r w:rsidR="003F73D0" w:rsidRPr="00E91BA7">
              <w:rPr>
                <w:rFonts w:cs="Calibri"/>
              </w:rPr>
              <w:t xml:space="preserve">, </w:t>
            </w:r>
            <w:r w:rsidR="00182CFA" w:rsidRPr="00E91BA7">
              <w:rPr>
                <w:rFonts w:cs="Calibri"/>
              </w:rPr>
              <w:t>monthly migraine headache days (SE)</w:t>
            </w:r>
          </w:p>
        </w:tc>
        <w:tc>
          <w:tcPr>
            <w:tcW w:w="610" w:type="pct"/>
            <w:vAlign w:val="center"/>
          </w:tcPr>
          <w:p w14:paraId="1F205C9C" w14:textId="77777777" w:rsidR="000078ED" w:rsidRPr="00E91BA7" w:rsidRDefault="000078ED" w:rsidP="00A36F4A">
            <w:pPr>
              <w:pStyle w:val="PBACTableText"/>
              <w:keepNext/>
            </w:pPr>
            <w:r w:rsidRPr="00E91BA7">
              <w:t>57.6 (NR)</w:t>
            </w:r>
          </w:p>
        </w:tc>
        <w:tc>
          <w:tcPr>
            <w:tcW w:w="611" w:type="pct"/>
            <w:vAlign w:val="center"/>
          </w:tcPr>
          <w:p w14:paraId="378D9BF2" w14:textId="77777777" w:rsidR="000078ED" w:rsidRPr="00E91BA7" w:rsidRDefault="000078ED" w:rsidP="00A36F4A">
            <w:pPr>
              <w:pStyle w:val="PBACTableText"/>
              <w:keepNext/>
            </w:pPr>
            <w:r w:rsidRPr="00E91BA7">
              <w:t>32.8 (NR)</w:t>
            </w:r>
          </w:p>
        </w:tc>
        <w:tc>
          <w:tcPr>
            <w:tcW w:w="611" w:type="pct"/>
            <w:vAlign w:val="center"/>
          </w:tcPr>
          <w:p w14:paraId="4EA4737F" w14:textId="77777777" w:rsidR="000078ED" w:rsidRPr="00E91BA7" w:rsidRDefault="000078ED" w:rsidP="00A36F4A">
            <w:pPr>
              <w:pStyle w:val="PBACTableText"/>
              <w:keepNext/>
            </w:pPr>
            <w:r w:rsidRPr="00E91BA7">
              <w:t>24.8 (NR)</w:t>
            </w:r>
          </w:p>
        </w:tc>
        <w:tc>
          <w:tcPr>
            <w:tcW w:w="611" w:type="pct"/>
            <w:vAlign w:val="center"/>
          </w:tcPr>
          <w:p w14:paraId="15EFAE26" w14:textId="77777777" w:rsidR="000078ED" w:rsidRPr="00E91BA7" w:rsidRDefault="000078ED" w:rsidP="00A36F4A">
            <w:pPr>
              <w:pStyle w:val="PBACTableText"/>
              <w:keepNext/>
            </w:pPr>
            <w:r w:rsidRPr="00E91BA7">
              <w:t>57.3 (NR)</w:t>
            </w:r>
          </w:p>
        </w:tc>
        <w:tc>
          <w:tcPr>
            <w:tcW w:w="611" w:type="pct"/>
            <w:vAlign w:val="center"/>
          </w:tcPr>
          <w:p w14:paraId="26F8A792" w14:textId="77777777" w:rsidR="000078ED" w:rsidRPr="00E91BA7" w:rsidRDefault="000078ED" w:rsidP="00A36F4A">
            <w:pPr>
              <w:pStyle w:val="PBACTableText"/>
              <w:keepNext/>
            </w:pPr>
            <w:r w:rsidRPr="00E91BA7">
              <w:t>28.3 (NR)</w:t>
            </w:r>
          </w:p>
        </w:tc>
        <w:tc>
          <w:tcPr>
            <w:tcW w:w="609" w:type="pct"/>
            <w:vAlign w:val="center"/>
          </w:tcPr>
          <w:p w14:paraId="2C41559F" w14:textId="77777777" w:rsidR="000078ED" w:rsidRPr="00E91BA7" w:rsidRDefault="000078ED" w:rsidP="00A36F4A">
            <w:pPr>
              <w:pStyle w:val="PBACTableText"/>
              <w:keepNext/>
            </w:pPr>
            <w:r w:rsidRPr="00E91BA7">
              <w:t>29.0 (NR)</w:t>
            </w:r>
          </w:p>
        </w:tc>
      </w:tr>
      <w:tr w:rsidR="000078ED" w:rsidRPr="007B6175" w14:paraId="71347A51" w14:textId="77777777" w:rsidTr="00F75DE5">
        <w:tc>
          <w:tcPr>
            <w:tcW w:w="1337" w:type="pct"/>
          </w:tcPr>
          <w:p w14:paraId="4B93E542" w14:textId="77777777" w:rsidR="000078ED" w:rsidRPr="007B6175" w:rsidRDefault="000078ED" w:rsidP="00A36F4A">
            <w:pPr>
              <w:pStyle w:val="PBACTableText"/>
              <w:keepNext/>
              <w:jc w:val="left"/>
            </w:pPr>
            <w:r w:rsidRPr="007B6175">
              <w:t>Change from baseline in MSQ Role Function-Restrictive Domain Score at Month 3, LS mean (SE)</w:t>
            </w:r>
          </w:p>
        </w:tc>
        <w:tc>
          <w:tcPr>
            <w:tcW w:w="610" w:type="pct"/>
            <w:vAlign w:val="center"/>
          </w:tcPr>
          <w:p w14:paraId="03CF0500" w14:textId="77777777" w:rsidR="000078ED" w:rsidRPr="007B6175" w:rsidRDefault="000078ED" w:rsidP="00A36F4A">
            <w:pPr>
              <w:pStyle w:val="PBACTableText"/>
              <w:keepNext/>
            </w:pPr>
            <w:r w:rsidRPr="007B6175">
              <w:t>20.62 (2.10)</w:t>
            </w:r>
          </w:p>
        </w:tc>
        <w:tc>
          <w:tcPr>
            <w:tcW w:w="611" w:type="pct"/>
            <w:vAlign w:val="center"/>
          </w:tcPr>
          <w:p w14:paraId="37FF7351" w14:textId="77777777" w:rsidR="000078ED" w:rsidRPr="007B6175" w:rsidRDefault="000078ED" w:rsidP="00A36F4A">
            <w:pPr>
              <w:pStyle w:val="PBACTableText"/>
              <w:keepNext/>
            </w:pPr>
            <w:r w:rsidRPr="007B6175">
              <w:t>9.47 (2.14)</w:t>
            </w:r>
          </w:p>
        </w:tc>
        <w:tc>
          <w:tcPr>
            <w:tcW w:w="611" w:type="pct"/>
            <w:vAlign w:val="center"/>
          </w:tcPr>
          <w:p w14:paraId="5DF7CB9B" w14:textId="77777777" w:rsidR="000078ED" w:rsidRPr="007B6175" w:rsidRDefault="000078ED" w:rsidP="00A36F4A">
            <w:pPr>
              <w:pStyle w:val="PBACTableText"/>
              <w:keepNext/>
            </w:pPr>
            <w:r w:rsidRPr="007B6175">
              <w:t>11.15</w:t>
            </w:r>
          </w:p>
          <w:p w14:paraId="064AE9B4" w14:textId="77777777" w:rsidR="000078ED" w:rsidRPr="007B6175" w:rsidRDefault="000078ED" w:rsidP="00A36F4A">
            <w:pPr>
              <w:pStyle w:val="PBACTableText"/>
              <w:keepNext/>
            </w:pPr>
            <w:r w:rsidRPr="007B6175">
              <w:t>(5.93, 16.37)</w:t>
            </w:r>
          </w:p>
        </w:tc>
        <w:tc>
          <w:tcPr>
            <w:tcW w:w="611" w:type="pct"/>
            <w:vAlign w:val="center"/>
          </w:tcPr>
          <w:p w14:paraId="02F4638E" w14:textId="77777777" w:rsidR="000078ED" w:rsidRPr="007B6175" w:rsidRDefault="000078ED" w:rsidP="00A36F4A">
            <w:pPr>
              <w:pStyle w:val="PBACTableText"/>
              <w:keepNext/>
            </w:pPr>
            <w:r w:rsidRPr="007B6175">
              <w:t>22.61 (3.06)</w:t>
            </w:r>
          </w:p>
        </w:tc>
        <w:tc>
          <w:tcPr>
            <w:tcW w:w="611" w:type="pct"/>
            <w:vAlign w:val="center"/>
          </w:tcPr>
          <w:p w14:paraId="749BE4CC" w14:textId="77777777" w:rsidR="000078ED" w:rsidRPr="007B6175" w:rsidRDefault="000078ED" w:rsidP="00A36F4A">
            <w:pPr>
              <w:pStyle w:val="PBACTableText"/>
              <w:keepNext/>
            </w:pPr>
            <w:r w:rsidRPr="007B6175">
              <w:t>14.41 (3.83)</w:t>
            </w:r>
          </w:p>
        </w:tc>
        <w:tc>
          <w:tcPr>
            <w:tcW w:w="609" w:type="pct"/>
            <w:vAlign w:val="center"/>
          </w:tcPr>
          <w:p w14:paraId="1BA55861" w14:textId="77777777" w:rsidR="000078ED" w:rsidRPr="007B6175" w:rsidRDefault="000078ED" w:rsidP="00A36F4A">
            <w:pPr>
              <w:pStyle w:val="PBACTableText"/>
              <w:keepNext/>
            </w:pPr>
            <w:r w:rsidRPr="007B6175">
              <w:t>8.20</w:t>
            </w:r>
          </w:p>
          <w:p w14:paraId="313C4BCB" w14:textId="77777777" w:rsidR="000078ED" w:rsidRPr="007B6175" w:rsidRDefault="000078ED" w:rsidP="00A36F4A">
            <w:pPr>
              <w:pStyle w:val="PBACTableText"/>
              <w:keepNext/>
            </w:pPr>
            <w:r w:rsidRPr="007B6175">
              <w:t>(-0.60, 16.99)</w:t>
            </w:r>
          </w:p>
        </w:tc>
      </w:tr>
    </w:tbl>
    <w:p w14:paraId="054571E3" w14:textId="77777777" w:rsidR="000078ED" w:rsidRPr="007B6175" w:rsidRDefault="000078ED" w:rsidP="00456B61">
      <w:pPr>
        <w:pStyle w:val="TableFooter"/>
      </w:pPr>
      <w:r w:rsidRPr="007B6175">
        <w:t>Source: Table 2.6.1, p61; Table 2.6.2, p62; Table 2.6.4, p63; Table 2.6.5, pp63-64; Table 2.7.3, pp72-74 of the resubmission; Section 3 economic model (‘response’ worksheet).</w:t>
      </w:r>
    </w:p>
    <w:p w14:paraId="542EB9B3" w14:textId="41D2F7E7" w:rsidR="000078ED" w:rsidRPr="007B6175" w:rsidRDefault="000078ED" w:rsidP="00456B61">
      <w:pPr>
        <w:pStyle w:val="TableFooter"/>
      </w:pPr>
      <w:r w:rsidRPr="007B6175">
        <w:t xml:space="preserve">Abbreviations: CI, confidence interval; GAL, </w:t>
      </w:r>
      <w:proofErr w:type="spellStart"/>
      <w:r w:rsidRPr="007B6175">
        <w:t>galcanezumab</w:t>
      </w:r>
      <w:proofErr w:type="spellEnd"/>
      <w:r w:rsidRPr="007B6175">
        <w:t xml:space="preserve">; LS, least squares; NR, not reported; </w:t>
      </w:r>
      <w:proofErr w:type="gramStart"/>
      <w:r w:rsidR="004C3CC2" w:rsidRPr="004C3CC2">
        <w:rPr>
          <w:color w:val="000000"/>
          <w:spacing w:val="37"/>
          <w:shd w:val="solid" w:color="000000" w:fill="000000"/>
          <w:fitText w:val="270" w:id="-1504954358"/>
          <w14:textFill>
            <w14:solidFill>
              <w14:srgbClr w14:val="000000">
                <w14:alpha w14:val="100000"/>
              </w14:srgbClr>
            </w14:solidFill>
          </w14:textFill>
        </w:rPr>
        <w:t xml:space="preserve">|  </w:t>
      </w:r>
      <w:r w:rsidR="004C3CC2" w:rsidRPr="004C3CC2">
        <w:rPr>
          <w:color w:val="000000"/>
          <w:spacing w:val="1"/>
          <w:shd w:val="solid" w:color="000000" w:fill="000000"/>
          <w:fitText w:val="270" w:id="-1504954358"/>
          <w14:textFill>
            <w14:solidFill>
              <w14:srgbClr w14:val="000000">
                <w14:alpha w14:val="100000"/>
              </w14:srgbClr>
            </w14:solidFill>
          </w14:textFill>
        </w:rPr>
        <w:t>|</w:t>
      </w:r>
      <w:proofErr w:type="gramEnd"/>
      <w:r w:rsidRPr="007B6175">
        <w:t>; PBO, placebo; SE, standard error.</w:t>
      </w:r>
    </w:p>
    <w:p w14:paraId="58AD8DE9" w14:textId="77777777" w:rsidR="005656C1" w:rsidRPr="007B6175" w:rsidRDefault="000078ED" w:rsidP="00340E3E">
      <w:pPr>
        <w:pStyle w:val="ExecSumBodyText"/>
      </w:pPr>
      <w:r w:rsidRPr="007B6175">
        <w:t xml:space="preserve">Among patients with high frequency episodic migraine, treatment with </w:t>
      </w:r>
      <w:proofErr w:type="spellStart"/>
      <w:r w:rsidRPr="007B6175">
        <w:t>galcanezumab</w:t>
      </w:r>
      <w:proofErr w:type="spellEnd"/>
      <w:r w:rsidRPr="007B6175">
        <w:t xml:space="preserve"> was associated with a statistically significant reduction in monthly migraine headache days compared to placebo for patients with 2 to 4, or 3 to 4 prior treatments</w:t>
      </w:r>
      <w:r w:rsidRPr="00B663F3">
        <w:t>.</w:t>
      </w:r>
      <w:r w:rsidRPr="00B663F3">
        <w:rPr>
          <w:iCs/>
        </w:rPr>
        <w:t xml:space="preserve"> The upper 95% confidence intervals for the 2 to 4 and 3 to 4 prior treatment groups were less than the proposed MCID of at least 2 days (-1.36 and -0.79), respectively.</w:t>
      </w:r>
      <w:r w:rsidR="005656C1" w:rsidRPr="007B6175">
        <w:rPr>
          <w:i/>
          <w:iCs/>
        </w:rPr>
        <w:t xml:space="preserve"> </w:t>
      </w:r>
    </w:p>
    <w:p w14:paraId="0AA6810C" w14:textId="6EF05FCA" w:rsidR="005656C1" w:rsidRPr="007B6175" w:rsidRDefault="005656C1" w:rsidP="00340E3E">
      <w:pPr>
        <w:pStyle w:val="ExecSumBodyText"/>
      </w:pPr>
      <w:r w:rsidRPr="007B6175">
        <w:t xml:space="preserve">Treatment with </w:t>
      </w:r>
      <w:proofErr w:type="spellStart"/>
      <w:r w:rsidRPr="007B6175">
        <w:t>galcanezumab</w:t>
      </w:r>
      <w:proofErr w:type="spellEnd"/>
      <w:r w:rsidRPr="007B6175">
        <w:t xml:space="preserve"> was also associated with a statistically significant reduction compared to placebo in monthly headache days, and a numerically higher proportion of patients achieving ≥50% reduction from baseline in monthly migraine days. Treatment with </w:t>
      </w:r>
      <w:proofErr w:type="spellStart"/>
      <w:r w:rsidRPr="007B6175">
        <w:t>galcanezumab</w:t>
      </w:r>
      <w:proofErr w:type="spellEnd"/>
      <w:r w:rsidRPr="007B6175">
        <w:t xml:space="preserve"> was associated with a statistically significant improvement in the MSQ Role Function-Restrictive Domain Score for patients with 2 to 4 prior treatments. </w:t>
      </w:r>
    </w:p>
    <w:p w14:paraId="1452C351" w14:textId="3F6988BE" w:rsidR="00B60939" w:rsidRPr="007B6175" w:rsidRDefault="00B60939" w:rsidP="00D46E13">
      <w:pPr>
        <w:pStyle w:val="3-SubsectionHeading"/>
      </w:pPr>
      <w:bookmarkStart w:id="28" w:name="_Toc22897642"/>
      <w:bookmarkStart w:id="29" w:name="_Toc93419741"/>
      <w:bookmarkStart w:id="30" w:name="_Toc93484675"/>
      <w:r w:rsidRPr="007B6175">
        <w:t>Comparative harms</w:t>
      </w:r>
      <w:bookmarkEnd w:id="28"/>
      <w:bookmarkEnd w:id="29"/>
      <w:bookmarkEnd w:id="30"/>
    </w:p>
    <w:p w14:paraId="174F25B1" w14:textId="6416AE36" w:rsidR="00B91ED3" w:rsidRPr="007B6175" w:rsidRDefault="00B91ED3" w:rsidP="00340E3E">
      <w:pPr>
        <w:pStyle w:val="ExecSumBodyText"/>
      </w:pPr>
      <w:r w:rsidRPr="007B6175">
        <w:t xml:space="preserve">Adverse events reported in the overall trial population of the CONQUER trial are summarised in </w:t>
      </w:r>
      <w:r w:rsidR="001831E7" w:rsidRPr="007B6175">
        <w:t>the table below</w:t>
      </w:r>
      <w:r w:rsidRPr="007B6175">
        <w:t>.</w:t>
      </w:r>
    </w:p>
    <w:p w14:paraId="01D8F9E7" w14:textId="39E8EC9A" w:rsidR="008A3CE1" w:rsidRPr="007B6175" w:rsidRDefault="008A3CE1" w:rsidP="00765995">
      <w:pPr>
        <w:pStyle w:val="TableHeading"/>
      </w:pPr>
      <w:r w:rsidRPr="007B6175">
        <w:lastRenderedPageBreak/>
        <w:t xml:space="preserve">Table </w:t>
      </w:r>
      <w:r>
        <w:fldChar w:fldCharType="begin"/>
      </w:r>
      <w:r>
        <w:instrText>SEQ Table \* ARABIC</w:instrText>
      </w:r>
      <w:r>
        <w:fldChar w:fldCharType="separate"/>
      </w:r>
      <w:r w:rsidR="00046698">
        <w:rPr>
          <w:noProof/>
        </w:rPr>
        <w:t>8</w:t>
      </w:r>
      <w:r>
        <w:fldChar w:fldCharType="end"/>
      </w:r>
      <w:r w:rsidR="00B417F5" w:rsidRPr="007B6175">
        <w:t>: Summary of key adverse events in the CONQUER trial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2388"/>
        <w:gridCol w:w="2386"/>
      </w:tblGrid>
      <w:tr w:rsidR="00B91ED3" w:rsidRPr="007B6175" w14:paraId="4127E738" w14:textId="77777777" w:rsidTr="00F75DE5">
        <w:trPr>
          <w:tblHeader/>
        </w:trPr>
        <w:tc>
          <w:tcPr>
            <w:tcW w:w="2353" w:type="pct"/>
            <w:vAlign w:val="center"/>
          </w:tcPr>
          <w:p w14:paraId="65153839" w14:textId="77777777" w:rsidR="00B91ED3" w:rsidRPr="007B6175" w:rsidRDefault="00B91ED3" w:rsidP="000E663F">
            <w:pPr>
              <w:pStyle w:val="Tableheadingrow"/>
              <w:rPr>
                <w:lang w:val="en-AU"/>
              </w:rPr>
            </w:pPr>
          </w:p>
        </w:tc>
        <w:tc>
          <w:tcPr>
            <w:tcW w:w="1324" w:type="pct"/>
            <w:vAlign w:val="center"/>
          </w:tcPr>
          <w:p w14:paraId="7A1AC1B6" w14:textId="77777777" w:rsidR="00B91ED3" w:rsidRPr="007B6175" w:rsidRDefault="00B91ED3" w:rsidP="000E663F">
            <w:pPr>
              <w:pStyle w:val="Tableheadingrow"/>
              <w:jc w:val="center"/>
              <w:rPr>
                <w:lang w:val="en-AU"/>
              </w:rPr>
            </w:pPr>
            <w:proofErr w:type="spellStart"/>
            <w:r w:rsidRPr="007B6175">
              <w:rPr>
                <w:lang w:val="en-AU"/>
              </w:rPr>
              <w:t>Galcanezumab</w:t>
            </w:r>
            <w:proofErr w:type="spellEnd"/>
          </w:p>
          <w:p w14:paraId="6F866F9B" w14:textId="77777777" w:rsidR="00B91ED3" w:rsidRPr="007B6175" w:rsidRDefault="00B91ED3" w:rsidP="000E663F">
            <w:pPr>
              <w:pStyle w:val="Tableheadingrow"/>
              <w:jc w:val="center"/>
              <w:rPr>
                <w:lang w:val="en-AU"/>
              </w:rPr>
            </w:pPr>
            <w:r w:rsidRPr="007B6175">
              <w:rPr>
                <w:lang w:val="en-AU"/>
              </w:rPr>
              <w:t>n with event/N (%)</w:t>
            </w:r>
          </w:p>
        </w:tc>
        <w:tc>
          <w:tcPr>
            <w:tcW w:w="1323" w:type="pct"/>
            <w:vAlign w:val="center"/>
          </w:tcPr>
          <w:p w14:paraId="13747D54" w14:textId="77777777" w:rsidR="00B91ED3" w:rsidRPr="007B6175" w:rsidRDefault="00B91ED3" w:rsidP="000E663F">
            <w:pPr>
              <w:pStyle w:val="Tableheadingrow"/>
              <w:jc w:val="center"/>
              <w:rPr>
                <w:lang w:val="en-AU"/>
              </w:rPr>
            </w:pPr>
            <w:r w:rsidRPr="007B6175">
              <w:rPr>
                <w:lang w:val="en-AU"/>
              </w:rPr>
              <w:t>Placebo</w:t>
            </w:r>
          </w:p>
          <w:p w14:paraId="76F8C845" w14:textId="77777777" w:rsidR="00B91ED3" w:rsidRPr="007B6175" w:rsidRDefault="00B91ED3" w:rsidP="000E663F">
            <w:pPr>
              <w:pStyle w:val="Tableheadingrow"/>
              <w:jc w:val="center"/>
              <w:rPr>
                <w:lang w:val="en-AU"/>
              </w:rPr>
            </w:pPr>
            <w:r w:rsidRPr="007B6175">
              <w:rPr>
                <w:lang w:val="en-AU"/>
              </w:rPr>
              <w:t>n with event/N (%)</w:t>
            </w:r>
          </w:p>
        </w:tc>
      </w:tr>
      <w:tr w:rsidR="00B91ED3" w:rsidRPr="007B6175" w14:paraId="0CE7E3E4" w14:textId="77777777" w:rsidTr="00F75DE5">
        <w:tc>
          <w:tcPr>
            <w:tcW w:w="5000" w:type="pct"/>
            <w:gridSpan w:val="3"/>
          </w:tcPr>
          <w:p w14:paraId="32DE1567" w14:textId="77777777" w:rsidR="00B91ED3" w:rsidRPr="007B6175" w:rsidRDefault="00B91ED3" w:rsidP="000E663F">
            <w:pPr>
              <w:pStyle w:val="TableText"/>
              <w:rPr>
                <w:b/>
              </w:rPr>
            </w:pPr>
            <w:r w:rsidRPr="007B6175">
              <w:rPr>
                <w:b/>
              </w:rPr>
              <w:t>Overall summary of adverse events</w:t>
            </w:r>
          </w:p>
        </w:tc>
      </w:tr>
      <w:tr w:rsidR="00B91ED3" w:rsidRPr="007B6175" w14:paraId="5EC39A37" w14:textId="77777777" w:rsidTr="00F75DE5">
        <w:tc>
          <w:tcPr>
            <w:tcW w:w="2353" w:type="pct"/>
          </w:tcPr>
          <w:p w14:paraId="371E62A4" w14:textId="77777777" w:rsidR="00B91ED3" w:rsidRPr="007B6175" w:rsidRDefault="00B91ED3" w:rsidP="000E663F">
            <w:pPr>
              <w:pStyle w:val="TableText"/>
            </w:pPr>
            <w:r w:rsidRPr="007B6175">
              <w:t>Treatment emergent adverse events, n (%)</w:t>
            </w:r>
          </w:p>
        </w:tc>
        <w:tc>
          <w:tcPr>
            <w:tcW w:w="1324" w:type="pct"/>
          </w:tcPr>
          <w:p w14:paraId="23BB0BFD" w14:textId="77777777" w:rsidR="00B91ED3" w:rsidRPr="007B6175" w:rsidRDefault="00B91ED3" w:rsidP="000E663F">
            <w:pPr>
              <w:pStyle w:val="TableText"/>
              <w:jc w:val="center"/>
            </w:pPr>
            <w:r w:rsidRPr="007B6175">
              <w:t>119/232 (51.29)</w:t>
            </w:r>
          </w:p>
        </w:tc>
        <w:tc>
          <w:tcPr>
            <w:tcW w:w="1323" w:type="pct"/>
          </w:tcPr>
          <w:p w14:paraId="59C7BDA7" w14:textId="77777777" w:rsidR="00B91ED3" w:rsidRPr="007B6175" w:rsidRDefault="00B91ED3" w:rsidP="000E663F">
            <w:pPr>
              <w:pStyle w:val="TableText"/>
              <w:jc w:val="center"/>
            </w:pPr>
            <w:r w:rsidRPr="007B6175">
              <w:t>122/230 (53.04)</w:t>
            </w:r>
          </w:p>
        </w:tc>
      </w:tr>
      <w:tr w:rsidR="00B91ED3" w:rsidRPr="007B6175" w14:paraId="11A67B1F" w14:textId="77777777" w:rsidTr="00F75DE5">
        <w:tc>
          <w:tcPr>
            <w:tcW w:w="2353" w:type="pct"/>
          </w:tcPr>
          <w:p w14:paraId="11001510" w14:textId="77777777" w:rsidR="00B91ED3" w:rsidRPr="007B6175" w:rsidRDefault="00B91ED3" w:rsidP="000E663F">
            <w:pPr>
              <w:pStyle w:val="TableText"/>
            </w:pPr>
            <w:r w:rsidRPr="007B6175">
              <w:t>Treatment-related adverse events, n (%)</w:t>
            </w:r>
          </w:p>
        </w:tc>
        <w:tc>
          <w:tcPr>
            <w:tcW w:w="1324" w:type="pct"/>
          </w:tcPr>
          <w:p w14:paraId="4B34BB90" w14:textId="77777777" w:rsidR="00B91ED3" w:rsidRPr="007B6175" w:rsidRDefault="00B91ED3" w:rsidP="000E663F">
            <w:pPr>
              <w:pStyle w:val="TableText"/>
              <w:jc w:val="center"/>
            </w:pPr>
            <w:r w:rsidRPr="007B6175">
              <w:t>37/232 (15.95)</w:t>
            </w:r>
          </w:p>
        </w:tc>
        <w:tc>
          <w:tcPr>
            <w:tcW w:w="1323" w:type="pct"/>
          </w:tcPr>
          <w:p w14:paraId="410C585B" w14:textId="77777777" w:rsidR="00B91ED3" w:rsidRPr="007B6175" w:rsidRDefault="00B91ED3" w:rsidP="000E663F">
            <w:pPr>
              <w:pStyle w:val="TableText"/>
              <w:jc w:val="center"/>
            </w:pPr>
            <w:r w:rsidRPr="007B6175">
              <w:t>34/230 (14.78)</w:t>
            </w:r>
          </w:p>
        </w:tc>
      </w:tr>
      <w:tr w:rsidR="00B91ED3" w:rsidRPr="007B6175" w14:paraId="48281C19" w14:textId="77777777" w:rsidTr="00F75DE5">
        <w:tc>
          <w:tcPr>
            <w:tcW w:w="2353" w:type="pct"/>
          </w:tcPr>
          <w:p w14:paraId="3ACE027E" w14:textId="77777777" w:rsidR="00B91ED3" w:rsidRPr="007B6175" w:rsidRDefault="00B91ED3" w:rsidP="000E663F">
            <w:pPr>
              <w:pStyle w:val="TableText"/>
            </w:pPr>
            <w:r w:rsidRPr="007B6175">
              <w:t>Serious adverse events, n (%)</w:t>
            </w:r>
          </w:p>
        </w:tc>
        <w:tc>
          <w:tcPr>
            <w:tcW w:w="1324" w:type="pct"/>
          </w:tcPr>
          <w:p w14:paraId="0C427863" w14:textId="77777777" w:rsidR="00B91ED3" w:rsidRPr="007B6175" w:rsidRDefault="00B91ED3" w:rsidP="000E663F">
            <w:pPr>
              <w:pStyle w:val="TableText"/>
              <w:jc w:val="center"/>
            </w:pPr>
            <w:r w:rsidRPr="007B6175">
              <w:t>2/232 (0.86)</w:t>
            </w:r>
          </w:p>
        </w:tc>
        <w:tc>
          <w:tcPr>
            <w:tcW w:w="1323" w:type="pct"/>
          </w:tcPr>
          <w:p w14:paraId="6D1134EB" w14:textId="77777777" w:rsidR="00B91ED3" w:rsidRPr="007B6175" w:rsidRDefault="00B91ED3" w:rsidP="000E663F">
            <w:pPr>
              <w:pStyle w:val="TableText"/>
              <w:jc w:val="center"/>
            </w:pPr>
            <w:r w:rsidRPr="007B6175">
              <w:t>2/230 (0.87)</w:t>
            </w:r>
          </w:p>
        </w:tc>
      </w:tr>
      <w:tr w:rsidR="00B91ED3" w:rsidRPr="007B6175" w14:paraId="65097AB2" w14:textId="77777777" w:rsidTr="00F75DE5">
        <w:tc>
          <w:tcPr>
            <w:tcW w:w="2353" w:type="pct"/>
          </w:tcPr>
          <w:p w14:paraId="45CAC752" w14:textId="77777777" w:rsidR="00B91ED3" w:rsidRPr="007B6175" w:rsidRDefault="00B91ED3" w:rsidP="000E663F">
            <w:pPr>
              <w:pStyle w:val="TableText"/>
            </w:pPr>
            <w:r w:rsidRPr="007B6175">
              <w:t>Treatment-related serious adverse events, n (%)</w:t>
            </w:r>
          </w:p>
        </w:tc>
        <w:tc>
          <w:tcPr>
            <w:tcW w:w="1324" w:type="pct"/>
          </w:tcPr>
          <w:p w14:paraId="0F4D5F45" w14:textId="77777777" w:rsidR="00B91ED3" w:rsidRPr="007B6175" w:rsidRDefault="00B91ED3" w:rsidP="000E663F">
            <w:pPr>
              <w:pStyle w:val="TableText"/>
              <w:jc w:val="center"/>
            </w:pPr>
            <w:r w:rsidRPr="007B6175">
              <w:t>0</w:t>
            </w:r>
          </w:p>
        </w:tc>
        <w:tc>
          <w:tcPr>
            <w:tcW w:w="1323" w:type="pct"/>
          </w:tcPr>
          <w:p w14:paraId="264CA2AC" w14:textId="77777777" w:rsidR="00B91ED3" w:rsidRPr="007B6175" w:rsidRDefault="00B91ED3" w:rsidP="000E663F">
            <w:pPr>
              <w:pStyle w:val="TableText"/>
              <w:jc w:val="center"/>
            </w:pPr>
            <w:r w:rsidRPr="007B6175">
              <w:t>0</w:t>
            </w:r>
          </w:p>
        </w:tc>
      </w:tr>
      <w:tr w:rsidR="00B91ED3" w:rsidRPr="007B6175" w14:paraId="4A4CC64E" w14:textId="77777777" w:rsidTr="00F75DE5">
        <w:tc>
          <w:tcPr>
            <w:tcW w:w="2353" w:type="pct"/>
          </w:tcPr>
          <w:p w14:paraId="37B4F32E" w14:textId="77777777" w:rsidR="00B91ED3" w:rsidRPr="007B6175" w:rsidRDefault="00B91ED3" w:rsidP="000E663F">
            <w:pPr>
              <w:pStyle w:val="TableText"/>
            </w:pPr>
            <w:r w:rsidRPr="007B6175">
              <w:t>Discontinuation related to adverse events, n (%)</w:t>
            </w:r>
          </w:p>
        </w:tc>
        <w:tc>
          <w:tcPr>
            <w:tcW w:w="1324" w:type="pct"/>
          </w:tcPr>
          <w:p w14:paraId="33E1F07F" w14:textId="77777777" w:rsidR="00B91ED3" w:rsidRPr="007B6175" w:rsidRDefault="00B91ED3" w:rsidP="000E663F">
            <w:pPr>
              <w:pStyle w:val="TableText"/>
              <w:jc w:val="center"/>
            </w:pPr>
            <w:r w:rsidRPr="007B6175">
              <w:t>1/232 (0.43)</w:t>
            </w:r>
          </w:p>
        </w:tc>
        <w:tc>
          <w:tcPr>
            <w:tcW w:w="1323" w:type="pct"/>
          </w:tcPr>
          <w:p w14:paraId="7DD4083B" w14:textId="77777777" w:rsidR="00B91ED3" w:rsidRPr="007B6175" w:rsidRDefault="00B91ED3" w:rsidP="000E663F">
            <w:pPr>
              <w:pStyle w:val="TableText"/>
              <w:jc w:val="center"/>
            </w:pPr>
            <w:r w:rsidRPr="007B6175">
              <w:t>0</w:t>
            </w:r>
          </w:p>
        </w:tc>
      </w:tr>
      <w:tr w:rsidR="00B91ED3" w:rsidRPr="007B6175" w14:paraId="0D8A5D0F" w14:textId="77777777" w:rsidTr="00F75DE5">
        <w:tc>
          <w:tcPr>
            <w:tcW w:w="5000" w:type="pct"/>
            <w:gridSpan w:val="3"/>
          </w:tcPr>
          <w:p w14:paraId="2F092983" w14:textId="77777777" w:rsidR="00B91ED3" w:rsidRPr="007B6175" w:rsidRDefault="00B91ED3" w:rsidP="000E663F">
            <w:pPr>
              <w:pStyle w:val="TableText"/>
              <w:rPr>
                <w:b/>
              </w:rPr>
            </w:pPr>
            <w:r w:rsidRPr="007B6175">
              <w:rPr>
                <w:b/>
              </w:rPr>
              <w:t>Summary of most frequently reported treatment emergent adverse events</w:t>
            </w:r>
          </w:p>
        </w:tc>
      </w:tr>
      <w:tr w:rsidR="00B91ED3" w:rsidRPr="007B6175" w14:paraId="45936EE6" w14:textId="77777777" w:rsidTr="00F75DE5">
        <w:tc>
          <w:tcPr>
            <w:tcW w:w="2353" w:type="pct"/>
            <w:tcBorders>
              <w:top w:val="single" w:sz="4" w:space="0" w:color="auto"/>
            </w:tcBorders>
          </w:tcPr>
          <w:p w14:paraId="1020D375" w14:textId="77777777" w:rsidR="00B91ED3" w:rsidRPr="007B6175" w:rsidRDefault="00B91ED3" w:rsidP="000E663F">
            <w:pPr>
              <w:pStyle w:val="TableText"/>
            </w:pPr>
            <w:r w:rsidRPr="007B6175">
              <w:t>Patients with ≥1 TEAE, n (%)</w:t>
            </w:r>
          </w:p>
        </w:tc>
        <w:tc>
          <w:tcPr>
            <w:tcW w:w="1324" w:type="pct"/>
            <w:tcBorders>
              <w:top w:val="single" w:sz="4" w:space="0" w:color="auto"/>
            </w:tcBorders>
          </w:tcPr>
          <w:p w14:paraId="565CDC29" w14:textId="77777777" w:rsidR="00B91ED3" w:rsidRPr="007B6175" w:rsidRDefault="00B91ED3" w:rsidP="000E663F">
            <w:pPr>
              <w:pStyle w:val="TableText"/>
              <w:jc w:val="center"/>
            </w:pPr>
            <w:r w:rsidRPr="007B6175">
              <w:t>119 (51.29)</w:t>
            </w:r>
          </w:p>
        </w:tc>
        <w:tc>
          <w:tcPr>
            <w:tcW w:w="1323" w:type="pct"/>
            <w:tcBorders>
              <w:top w:val="single" w:sz="4" w:space="0" w:color="auto"/>
            </w:tcBorders>
          </w:tcPr>
          <w:p w14:paraId="4376F4A0" w14:textId="77777777" w:rsidR="00B91ED3" w:rsidRPr="007B6175" w:rsidRDefault="00B91ED3" w:rsidP="000E663F">
            <w:pPr>
              <w:pStyle w:val="TableText"/>
              <w:jc w:val="center"/>
            </w:pPr>
            <w:r w:rsidRPr="007B6175">
              <w:t>122 (53.04)</w:t>
            </w:r>
          </w:p>
        </w:tc>
      </w:tr>
      <w:tr w:rsidR="00B91ED3" w:rsidRPr="007B6175" w14:paraId="4357D4B4" w14:textId="77777777" w:rsidTr="00F75DE5">
        <w:tc>
          <w:tcPr>
            <w:tcW w:w="2353" w:type="pct"/>
          </w:tcPr>
          <w:p w14:paraId="4412400D" w14:textId="77777777" w:rsidR="00B91ED3" w:rsidRPr="007B6175" w:rsidRDefault="00B91ED3" w:rsidP="000E663F">
            <w:pPr>
              <w:pStyle w:val="TableText"/>
            </w:pPr>
            <w:r w:rsidRPr="007B6175">
              <w:t>Nasopharyngitis</w:t>
            </w:r>
          </w:p>
        </w:tc>
        <w:tc>
          <w:tcPr>
            <w:tcW w:w="1324" w:type="pct"/>
          </w:tcPr>
          <w:p w14:paraId="0B300C0A" w14:textId="77777777" w:rsidR="00B91ED3" w:rsidRPr="007B6175" w:rsidRDefault="00B91ED3" w:rsidP="000E663F">
            <w:pPr>
              <w:pStyle w:val="TableText"/>
              <w:jc w:val="center"/>
            </w:pPr>
            <w:r w:rsidRPr="007B6175">
              <w:t>16 (6.90)</w:t>
            </w:r>
          </w:p>
        </w:tc>
        <w:tc>
          <w:tcPr>
            <w:tcW w:w="1323" w:type="pct"/>
          </w:tcPr>
          <w:p w14:paraId="4D4AA2E4" w14:textId="77777777" w:rsidR="00B91ED3" w:rsidRPr="007B6175" w:rsidRDefault="00B91ED3" w:rsidP="000E663F">
            <w:pPr>
              <w:pStyle w:val="TableText"/>
              <w:jc w:val="center"/>
            </w:pPr>
            <w:r w:rsidRPr="007B6175">
              <w:t>21 (9.13)</w:t>
            </w:r>
          </w:p>
        </w:tc>
      </w:tr>
      <w:tr w:rsidR="00B91ED3" w:rsidRPr="007B6175" w14:paraId="36F8013A" w14:textId="77777777" w:rsidTr="00F75DE5">
        <w:tc>
          <w:tcPr>
            <w:tcW w:w="2353" w:type="pct"/>
          </w:tcPr>
          <w:p w14:paraId="1B87C8FF" w14:textId="77777777" w:rsidR="00B91ED3" w:rsidRPr="007B6175" w:rsidRDefault="00B91ED3" w:rsidP="000E663F">
            <w:pPr>
              <w:pStyle w:val="TableText"/>
            </w:pPr>
            <w:r w:rsidRPr="007B6175">
              <w:t>Influenza</w:t>
            </w:r>
          </w:p>
        </w:tc>
        <w:tc>
          <w:tcPr>
            <w:tcW w:w="1324" w:type="pct"/>
          </w:tcPr>
          <w:p w14:paraId="43369CAD" w14:textId="77777777" w:rsidR="00B91ED3" w:rsidRPr="007B6175" w:rsidRDefault="00B91ED3" w:rsidP="000E663F">
            <w:pPr>
              <w:pStyle w:val="TableText"/>
              <w:jc w:val="center"/>
            </w:pPr>
            <w:r w:rsidRPr="007B6175">
              <w:t>11 (4.74)</w:t>
            </w:r>
          </w:p>
        </w:tc>
        <w:tc>
          <w:tcPr>
            <w:tcW w:w="1323" w:type="pct"/>
          </w:tcPr>
          <w:p w14:paraId="212581F9" w14:textId="77777777" w:rsidR="00B91ED3" w:rsidRPr="007B6175" w:rsidRDefault="00B91ED3" w:rsidP="000E663F">
            <w:pPr>
              <w:pStyle w:val="TableText"/>
              <w:jc w:val="center"/>
            </w:pPr>
            <w:r w:rsidRPr="007B6175">
              <w:t>7 (3.04)</w:t>
            </w:r>
          </w:p>
        </w:tc>
      </w:tr>
      <w:tr w:rsidR="00B91ED3" w:rsidRPr="007B6175" w14:paraId="625DB2DB" w14:textId="77777777" w:rsidTr="00F75DE5">
        <w:tc>
          <w:tcPr>
            <w:tcW w:w="2353" w:type="pct"/>
          </w:tcPr>
          <w:p w14:paraId="6353EAC1" w14:textId="77777777" w:rsidR="00B91ED3" w:rsidRPr="007B6175" w:rsidRDefault="00B91ED3" w:rsidP="000E663F">
            <w:pPr>
              <w:pStyle w:val="TableText"/>
            </w:pPr>
            <w:r w:rsidRPr="007B6175">
              <w:t>Injection site erythema</w:t>
            </w:r>
          </w:p>
        </w:tc>
        <w:tc>
          <w:tcPr>
            <w:tcW w:w="1324" w:type="pct"/>
          </w:tcPr>
          <w:p w14:paraId="2561E267" w14:textId="77777777" w:rsidR="00B91ED3" w:rsidRPr="007B6175" w:rsidRDefault="00B91ED3" w:rsidP="000E663F">
            <w:pPr>
              <w:pStyle w:val="TableText"/>
              <w:jc w:val="center"/>
            </w:pPr>
            <w:r w:rsidRPr="007B6175">
              <w:t>8 (3.45)</w:t>
            </w:r>
          </w:p>
        </w:tc>
        <w:tc>
          <w:tcPr>
            <w:tcW w:w="1323" w:type="pct"/>
          </w:tcPr>
          <w:p w14:paraId="37375FA9" w14:textId="77777777" w:rsidR="00B91ED3" w:rsidRPr="007B6175" w:rsidRDefault="00B91ED3" w:rsidP="000E663F">
            <w:pPr>
              <w:pStyle w:val="TableText"/>
              <w:jc w:val="center"/>
            </w:pPr>
            <w:r w:rsidRPr="007B6175">
              <w:t>6 (2.61)</w:t>
            </w:r>
          </w:p>
        </w:tc>
      </w:tr>
      <w:tr w:rsidR="00B91ED3" w:rsidRPr="007B6175" w14:paraId="4E36C5AC" w14:textId="77777777" w:rsidTr="00F75DE5">
        <w:tc>
          <w:tcPr>
            <w:tcW w:w="2353" w:type="pct"/>
          </w:tcPr>
          <w:p w14:paraId="3FA35AF1" w14:textId="77777777" w:rsidR="00B91ED3" w:rsidRPr="007B6175" w:rsidRDefault="00B91ED3" w:rsidP="000E663F">
            <w:pPr>
              <w:pStyle w:val="TableText"/>
            </w:pPr>
            <w:r w:rsidRPr="007B6175">
              <w:t>Constipation</w:t>
            </w:r>
          </w:p>
        </w:tc>
        <w:tc>
          <w:tcPr>
            <w:tcW w:w="1324" w:type="pct"/>
          </w:tcPr>
          <w:p w14:paraId="78E4B227" w14:textId="77777777" w:rsidR="00B91ED3" w:rsidRPr="007B6175" w:rsidRDefault="00B91ED3" w:rsidP="000E663F">
            <w:pPr>
              <w:pStyle w:val="TableText"/>
              <w:jc w:val="center"/>
            </w:pPr>
            <w:r w:rsidRPr="007B6175">
              <w:t>5 (2.16)</w:t>
            </w:r>
          </w:p>
        </w:tc>
        <w:tc>
          <w:tcPr>
            <w:tcW w:w="1323" w:type="pct"/>
          </w:tcPr>
          <w:p w14:paraId="789383DE" w14:textId="77777777" w:rsidR="00B91ED3" w:rsidRPr="007B6175" w:rsidRDefault="00B91ED3" w:rsidP="000E663F">
            <w:pPr>
              <w:pStyle w:val="TableText"/>
              <w:jc w:val="center"/>
            </w:pPr>
            <w:r w:rsidRPr="007B6175">
              <w:t>5 (2.17)</w:t>
            </w:r>
          </w:p>
        </w:tc>
      </w:tr>
      <w:tr w:rsidR="00B91ED3" w:rsidRPr="007B6175" w14:paraId="3F25CCA8" w14:textId="77777777" w:rsidTr="00F75DE5">
        <w:tc>
          <w:tcPr>
            <w:tcW w:w="2353" w:type="pct"/>
          </w:tcPr>
          <w:p w14:paraId="264A3239" w14:textId="77777777" w:rsidR="00B91ED3" w:rsidRPr="007B6175" w:rsidRDefault="00B91ED3" w:rsidP="000E663F">
            <w:pPr>
              <w:pStyle w:val="TableText"/>
            </w:pPr>
            <w:r w:rsidRPr="007B6175">
              <w:t>Injection site pain</w:t>
            </w:r>
          </w:p>
        </w:tc>
        <w:tc>
          <w:tcPr>
            <w:tcW w:w="1324" w:type="pct"/>
          </w:tcPr>
          <w:p w14:paraId="07758D47" w14:textId="77777777" w:rsidR="00B91ED3" w:rsidRPr="007B6175" w:rsidRDefault="00B91ED3" w:rsidP="000E663F">
            <w:pPr>
              <w:pStyle w:val="TableText"/>
              <w:jc w:val="center"/>
            </w:pPr>
            <w:r w:rsidRPr="007B6175">
              <w:t>5 (2.16)</w:t>
            </w:r>
          </w:p>
        </w:tc>
        <w:tc>
          <w:tcPr>
            <w:tcW w:w="1323" w:type="pct"/>
          </w:tcPr>
          <w:p w14:paraId="43B984BB" w14:textId="77777777" w:rsidR="00B91ED3" w:rsidRPr="007B6175" w:rsidRDefault="00B91ED3" w:rsidP="000E663F">
            <w:pPr>
              <w:pStyle w:val="TableText"/>
              <w:jc w:val="center"/>
            </w:pPr>
            <w:r w:rsidRPr="007B6175">
              <w:t>13 (5.65)</w:t>
            </w:r>
          </w:p>
        </w:tc>
      </w:tr>
      <w:tr w:rsidR="00B91ED3" w:rsidRPr="007B6175" w14:paraId="5C7AF14A" w14:textId="77777777" w:rsidTr="00F75DE5">
        <w:tc>
          <w:tcPr>
            <w:tcW w:w="2353" w:type="pct"/>
          </w:tcPr>
          <w:p w14:paraId="282910E4" w14:textId="77777777" w:rsidR="00B91ED3" w:rsidRPr="007B6175" w:rsidRDefault="00B91ED3" w:rsidP="000E663F">
            <w:pPr>
              <w:pStyle w:val="TableText"/>
            </w:pPr>
            <w:r w:rsidRPr="007B6175">
              <w:t>Upper respiratory tract infection</w:t>
            </w:r>
          </w:p>
        </w:tc>
        <w:tc>
          <w:tcPr>
            <w:tcW w:w="1324" w:type="pct"/>
          </w:tcPr>
          <w:p w14:paraId="4A79B5B9" w14:textId="77777777" w:rsidR="00B91ED3" w:rsidRPr="007B6175" w:rsidRDefault="00B91ED3" w:rsidP="000E663F">
            <w:pPr>
              <w:pStyle w:val="TableText"/>
              <w:jc w:val="center"/>
            </w:pPr>
            <w:r w:rsidRPr="007B6175">
              <w:t>5 (2.16)</w:t>
            </w:r>
          </w:p>
        </w:tc>
        <w:tc>
          <w:tcPr>
            <w:tcW w:w="1323" w:type="pct"/>
          </w:tcPr>
          <w:p w14:paraId="3A3D4B35" w14:textId="77777777" w:rsidR="00B91ED3" w:rsidRPr="007B6175" w:rsidRDefault="00B91ED3" w:rsidP="000E663F">
            <w:pPr>
              <w:pStyle w:val="TableText"/>
              <w:jc w:val="center"/>
            </w:pPr>
            <w:r w:rsidRPr="007B6175">
              <w:t>5 (2.17)</w:t>
            </w:r>
          </w:p>
        </w:tc>
      </w:tr>
      <w:tr w:rsidR="00B91ED3" w:rsidRPr="007B6175" w14:paraId="1EE67CE6" w14:textId="77777777" w:rsidTr="00F75DE5">
        <w:tc>
          <w:tcPr>
            <w:tcW w:w="2353" w:type="pct"/>
          </w:tcPr>
          <w:p w14:paraId="73879732" w14:textId="77777777" w:rsidR="00B91ED3" w:rsidRPr="007B6175" w:rsidRDefault="00B91ED3" w:rsidP="000E663F">
            <w:pPr>
              <w:pStyle w:val="TableText"/>
            </w:pPr>
            <w:r w:rsidRPr="007B6175">
              <w:t>Back pain</w:t>
            </w:r>
          </w:p>
        </w:tc>
        <w:tc>
          <w:tcPr>
            <w:tcW w:w="1324" w:type="pct"/>
          </w:tcPr>
          <w:p w14:paraId="33C047E9" w14:textId="77777777" w:rsidR="00B91ED3" w:rsidRPr="007B6175" w:rsidRDefault="00B91ED3" w:rsidP="000E663F">
            <w:pPr>
              <w:pStyle w:val="TableText"/>
              <w:jc w:val="center"/>
            </w:pPr>
            <w:r w:rsidRPr="007B6175">
              <w:t>4 (1.72)</w:t>
            </w:r>
          </w:p>
        </w:tc>
        <w:tc>
          <w:tcPr>
            <w:tcW w:w="1323" w:type="pct"/>
          </w:tcPr>
          <w:p w14:paraId="72937B1A" w14:textId="77777777" w:rsidR="00B91ED3" w:rsidRPr="007B6175" w:rsidRDefault="00B91ED3" w:rsidP="000E663F">
            <w:pPr>
              <w:pStyle w:val="TableText"/>
              <w:jc w:val="center"/>
            </w:pPr>
            <w:r w:rsidRPr="007B6175">
              <w:t>6 (2.61)</w:t>
            </w:r>
          </w:p>
        </w:tc>
      </w:tr>
      <w:tr w:rsidR="00B91ED3" w:rsidRPr="007B6175" w14:paraId="699064BA" w14:textId="77777777" w:rsidTr="00F75DE5">
        <w:tc>
          <w:tcPr>
            <w:tcW w:w="2353" w:type="pct"/>
          </w:tcPr>
          <w:p w14:paraId="0B523F20" w14:textId="77777777" w:rsidR="00B91ED3" w:rsidRPr="007B6175" w:rsidRDefault="00B91ED3" w:rsidP="000E663F">
            <w:pPr>
              <w:pStyle w:val="TableText"/>
            </w:pPr>
            <w:r w:rsidRPr="007B6175">
              <w:t>Nausea</w:t>
            </w:r>
          </w:p>
        </w:tc>
        <w:tc>
          <w:tcPr>
            <w:tcW w:w="1324" w:type="pct"/>
          </w:tcPr>
          <w:p w14:paraId="6D4C719C" w14:textId="77777777" w:rsidR="00B91ED3" w:rsidRPr="007B6175" w:rsidRDefault="00B91ED3" w:rsidP="000E663F">
            <w:pPr>
              <w:pStyle w:val="TableText"/>
              <w:jc w:val="center"/>
            </w:pPr>
            <w:r w:rsidRPr="007B6175">
              <w:t>4 (1.72)</w:t>
            </w:r>
          </w:p>
        </w:tc>
        <w:tc>
          <w:tcPr>
            <w:tcW w:w="1323" w:type="pct"/>
          </w:tcPr>
          <w:p w14:paraId="28AF5659" w14:textId="77777777" w:rsidR="00B91ED3" w:rsidRPr="007B6175" w:rsidRDefault="00B91ED3" w:rsidP="000E663F">
            <w:pPr>
              <w:pStyle w:val="TableText"/>
              <w:jc w:val="center"/>
            </w:pPr>
            <w:r w:rsidRPr="007B6175">
              <w:t>5 (2.17)</w:t>
            </w:r>
          </w:p>
        </w:tc>
      </w:tr>
      <w:tr w:rsidR="00B91ED3" w:rsidRPr="007B6175" w14:paraId="23E7F421" w14:textId="77777777" w:rsidTr="00F75DE5">
        <w:tc>
          <w:tcPr>
            <w:tcW w:w="2353" w:type="pct"/>
          </w:tcPr>
          <w:p w14:paraId="63752FF3" w14:textId="77777777" w:rsidR="00B91ED3" w:rsidRPr="007B6175" w:rsidRDefault="00B91ED3" w:rsidP="000E663F">
            <w:pPr>
              <w:pStyle w:val="TableText"/>
            </w:pPr>
            <w:r w:rsidRPr="007B6175">
              <w:t>Sinusitis</w:t>
            </w:r>
          </w:p>
        </w:tc>
        <w:tc>
          <w:tcPr>
            <w:tcW w:w="1324" w:type="pct"/>
          </w:tcPr>
          <w:p w14:paraId="21BD6B33" w14:textId="77777777" w:rsidR="00B91ED3" w:rsidRPr="007B6175" w:rsidRDefault="00B91ED3" w:rsidP="000E663F">
            <w:pPr>
              <w:pStyle w:val="TableText"/>
              <w:jc w:val="center"/>
            </w:pPr>
            <w:r w:rsidRPr="007B6175">
              <w:t>4 (1.72)</w:t>
            </w:r>
          </w:p>
        </w:tc>
        <w:tc>
          <w:tcPr>
            <w:tcW w:w="1323" w:type="pct"/>
          </w:tcPr>
          <w:p w14:paraId="7AC648E8" w14:textId="77777777" w:rsidR="00B91ED3" w:rsidRPr="007B6175" w:rsidRDefault="00B91ED3" w:rsidP="000E663F">
            <w:pPr>
              <w:pStyle w:val="TableText"/>
              <w:jc w:val="center"/>
            </w:pPr>
            <w:r w:rsidRPr="007B6175">
              <w:t>5 (2.17)</w:t>
            </w:r>
          </w:p>
        </w:tc>
      </w:tr>
      <w:tr w:rsidR="00B91ED3" w:rsidRPr="007B6175" w14:paraId="55B463C6" w14:textId="77777777" w:rsidTr="00F75DE5">
        <w:tc>
          <w:tcPr>
            <w:tcW w:w="2353" w:type="pct"/>
          </w:tcPr>
          <w:p w14:paraId="148D559B" w14:textId="77777777" w:rsidR="00B91ED3" w:rsidRPr="007B6175" w:rsidRDefault="00B91ED3" w:rsidP="000E663F">
            <w:pPr>
              <w:pStyle w:val="TableText"/>
            </w:pPr>
            <w:r w:rsidRPr="007B6175">
              <w:t>Migraine</w:t>
            </w:r>
          </w:p>
        </w:tc>
        <w:tc>
          <w:tcPr>
            <w:tcW w:w="1324" w:type="pct"/>
          </w:tcPr>
          <w:p w14:paraId="0D19D6F4" w14:textId="77777777" w:rsidR="00B91ED3" w:rsidRPr="007B6175" w:rsidRDefault="00B91ED3" w:rsidP="000E663F">
            <w:pPr>
              <w:pStyle w:val="TableText"/>
              <w:jc w:val="center"/>
            </w:pPr>
            <w:r w:rsidRPr="007B6175">
              <w:t>1 (0.43)</w:t>
            </w:r>
          </w:p>
        </w:tc>
        <w:tc>
          <w:tcPr>
            <w:tcW w:w="1323" w:type="pct"/>
          </w:tcPr>
          <w:p w14:paraId="33581899" w14:textId="77777777" w:rsidR="00B91ED3" w:rsidRPr="007B6175" w:rsidRDefault="00B91ED3" w:rsidP="000E663F">
            <w:pPr>
              <w:pStyle w:val="TableText"/>
              <w:jc w:val="center"/>
            </w:pPr>
            <w:r w:rsidRPr="007B6175">
              <w:t>5 (2.17)</w:t>
            </w:r>
          </w:p>
        </w:tc>
      </w:tr>
      <w:tr w:rsidR="00B91ED3" w:rsidRPr="007B6175" w14:paraId="6D9E5AB5" w14:textId="77777777" w:rsidTr="007B6175">
        <w:tc>
          <w:tcPr>
            <w:tcW w:w="2353" w:type="pct"/>
            <w:tcBorders>
              <w:bottom w:val="single" w:sz="4" w:space="0" w:color="auto"/>
            </w:tcBorders>
          </w:tcPr>
          <w:p w14:paraId="046473A2" w14:textId="77777777" w:rsidR="00B91ED3" w:rsidRPr="007B6175" w:rsidRDefault="00B91ED3" w:rsidP="000E663F">
            <w:pPr>
              <w:pStyle w:val="TableText"/>
            </w:pPr>
            <w:r w:rsidRPr="007B6175">
              <w:t>Injection site reaction</w:t>
            </w:r>
          </w:p>
        </w:tc>
        <w:tc>
          <w:tcPr>
            <w:tcW w:w="1324" w:type="pct"/>
            <w:tcBorders>
              <w:bottom w:val="single" w:sz="4" w:space="0" w:color="auto"/>
            </w:tcBorders>
          </w:tcPr>
          <w:p w14:paraId="1CB4B305" w14:textId="77777777" w:rsidR="00B91ED3" w:rsidRPr="007B6175" w:rsidRDefault="00B91ED3" w:rsidP="000E663F">
            <w:pPr>
              <w:pStyle w:val="TableText"/>
              <w:jc w:val="center"/>
            </w:pPr>
            <w:r w:rsidRPr="007B6175">
              <w:t>0</w:t>
            </w:r>
          </w:p>
        </w:tc>
        <w:tc>
          <w:tcPr>
            <w:tcW w:w="1323" w:type="pct"/>
            <w:tcBorders>
              <w:bottom w:val="single" w:sz="4" w:space="0" w:color="auto"/>
            </w:tcBorders>
          </w:tcPr>
          <w:p w14:paraId="5B447DE3" w14:textId="77777777" w:rsidR="00B91ED3" w:rsidRPr="007B6175" w:rsidRDefault="00B91ED3" w:rsidP="000E663F">
            <w:pPr>
              <w:pStyle w:val="TableText"/>
              <w:jc w:val="center"/>
            </w:pPr>
            <w:r w:rsidRPr="007B6175">
              <w:t>6 (2.61)</w:t>
            </w:r>
          </w:p>
        </w:tc>
      </w:tr>
      <w:tr w:rsidR="00B91ED3" w:rsidRPr="007B6175" w14:paraId="510015B5" w14:textId="77777777" w:rsidTr="007B6175">
        <w:tc>
          <w:tcPr>
            <w:tcW w:w="2353" w:type="pct"/>
            <w:tcBorders>
              <w:bottom w:val="single" w:sz="4" w:space="0" w:color="auto"/>
            </w:tcBorders>
          </w:tcPr>
          <w:p w14:paraId="6F0ACB83" w14:textId="77777777" w:rsidR="00B91ED3" w:rsidRPr="007B6175" w:rsidRDefault="00B91ED3" w:rsidP="000E663F">
            <w:pPr>
              <w:pStyle w:val="TableText"/>
            </w:pPr>
            <w:r w:rsidRPr="007B6175">
              <w:t>Insomnia</w:t>
            </w:r>
          </w:p>
        </w:tc>
        <w:tc>
          <w:tcPr>
            <w:tcW w:w="1324" w:type="pct"/>
            <w:tcBorders>
              <w:bottom w:val="single" w:sz="4" w:space="0" w:color="auto"/>
            </w:tcBorders>
          </w:tcPr>
          <w:p w14:paraId="0C2E40E0" w14:textId="77777777" w:rsidR="00B91ED3" w:rsidRPr="007B6175" w:rsidRDefault="00B91ED3" w:rsidP="000E663F">
            <w:pPr>
              <w:pStyle w:val="TableText"/>
              <w:jc w:val="center"/>
            </w:pPr>
            <w:r w:rsidRPr="007B6175">
              <w:t>0</w:t>
            </w:r>
          </w:p>
        </w:tc>
        <w:tc>
          <w:tcPr>
            <w:tcW w:w="1323" w:type="pct"/>
            <w:tcBorders>
              <w:bottom w:val="single" w:sz="4" w:space="0" w:color="auto"/>
            </w:tcBorders>
          </w:tcPr>
          <w:p w14:paraId="657B9495" w14:textId="77777777" w:rsidR="00B91ED3" w:rsidRPr="007B6175" w:rsidRDefault="00B91ED3" w:rsidP="000E663F">
            <w:pPr>
              <w:pStyle w:val="TableText"/>
              <w:jc w:val="center"/>
            </w:pPr>
            <w:r w:rsidRPr="007B6175">
              <w:t>5 (2.17)</w:t>
            </w:r>
          </w:p>
        </w:tc>
      </w:tr>
    </w:tbl>
    <w:p w14:paraId="076E239C" w14:textId="77777777" w:rsidR="000E663F" w:rsidRPr="007B6175" w:rsidRDefault="00B91ED3" w:rsidP="000E663F">
      <w:pPr>
        <w:pStyle w:val="TableFooter"/>
      </w:pPr>
      <w:r w:rsidRPr="007B6175">
        <w:t xml:space="preserve">Source: </w:t>
      </w:r>
      <w:r w:rsidR="000E663F" w:rsidRPr="007B6175">
        <w:t xml:space="preserve">Table 2.6.8, p66; Table 2.6.9, p.67 of the resubmission. </w:t>
      </w:r>
    </w:p>
    <w:p w14:paraId="60212B0E" w14:textId="3CD661AE" w:rsidR="000E663F" w:rsidRPr="007B6175" w:rsidRDefault="000E663F" w:rsidP="000E663F">
      <w:pPr>
        <w:pStyle w:val="TableFooter"/>
        <w:rPr>
          <w:sz w:val="20"/>
        </w:rPr>
      </w:pPr>
      <w:r w:rsidRPr="007B6175">
        <w:t>Abbreviations: TEAE, treatment-emergent adverse event.</w:t>
      </w:r>
    </w:p>
    <w:p w14:paraId="1719B07F" w14:textId="066E4F65" w:rsidR="000E663F" w:rsidRPr="007B6175" w:rsidRDefault="000E663F" w:rsidP="00340E3E">
      <w:pPr>
        <w:pStyle w:val="ExecSumBodyText"/>
      </w:pPr>
      <w:r w:rsidRPr="007B6175">
        <w:t xml:space="preserve">The overall incidence of adverse events was similar between treatment arms. There was a slightly greater incidence of treatment-related adverse events, and one discontinuation due to adverse events, in the </w:t>
      </w:r>
      <w:proofErr w:type="spellStart"/>
      <w:r w:rsidRPr="007B6175">
        <w:t>galcanezumab</w:t>
      </w:r>
      <w:proofErr w:type="spellEnd"/>
      <w:r w:rsidRPr="007B6175">
        <w:t xml:space="preserve"> treatment group. </w:t>
      </w:r>
    </w:p>
    <w:p w14:paraId="5C86920A" w14:textId="63B0E8B8" w:rsidR="000E663F" w:rsidRPr="007B6175" w:rsidRDefault="000E663F" w:rsidP="00340E3E">
      <w:pPr>
        <w:pStyle w:val="ExecSumBodyText"/>
      </w:pPr>
      <w:r w:rsidRPr="007B6175">
        <w:t xml:space="preserve">The most common treatment-emergent adverse events (&gt;2% of any group) were nasopharyngitis, influenza, injection site erythema, constipation, and injection site pain. Of the most common events, influenza and injection site erythema were reported more frequently in the </w:t>
      </w:r>
      <w:proofErr w:type="spellStart"/>
      <w:r w:rsidRPr="007B6175">
        <w:t>galcanezumab</w:t>
      </w:r>
      <w:proofErr w:type="spellEnd"/>
      <w:r w:rsidRPr="007B6175">
        <w:t xml:space="preserve"> group than the placebo group.</w:t>
      </w:r>
    </w:p>
    <w:p w14:paraId="65ABDF24" w14:textId="3383DDA5" w:rsidR="00585C6D" w:rsidRPr="007B6175" w:rsidRDefault="00585C6D" w:rsidP="005E6E94">
      <w:pPr>
        <w:pStyle w:val="ExecSumBodyText"/>
      </w:pPr>
      <w:r w:rsidRPr="007B6175">
        <w:t>A summary of safety outcomes for the high frequency episodic migraine with 3 to 4 prior treatment failures subgroup is presented in the table below.</w:t>
      </w:r>
    </w:p>
    <w:p w14:paraId="7761A554" w14:textId="2D9B97A3" w:rsidR="008A3CE1" w:rsidRPr="007B6175" w:rsidRDefault="008A3CE1" w:rsidP="007B6175">
      <w:pPr>
        <w:pStyle w:val="TableHeading"/>
        <w:jc w:val="both"/>
      </w:pPr>
      <w:r w:rsidRPr="007B6175">
        <w:t xml:space="preserve">Table </w:t>
      </w:r>
      <w:r>
        <w:fldChar w:fldCharType="begin"/>
      </w:r>
      <w:r>
        <w:instrText>SEQ Table \* ARABIC</w:instrText>
      </w:r>
      <w:r>
        <w:fldChar w:fldCharType="separate"/>
      </w:r>
      <w:r w:rsidR="00046698">
        <w:rPr>
          <w:noProof/>
        </w:rPr>
        <w:t>9</w:t>
      </w:r>
      <w:r>
        <w:fldChar w:fldCharType="end"/>
      </w:r>
      <w:r w:rsidR="00B417F5" w:rsidRPr="007B6175">
        <w:t xml:space="preserve">: </w:t>
      </w:r>
      <w:r w:rsidR="002A569C" w:rsidRPr="007B6175">
        <w:t>Summary of adverse events in in the CONQUER high frequency episodic migraine with 3 to 4 prior treatments subgroup (double-blind treatment phase, 12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2388"/>
        <w:gridCol w:w="2386"/>
      </w:tblGrid>
      <w:tr w:rsidR="00585C6D" w:rsidRPr="007B6175" w14:paraId="24D6F7BB" w14:textId="77777777" w:rsidTr="00F75DE5">
        <w:trPr>
          <w:tblHeader/>
        </w:trPr>
        <w:tc>
          <w:tcPr>
            <w:tcW w:w="2353" w:type="pct"/>
            <w:vAlign w:val="center"/>
          </w:tcPr>
          <w:p w14:paraId="0D9C51CE" w14:textId="77777777" w:rsidR="00585C6D" w:rsidRPr="007B6175" w:rsidRDefault="00585C6D" w:rsidP="00F75DE5">
            <w:pPr>
              <w:pStyle w:val="Tableheadingrow"/>
              <w:rPr>
                <w:lang w:val="en-AU"/>
              </w:rPr>
            </w:pPr>
          </w:p>
        </w:tc>
        <w:tc>
          <w:tcPr>
            <w:tcW w:w="1324" w:type="pct"/>
            <w:vAlign w:val="center"/>
          </w:tcPr>
          <w:p w14:paraId="40FB0AA0" w14:textId="77777777" w:rsidR="00585C6D" w:rsidRPr="007B6175" w:rsidRDefault="00585C6D" w:rsidP="00F75DE5">
            <w:pPr>
              <w:pStyle w:val="Tableheadingrow"/>
              <w:jc w:val="center"/>
              <w:rPr>
                <w:lang w:val="en-AU"/>
              </w:rPr>
            </w:pPr>
            <w:proofErr w:type="spellStart"/>
            <w:r w:rsidRPr="007B6175">
              <w:rPr>
                <w:lang w:val="en-AU"/>
              </w:rPr>
              <w:t>Galcanezumab</w:t>
            </w:r>
            <w:proofErr w:type="spellEnd"/>
          </w:p>
          <w:p w14:paraId="79D37E34" w14:textId="77777777" w:rsidR="00585C6D" w:rsidRPr="007B6175" w:rsidRDefault="00585C6D" w:rsidP="00F75DE5">
            <w:pPr>
              <w:pStyle w:val="Tableheadingrow"/>
              <w:jc w:val="center"/>
              <w:rPr>
                <w:lang w:val="en-AU"/>
              </w:rPr>
            </w:pPr>
            <w:r w:rsidRPr="007B6175">
              <w:rPr>
                <w:lang w:val="en-AU"/>
              </w:rPr>
              <w:t>n with event/N (%)</w:t>
            </w:r>
          </w:p>
        </w:tc>
        <w:tc>
          <w:tcPr>
            <w:tcW w:w="1323" w:type="pct"/>
            <w:vAlign w:val="center"/>
          </w:tcPr>
          <w:p w14:paraId="419D882D" w14:textId="77777777" w:rsidR="00585C6D" w:rsidRPr="007B6175" w:rsidRDefault="00585C6D" w:rsidP="00F75DE5">
            <w:pPr>
              <w:pStyle w:val="Tableheadingrow"/>
              <w:jc w:val="center"/>
              <w:rPr>
                <w:lang w:val="en-AU"/>
              </w:rPr>
            </w:pPr>
            <w:r w:rsidRPr="007B6175">
              <w:rPr>
                <w:lang w:val="en-AU"/>
              </w:rPr>
              <w:t>Placebo</w:t>
            </w:r>
          </w:p>
          <w:p w14:paraId="537E06C8" w14:textId="77777777" w:rsidR="00585C6D" w:rsidRPr="007B6175" w:rsidRDefault="00585C6D" w:rsidP="00F75DE5">
            <w:pPr>
              <w:pStyle w:val="Tableheadingrow"/>
              <w:jc w:val="center"/>
              <w:rPr>
                <w:lang w:val="en-AU"/>
              </w:rPr>
            </w:pPr>
            <w:r w:rsidRPr="007B6175">
              <w:rPr>
                <w:lang w:val="en-AU"/>
              </w:rPr>
              <w:t>n with event/N (%)</w:t>
            </w:r>
          </w:p>
        </w:tc>
      </w:tr>
      <w:tr w:rsidR="00585C6D" w:rsidRPr="007B6175" w14:paraId="64EC6148" w14:textId="77777777" w:rsidTr="00F75DE5">
        <w:tc>
          <w:tcPr>
            <w:tcW w:w="2353" w:type="pct"/>
          </w:tcPr>
          <w:p w14:paraId="65EA88F0" w14:textId="77777777" w:rsidR="00585C6D" w:rsidRPr="007B6175" w:rsidRDefault="00585C6D" w:rsidP="00F75DE5">
            <w:pPr>
              <w:pStyle w:val="TableText"/>
            </w:pPr>
            <w:r w:rsidRPr="007B6175">
              <w:t>Treatment emergent adverse events, n (%)</w:t>
            </w:r>
          </w:p>
        </w:tc>
        <w:tc>
          <w:tcPr>
            <w:tcW w:w="1324" w:type="pct"/>
          </w:tcPr>
          <w:p w14:paraId="71944E61" w14:textId="77777777" w:rsidR="00585C6D" w:rsidRPr="007B6175" w:rsidRDefault="00585C6D" w:rsidP="00F75DE5">
            <w:pPr>
              <w:pStyle w:val="TableText"/>
              <w:jc w:val="center"/>
            </w:pPr>
            <w:r w:rsidRPr="007B6175">
              <w:t>27/48 (56.3)</w:t>
            </w:r>
          </w:p>
        </w:tc>
        <w:tc>
          <w:tcPr>
            <w:tcW w:w="1323" w:type="pct"/>
          </w:tcPr>
          <w:p w14:paraId="618FCE5B" w14:textId="77777777" w:rsidR="00585C6D" w:rsidRPr="007B6175" w:rsidRDefault="00585C6D" w:rsidP="00F75DE5">
            <w:pPr>
              <w:pStyle w:val="TableText"/>
              <w:jc w:val="center"/>
            </w:pPr>
            <w:r w:rsidRPr="007B6175">
              <w:t>16/32 (50.0)</w:t>
            </w:r>
          </w:p>
        </w:tc>
      </w:tr>
      <w:tr w:rsidR="00585C6D" w:rsidRPr="007B6175" w14:paraId="73000D51" w14:textId="77777777" w:rsidTr="00F75DE5">
        <w:tc>
          <w:tcPr>
            <w:tcW w:w="2353" w:type="pct"/>
          </w:tcPr>
          <w:p w14:paraId="5B5CFA65" w14:textId="77777777" w:rsidR="00585C6D" w:rsidRPr="007B6175" w:rsidRDefault="00585C6D" w:rsidP="00F75DE5">
            <w:pPr>
              <w:pStyle w:val="TableText"/>
            </w:pPr>
            <w:r w:rsidRPr="007B6175">
              <w:t>Serious adverse events, n (%)</w:t>
            </w:r>
          </w:p>
        </w:tc>
        <w:tc>
          <w:tcPr>
            <w:tcW w:w="1324" w:type="pct"/>
          </w:tcPr>
          <w:p w14:paraId="18FEDC78" w14:textId="77777777" w:rsidR="00585C6D" w:rsidRPr="007B6175" w:rsidRDefault="00585C6D" w:rsidP="00F75DE5">
            <w:pPr>
              <w:pStyle w:val="TableText"/>
              <w:jc w:val="center"/>
            </w:pPr>
            <w:r w:rsidRPr="007B6175">
              <w:t>2/48 (4.2)</w:t>
            </w:r>
          </w:p>
        </w:tc>
        <w:tc>
          <w:tcPr>
            <w:tcW w:w="1323" w:type="pct"/>
          </w:tcPr>
          <w:p w14:paraId="045CB107" w14:textId="77777777" w:rsidR="00585C6D" w:rsidRPr="007B6175" w:rsidRDefault="00585C6D" w:rsidP="00F75DE5">
            <w:pPr>
              <w:pStyle w:val="TableText"/>
              <w:jc w:val="center"/>
            </w:pPr>
            <w:r w:rsidRPr="007B6175">
              <w:t>0/32 (0)</w:t>
            </w:r>
          </w:p>
        </w:tc>
      </w:tr>
      <w:tr w:rsidR="00585C6D" w:rsidRPr="007B6175" w14:paraId="1ACC240A" w14:textId="77777777" w:rsidTr="00F75DE5">
        <w:tc>
          <w:tcPr>
            <w:tcW w:w="2353" w:type="pct"/>
          </w:tcPr>
          <w:p w14:paraId="640BC9F8" w14:textId="77777777" w:rsidR="00585C6D" w:rsidRPr="007B6175" w:rsidRDefault="00585C6D" w:rsidP="00F75DE5">
            <w:pPr>
              <w:pStyle w:val="TableText"/>
            </w:pPr>
            <w:r w:rsidRPr="007B6175">
              <w:t>Discontinuation related to adverse events, n (%)</w:t>
            </w:r>
          </w:p>
        </w:tc>
        <w:tc>
          <w:tcPr>
            <w:tcW w:w="1324" w:type="pct"/>
          </w:tcPr>
          <w:p w14:paraId="33501E83" w14:textId="77777777" w:rsidR="00585C6D" w:rsidRPr="007B6175" w:rsidRDefault="00585C6D" w:rsidP="00F75DE5">
            <w:pPr>
              <w:pStyle w:val="TableText"/>
              <w:jc w:val="center"/>
            </w:pPr>
            <w:r w:rsidRPr="007B6175">
              <w:t>0/48 (0)</w:t>
            </w:r>
          </w:p>
        </w:tc>
        <w:tc>
          <w:tcPr>
            <w:tcW w:w="1323" w:type="pct"/>
          </w:tcPr>
          <w:p w14:paraId="23AF6541" w14:textId="77777777" w:rsidR="00585C6D" w:rsidRPr="007B6175" w:rsidRDefault="00585C6D" w:rsidP="00F75DE5">
            <w:pPr>
              <w:pStyle w:val="TableText"/>
              <w:jc w:val="center"/>
            </w:pPr>
            <w:r w:rsidRPr="007B6175">
              <w:t>0/32 (0)</w:t>
            </w:r>
          </w:p>
        </w:tc>
      </w:tr>
      <w:tr w:rsidR="00585C6D" w:rsidRPr="007B6175" w14:paraId="45694412" w14:textId="77777777" w:rsidTr="00F75DE5">
        <w:tc>
          <w:tcPr>
            <w:tcW w:w="2353" w:type="pct"/>
          </w:tcPr>
          <w:p w14:paraId="248F5AAB" w14:textId="77777777" w:rsidR="00585C6D" w:rsidRPr="007B6175" w:rsidRDefault="00585C6D" w:rsidP="00F75DE5">
            <w:pPr>
              <w:pStyle w:val="TableText"/>
            </w:pPr>
            <w:r w:rsidRPr="007B6175">
              <w:t>Deaths, n (%)</w:t>
            </w:r>
          </w:p>
        </w:tc>
        <w:tc>
          <w:tcPr>
            <w:tcW w:w="1324" w:type="pct"/>
          </w:tcPr>
          <w:p w14:paraId="2A960D17" w14:textId="77777777" w:rsidR="00585C6D" w:rsidRPr="007B6175" w:rsidRDefault="00585C6D" w:rsidP="00F75DE5">
            <w:pPr>
              <w:pStyle w:val="TableText"/>
              <w:jc w:val="center"/>
            </w:pPr>
            <w:r w:rsidRPr="007B6175">
              <w:t>0/48 (0)</w:t>
            </w:r>
          </w:p>
        </w:tc>
        <w:tc>
          <w:tcPr>
            <w:tcW w:w="1323" w:type="pct"/>
          </w:tcPr>
          <w:p w14:paraId="59810352" w14:textId="77777777" w:rsidR="00585C6D" w:rsidRPr="007B6175" w:rsidRDefault="00585C6D" w:rsidP="00F75DE5">
            <w:pPr>
              <w:pStyle w:val="TableText"/>
              <w:jc w:val="center"/>
            </w:pPr>
            <w:r w:rsidRPr="007B6175">
              <w:t>0/32 (0)</w:t>
            </w:r>
          </w:p>
        </w:tc>
      </w:tr>
    </w:tbl>
    <w:p w14:paraId="726533DD" w14:textId="77777777" w:rsidR="00585C6D" w:rsidRPr="007B6175" w:rsidRDefault="00585C6D" w:rsidP="00585C6D">
      <w:pPr>
        <w:pStyle w:val="TableFigureFooter"/>
      </w:pPr>
      <w:r w:rsidRPr="007B6175">
        <w:t>Source: Table 2.7.6, p75 of the resubmission.</w:t>
      </w:r>
    </w:p>
    <w:p w14:paraId="2F839082" w14:textId="132FF5D0" w:rsidR="00585C6D" w:rsidRPr="007B6175" w:rsidRDefault="00585C6D" w:rsidP="00340E3E">
      <w:pPr>
        <w:pStyle w:val="ExecSumBodyText"/>
      </w:pPr>
      <w:r w:rsidRPr="007B6175">
        <w:t xml:space="preserve">The overall incidence of adverse events and serious adverse events was numerically higher in the </w:t>
      </w:r>
      <w:proofErr w:type="spellStart"/>
      <w:r w:rsidRPr="007B6175">
        <w:t>galcanezumab</w:t>
      </w:r>
      <w:proofErr w:type="spellEnd"/>
      <w:r w:rsidRPr="007B6175">
        <w:t xml:space="preserve"> arm compared to the placebo arm. </w:t>
      </w:r>
    </w:p>
    <w:p w14:paraId="04908C7F" w14:textId="77D6506C" w:rsidR="007F1017" w:rsidRPr="007B6175" w:rsidRDefault="007F1017" w:rsidP="00D86231">
      <w:pPr>
        <w:pStyle w:val="3-SubsectionHeading"/>
      </w:pPr>
      <w:bookmarkStart w:id="31" w:name="_Toc22897643"/>
      <w:bookmarkStart w:id="32" w:name="_Toc93419742"/>
      <w:bookmarkStart w:id="33" w:name="_Toc93484676"/>
      <w:r w:rsidRPr="007B6175">
        <w:lastRenderedPageBreak/>
        <w:t>Benefits/harms</w:t>
      </w:r>
      <w:bookmarkEnd w:id="31"/>
      <w:bookmarkEnd w:id="32"/>
      <w:bookmarkEnd w:id="33"/>
    </w:p>
    <w:p w14:paraId="402B2AA7" w14:textId="418FD26B" w:rsidR="00585C6D" w:rsidRPr="007B6175" w:rsidRDefault="00585C6D" w:rsidP="00585C6D">
      <w:pPr>
        <w:numPr>
          <w:ilvl w:val="1"/>
          <w:numId w:val="1"/>
        </w:numPr>
        <w:spacing w:after="120"/>
        <w:ind w:left="720" w:hanging="720"/>
        <w:rPr>
          <w:rFonts w:eastAsia="Calibri"/>
          <w:szCs w:val="22"/>
          <w:lang w:eastAsia="en-US"/>
        </w:rPr>
      </w:pPr>
      <w:proofErr w:type="gramStart"/>
      <w:r w:rsidRPr="007B6175">
        <w:rPr>
          <w:rFonts w:eastAsia="Calibri"/>
          <w:szCs w:val="22"/>
          <w:lang w:eastAsia="en-US"/>
        </w:rPr>
        <w:t>On the basis of</w:t>
      </w:r>
      <w:proofErr w:type="gramEnd"/>
      <w:r w:rsidRPr="007B6175">
        <w:rPr>
          <w:rFonts w:eastAsia="Calibri"/>
          <w:szCs w:val="22"/>
          <w:lang w:eastAsia="en-US"/>
        </w:rPr>
        <w:t xml:space="preserve"> the direct evidence presented in the submission (12 weeks of double-blind treatment in CONQUER), for every 100 patients with </w:t>
      </w:r>
      <w:r w:rsidRPr="00943F64">
        <w:rPr>
          <w:rFonts w:eastAsia="Calibri"/>
          <w:szCs w:val="22"/>
          <w:u w:val="single"/>
          <w:lang w:eastAsia="en-US"/>
        </w:rPr>
        <w:t>chronic or episodic</w:t>
      </w:r>
      <w:r w:rsidRPr="007B6175">
        <w:rPr>
          <w:rFonts w:eastAsia="Calibri"/>
          <w:szCs w:val="22"/>
          <w:lang w:eastAsia="en-US"/>
        </w:rPr>
        <w:t xml:space="preserve"> migraine </w:t>
      </w:r>
      <w:r w:rsidR="00005A6E">
        <w:rPr>
          <w:rFonts w:eastAsia="Calibri"/>
          <w:szCs w:val="22"/>
          <w:lang w:eastAsia="en-US"/>
        </w:rPr>
        <w:t xml:space="preserve">and 2 to 4 prior treatment failures </w:t>
      </w:r>
      <w:r w:rsidRPr="007B6175">
        <w:rPr>
          <w:rFonts w:eastAsia="Calibri"/>
          <w:szCs w:val="22"/>
          <w:lang w:eastAsia="en-US"/>
        </w:rPr>
        <w:t xml:space="preserve">treated with </w:t>
      </w:r>
      <w:proofErr w:type="spellStart"/>
      <w:r w:rsidRPr="007B6175">
        <w:rPr>
          <w:rFonts w:eastAsia="Calibri"/>
          <w:szCs w:val="22"/>
          <w:lang w:eastAsia="en-US"/>
        </w:rPr>
        <w:t>galcanezumab</w:t>
      </w:r>
      <w:proofErr w:type="spellEnd"/>
      <w:r w:rsidRPr="007B6175">
        <w:rPr>
          <w:rFonts w:eastAsia="Calibri"/>
          <w:szCs w:val="22"/>
          <w:lang w:eastAsia="en-US"/>
        </w:rPr>
        <w:t xml:space="preserve"> </w:t>
      </w:r>
      <w:r w:rsidR="008B7CB4" w:rsidRPr="007B6175">
        <w:rPr>
          <w:rFonts w:eastAsia="Calibri"/>
          <w:szCs w:val="22"/>
          <w:lang w:eastAsia="en-US"/>
        </w:rPr>
        <w:t>120</w:t>
      </w:r>
      <w:r w:rsidR="008B7CB4">
        <w:rPr>
          <w:rFonts w:eastAsia="Calibri"/>
          <w:szCs w:val="22"/>
          <w:lang w:eastAsia="en-US"/>
        </w:rPr>
        <w:t> </w:t>
      </w:r>
      <w:r w:rsidRPr="007B6175">
        <w:rPr>
          <w:rFonts w:eastAsia="Calibri"/>
          <w:szCs w:val="22"/>
          <w:lang w:eastAsia="en-US"/>
        </w:rPr>
        <w:t>mg monthly in comparison to placebo:</w:t>
      </w:r>
    </w:p>
    <w:p w14:paraId="53101FCF" w14:textId="77777777" w:rsidR="00585C6D" w:rsidRPr="007B6175" w:rsidRDefault="00585C6D" w:rsidP="00585C6D">
      <w:pPr>
        <w:numPr>
          <w:ilvl w:val="0"/>
          <w:numId w:val="23"/>
        </w:numPr>
        <w:ind w:left="1077" w:hanging="357"/>
        <w:rPr>
          <w:rFonts w:eastAsia="Calibri"/>
          <w:szCs w:val="22"/>
          <w:lang w:eastAsia="en-US"/>
        </w:rPr>
      </w:pPr>
      <w:r w:rsidRPr="007B6175">
        <w:rPr>
          <w:rFonts w:eastAsia="Calibri"/>
          <w:szCs w:val="22"/>
          <w:lang w:eastAsia="en-US"/>
        </w:rPr>
        <w:t>Approximately 24 more patients would have a ≥50% reduction in monthly migraine days.</w:t>
      </w:r>
    </w:p>
    <w:p w14:paraId="3E10BAE1" w14:textId="20A7C299" w:rsidR="00585C6D" w:rsidRPr="007B6175" w:rsidRDefault="00585C6D" w:rsidP="00585C6D">
      <w:pPr>
        <w:numPr>
          <w:ilvl w:val="0"/>
          <w:numId w:val="23"/>
        </w:numPr>
        <w:spacing w:after="120"/>
        <w:ind w:left="1077" w:hanging="357"/>
        <w:rPr>
          <w:rFonts w:eastAsia="Calibri"/>
          <w:szCs w:val="22"/>
          <w:lang w:eastAsia="en-US"/>
        </w:rPr>
      </w:pPr>
      <w:r w:rsidRPr="007B6175">
        <w:rPr>
          <w:rFonts w:eastAsia="Calibri"/>
          <w:szCs w:val="22"/>
          <w:lang w:eastAsia="en-US"/>
        </w:rPr>
        <w:t xml:space="preserve">Approximately 3 patients would have injection site </w:t>
      </w:r>
      <w:r w:rsidR="00115EF5" w:rsidRPr="007B6175">
        <w:rPr>
          <w:rFonts w:eastAsia="Calibri"/>
          <w:szCs w:val="22"/>
          <w:lang w:eastAsia="en-US"/>
        </w:rPr>
        <w:t>pain</w:t>
      </w:r>
      <w:r w:rsidRPr="007B6175">
        <w:rPr>
          <w:rFonts w:eastAsia="Calibri"/>
          <w:szCs w:val="22"/>
          <w:lang w:eastAsia="en-US"/>
        </w:rPr>
        <w:t>.</w:t>
      </w:r>
    </w:p>
    <w:p w14:paraId="22DE30D7" w14:textId="45882538" w:rsidR="00585C6D" w:rsidRPr="007B6175" w:rsidRDefault="00585C6D" w:rsidP="00585C6D">
      <w:pPr>
        <w:numPr>
          <w:ilvl w:val="1"/>
          <w:numId w:val="1"/>
        </w:numPr>
        <w:spacing w:after="120"/>
        <w:ind w:left="720" w:hanging="720"/>
        <w:rPr>
          <w:rFonts w:eastAsia="Calibri"/>
          <w:szCs w:val="22"/>
          <w:lang w:eastAsia="en-US"/>
        </w:rPr>
      </w:pPr>
      <w:proofErr w:type="gramStart"/>
      <w:r w:rsidRPr="007B6175">
        <w:rPr>
          <w:rFonts w:eastAsia="Calibri"/>
          <w:szCs w:val="22"/>
          <w:lang w:eastAsia="en-US"/>
        </w:rPr>
        <w:t>On the basis of</w:t>
      </w:r>
      <w:proofErr w:type="gramEnd"/>
      <w:r w:rsidRPr="007B6175">
        <w:rPr>
          <w:rFonts w:eastAsia="Calibri"/>
          <w:szCs w:val="22"/>
          <w:lang w:eastAsia="en-US"/>
        </w:rPr>
        <w:t xml:space="preserve"> the direct evidence presented in the submission (12 weeks of double-blind treatment in CONQUER), for every 100 patients with </w:t>
      </w:r>
      <w:r w:rsidRPr="00943F64">
        <w:rPr>
          <w:rFonts w:eastAsia="Calibri"/>
          <w:szCs w:val="22"/>
          <w:u w:val="single"/>
          <w:lang w:eastAsia="en-US"/>
        </w:rPr>
        <w:t>episodic</w:t>
      </w:r>
      <w:r w:rsidRPr="007B6175">
        <w:rPr>
          <w:rFonts w:eastAsia="Calibri"/>
          <w:szCs w:val="22"/>
          <w:lang w:eastAsia="en-US"/>
        </w:rPr>
        <w:t xml:space="preserve"> migraine </w:t>
      </w:r>
      <w:r w:rsidR="00005A6E">
        <w:rPr>
          <w:rFonts w:eastAsia="Calibri"/>
          <w:szCs w:val="22"/>
          <w:lang w:eastAsia="en-US"/>
        </w:rPr>
        <w:t xml:space="preserve">and 2 to 4 prior treatments </w:t>
      </w:r>
      <w:r w:rsidRPr="007B6175">
        <w:rPr>
          <w:rFonts w:eastAsia="Calibri"/>
          <w:szCs w:val="22"/>
          <w:lang w:eastAsia="en-US"/>
        </w:rPr>
        <w:t xml:space="preserve">treated with </w:t>
      </w:r>
      <w:proofErr w:type="spellStart"/>
      <w:r w:rsidRPr="007B6175">
        <w:rPr>
          <w:rFonts w:eastAsia="Calibri"/>
          <w:szCs w:val="22"/>
          <w:lang w:eastAsia="en-US"/>
        </w:rPr>
        <w:t>galcanezumab</w:t>
      </w:r>
      <w:proofErr w:type="spellEnd"/>
      <w:r w:rsidRPr="007B6175">
        <w:rPr>
          <w:rFonts w:eastAsia="Calibri"/>
          <w:szCs w:val="22"/>
          <w:lang w:eastAsia="en-US"/>
        </w:rPr>
        <w:t xml:space="preserve"> </w:t>
      </w:r>
      <w:r w:rsidR="008B7CB4" w:rsidRPr="007B6175">
        <w:rPr>
          <w:rFonts w:eastAsia="Calibri"/>
          <w:szCs w:val="22"/>
          <w:lang w:eastAsia="en-US"/>
        </w:rPr>
        <w:t>120</w:t>
      </w:r>
      <w:r w:rsidR="008B7CB4">
        <w:rPr>
          <w:rFonts w:eastAsia="Calibri"/>
          <w:szCs w:val="22"/>
          <w:lang w:eastAsia="en-US"/>
        </w:rPr>
        <w:t> </w:t>
      </w:r>
      <w:r w:rsidRPr="007B6175">
        <w:rPr>
          <w:rFonts w:eastAsia="Calibri"/>
          <w:szCs w:val="22"/>
          <w:lang w:eastAsia="en-US"/>
        </w:rPr>
        <w:t>mg monthly in comparison to placebo:</w:t>
      </w:r>
    </w:p>
    <w:p w14:paraId="41047F8C" w14:textId="77777777" w:rsidR="00585C6D" w:rsidRPr="007B6175" w:rsidRDefault="00585C6D" w:rsidP="00EA7A08">
      <w:pPr>
        <w:numPr>
          <w:ilvl w:val="0"/>
          <w:numId w:val="23"/>
        </w:numPr>
        <w:spacing w:after="120"/>
        <w:ind w:left="1077" w:hanging="357"/>
        <w:rPr>
          <w:rFonts w:eastAsia="Calibri"/>
          <w:szCs w:val="22"/>
          <w:lang w:eastAsia="en-US"/>
        </w:rPr>
      </w:pPr>
      <w:r w:rsidRPr="007B6175">
        <w:rPr>
          <w:rFonts w:eastAsia="Calibri"/>
          <w:szCs w:val="22"/>
          <w:lang w:eastAsia="en-US"/>
        </w:rPr>
        <w:t>Approximately 25 more patients would have a ≥50% reduction in monthly migraine days.</w:t>
      </w:r>
    </w:p>
    <w:p w14:paraId="1B0F0162" w14:textId="1308A0BA" w:rsidR="00585C6D" w:rsidRPr="007B6175" w:rsidRDefault="00585C6D" w:rsidP="00585C6D">
      <w:pPr>
        <w:numPr>
          <w:ilvl w:val="1"/>
          <w:numId w:val="1"/>
        </w:numPr>
        <w:spacing w:after="120"/>
        <w:ind w:left="720" w:hanging="720"/>
        <w:rPr>
          <w:rFonts w:eastAsia="Calibri"/>
          <w:szCs w:val="22"/>
          <w:lang w:eastAsia="en-US"/>
        </w:rPr>
      </w:pPr>
      <w:proofErr w:type="gramStart"/>
      <w:r w:rsidRPr="007B6175">
        <w:rPr>
          <w:rFonts w:eastAsia="Calibri"/>
          <w:szCs w:val="22"/>
          <w:lang w:eastAsia="en-US"/>
        </w:rPr>
        <w:t>On the basis of</w:t>
      </w:r>
      <w:proofErr w:type="gramEnd"/>
      <w:r w:rsidRPr="007B6175">
        <w:rPr>
          <w:rFonts w:eastAsia="Calibri"/>
          <w:szCs w:val="22"/>
          <w:lang w:eastAsia="en-US"/>
        </w:rPr>
        <w:t xml:space="preserve"> the direct evidence presented in the submission (12 weeks of double-blind treatment in CONQUER), for every 100 patients with </w:t>
      </w:r>
      <w:r w:rsidR="00115EF5" w:rsidRPr="00943F64">
        <w:rPr>
          <w:rFonts w:eastAsia="Calibri"/>
          <w:szCs w:val="22"/>
          <w:u w:val="single"/>
          <w:lang w:eastAsia="en-US"/>
        </w:rPr>
        <w:t xml:space="preserve">high frequency </w:t>
      </w:r>
      <w:r w:rsidRPr="00943F64">
        <w:rPr>
          <w:rFonts w:eastAsia="Calibri"/>
          <w:szCs w:val="22"/>
          <w:u w:val="single"/>
          <w:lang w:eastAsia="en-US"/>
        </w:rPr>
        <w:t xml:space="preserve">episodic </w:t>
      </w:r>
      <w:r w:rsidRPr="007B6175">
        <w:rPr>
          <w:rFonts w:eastAsia="Calibri"/>
          <w:szCs w:val="22"/>
          <w:lang w:eastAsia="en-US"/>
        </w:rPr>
        <w:t xml:space="preserve">migraine </w:t>
      </w:r>
      <w:r w:rsidR="004C5259">
        <w:rPr>
          <w:rFonts w:eastAsia="Calibri"/>
          <w:szCs w:val="22"/>
          <w:lang w:eastAsia="en-US"/>
        </w:rPr>
        <w:t>and</w:t>
      </w:r>
      <w:r w:rsidR="004C5259" w:rsidRPr="007B6175">
        <w:rPr>
          <w:rFonts w:eastAsia="Calibri"/>
          <w:szCs w:val="22"/>
          <w:lang w:eastAsia="en-US"/>
        </w:rPr>
        <w:t xml:space="preserve"> </w:t>
      </w:r>
      <w:r w:rsidR="00115EF5" w:rsidRPr="00943F64">
        <w:rPr>
          <w:rFonts w:eastAsia="Calibri"/>
          <w:szCs w:val="22"/>
          <w:lang w:eastAsia="en-US"/>
        </w:rPr>
        <w:t>3 to 4</w:t>
      </w:r>
      <w:r w:rsidRPr="007B6175">
        <w:rPr>
          <w:rFonts w:eastAsia="Calibri"/>
          <w:szCs w:val="22"/>
          <w:lang w:eastAsia="en-US"/>
        </w:rPr>
        <w:t xml:space="preserve"> prior </w:t>
      </w:r>
      <w:r w:rsidR="00115EF5" w:rsidRPr="007B6175">
        <w:rPr>
          <w:rFonts w:eastAsia="Calibri"/>
          <w:szCs w:val="22"/>
          <w:lang w:eastAsia="en-US"/>
        </w:rPr>
        <w:t>treatment failures</w:t>
      </w:r>
      <w:r w:rsidRPr="007B6175">
        <w:rPr>
          <w:rFonts w:eastAsia="Calibri"/>
          <w:szCs w:val="22"/>
          <w:lang w:eastAsia="en-US"/>
        </w:rPr>
        <w:t xml:space="preserve"> treated with </w:t>
      </w:r>
      <w:proofErr w:type="spellStart"/>
      <w:r w:rsidRPr="007B6175">
        <w:rPr>
          <w:rFonts w:eastAsia="Calibri"/>
          <w:szCs w:val="22"/>
          <w:lang w:eastAsia="en-US"/>
        </w:rPr>
        <w:t>galcanezumab</w:t>
      </w:r>
      <w:proofErr w:type="spellEnd"/>
      <w:r w:rsidRPr="007B6175">
        <w:rPr>
          <w:rFonts w:eastAsia="Calibri"/>
          <w:szCs w:val="22"/>
          <w:lang w:eastAsia="en-US"/>
        </w:rPr>
        <w:t xml:space="preserve"> </w:t>
      </w:r>
      <w:r w:rsidR="008B7CB4" w:rsidRPr="007B6175">
        <w:rPr>
          <w:rFonts w:eastAsia="Calibri"/>
          <w:szCs w:val="22"/>
          <w:lang w:eastAsia="en-US"/>
        </w:rPr>
        <w:t>120</w:t>
      </w:r>
      <w:r w:rsidR="008B7CB4">
        <w:rPr>
          <w:rFonts w:eastAsia="Calibri"/>
          <w:szCs w:val="22"/>
          <w:lang w:eastAsia="en-US"/>
        </w:rPr>
        <w:t> </w:t>
      </w:r>
      <w:r w:rsidRPr="007B6175">
        <w:rPr>
          <w:rFonts w:eastAsia="Calibri"/>
          <w:szCs w:val="22"/>
          <w:lang w:eastAsia="en-US"/>
        </w:rPr>
        <w:t>mg monthly in comparison to placebo:</w:t>
      </w:r>
    </w:p>
    <w:p w14:paraId="29B4CED7" w14:textId="782B1681" w:rsidR="00585C6D" w:rsidRPr="007B6175" w:rsidRDefault="00585C6D" w:rsidP="00585C6D">
      <w:pPr>
        <w:numPr>
          <w:ilvl w:val="0"/>
          <w:numId w:val="23"/>
        </w:numPr>
        <w:ind w:left="1077" w:hanging="357"/>
        <w:rPr>
          <w:rFonts w:eastAsia="Calibri"/>
          <w:szCs w:val="22"/>
          <w:lang w:eastAsia="en-US"/>
        </w:rPr>
      </w:pPr>
      <w:r w:rsidRPr="007B6175">
        <w:rPr>
          <w:rFonts w:eastAsia="Calibri"/>
          <w:szCs w:val="22"/>
          <w:lang w:eastAsia="en-US"/>
        </w:rPr>
        <w:t>Approximately 2</w:t>
      </w:r>
      <w:r w:rsidR="00115EF5" w:rsidRPr="007B6175">
        <w:rPr>
          <w:rFonts w:eastAsia="Calibri"/>
          <w:szCs w:val="22"/>
          <w:lang w:eastAsia="en-US"/>
        </w:rPr>
        <w:t>3</w:t>
      </w:r>
      <w:r w:rsidRPr="007B6175">
        <w:rPr>
          <w:rFonts w:eastAsia="Calibri"/>
          <w:szCs w:val="22"/>
          <w:lang w:eastAsia="en-US"/>
        </w:rPr>
        <w:t xml:space="preserve"> more patients would have a ≥50% reduction in monthly migraine days.</w:t>
      </w:r>
    </w:p>
    <w:p w14:paraId="7A1772B6" w14:textId="44E062A7" w:rsidR="00B60939" w:rsidRPr="007B6175" w:rsidRDefault="00B60939" w:rsidP="00E9094A">
      <w:pPr>
        <w:pStyle w:val="3-SubsectionHeading"/>
      </w:pPr>
      <w:bookmarkStart w:id="34" w:name="_Toc22897644"/>
      <w:bookmarkStart w:id="35" w:name="_Toc93419743"/>
      <w:bookmarkStart w:id="36" w:name="_Toc93484677"/>
      <w:r w:rsidRPr="007B6175">
        <w:t>Clinical claim</w:t>
      </w:r>
      <w:bookmarkEnd w:id="34"/>
      <w:bookmarkEnd w:id="35"/>
      <w:bookmarkEnd w:id="36"/>
    </w:p>
    <w:p w14:paraId="467E097F" w14:textId="373FCD3E" w:rsidR="00D24E5D" w:rsidRPr="007B6175" w:rsidRDefault="00D24E5D" w:rsidP="00340E3E">
      <w:pPr>
        <w:pStyle w:val="ExecSumBodyText"/>
      </w:pPr>
      <w:r w:rsidRPr="007B6175">
        <w:t xml:space="preserve">The resubmission described </w:t>
      </w:r>
      <w:proofErr w:type="spellStart"/>
      <w:r w:rsidRPr="007B6175">
        <w:t>galcanezumab</w:t>
      </w:r>
      <w:proofErr w:type="spellEnd"/>
      <w:r w:rsidRPr="007B6175">
        <w:t xml:space="preserve"> </w:t>
      </w:r>
      <w:r w:rsidR="009C7822" w:rsidRPr="007B6175">
        <w:t xml:space="preserve">as </w:t>
      </w:r>
      <w:r w:rsidRPr="007B6175">
        <w:t xml:space="preserve">superior in terms of effectiveness, and similar in terms of safety compared with best supportive care, for the treatment of patients with high frequency episodic migraine (8 to 14 monthly migraine days) who have an inadequate response, </w:t>
      </w:r>
      <w:proofErr w:type="gramStart"/>
      <w:r w:rsidRPr="007B6175">
        <w:t>intolerance</w:t>
      </w:r>
      <w:proofErr w:type="gramEnd"/>
      <w:r w:rsidRPr="007B6175">
        <w:t xml:space="preserve"> or a contraindication to at least three prior prophylactic migraine medications.</w:t>
      </w:r>
    </w:p>
    <w:p w14:paraId="2B253C7E" w14:textId="7877A89C" w:rsidR="009C7822" w:rsidRPr="007A547E" w:rsidRDefault="00D24E5D" w:rsidP="00340E3E">
      <w:pPr>
        <w:pStyle w:val="ExecSumBodyText"/>
      </w:pPr>
      <w:r w:rsidRPr="00B663F3">
        <w:t xml:space="preserve">The PBAC previously considered that the clinical claims of superior effectiveness and similar safety were supported for the broader population of patients with episodic migraine (patients with 4 to 14 monthly migraine days), but noted the benefit was modest and may not be realised in the population proposed for PBS listing. </w:t>
      </w:r>
    </w:p>
    <w:p w14:paraId="7C74565C" w14:textId="26666B14" w:rsidR="00D24E5D" w:rsidRPr="00B663F3" w:rsidRDefault="00034278" w:rsidP="005E6E94">
      <w:pPr>
        <w:pStyle w:val="ExecSumBodyText"/>
      </w:pPr>
      <w:r>
        <w:t>T</w:t>
      </w:r>
      <w:r w:rsidR="00D24E5D" w:rsidRPr="00B663F3">
        <w:t xml:space="preserve">he </w:t>
      </w:r>
      <w:r w:rsidRPr="00962E43">
        <w:t>ESC considered</w:t>
      </w:r>
      <w:r>
        <w:t xml:space="preserve"> the </w:t>
      </w:r>
      <w:r w:rsidR="00D24E5D" w:rsidRPr="00B663F3">
        <w:t xml:space="preserve">claim </w:t>
      </w:r>
      <w:r>
        <w:t xml:space="preserve">in the resubmission </w:t>
      </w:r>
      <w:r w:rsidR="00D24E5D" w:rsidRPr="00B663F3">
        <w:t>appeared to be reasonable, but the following issues should be considered:</w:t>
      </w:r>
    </w:p>
    <w:p w14:paraId="6316C107" w14:textId="4FF8FFA9" w:rsidR="007D665C" w:rsidRPr="00962E43" w:rsidRDefault="007D665C" w:rsidP="006A4B24">
      <w:pPr>
        <w:pStyle w:val="ExecSumBodyText"/>
        <w:numPr>
          <w:ilvl w:val="0"/>
          <w:numId w:val="31"/>
        </w:numPr>
      </w:pPr>
      <w:r w:rsidRPr="00034278">
        <w:t xml:space="preserve">Whether the results of the post hoc analyses for the CONQUER subgroup of patients with 8 to 14 monthly migraine headache days and 3 to 4 prior treatment failures are reliable, given the small sample size and differences in patient characteristics between treatment arms. </w:t>
      </w:r>
      <w:r w:rsidR="00034278" w:rsidRPr="00962E43">
        <w:t>The ESC considered results should be interpreted with caution given the small sample size and given that the high frequency episodic migraine subgroup was not pre-specified in the CONQUER trial.</w:t>
      </w:r>
    </w:p>
    <w:p w14:paraId="18C04B9A" w14:textId="77777777" w:rsidR="007D665C" w:rsidRPr="00B663F3" w:rsidRDefault="007D665C" w:rsidP="006A4B24">
      <w:pPr>
        <w:pStyle w:val="ExecSumBodyText"/>
        <w:numPr>
          <w:ilvl w:val="0"/>
          <w:numId w:val="31"/>
        </w:numPr>
      </w:pPr>
      <w:r w:rsidRPr="00B663F3">
        <w:lastRenderedPageBreak/>
        <w:t>The magnitude of the reduction in monthly migraine days in the CONQUER trial subgroup of patients with 8 to 14 monthly migraine headache days and 3 to 4 prior treatment failures was relatively small. The upper 95% confidence interval was less than the proposed minimal clinically important difference (MCID) of at least 2 days.</w:t>
      </w:r>
    </w:p>
    <w:p w14:paraId="3C631FDA" w14:textId="69E2F4F6" w:rsidR="00D24E5D" w:rsidRPr="0085594F" w:rsidRDefault="007D665C" w:rsidP="006A4B24">
      <w:pPr>
        <w:pStyle w:val="ExecSumBodyText"/>
        <w:numPr>
          <w:ilvl w:val="0"/>
          <w:numId w:val="31"/>
        </w:numPr>
      </w:pPr>
      <w:r w:rsidRPr="00B663F3">
        <w:t xml:space="preserve">The duration of placebo-controlled trials was relatively short. There remains a lack of long-term comparative data to support the longer-term effectiveness and safety outcomes for </w:t>
      </w:r>
      <w:proofErr w:type="spellStart"/>
      <w:r w:rsidRPr="00B663F3">
        <w:t>galcanezumab</w:t>
      </w:r>
      <w:proofErr w:type="spellEnd"/>
      <w:r w:rsidR="00D24E5D" w:rsidRPr="007B6175">
        <w:rPr>
          <w:i/>
        </w:rPr>
        <w:t>.</w:t>
      </w:r>
    </w:p>
    <w:p w14:paraId="7DD6D879" w14:textId="4D0AA8B5" w:rsidR="00464C44" w:rsidRDefault="00464C44" w:rsidP="00340E3E">
      <w:pPr>
        <w:pStyle w:val="ExecSumBodyText"/>
      </w:pPr>
      <w:r>
        <w:t xml:space="preserve">The pre-PBAC response included clinician </w:t>
      </w:r>
      <w:r w:rsidR="009216FF">
        <w:t>input</w:t>
      </w:r>
      <w:r>
        <w:t xml:space="preserve"> that stated a reduction in monthly headache days of 2.43 was a substantial and clinically meaningful reduction. It was noted this was an average reduction and stated that some patients would have an excellent response (75% reduction), some would have a worthwhile response (50% reduction) and some patients would not respond to treatment (and cease the drug at the </w:t>
      </w:r>
      <w:proofErr w:type="gramStart"/>
      <w:r>
        <w:t>3 month</w:t>
      </w:r>
      <w:proofErr w:type="gramEnd"/>
      <w:r>
        <w:t xml:space="preserve"> assessment).</w:t>
      </w:r>
    </w:p>
    <w:p w14:paraId="2C3A6D8E" w14:textId="2CF6F6E1" w:rsidR="0085594F" w:rsidRPr="00A43A18" w:rsidRDefault="0085594F" w:rsidP="00340E3E">
      <w:pPr>
        <w:pStyle w:val="ExecSumBodyText"/>
      </w:pPr>
      <w:r>
        <w:t xml:space="preserve">The </w:t>
      </w:r>
      <w:r w:rsidRPr="00962E43">
        <w:rPr>
          <w:iCs/>
        </w:rPr>
        <w:t>evaluation considered</w:t>
      </w:r>
      <w:r w:rsidRPr="052F7AB8">
        <w:rPr>
          <w:i/>
          <w:iCs/>
        </w:rPr>
        <w:t xml:space="preserve"> </w:t>
      </w:r>
      <w:r w:rsidRPr="006A4B24">
        <w:rPr>
          <w:iCs/>
        </w:rPr>
        <w:t>the</w:t>
      </w:r>
      <w:r>
        <w:t xml:space="preserve"> applicability of the CONQUER trial results to the proposed PBS population was unclear, due to a lack of studies describing the Australian setting. </w:t>
      </w:r>
      <w:r w:rsidRPr="00962E43">
        <w:rPr>
          <w:iCs/>
        </w:rPr>
        <w:t>The ESC agreed with the evaluation there was a lack of evidence whether disease severity, mean reductions in migraine headache days, and response rates observed in the trial will be similar in the proposed PBS population. However, the ESC considered that, overall, the CONQUER trial population was likely to be representative of Australian patients</w:t>
      </w:r>
      <w:r w:rsidRPr="052F7AB8">
        <w:rPr>
          <w:i/>
          <w:iCs/>
        </w:rPr>
        <w:t>.</w:t>
      </w:r>
    </w:p>
    <w:p w14:paraId="36D0E9A4" w14:textId="1A8FBDA2" w:rsidR="00A43A18" w:rsidRPr="006A4B24" w:rsidRDefault="00A43A18" w:rsidP="00340E3E">
      <w:pPr>
        <w:pStyle w:val="ExecSumBodyText"/>
      </w:pPr>
      <w:bookmarkStart w:id="37" w:name="_Hlk76376200"/>
      <w:r w:rsidRPr="006A4B24">
        <w:rPr>
          <w:iCs/>
        </w:rPr>
        <w:t>The</w:t>
      </w:r>
      <w:r w:rsidRPr="006A4B24">
        <w:t xml:space="preserve"> PBAC considered that the claim of superior comparative effectiveness </w:t>
      </w:r>
      <w:r w:rsidR="006A4B24" w:rsidRPr="006A4B24">
        <w:t xml:space="preserve">and similar safety </w:t>
      </w:r>
      <w:r w:rsidRPr="006A4B24">
        <w:t>was reasonable.</w:t>
      </w:r>
    </w:p>
    <w:p w14:paraId="74A1172E" w14:textId="6C5D31CC" w:rsidR="00B60939" w:rsidRPr="007B6175" w:rsidRDefault="00B60939" w:rsidP="00E9094A">
      <w:pPr>
        <w:pStyle w:val="3-SubsectionHeading"/>
      </w:pPr>
      <w:bookmarkStart w:id="38" w:name="_Toc22897645"/>
      <w:bookmarkStart w:id="39" w:name="_Toc93419744"/>
      <w:bookmarkStart w:id="40" w:name="_Toc93484678"/>
      <w:bookmarkEnd w:id="37"/>
      <w:r w:rsidRPr="007B6175">
        <w:t>Economic analysis</w:t>
      </w:r>
      <w:bookmarkEnd w:id="38"/>
      <w:bookmarkEnd w:id="39"/>
      <w:bookmarkEnd w:id="40"/>
      <w:r w:rsidR="00491B3A" w:rsidRPr="007B6175">
        <w:t xml:space="preserve"> </w:t>
      </w:r>
    </w:p>
    <w:p w14:paraId="14C1E8F9" w14:textId="4AAD34B7" w:rsidR="00275C5A" w:rsidRPr="007B6175" w:rsidRDefault="000D6307" w:rsidP="00340E3E">
      <w:pPr>
        <w:pStyle w:val="ExecSumBodyText"/>
        <w:rPr>
          <w:b/>
          <w:bCs/>
        </w:rPr>
      </w:pPr>
      <w:r w:rsidRPr="007B6175">
        <w:t xml:space="preserve">The resubmission presented a stepped economic evaluation of </w:t>
      </w:r>
      <w:proofErr w:type="spellStart"/>
      <w:r w:rsidRPr="007B6175">
        <w:t>galcanezumab</w:t>
      </w:r>
      <w:proofErr w:type="spellEnd"/>
      <w:r w:rsidRPr="007B6175">
        <w:t xml:space="preserve"> compared to placebo (as a proxy for best supportive care), in patients with high frequency episodic migraine who have an inadequate response, intolerance or a contraindication to at least three prior prophylactic migraine medications.</w:t>
      </w:r>
    </w:p>
    <w:p w14:paraId="71CC1F87" w14:textId="22B42D93" w:rsidR="000D6307" w:rsidRPr="00B663F3" w:rsidRDefault="000D6307" w:rsidP="00340E3E">
      <w:pPr>
        <w:pStyle w:val="ExecSumBodyText"/>
        <w:rPr>
          <w:b/>
          <w:bCs/>
        </w:rPr>
      </w:pPr>
      <w:r w:rsidRPr="007B6175">
        <w:t xml:space="preserve">A summary of the model structure and key inputs is presented in the table below. </w:t>
      </w:r>
      <w:r w:rsidRPr="00B663F3">
        <w:rPr>
          <w:iCs/>
        </w:rPr>
        <w:t>The model structure was unchanged from the November 2020 submission.</w:t>
      </w:r>
    </w:p>
    <w:p w14:paraId="64294025" w14:textId="03723F34" w:rsidR="008A3CE1" w:rsidRPr="007B6175" w:rsidRDefault="008A3CE1" w:rsidP="00765995">
      <w:pPr>
        <w:pStyle w:val="TableHeading"/>
      </w:pPr>
      <w:r w:rsidRPr="007B6175">
        <w:lastRenderedPageBreak/>
        <w:t xml:space="preserve">Table </w:t>
      </w:r>
      <w:r>
        <w:fldChar w:fldCharType="begin"/>
      </w:r>
      <w:r>
        <w:instrText>SEQ Table \* ARABIC</w:instrText>
      </w:r>
      <w:r>
        <w:fldChar w:fldCharType="separate"/>
      </w:r>
      <w:r w:rsidR="00046698">
        <w:rPr>
          <w:noProof/>
        </w:rPr>
        <w:t>10</w:t>
      </w:r>
      <w:r>
        <w:fldChar w:fldCharType="end"/>
      </w:r>
      <w:r w:rsidR="00B417F5" w:rsidRPr="007B6175">
        <w:t>: Summary of model structure and key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6"/>
        <w:gridCol w:w="6471"/>
      </w:tblGrid>
      <w:tr w:rsidR="004667E1" w:rsidRPr="007B6175" w14:paraId="134CBE0D" w14:textId="77777777" w:rsidTr="00F75DE5">
        <w:tc>
          <w:tcPr>
            <w:tcW w:w="1412" w:type="pct"/>
            <w:vAlign w:val="center"/>
          </w:tcPr>
          <w:p w14:paraId="72A9F4A3" w14:textId="77777777" w:rsidR="004667E1" w:rsidRPr="007B6175" w:rsidRDefault="004667E1" w:rsidP="004667E1">
            <w:pPr>
              <w:pStyle w:val="Tabletext0"/>
              <w:keepNext/>
              <w:rPr>
                <w:b/>
              </w:rPr>
            </w:pPr>
            <w:r w:rsidRPr="007B6175">
              <w:rPr>
                <w:b/>
              </w:rPr>
              <w:t>Component</w:t>
            </w:r>
          </w:p>
        </w:tc>
        <w:tc>
          <w:tcPr>
            <w:tcW w:w="3588" w:type="pct"/>
          </w:tcPr>
          <w:p w14:paraId="7D1B16F5" w14:textId="77777777" w:rsidR="004667E1" w:rsidRPr="007B6175" w:rsidRDefault="004667E1" w:rsidP="004667E1">
            <w:pPr>
              <w:pStyle w:val="Tabletext0"/>
              <w:keepNext/>
              <w:jc w:val="center"/>
              <w:rPr>
                <w:b/>
              </w:rPr>
            </w:pPr>
            <w:r w:rsidRPr="007B6175">
              <w:rPr>
                <w:b/>
              </w:rPr>
              <w:t>Resubmission</w:t>
            </w:r>
          </w:p>
        </w:tc>
      </w:tr>
      <w:tr w:rsidR="004667E1" w:rsidRPr="007B6175" w14:paraId="6E608F74" w14:textId="77777777" w:rsidTr="00F75DE5">
        <w:tc>
          <w:tcPr>
            <w:tcW w:w="1412" w:type="pct"/>
            <w:vAlign w:val="center"/>
          </w:tcPr>
          <w:p w14:paraId="0223B4BF" w14:textId="77777777" w:rsidR="004667E1" w:rsidRPr="007B6175" w:rsidRDefault="004667E1" w:rsidP="004667E1">
            <w:pPr>
              <w:pStyle w:val="Tabletext0"/>
              <w:keepNext/>
            </w:pPr>
            <w:r w:rsidRPr="007B6175">
              <w:t>Type of analysis</w:t>
            </w:r>
          </w:p>
        </w:tc>
        <w:tc>
          <w:tcPr>
            <w:tcW w:w="3588" w:type="pct"/>
          </w:tcPr>
          <w:p w14:paraId="2ED9A375" w14:textId="77777777" w:rsidR="004667E1" w:rsidRPr="007B6175" w:rsidRDefault="004667E1" w:rsidP="004667E1">
            <w:pPr>
              <w:pStyle w:val="Tabletext0"/>
              <w:keepNext/>
            </w:pPr>
            <w:r w:rsidRPr="007B6175">
              <w:t>Cost-effectiveness analysis and cost-utility analysis</w:t>
            </w:r>
          </w:p>
        </w:tc>
      </w:tr>
      <w:tr w:rsidR="004667E1" w:rsidRPr="007B6175" w14:paraId="047F7BDD" w14:textId="77777777" w:rsidTr="00F75DE5">
        <w:tc>
          <w:tcPr>
            <w:tcW w:w="1412" w:type="pct"/>
            <w:vAlign w:val="center"/>
          </w:tcPr>
          <w:p w14:paraId="096C3EB8" w14:textId="77777777" w:rsidR="004667E1" w:rsidRPr="007B6175" w:rsidRDefault="004667E1" w:rsidP="004667E1">
            <w:pPr>
              <w:pStyle w:val="Tabletext0"/>
              <w:keepNext/>
            </w:pPr>
            <w:r w:rsidRPr="007B6175">
              <w:t>Comparison</w:t>
            </w:r>
          </w:p>
        </w:tc>
        <w:tc>
          <w:tcPr>
            <w:tcW w:w="3588" w:type="pct"/>
          </w:tcPr>
          <w:p w14:paraId="18AEC9C6" w14:textId="77777777" w:rsidR="004667E1" w:rsidRPr="007B6175" w:rsidRDefault="004667E1" w:rsidP="004667E1">
            <w:pPr>
              <w:pStyle w:val="Tabletext0"/>
              <w:keepNext/>
            </w:pPr>
            <w:proofErr w:type="spellStart"/>
            <w:r w:rsidRPr="007B6175">
              <w:t>Galcanezumab</w:t>
            </w:r>
            <w:proofErr w:type="spellEnd"/>
            <w:r w:rsidRPr="007B6175">
              <w:t xml:space="preserve"> versus placebo (as a proxy for best supportive care)</w:t>
            </w:r>
          </w:p>
        </w:tc>
      </w:tr>
      <w:tr w:rsidR="004667E1" w:rsidRPr="007B6175" w14:paraId="1D21811A" w14:textId="77777777" w:rsidTr="00F75DE5">
        <w:tc>
          <w:tcPr>
            <w:tcW w:w="1412" w:type="pct"/>
            <w:vAlign w:val="center"/>
          </w:tcPr>
          <w:p w14:paraId="29BF72FA" w14:textId="77777777" w:rsidR="004667E1" w:rsidRPr="007B6175" w:rsidRDefault="004667E1" w:rsidP="004667E1">
            <w:pPr>
              <w:pStyle w:val="Tabletext0"/>
              <w:keepNext/>
            </w:pPr>
            <w:r w:rsidRPr="007B6175">
              <w:t>Outcomes</w:t>
            </w:r>
          </w:p>
        </w:tc>
        <w:tc>
          <w:tcPr>
            <w:tcW w:w="3588" w:type="pct"/>
          </w:tcPr>
          <w:p w14:paraId="30AAA24F" w14:textId="77777777" w:rsidR="004667E1" w:rsidRPr="007B6175" w:rsidRDefault="004667E1" w:rsidP="004667E1">
            <w:pPr>
              <w:pStyle w:val="Tabletext0"/>
              <w:keepNext/>
            </w:pPr>
            <w:r w:rsidRPr="007B6175">
              <w:t>Migraine headache days; quality-adjusted life years (QALYs)</w:t>
            </w:r>
          </w:p>
        </w:tc>
      </w:tr>
      <w:tr w:rsidR="004667E1" w:rsidRPr="007B6175" w14:paraId="243F46C0" w14:textId="77777777" w:rsidTr="00F75DE5">
        <w:tc>
          <w:tcPr>
            <w:tcW w:w="1412" w:type="pct"/>
            <w:vAlign w:val="center"/>
          </w:tcPr>
          <w:p w14:paraId="2962721A" w14:textId="77777777" w:rsidR="004667E1" w:rsidRPr="007B6175" w:rsidRDefault="004667E1" w:rsidP="004667E1">
            <w:pPr>
              <w:pStyle w:val="Tabletext0"/>
              <w:keepNext/>
            </w:pPr>
            <w:r w:rsidRPr="007B6175">
              <w:t>Time horizon</w:t>
            </w:r>
          </w:p>
        </w:tc>
        <w:tc>
          <w:tcPr>
            <w:tcW w:w="3588" w:type="pct"/>
          </w:tcPr>
          <w:p w14:paraId="40C01701" w14:textId="77777777" w:rsidR="004667E1" w:rsidRPr="007B6175" w:rsidRDefault="004667E1" w:rsidP="004667E1">
            <w:pPr>
              <w:pStyle w:val="Tabletext0"/>
              <w:keepNext/>
            </w:pPr>
            <w:r w:rsidRPr="007B6175">
              <w:t>5 years in the model base case compared with 12 weeks in the CONQUER trial.</w:t>
            </w:r>
          </w:p>
        </w:tc>
      </w:tr>
      <w:tr w:rsidR="004667E1" w:rsidRPr="007B6175" w14:paraId="22251C43" w14:textId="77777777" w:rsidTr="00F75DE5">
        <w:tc>
          <w:tcPr>
            <w:tcW w:w="1412" w:type="pct"/>
            <w:vAlign w:val="center"/>
          </w:tcPr>
          <w:p w14:paraId="2A89EEDF" w14:textId="77777777" w:rsidR="004667E1" w:rsidRPr="007B6175" w:rsidRDefault="004667E1" w:rsidP="004667E1">
            <w:pPr>
              <w:pStyle w:val="Tabletext0"/>
              <w:keepNext/>
            </w:pPr>
            <w:r w:rsidRPr="007B6175">
              <w:t>Methods used to generate results</w:t>
            </w:r>
          </w:p>
        </w:tc>
        <w:tc>
          <w:tcPr>
            <w:tcW w:w="3588" w:type="pct"/>
          </w:tcPr>
          <w:p w14:paraId="089DA08E" w14:textId="77777777" w:rsidR="004667E1" w:rsidRPr="007B6175" w:rsidRDefault="004667E1" w:rsidP="004667E1">
            <w:pPr>
              <w:pStyle w:val="Tabletext0"/>
              <w:keepNext/>
            </w:pPr>
            <w:r w:rsidRPr="007B6175">
              <w:t>Markov state transition model</w:t>
            </w:r>
          </w:p>
        </w:tc>
      </w:tr>
      <w:tr w:rsidR="004667E1" w:rsidRPr="007B6175" w14:paraId="280BAF48" w14:textId="77777777" w:rsidTr="00F75DE5">
        <w:trPr>
          <w:trHeight w:val="508"/>
        </w:trPr>
        <w:tc>
          <w:tcPr>
            <w:tcW w:w="1412" w:type="pct"/>
            <w:vAlign w:val="center"/>
          </w:tcPr>
          <w:p w14:paraId="04BA046B" w14:textId="77777777" w:rsidR="004667E1" w:rsidRPr="007B6175" w:rsidRDefault="004667E1" w:rsidP="004667E1">
            <w:pPr>
              <w:pStyle w:val="Tabletext0"/>
              <w:keepNext/>
            </w:pPr>
            <w:r w:rsidRPr="007B6175">
              <w:t>Health states</w:t>
            </w:r>
          </w:p>
        </w:tc>
        <w:tc>
          <w:tcPr>
            <w:tcW w:w="3588" w:type="pct"/>
          </w:tcPr>
          <w:p w14:paraId="6F483AAF" w14:textId="77777777" w:rsidR="004667E1" w:rsidRPr="007B6175" w:rsidRDefault="004667E1" w:rsidP="004667E1">
            <w:pPr>
              <w:pStyle w:val="Tabletext0"/>
              <w:keepNext/>
            </w:pPr>
            <w:r w:rsidRPr="007B6175">
              <w:t>On treatment/responder (after 12-week assessment)</w:t>
            </w:r>
          </w:p>
          <w:p w14:paraId="41004628" w14:textId="77777777" w:rsidR="004667E1" w:rsidRPr="007B6175" w:rsidRDefault="004667E1" w:rsidP="004667E1">
            <w:pPr>
              <w:pStyle w:val="Tabletext0"/>
              <w:keepNext/>
            </w:pPr>
            <w:r w:rsidRPr="007B6175">
              <w:t>Discontinued (due to poor response)</w:t>
            </w:r>
          </w:p>
          <w:p w14:paraId="42904CAA" w14:textId="77777777" w:rsidR="004667E1" w:rsidRPr="007B6175" w:rsidRDefault="004667E1" w:rsidP="004667E1">
            <w:pPr>
              <w:pStyle w:val="Tabletext0"/>
              <w:keepNext/>
            </w:pPr>
            <w:r w:rsidRPr="007B6175">
              <w:t>Discontinued (due to adverse events)</w:t>
            </w:r>
          </w:p>
          <w:p w14:paraId="34D9F152" w14:textId="77777777" w:rsidR="004667E1" w:rsidRPr="007B6175" w:rsidRDefault="004667E1" w:rsidP="004667E1">
            <w:pPr>
              <w:pStyle w:val="Tabletext0"/>
              <w:keepNext/>
            </w:pPr>
            <w:r w:rsidRPr="007B6175">
              <w:t>Dead</w:t>
            </w:r>
          </w:p>
        </w:tc>
      </w:tr>
      <w:tr w:rsidR="004667E1" w:rsidRPr="007B6175" w14:paraId="25BAD319" w14:textId="77777777" w:rsidTr="00F75DE5">
        <w:tc>
          <w:tcPr>
            <w:tcW w:w="1412" w:type="pct"/>
            <w:vAlign w:val="center"/>
          </w:tcPr>
          <w:p w14:paraId="6350247C" w14:textId="77777777" w:rsidR="004667E1" w:rsidRPr="007B6175" w:rsidRDefault="004667E1" w:rsidP="004667E1">
            <w:pPr>
              <w:pStyle w:val="Tabletext0"/>
              <w:keepNext/>
            </w:pPr>
            <w:r w:rsidRPr="007B6175">
              <w:t>Cycle length</w:t>
            </w:r>
          </w:p>
        </w:tc>
        <w:tc>
          <w:tcPr>
            <w:tcW w:w="3588" w:type="pct"/>
          </w:tcPr>
          <w:p w14:paraId="1494A641" w14:textId="77777777" w:rsidR="004667E1" w:rsidRPr="007B6175" w:rsidRDefault="004667E1" w:rsidP="004667E1">
            <w:pPr>
              <w:pStyle w:val="Tabletext0"/>
              <w:keepNext/>
            </w:pPr>
            <w:r w:rsidRPr="007B6175">
              <w:t>One month (30 days)</w:t>
            </w:r>
          </w:p>
        </w:tc>
      </w:tr>
      <w:tr w:rsidR="004667E1" w:rsidRPr="007B6175" w14:paraId="0FEF8A7A" w14:textId="77777777" w:rsidTr="00F75DE5">
        <w:tc>
          <w:tcPr>
            <w:tcW w:w="1412" w:type="pct"/>
            <w:vAlign w:val="center"/>
          </w:tcPr>
          <w:p w14:paraId="0B412480" w14:textId="77777777" w:rsidR="004667E1" w:rsidRPr="007B6175" w:rsidRDefault="004667E1" w:rsidP="004667E1">
            <w:pPr>
              <w:pStyle w:val="Tabletext0"/>
              <w:keepNext/>
            </w:pPr>
            <w:r w:rsidRPr="007B6175">
              <w:t>Transition probabilities</w:t>
            </w:r>
          </w:p>
        </w:tc>
        <w:tc>
          <w:tcPr>
            <w:tcW w:w="3588" w:type="pct"/>
          </w:tcPr>
          <w:p w14:paraId="5D2201BD" w14:textId="77777777" w:rsidR="004667E1" w:rsidRPr="007B6175" w:rsidRDefault="004667E1" w:rsidP="004667E1">
            <w:pPr>
              <w:pStyle w:val="Tabletext0"/>
              <w:keepNext/>
            </w:pPr>
            <w:r w:rsidRPr="007B6175">
              <w:t>Response rates from the CONQUER trial (high frequency episodic migraine with 3 to 4 prior treatment failures subgroup)</w:t>
            </w:r>
          </w:p>
          <w:p w14:paraId="7CA9952F" w14:textId="77777777" w:rsidR="004667E1" w:rsidRPr="0021441F" w:rsidRDefault="004667E1" w:rsidP="004667E1">
            <w:pPr>
              <w:pStyle w:val="Tabletext0"/>
              <w:keepNext/>
            </w:pPr>
            <w:r w:rsidRPr="007B6175">
              <w:t xml:space="preserve">Mean migraine headache days modelled from the observed migraine headache day distributions in the CONQUER using distributions derived from </w:t>
            </w:r>
            <w:r w:rsidRPr="0021441F">
              <w:t xml:space="preserve">the EVOLVE 1 and 2 trials </w:t>
            </w:r>
          </w:p>
          <w:p w14:paraId="10CD3100" w14:textId="77777777" w:rsidR="004667E1" w:rsidRPr="007B6175" w:rsidRDefault="004667E1" w:rsidP="004667E1">
            <w:pPr>
              <w:pStyle w:val="Tabletext0"/>
              <w:keepNext/>
            </w:pPr>
            <w:r w:rsidRPr="0021441F">
              <w:t>Discontinuation due to adverse events based on the CGAJ study</w:t>
            </w:r>
          </w:p>
          <w:p w14:paraId="2ADD8978" w14:textId="77777777" w:rsidR="004667E1" w:rsidRPr="007B6175" w:rsidRDefault="004667E1" w:rsidP="004667E1">
            <w:pPr>
              <w:pStyle w:val="Tabletext0"/>
              <w:keepNext/>
            </w:pPr>
            <w:r w:rsidRPr="007B6175">
              <w:t>Background mortality using annual age-specific mortality (ABS life tables)</w:t>
            </w:r>
          </w:p>
        </w:tc>
      </w:tr>
      <w:tr w:rsidR="004667E1" w:rsidRPr="007B6175" w14:paraId="15803C95" w14:textId="77777777" w:rsidTr="00F75DE5">
        <w:tc>
          <w:tcPr>
            <w:tcW w:w="1412" w:type="pct"/>
            <w:vAlign w:val="center"/>
          </w:tcPr>
          <w:p w14:paraId="73A0218A" w14:textId="77777777" w:rsidR="004667E1" w:rsidRPr="007B6175" w:rsidRDefault="004667E1" w:rsidP="004667E1">
            <w:pPr>
              <w:pStyle w:val="Tabletext0"/>
              <w:keepNext/>
            </w:pPr>
            <w:r w:rsidRPr="007B6175">
              <w:t>Utilities</w:t>
            </w:r>
          </w:p>
        </w:tc>
        <w:tc>
          <w:tcPr>
            <w:tcW w:w="3588" w:type="pct"/>
          </w:tcPr>
          <w:p w14:paraId="6133A650" w14:textId="0F04DEDB" w:rsidR="004667E1" w:rsidRPr="007B6175" w:rsidRDefault="004667E1" w:rsidP="004667E1">
            <w:pPr>
              <w:pStyle w:val="Tabletext0"/>
              <w:keepNext/>
            </w:pPr>
            <w:r w:rsidRPr="007B6175">
              <w:t xml:space="preserve">Utility </w:t>
            </w:r>
            <w:r w:rsidR="00412BA4">
              <w:t xml:space="preserve">           </w:t>
            </w:r>
            <w:r w:rsidRPr="007B6175">
              <w:t>-3L using an algorithm published by Gillard et al. (2012)</w:t>
            </w:r>
          </w:p>
        </w:tc>
      </w:tr>
      <w:tr w:rsidR="004667E1" w:rsidRPr="007B6175" w14:paraId="2914D0D9" w14:textId="77777777" w:rsidTr="00F75DE5">
        <w:tc>
          <w:tcPr>
            <w:tcW w:w="1412" w:type="pct"/>
            <w:vAlign w:val="center"/>
          </w:tcPr>
          <w:p w14:paraId="128D43B2" w14:textId="6E51774E" w:rsidR="004667E1" w:rsidRPr="007B6175" w:rsidRDefault="004667E1" w:rsidP="004667E1">
            <w:pPr>
              <w:pStyle w:val="Tabletext0"/>
              <w:keepNext/>
            </w:pPr>
            <w:r w:rsidRPr="007B6175">
              <w:t>Costs</w:t>
            </w:r>
          </w:p>
        </w:tc>
        <w:tc>
          <w:tcPr>
            <w:tcW w:w="3588" w:type="pct"/>
          </w:tcPr>
          <w:p w14:paraId="17BD91F4" w14:textId="77777777" w:rsidR="004667E1" w:rsidRPr="007B6175" w:rsidRDefault="004667E1" w:rsidP="004667E1">
            <w:pPr>
              <w:pStyle w:val="Tabletext0"/>
              <w:keepNext/>
            </w:pPr>
            <w:proofErr w:type="spellStart"/>
            <w:r w:rsidRPr="007B6175">
              <w:t>Galcanezumab</w:t>
            </w:r>
            <w:proofErr w:type="spellEnd"/>
            <w:r w:rsidRPr="007B6175">
              <w:t xml:space="preserve"> drug costs based on the proposed effective DPMQ. </w:t>
            </w:r>
          </w:p>
          <w:p w14:paraId="4971A6E0" w14:textId="77777777" w:rsidR="004667E1" w:rsidRPr="007B6175" w:rsidRDefault="004667E1" w:rsidP="004667E1">
            <w:pPr>
              <w:pStyle w:val="Tabletext0"/>
              <w:keepNext/>
            </w:pPr>
            <w:r w:rsidRPr="007B6175">
              <w:t>No drug cost applied for placebo/best supportive care</w:t>
            </w:r>
          </w:p>
          <w:p w14:paraId="35B002EB" w14:textId="77777777" w:rsidR="004667E1" w:rsidRPr="007B6175" w:rsidRDefault="004667E1" w:rsidP="004667E1">
            <w:pPr>
              <w:pStyle w:val="Tabletext0"/>
              <w:keepNext/>
            </w:pPr>
            <w:r w:rsidRPr="007B6175">
              <w:t>Acute medication use associated with each monthly migraine headache day predicted from CONQUER trial (ITT population, including both chronic and episodic migraine patients) using a binomial distribution. Unit costs based on PBS and OTC prices.</w:t>
            </w:r>
          </w:p>
          <w:p w14:paraId="506AB7AA" w14:textId="7A7D5843" w:rsidR="004667E1" w:rsidRPr="007B6175" w:rsidRDefault="004667E1" w:rsidP="004667E1">
            <w:pPr>
              <w:pStyle w:val="Tabletext0"/>
              <w:keepNext/>
            </w:pPr>
            <w:r w:rsidRPr="007B6175">
              <w:t xml:space="preserve">Disease management costs (GP visits, specialist visits, nurse practitioner visits, emergency department visits, hospitalisations) by monthly migraine days based on the UK National Health and Wellness Survey (NHWS) included in the </w:t>
            </w:r>
            <w:proofErr w:type="spellStart"/>
            <w:r w:rsidRPr="007B6175">
              <w:t>erenumab</w:t>
            </w:r>
            <w:proofErr w:type="spellEnd"/>
            <w:r w:rsidRPr="007B6175">
              <w:t xml:space="preserve"> submission to NICE. Unit costs based on MBS, AR-DRG and Urgency Related Group items.</w:t>
            </w:r>
          </w:p>
        </w:tc>
      </w:tr>
      <w:tr w:rsidR="004667E1" w:rsidRPr="007B6175" w14:paraId="2F1A6C43" w14:textId="77777777" w:rsidTr="00F75DE5">
        <w:tc>
          <w:tcPr>
            <w:tcW w:w="1412" w:type="pct"/>
            <w:vAlign w:val="center"/>
          </w:tcPr>
          <w:p w14:paraId="73A0DAB8" w14:textId="77777777" w:rsidR="004667E1" w:rsidRPr="007B6175" w:rsidRDefault="004667E1" w:rsidP="004667E1">
            <w:pPr>
              <w:pStyle w:val="Tabletext0"/>
              <w:keepNext/>
            </w:pPr>
            <w:r w:rsidRPr="007B6175">
              <w:t>Software package</w:t>
            </w:r>
          </w:p>
        </w:tc>
        <w:tc>
          <w:tcPr>
            <w:tcW w:w="3588" w:type="pct"/>
          </w:tcPr>
          <w:p w14:paraId="7CF3C6B1" w14:textId="77777777" w:rsidR="004667E1" w:rsidRPr="007B6175" w:rsidRDefault="004667E1" w:rsidP="004667E1">
            <w:pPr>
              <w:pStyle w:val="Tabletext0"/>
              <w:keepNext/>
            </w:pPr>
            <w:r w:rsidRPr="007B6175">
              <w:t xml:space="preserve">Microsoft Excel </w:t>
            </w:r>
          </w:p>
        </w:tc>
      </w:tr>
    </w:tbl>
    <w:p w14:paraId="23B818D7" w14:textId="77777777" w:rsidR="004667E1" w:rsidRPr="007B6175" w:rsidRDefault="004667E1" w:rsidP="004667E1">
      <w:pPr>
        <w:pStyle w:val="TableFooter"/>
      </w:pPr>
      <w:r w:rsidRPr="007B6175">
        <w:t>Source: Section 3.1.2, p89; Section 3.2.2, pp98-100; Table 3.1.1, p88; Table 3.1.3, p90 of the resubmission.</w:t>
      </w:r>
    </w:p>
    <w:p w14:paraId="689DA30E" w14:textId="0F0D5398" w:rsidR="004667E1" w:rsidRPr="007B6175" w:rsidRDefault="004667E1" w:rsidP="004667E1">
      <w:pPr>
        <w:pStyle w:val="TableFooter"/>
      </w:pPr>
      <w:r w:rsidRPr="007B6175">
        <w:t>Abbreviations: MSQ, Migraine-Specific Quality of Life Questionnaire</w:t>
      </w:r>
      <w:proofErr w:type="gramStart"/>
      <w:r w:rsidR="004C3CC2" w:rsidRPr="004C3CC2">
        <w:rPr>
          <w:color w:val="000000"/>
          <w:spacing w:val="37"/>
          <w:shd w:val="solid" w:color="000000" w:fill="000000"/>
          <w:fitText w:val="270" w:id="-1504954357"/>
          <w14:textFill>
            <w14:solidFill>
              <w14:srgbClr w14:val="000000">
                <w14:alpha w14:val="100000"/>
              </w14:srgbClr>
            </w14:solidFill>
          </w14:textFill>
        </w:rPr>
        <w:t xml:space="preserve">|  </w:t>
      </w:r>
      <w:r w:rsidR="004C3CC2" w:rsidRPr="004C3CC2">
        <w:rPr>
          <w:color w:val="000000"/>
          <w:spacing w:val="1"/>
          <w:shd w:val="solid" w:color="000000" w:fill="000000"/>
          <w:fitText w:val="270" w:id="-1504954357"/>
          <w14:textFill>
            <w14:solidFill>
              <w14:srgbClr w14:val="000000">
                <w14:alpha w14:val="100000"/>
              </w14:srgbClr>
            </w14:solidFill>
          </w14:textFill>
        </w:rPr>
        <w:t>|</w:t>
      </w:r>
      <w:proofErr w:type="gramEnd"/>
      <w:r w:rsidR="00900A77" w:rsidRPr="00900A77">
        <w:t xml:space="preserve"> ITT, intention to treat</w:t>
      </w:r>
    </w:p>
    <w:p w14:paraId="0DCC97BC" w14:textId="2F26898A" w:rsidR="001517C6" w:rsidRPr="007B6175" w:rsidRDefault="001517C6" w:rsidP="001517C6">
      <w:pPr>
        <w:numPr>
          <w:ilvl w:val="1"/>
          <w:numId w:val="1"/>
        </w:numPr>
        <w:spacing w:after="120"/>
        <w:ind w:left="720" w:hanging="720"/>
      </w:pPr>
      <w:r w:rsidRPr="007B6175">
        <w:t xml:space="preserve">A summary of the key drivers of the economic model is presented in </w:t>
      </w:r>
      <w:r w:rsidR="001831E7" w:rsidRPr="007B6175">
        <w:t xml:space="preserve">the table </w:t>
      </w:r>
      <w:r w:rsidRPr="007B6175">
        <w:t>below.</w:t>
      </w:r>
    </w:p>
    <w:p w14:paraId="5D758A4C" w14:textId="4BFF5D04" w:rsidR="008A3CE1" w:rsidRPr="007B6175" w:rsidRDefault="008A3CE1" w:rsidP="00765995">
      <w:pPr>
        <w:pStyle w:val="TableHeading"/>
      </w:pPr>
      <w:r w:rsidRPr="007B6175">
        <w:lastRenderedPageBreak/>
        <w:t xml:space="preserve">Table </w:t>
      </w:r>
      <w:r>
        <w:fldChar w:fldCharType="begin"/>
      </w:r>
      <w:r>
        <w:instrText>SEQ Table \* ARABIC</w:instrText>
      </w:r>
      <w:r>
        <w:fldChar w:fldCharType="separate"/>
      </w:r>
      <w:r w:rsidR="00046698">
        <w:rPr>
          <w:noProof/>
        </w:rPr>
        <w:t>11</w:t>
      </w:r>
      <w:r>
        <w:fldChar w:fldCharType="end"/>
      </w:r>
      <w:r w:rsidR="00B417F5" w:rsidRPr="007B6175">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7"/>
        <w:gridCol w:w="6665"/>
        <w:gridCol w:w="1225"/>
      </w:tblGrid>
      <w:tr w:rsidR="001517C6" w:rsidRPr="007B6175" w14:paraId="5D9E233A" w14:textId="77777777" w:rsidTr="00A36F4A">
        <w:trPr>
          <w:tblHeader/>
        </w:trPr>
        <w:tc>
          <w:tcPr>
            <w:tcW w:w="625" w:type="pct"/>
            <w:shd w:val="clear" w:color="auto" w:fill="auto"/>
            <w:vAlign w:val="center"/>
          </w:tcPr>
          <w:p w14:paraId="56477067" w14:textId="77777777" w:rsidR="001517C6" w:rsidRPr="007B6175" w:rsidRDefault="001517C6" w:rsidP="00CC3879">
            <w:pPr>
              <w:pStyle w:val="Tableheadingrow"/>
              <w:rPr>
                <w:lang w:val="en-AU"/>
              </w:rPr>
            </w:pPr>
            <w:r w:rsidRPr="007B6175">
              <w:rPr>
                <w:lang w:val="en-AU"/>
              </w:rPr>
              <w:t>Description</w:t>
            </w:r>
          </w:p>
        </w:tc>
        <w:tc>
          <w:tcPr>
            <w:tcW w:w="3695" w:type="pct"/>
            <w:shd w:val="clear" w:color="auto" w:fill="auto"/>
            <w:vAlign w:val="center"/>
          </w:tcPr>
          <w:p w14:paraId="0DB001CD" w14:textId="77777777" w:rsidR="001517C6" w:rsidRPr="007B6175" w:rsidRDefault="001517C6" w:rsidP="00CC3879">
            <w:pPr>
              <w:pStyle w:val="Tableheadingrow"/>
              <w:jc w:val="center"/>
              <w:rPr>
                <w:lang w:val="en-AU"/>
              </w:rPr>
            </w:pPr>
            <w:r w:rsidRPr="007B6175">
              <w:rPr>
                <w:lang w:val="en-AU"/>
              </w:rPr>
              <w:t>Method/Value</w:t>
            </w:r>
          </w:p>
        </w:tc>
        <w:tc>
          <w:tcPr>
            <w:tcW w:w="679" w:type="pct"/>
            <w:shd w:val="clear" w:color="auto" w:fill="auto"/>
            <w:vAlign w:val="center"/>
          </w:tcPr>
          <w:p w14:paraId="3441DBE8" w14:textId="77777777" w:rsidR="001517C6" w:rsidRPr="007B6175" w:rsidRDefault="001517C6" w:rsidP="00CC3879">
            <w:pPr>
              <w:pStyle w:val="Tableheadingrow"/>
              <w:jc w:val="center"/>
              <w:rPr>
                <w:lang w:val="en-AU"/>
              </w:rPr>
            </w:pPr>
            <w:r w:rsidRPr="007B6175">
              <w:rPr>
                <w:lang w:val="en-AU"/>
              </w:rPr>
              <w:t>Impact</w:t>
            </w:r>
          </w:p>
        </w:tc>
      </w:tr>
      <w:tr w:rsidR="001517C6" w:rsidRPr="007B6175" w14:paraId="630F914C" w14:textId="77777777" w:rsidTr="00A36F4A">
        <w:tc>
          <w:tcPr>
            <w:tcW w:w="625" w:type="pct"/>
            <w:shd w:val="clear" w:color="auto" w:fill="auto"/>
            <w:vAlign w:val="center"/>
          </w:tcPr>
          <w:p w14:paraId="16BA6102" w14:textId="77777777" w:rsidR="001517C6" w:rsidRPr="007B6175" w:rsidRDefault="001517C6" w:rsidP="00CC3879">
            <w:pPr>
              <w:pStyle w:val="TableText"/>
            </w:pPr>
            <w:r w:rsidRPr="007B6175">
              <w:t>Clinical evidence</w:t>
            </w:r>
          </w:p>
        </w:tc>
        <w:tc>
          <w:tcPr>
            <w:tcW w:w="3695" w:type="pct"/>
            <w:shd w:val="clear" w:color="auto" w:fill="auto"/>
            <w:vAlign w:val="center"/>
          </w:tcPr>
          <w:p w14:paraId="072843A6" w14:textId="34B7ED53" w:rsidR="001517C6" w:rsidRPr="007B6175" w:rsidRDefault="001517C6" w:rsidP="00CC3879">
            <w:pPr>
              <w:pStyle w:val="TableText"/>
              <w:rPr>
                <w:i/>
              </w:rPr>
            </w:pPr>
            <w:r w:rsidRPr="007B6175">
              <w:t xml:space="preserve">The model applied a response-based stopping rule assessed at 3 months, where a response is defined as ≥50% reduction in monthly migraine days from baseline, based on the proportion of patients who achieved this outcome in the relevant subgroup (37.7% in the </w:t>
            </w:r>
            <w:proofErr w:type="spellStart"/>
            <w:r w:rsidRPr="007B6175">
              <w:t>galcanezumab</w:t>
            </w:r>
            <w:proofErr w:type="spellEnd"/>
            <w:r w:rsidRPr="007B6175">
              <w:t xml:space="preserve"> treatment arm). </w:t>
            </w:r>
            <w:r w:rsidRPr="00B663F3">
              <w:t xml:space="preserve">There is a risk that a higher proportion of patients will continue treatment, who still achieve a significant clinical benefit from treatment with </w:t>
            </w:r>
            <w:proofErr w:type="spellStart"/>
            <w:r w:rsidRPr="00B663F3">
              <w:t>galcanezumab</w:t>
            </w:r>
            <w:proofErr w:type="spellEnd"/>
            <w:r w:rsidRPr="00B663F3">
              <w:t xml:space="preserve"> but without achieving the large decrease in migraine days associated with responders in the model (</w:t>
            </w:r>
            <w:r w:rsidR="006E4E58" w:rsidRPr="00B663F3">
              <w:t>i.e.,</w:t>
            </w:r>
            <w:r w:rsidRPr="00B663F3">
              <w:t xml:space="preserve"> those with &lt;50% response rate). The inclusion of patients who do not achieve the large clinical benefit currently attributed to responders in the model is likely to markedly reduce the cost-effectiveness of </w:t>
            </w:r>
            <w:proofErr w:type="spellStart"/>
            <w:r w:rsidRPr="00B663F3">
              <w:t>galcanezumab</w:t>
            </w:r>
            <w:proofErr w:type="spellEnd"/>
            <w:r w:rsidRPr="00B663F3">
              <w:t>, and this remains a substantial area of uncertainty.</w:t>
            </w:r>
            <w:r w:rsidRPr="007B6175">
              <w:rPr>
                <w:i/>
              </w:rPr>
              <w:t xml:space="preserve"> </w:t>
            </w:r>
          </w:p>
        </w:tc>
        <w:tc>
          <w:tcPr>
            <w:tcW w:w="679" w:type="pct"/>
            <w:shd w:val="clear" w:color="auto" w:fill="auto"/>
            <w:vAlign w:val="center"/>
          </w:tcPr>
          <w:p w14:paraId="2EB7FA71" w14:textId="77777777" w:rsidR="001517C6" w:rsidRPr="00B663F3" w:rsidRDefault="001517C6" w:rsidP="00CC3879">
            <w:pPr>
              <w:pStyle w:val="TableText"/>
            </w:pPr>
            <w:r w:rsidRPr="00B663F3">
              <w:t xml:space="preserve">High, favours </w:t>
            </w:r>
            <w:proofErr w:type="spellStart"/>
            <w:r w:rsidRPr="00B663F3">
              <w:t>galcanezumab</w:t>
            </w:r>
            <w:proofErr w:type="spellEnd"/>
          </w:p>
        </w:tc>
      </w:tr>
      <w:tr w:rsidR="004B3EFE" w:rsidRPr="007B6175" w14:paraId="6D0DD93B" w14:textId="77777777" w:rsidTr="00A36F4A">
        <w:tc>
          <w:tcPr>
            <w:tcW w:w="625" w:type="pct"/>
            <w:shd w:val="clear" w:color="auto" w:fill="auto"/>
            <w:vAlign w:val="center"/>
          </w:tcPr>
          <w:p w14:paraId="178165B5" w14:textId="1C520EEF" w:rsidR="004B3EFE" w:rsidRPr="007B6175" w:rsidRDefault="004B3EFE" w:rsidP="00CC3879">
            <w:pPr>
              <w:pStyle w:val="TableText"/>
            </w:pPr>
            <w:r w:rsidRPr="007B6175">
              <w:t>Monthly migraine day distributions</w:t>
            </w:r>
          </w:p>
        </w:tc>
        <w:tc>
          <w:tcPr>
            <w:tcW w:w="3695" w:type="pct"/>
            <w:shd w:val="clear" w:color="auto" w:fill="auto"/>
            <w:vAlign w:val="center"/>
          </w:tcPr>
          <w:p w14:paraId="5A278A5F" w14:textId="31B32D54" w:rsidR="004B3EFE" w:rsidRPr="007B6175" w:rsidRDefault="00C15BA0" w:rsidP="00CC3879">
            <w:pPr>
              <w:pStyle w:val="TableText"/>
            </w:pPr>
            <w:r w:rsidRPr="007B6175">
              <w:t xml:space="preserve">The distribution around the mean was based on a beta binomial distribution, with parameters derived from pooled data from the EVOLVE-1 and EVOLVE-2 trials (patients with episodic migraine with up to 2 prior treatment failures). </w:t>
            </w:r>
            <w:r w:rsidRPr="00B663F3">
              <w:rPr>
                <w:iCs/>
              </w:rPr>
              <w:t xml:space="preserve">The modelled distributions include people with monthly migraine headache days that would be outside of the restriction. At baseline in the economic model, 23.8% of the population </w:t>
            </w:r>
            <w:r w:rsidR="00DC6838" w:rsidRPr="00B663F3">
              <w:rPr>
                <w:iCs/>
              </w:rPr>
              <w:t>were experiencing</w:t>
            </w:r>
            <w:r w:rsidRPr="00B663F3">
              <w:rPr>
                <w:iCs/>
              </w:rPr>
              <w:t xml:space="preserve"> 0-7 </w:t>
            </w:r>
            <w:r w:rsidR="004C6727" w:rsidRPr="00B663F3">
              <w:rPr>
                <w:iCs/>
              </w:rPr>
              <w:t>monthly migraine headache days</w:t>
            </w:r>
            <w:r w:rsidRPr="00B663F3">
              <w:rPr>
                <w:iCs/>
              </w:rPr>
              <w:t xml:space="preserve">, and 19.7% </w:t>
            </w:r>
            <w:r w:rsidR="00DC6838" w:rsidRPr="00B663F3">
              <w:rPr>
                <w:iCs/>
              </w:rPr>
              <w:t xml:space="preserve">were </w:t>
            </w:r>
            <w:r w:rsidRPr="00B663F3">
              <w:rPr>
                <w:iCs/>
              </w:rPr>
              <w:t>experienc</w:t>
            </w:r>
            <w:r w:rsidR="00DC6838" w:rsidRPr="00B663F3">
              <w:rPr>
                <w:iCs/>
              </w:rPr>
              <w:t>ing</w:t>
            </w:r>
            <w:r w:rsidRPr="00B663F3">
              <w:rPr>
                <w:iCs/>
              </w:rPr>
              <w:t xml:space="preserve"> ≥15 </w:t>
            </w:r>
            <w:r w:rsidR="004C6727" w:rsidRPr="00B663F3">
              <w:rPr>
                <w:iCs/>
              </w:rPr>
              <w:t>monthly migraine headache days</w:t>
            </w:r>
            <w:r w:rsidRPr="00B663F3">
              <w:rPr>
                <w:iCs/>
              </w:rPr>
              <w:t>. Given that costs and outcomes in the model are derived from these distributions, the results may not reflect the costs and outcomes for patients with high frequency episodic migraine with 8 to 14 monthly migraine days per month.</w:t>
            </w:r>
          </w:p>
        </w:tc>
        <w:tc>
          <w:tcPr>
            <w:tcW w:w="679" w:type="pct"/>
            <w:shd w:val="clear" w:color="auto" w:fill="auto"/>
            <w:vAlign w:val="center"/>
          </w:tcPr>
          <w:p w14:paraId="39F45280" w14:textId="53EFF9A2" w:rsidR="004B3EFE" w:rsidRPr="00B663F3" w:rsidRDefault="009C62A4" w:rsidP="00CC3879">
            <w:pPr>
              <w:pStyle w:val="TableText"/>
            </w:pPr>
            <w:r w:rsidRPr="00B663F3">
              <w:t>Uncertain</w:t>
            </w:r>
            <w:r w:rsidR="00C15BA0" w:rsidRPr="00B663F3">
              <w:t xml:space="preserve"> </w:t>
            </w:r>
          </w:p>
        </w:tc>
      </w:tr>
      <w:tr w:rsidR="001517C6" w:rsidRPr="007B6175" w14:paraId="2577CF9C" w14:textId="77777777" w:rsidTr="00A36F4A">
        <w:tc>
          <w:tcPr>
            <w:tcW w:w="625" w:type="pct"/>
            <w:shd w:val="clear" w:color="auto" w:fill="auto"/>
            <w:vAlign w:val="center"/>
          </w:tcPr>
          <w:p w14:paraId="6745FF0D" w14:textId="77777777" w:rsidR="001517C6" w:rsidRPr="007B6175" w:rsidRDefault="001517C6" w:rsidP="00CC3879">
            <w:pPr>
              <w:pStyle w:val="TableText"/>
            </w:pPr>
            <w:r w:rsidRPr="007B6175">
              <w:t>Extrapolation</w:t>
            </w:r>
          </w:p>
        </w:tc>
        <w:tc>
          <w:tcPr>
            <w:tcW w:w="3695" w:type="pct"/>
            <w:shd w:val="clear" w:color="auto" w:fill="auto"/>
            <w:vAlign w:val="center"/>
          </w:tcPr>
          <w:p w14:paraId="03568BE3" w14:textId="1DDB4971" w:rsidR="001517C6" w:rsidRPr="007B6175" w:rsidRDefault="001517C6" w:rsidP="00CC3879">
            <w:pPr>
              <w:pStyle w:val="TableText"/>
              <w:rPr>
                <w:i/>
              </w:rPr>
            </w:pPr>
            <w:r w:rsidRPr="007B6175">
              <w:t xml:space="preserve">The economic model assumed ongoing treatment for responders for the life of the model, with patients who met response criteria at </w:t>
            </w:r>
            <w:r w:rsidR="0062004C" w:rsidRPr="007B6175">
              <w:t>C</w:t>
            </w:r>
            <w:r w:rsidRPr="007B6175">
              <w:t>ycle 3 only subsequently able to discontinue due to adverse events or death.</w:t>
            </w:r>
            <w:r w:rsidR="0062004C" w:rsidRPr="007B6175">
              <w:t xml:space="preserve"> Mean monthly migraine headache day reductions reported for the high frequency episodic migraine with 3 to 4 prior treatment failures at 3 months were extrapolated to 5 years in the model. </w:t>
            </w:r>
            <w:r w:rsidR="0062004C" w:rsidRPr="00B663F3">
              <w:rPr>
                <w:iCs/>
              </w:rPr>
              <w:t>However, there is a lack of long-term clinical evidence to support this assumption.</w:t>
            </w:r>
          </w:p>
        </w:tc>
        <w:tc>
          <w:tcPr>
            <w:tcW w:w="679" w:type="pct"/>
            <w:shd w:val="clear" w:color="auto" w:fill="auto"/>
            <w:vAlign w:val="center"/>
          </w:tcPr>
          <w:p w14:paraId="2A41481A" w14:textId="77777777" w:rsidR="001517C6" w:rsidRPr="00B663F3" w:rsidRDefault="001517C6" w:rsidP="00CC3879">
            <w:pPr>
              <w:pStyle w:val="TableText"/>
            </w:pPr>
            <w:r w:rsidRPr="00B663F3">
              <w:t xml:space="preserve">High, favours </w:t>
            </w:r>
            <w:proofErr w:type="spellStart"/>
            <w:r w:rsidRPr="00B663F3">
              <w:t>galcanezumab</w:t>
            </w:r>
            <w:proofErr w:type="spellEnd"/>
          </w:p>
        </w:tc>
      </w:tr>
      <w:tr w:rsidR="001517C6" w:rsidRPr="007B6175" w14:paraId="2C5CB615" w14:textId="77777777" w:rsidTr="00A36F4A">
        <w:tc>
          <w:tcPr>
            <w:tcW w:w="625" w:type="pct"/>
            <w:shd w:val="clear" w:color="auto" w:fill="auto"/>
            <w:vAlign w:val="center"/>
          </w:tcPr>
          <w:p w14:paraId="00645610" w14:textId="77777777" w:rsidR="001517C6" w:rsidRPr="007B6175" w:rsidRDefault="001517C6" w:rsidP="00CC3879">
            <w:pPr>
              <w:pStyle w:val="TableText"/>
            </w:pPr>
            <w:r w:rsidRPr="007B6175">
              <w:t>Utilities</w:t>
            </w:r>
          </w:p>
        </w:tc>
        <w:tc>
          <w:tcPr>
            <w:tcW w:w="3695" w:type="pct"/>
            <w:shd w:val="clear" w:color="auto" w:fill="auto"/>
            <w:vAlign w:val="center"/>
          </w:tcPr>
          <w:p w14:paraId="244654BE" w14:textId="4FC86277" w:rsidR="001517C6" w:rsidRPr="007B6175" w:rsidRDefault="001517C6" w:rsidP="00CC3879">
            <w:pPr>
              <w:pStyle w:val="TableText"/>
            </w:pPr>
            <w:r w:rsidRPr="007B6175">
              <w:t xml:space="preserve">The utility values were based on a subgroup analysis of patients with episodic or chronic migraine with </w:t>
            </w:r>
            <w:r w:rsidR="0062004C" w:rsidRPr="007B6175">
              <w:t>3 to 4</w:t>
            </w:r>
            <w:r w:rsidRPr="007B6175">
              <w:t xml:space="preserve"> treatment failures from the CONQUER trial. </w:t>
            </w:r>
            <w:r w:rsidRPr="00B663F3">
              <w:t>It is unclear whether it was appropriate to include utilities based on populations who would be outside of the restriction (</w:t>
            </w:r>
            <w:r w:rsidR="006E4E58" w:rsidRPr="00B663F3">
              <w:t>i.e.,</w:t>
            </w:r>
            <w:r w:rsidRPr="00B663F3">
              <w:t xml:space="preserve"> patients with chronic migraine). An improvement in utility associated with </w:t>
            </w:r>
            <w:proofErr w:type="spellStart"/>
            <w:r w:rsidRPr="00B663F3">
              <w:t>galcanezumab</w:t>
            </w:r>
            <w:proofErr w:type="spellEnd"/>
            <w:r w:rsidRPr="00B663F3">
              <w:t xml:space="preserve"> treatment independent of the number of monthly migraine days was applied in the model. This may duplicate the benefit of treatment in the model. Applying baseline utilities for each MHD to the ‘on-treatment’ health states significantly increased the ICER</w:t>
            </w:r>
            <w:r w:rsidRPr="007B6175">
              <w:rPr>
                <w:i/>
              </w:rPr>
              <w:t>.</w:t>
            </w:r>
          </w:p>
        </w:tc>
        <w:tc>
          <w:tcPr>
            <w:tcW w:w="679" w:type="pct"/>
            <w:shd w:val="clear" w:color="auto" w:fill="auto"/>
            <w:vAlign w:val="center"/>
          </w:tcPr>
          <w:p w14:paraId="392DC7F4" w14:textId="77777777" w:rsidR="001517C6" w:rsidRPr="00B663F3" w:rsidRDefault="001517C6" w:rsidP="00CC3879">
            <w:pPr>
              <w:pStyle w:val="TableText"/>
              <w:rPr>
                <w:iCs/>
              </w:rPr>
            </w:pPr>
            <w:r w:rsidRPr="00B663F3">
              <w:rPr>
                <w:iCs/>
              </w:rPr>
              <w:t xml:space="preserve">High, favours </w:t>
            </w:r>
            <w:proofErr w:type="spellStart"/>
            <w:r w:rsidRPr="00B663F3">
              <w:rPr>
                <w:iCs/>
              </w:rPr>
              <w:t>galcanezumab</w:t>
            </w:r>
            <w:proofErr w:type="spellEnd"/>
          </w:p>
        </w:tc>
      </w:tr>
    </w:tbl>
    <w:p w14:paraId="7BC20051" w14:textId="03F2F309" w:rsidR="001517C6" w:rsidRPr="007B6175" w:rsidRDefault="001517C6" w:rsidP="001517C6">
      <w:pPr>
        <w:pStyle w:val="TableFigureFooter"/>
      </w:pPr>
      <w:r w:rsidRPr="007B6175">
        <w:t xml:space="preserve">Source: Compiled from Section 3 of the </w:t>
      </w:r>
      <w:r w:rsidR="004B3EFE" w:rsidRPr="007B6175">
        <w:t>re</w:t>
      </w:r>
      <w:r w:rsidRPr="007B6175">
        <w:t>submission</w:t>
      </w:r>
    </w:p>
    <w:p w14:paraId="4450086A" w14:textId="78870C6A" w:rsidR="001517C6" w:rsidRPr="007B6175" w:rsidRDefault="004B3EFE" w:rsidP="00340E3E">
      <w:pPr>
        <w:pStyle w:val="ExecSumBodyText"/>
      </w:pPr>
      <w:r w:rsidRPr="007B6175">
        <w:t xml:space="preserve">Patients enter the model with an average of 10.86 migraine headache days per month (baseline). After 3 months of treatment, patients who achieve a ≥50% reduction in migraine days experience an average of 3.49 migraine headache days for </w:t>
      </w:r>
      <w:proofErr w:type="spellStart"/>
      <w:r w:rsidRPr="007B6175">
        <w:t>galcanezumab</w:t>
      </w:r>
      <w:proofErr w:type="spellEnd"/>
      <w:r w:rsidRPr="007B6175">
        <w:t xml:space="preserve">-treated patients and </w:t>
      </w:r>
      <w:r w:rsidR="008E13EC" w:rsidRPr="007B6175">
        <w:t>1.99</w:t>
      </w:r>
      <w:r w:rsidRPr="007B6175">
        <w:t xml:space="preserve"> migraine headache days for best supportive care patients. Patients who discontinue treatment due to non-response after 3 months of treatment have a one month change in mean migraine headache days (-</w:t>
      </w:r>
      <w:r w:rsidR="008E13EC" w:rsidRPr="007B6175">
        <w:t>2</w:t>
      </w:r>
      <w:r w:rsidRPr="007B6175">
        <w:t>.</w:t>
      </w:r>
      <w:r w:rsidR="008E13EC" w:rsidRPr="007B6175">
        <w:t>3</w:t>
      </w:r>
      <w:r w:rsidRPr="007B6175">
        <w:t xml:space="preserve">1 for </w:t>
      </w:r>
      <w:proofErr w:type="spellStart"/>
      <w:r w:rsidRPr="007B6175">
        <w:t>galcanezumab</w:t>
      </w:r>
      <w:proofErr w:type="spellEnd"/>
      <w:r w:rsidRPr="007B6175">
        <w:t xml:space="preserve">; </w:t>
      </w:r>
      <w:r w:rsidR="008E13EC" w:rsidRPr="007B6175">
        <w:t>-0.22</w:t>
      </w:r>
      <w:r w:rsidRPr="007B6175">
        <w:t xml:space="preserve"> for best supportive care) before returning to baseline. Patients who discontinue treatment due to adverse events over the duration of the model return to baseline migraine headache days over 13 months.</w:t>
      </w:r>
    </w:p>
    <w:p w14:paraId="6FF43D0F" w14:textId="0A6FB88B" w:rsidR="001B20C8" w:rsidRPr="007B6175" w:rsidRDefault="001B20C8" w:rsidP="00340E3E">
      <w:pPr>
        <w:pStyle w:val="ExecSumBodyText"/>
      </w:pPr>
      <w:r w:rsidRPr="007B6175">
        <w:rPr>
          <w:lang w:eastAsia="en-US"/>
        </w:rPr>
        <w:t xml:space="preserve">Modelled distributions were based on the placebo group in the EVOLVE studies. The average modelled distributions of </w:t>
      </w:r>
      <w:r w:rsidR="00F80E2C" w:rsidRPr="007B6175">
        <w:rPr>
          <w:lang w:eastAsia="en-US"/>
        </w:rPr>
        <w:t>monthly migraine headache days</w:t>
      </w:r>
      <w:r w:rsidRPr="007B6175">
        <w:rPr>
          <w:lang w:eastAsia="en-US"/>
        </w:rPr>
        <w:t xml:space="preserve"> used in the economic model are summarised in Figure 1.</w:t>
      </w:r>
    </w:p>
    <w:p w14:paraId="7AA66D80" w14:textId="2C7B05F8" w:rsidR="008A3CE1" w:rsidRPr="007B6175" w:rsidRDefault="008A3CE1" w:rsidP="00765995">
      <w:pPr>
        <w:pStyle w:val="TableHeading"/>
      </w:pPr>
      <w:r w:rsidRPr="007B6175">
        <w:lastRenderedPageBreak/>
        <w:t xml:space="preserve">Figure </w:t>
      </w:r>
      <w:r>
        <w:fldChar w:fldCharType="begin"/>
      </w:r>
      <w:r>
        <w:instrText>SEQ Figure \* ARABIC</w:instrText>
      </w:r>
      <w:r>
        <w:fldChar w:fldCharType="separate"/>
      </w:r>
      <w:r w:rsidR="00046698">
        <w:rPr>
          <w:noProof/>
        </w:rPr>
        <w:t>1</w:t>
      </w:r>
      <w:r>
        <w:fldChar w:fldCharType="end"/>
      </w:r>
      <w:r w:rsidR="00B417F5" w:rsidRPr="007B6175">
        <w:rPr>
          <w:snapToGrid w:val="0"/>
        </w:rPr>
        <w:t>: Mean predicted distributions of migraine headache days per cycle by heath state (post response assessment)</w:t>
      </w:r>
    </w:p>
    <w:p w14:paraId="63F74D00" w14:textId="689B2D35" w:rsidR="001B20C8" w:rsidRPr="007B6175" w:rsidRDefault="0094476C" w:rsidP="001B20C8">
      <w:pPr>
        <w:pStyle w:val="TableFooter"/>
      </w:pPr>
      <w:r>
        <w:rPr>
          <w:noProof/>
        </w:rPr>
        <w:drawing>
          <wp:inline distT="0" distB="0" distL="0" distR="0" wp14:anchorId="74DF00BC" wp14:editId="4E7CEB51">
            <wp:extent cx="5732145" cy="3934460"/>
            <wp:effectExtent l="0" t="0" r="1905" b="8890"/>
            <wp:docPr id="14" name="Chart 14" descr="Figure 1: Mean predicted distributions of migraine headache days per cycle by heath state (post response assessment)">
              <a:extLst xmlns:a="http://schemas.openxmlformats.org/drawingml/2006/main">
                <a:ext uri="{FF2B5EF4-FFF2-40B4-BE49-F238E27FC236}">
                  <a16:creationId xmlns:a16="http://schemas.microsoft.com/office/drawing/2014/main" id="{43D2BCBA-4AF4-445A-8C15-8B1469C862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roofErr w:type="gramStart"/>
      <w:r w:rsidR="004C3CC2" w:rsidRPr="004C3CC2">
        <w:rPr>
          <w:color w:val="000000"/>
          <w:spacing w:val="37"/>
          <w:shd w:val="solid" w:color="000000" w:fill="000000"/>
          <w:fitText w:val="270" w:id="-1504954356"/>
          <w14:textFill>
            <w14:solidFill>
              <w14:srgbClr w14:val="000000">
                <w14:alpha w14:val="100000"/>
              </w14:srgbClr>
            </w14:solidFill>
          </w14:textFill>
        </w:rPr>
        <w:t xml:space="preserve">|  </w:t>
      </w:r>
      <w:r w:rsidR="004C3CC2" w:rsidRPr="004C3CC2">
        <w:rPr>
          <w:color w:val="000000"/>
          <w:spacing w:val="1"/>
          <w:shd w:val="solid" w:color="000000" w:fill="000000"/>
          <w:fitText w:val="270" w:id="-1504954356"/>
          <w14:textFill>
            <w14:solidFill>
              <w14:srgbClr w14:val="000000">
                <w14:alpha w14:val="100000"/>
              </w14:srgbClr>
            </w14:solidFill>
          </w14:textFill>
        </w:rPr>
        <w:t>|</w:t>
      </w:r>
      <w:proofErr w:type="gramEnd"/>
      <w:r w:rsidR="001B20C8" w:rsidRPr="007B6175">
        <w:t>Source: Constructed during the evaluation using the Section 3 economic model.</w:t>
      </w:r>
    </w:p>
    <w:p w14:paraId="075F1321" w14:textId="1A8174CC" w:rsidR="001B20C8" w:rsidRDefault="001B20C8" w:rsidP="001B20C8">
      <w:pPr>
        <w:pStyle w:val="TableFooter"/>
      </w:pPr>
      <w:r w:rsidRPr="007B6175">
        <w:t>Abbreviations: AE, adverse event; BSC, best supportive care; MHD, migraine headache day.</w:t>
      </w:r>
    </w:p>
    <w:p w14:paraId="5550066E" w14:textId="77777777" w:rsidR="00B063B0" w:rsidRPr="004C3CC2" w:rsidRDefault="00B063B0" w:rsidP="00B063B0">
      <w:pPr>
        <w:pStyle w:val="CommentText"/>
        <w:rPr>
          <w:rFonts w:ascii="Arial Narrow" w:hAnsi="Arial Narrow"/>
          <w:snapToGrid w:val="0"/>
          <w:sz w:val="18"/>
          <w:szCs w:val="22"/>
          <w:lang w:eastAsia="en-US"/>
        </w:rPr>
      </w:pPr>
      <w:r w:rsidRPr="004C3CC2">
        <w:rPr>
          <w:rFonts w:ascii="Arial Narrow" w:hAnsi="Arial Narrow"/>
          <w:snapToGrid w:val="0"/>
          <w:sz w:val="18"/>
          <w:szCs w:val="22"/>
          <w:lang w:eastAsia="en-US"/>
        </w:rPr>
        <w:t>Note that the results presented in Figure 1 are derived during the evaluation by the PBAC specifically for the purposes of informing the PBAC consideration. Interpretation of the results and their application should therefore be limited to seeking to understand the basis for the PBAC outcome and should not be used for any other purpose.</w:t>
      </w:r>
    </w:p>
    <w:p w14:paraId="736A6FCD" w14:textId="77777777" w:rsidR="00B063B0" w:rsidRPr="007B6175" w:rsidRDefault="00B063B0" w:rsidP="001B20C8">
      <w:pPr>
        <w:pStyle w:val="TableFooter"/>
      </w:pPr>
    </w:p>
    <w:p w14:paraId="16E22704" w14:textId="517701E4" w:rsidR="001B20C8" w:rsidRPr="00B663F3" w:rsidRDefault="001B20C8" w:rsidP="00340E3E">
      <w:pPr>
        <w:pStyle w:val="ExecSumBodyText"/>
      </w:pPr>
      <w:r w:rsidRPr="00B663F3">
        <w:t xml:space="preserve">The modelled mean distributions over a 5-year time horizon highlight the low monthly migraine headache days associated </w:t>
      </w:r>
      <w:r w:rsidR="00EA1C91" w:rsidRPr="00B663F3">
        <w:t>with</w:t>
      </w:r>
      <w:r w:rsidRPr="00B663F3">
        <w:t xml:space="preserve"> patients in the responder health states, most of whom achieved 0, 1, or 2 migraine headache days per cycle. Patients who discontinued </w:t>
      </w:r>
      <w:proofErr w:type="spellStart"/>
      <w:r w:rsidRPr="00B663F3">
        <w:t>galcanezumab</w:t>
      </w:r>
      <w:proofErr w:type="spellEnd"/>
      <w:r w:rsidRPr="00B663F3">
        <w:t xml:space="preserve"> due to an adverse event, and non-responders in both arms accrued more monthly migraine headache days in each cycle. </w:t>
      </w:r>
    </w:p>
    <w:p w14:paraId="38EFFBF0" w14:textId="6EA5821C" w:rsidR="00582060" w:rsidRPr="00B663F3" w:rsidRDefault="00582060" w:rsidP="00340E3E">
      <w:pPr>
        <w:pStyle w:val="ExecSumBodyText"/>
      </w:pPr>
      <w:r w:rsidRPr="00B663F3">
        <w:t>The utilities applied in the model are summarised in the table below.</w:t>
      </w:r>
    </w:p>
    <w:p w14:paraId="19555F34" w14:textId="55553490" w:rsidR="008A3CE1" w:rsidRPr="007B6175" w:rsidRDefault="008A3CE1" w:rsidP="00765995">
      <w:pPr>
        <w:pStyle w:val="TableHeading"/>
      </w:pPr>
      <w:bookmarkStart w:id="41" w:name="_Ref96337022"/>
      <w:r w:rsidRPr="007B6175">
        <w:lastRenderedPageBreak/>
        <w:t xml:space="preserve">Table </w:t>
      </w:r>
      <w:r>
        <w:fldChar w:fldCharType="begin"/>
      </w:r>
      <w:r>
        <w:instrText>SEQ Table \* ARABIC</w:instrText>
      </w:r>
      <w:r>
        <w:fldChar w:fldCharType="separate"/>
      </w:r>
      <w:r w:rsidR="00046698">
        <w:rPr>
          <w:noProof/>
        </w:rPr>
        <w:t>12</w:t>
      </w:r>
      <w:r>
        <w:fldChar w:fldCharType="end"/>
      </w:r>
      <w:bookmarkEnd w:id="41"/>
      <w:r w:rsidR="00B417F5" w:rsidRPr="007B6175">
        <w:t>: Average utility estimates in the economic model</w:t>
      </w:r>
    </w:p>
    <w:tbl>
      <w:tblPr>
        <w:tblStyle w:val="TableGrid"/>
        <w:tblW w:w="0" w:type="auto"/>
        <w:tblCellMar>
          <w:left w:w="28" w:type="dxa"/>
          <w:right w:w="28" w:type="dxa"/>
        </w:tblCellMar>
        <w:tblLook w:val="04A0" w:firstRow="1" w:lastRow="0" w:firstColumn="1" w:lastColumn="0" w:noHBand="0" w:noVBand="1"/>
      </w:tblPr>
      <w:tblGrid>
        <w:gridCol w:w="1555"/>
        <w:gridCol w:w="1275"/>
        <w:gridCol w:w="993"/>
        <w:gridCol w:w="5183"/>
      </w:tblGrid>
      <w:tr w:rsidR="00582060" w:rsidRPr="007B6175" w14:paraId="3B17321F" w14:textId="77777777" w:rsidTr="00F75DE5">
        <w:tc>
          <w:tcPr>
            <w:tcW w:w="1555" w:type="dxa"/>
          </w:tcPr>
          <w:p w14:paraId="69A109EA" w14:textId="77777777" w:rsidR="00582060" w:rsidRPr="007B6175" w:rsidRDefault="00582060" w:rsidP="00F75DE5">
            <w:pPr>
              <w:keepNext/>
              <w:jc w:val="left"/>
              <w:rPr>
                <w:rFonts w:ascii="Arial Narrow" w:hAnsi="Arial Narrow"/>
                <w:b/>
                <w:sz w:val="20"/>
                <w:szCs w:val="20"/>
              </w:rPr>
            </w:pPr>
            <w:r w:rsidRPr="007B6175">
              <w:rPr>
                <w:rFonts w:ascii="Arial Narrow" w:hAnsi="Arial Narrow"/>
                <w:b/>
                <w:sz w:val="20"/>
                <w:szCs w:val="20"/>
              </w:rPr>
              <w:t>Health state/cycle</w:t>
            </w:r>
          </w:p>
        </w:tc>
        <w:tc>
          <w:tcPr>
            <w:tcW w:w="1275" w:type="dxa"/>
          </w:tcPr>
          <w:p w14:paraId="62064D24" w14:textId="77777777" w:rsidR="00582060" w:rsidRPr="007B6175" w:rsidRDefault="00582060" w:rsidP="00F75DE5">
            <w:pPr>
              <w:keepNext/>
              <w:jc w:val="center"/>
              <w:rPr>
                <w:rFonts w:ascii="Arial Narrow" w:hAnsi="Arial Narrow"/>
                <w:b/>
                <w:sz w:val="20"/>
                <w:szCs w:val="20"/>
              </w:rPr>
            </w:pPr>
            <w:proofErr w:type="spellStart"/>
            <w:r w:rsidRPr="007B6175">
              <w:rPr>
                <w:rFonts w:ascii="Arial Narrow" w:hAnsi="Arial Narrow"/>
                <w:b/>
                <w:sz w:val="20"/>
                <w:szCs w:val="20"/>
              </w:rPr>
              <w:t>Galcanezumab</w:t>
            </w:r>
            <w:proofErr w:type="spellEnd"/>
          </w:p>
        </w:tc>
        <w:tc>
          <w:tcPr>
            <w:tcW w:w="993" w:type="dxa"/>
          </w:tcPr>
          <w:p w14:paraId="26CA56F0" w14:textId="77777777" w:rsidR="00582060" w:rsidRPr="007B6175" w:rsidRDefault="00582060" w:rsidP="00F75DE5">
            <w:pPr>
              <w:keepNext/>
              <w:jc w:val="center"/>
              <w:rPr>
                <w:rFonts w:ascii="Arial Narrow" w:hAnsi="Arial Narrow"/>
                <w:b/>
                <w:sz w:val="20"/>
                <w:szCs w:val="20"/>
              </w:rPr>
            </w:pPr>
            <w:r w:rsidRPr="007B6175">
              <w:rPr>
                <w:rFonts w:ascii="Arial Narrow" w:hAnsi="Arial Narrow"/>
                <w:b/>
                <w:sz w:val="20"/>
                <w:szCs w:val="20"/>
              </w:rPr>
              <w:t>BSC</w:t>
            </w:r>
          </w:p>
        </w:tc>
        <w:tc>
          <w:tcPr>
            <w:tcW w:w="5183" w:type="dxa"/>
          </w:tcPr>
          <w:p w14:paraId="3B760E81" w14:textId="77777777" w:rsidR="00582060" w:rsidRPr="007B6175" w:rsidRDefault="00582060" w:rsidP="00F75DE5">
            <w:pPr>
              <w:keepNext/>
              <w:jc w:val="center"/>
              <w:rPr>
                <w:rFonts w:ascii="Arial Narrow" w:hAnsi="Arial Narrow"/>
                <w:b/>
                <w:sz w:val="20"/>
                <w:szCs w:val="20"/>
              </w:rPr>
            </w:pPr>
            <w:r w:rsidRPr="007B6175">
              <w:rPr>
                <w:rFonts w:ascii="Arial Narrow" w:hAnsi="Arial Narrow"/>
                <w:b/>
                <w:sz w:val="20"/>
                <w:szCs w:val="20"/>
              </w:rPr>
              <w:t>Source</w:t>
            </w:r>
          </w:p>
        </w:tc>
      </w:tr>
      <w:tr w:rsidR="00582060" w:rsidRPr="007B6175" w14:paraId="5AE7CD51" w14:textId="77777777" w:rsidTr="00F75DE5">
        <w:tc>
          <w:tcPr>
            <w:tcW w:w="9006" w:type="dxa"/>
            <w:gridSpan w:val="4"/>
          </w:tcPr>
          <w:p w14:paraId="03EA9F24" w14:textId="77777777" w:rsidR="00582060" w:rsidRPr="007B6175" w:rsidRDefault="00582060" w:rsidP="00F75DE5">
            <w:pPr>
              <w:pStyle w:val="Tabletext0"/>
              <w:keepNext/>
              <w:rPr>
                <w:b/>
              </w:rPr>
            </w:pPr>
            <w:r w:rsidRPr="007B6175">
              <w:rPr>
                <w:b/>
              </w:rPr>
              <w:t>Prior to response assessment</w:t>
            </w:r>
          </w:p>
        </w:tc>
      </w:tr>
      <w:tr w:rsidR="00582060" w:rsidRPr="007B6175" w14:paraId="57DCD751" w14:textId="77777777" w:rsidTr="00F75DE5">
        <w:trPr>
          <w:trHeight w:val="295"/>
        </w:trPr>
        <w:tc>
          <w:tcPr>
            <w:tcW w:w="1555" w:type="dxa"/>
            <w:tcBorders>
              <w:bottom w:val="nil"/>
            </w:tcBorders>
          </w:tcPr>
          <w:p w14:paraId="09BC80D5" w14:textId="77777777" w:rsidR="00582060" w:rsidRPr="007B6175" w:rsidRDefault="00582060" w:rsidP="00F75DE5">
            <w:pPr>
              <w:pStyle w:val="TableText"/>
            </w:pPr>
            <w:r w:rsidRPr="007B6175">
              <w:t>On treatment</w:t>
            </w:r>
          </w:p>
        </w:tc>
        <w:tc>
          <w:tcPr>
            <w:tcW w:w="1275" w:type="dxa"/>
            <w:tcBorders>
              <w:bottom w:val="nil"/>
            </w:tcBorders>
          </w:tcPr>
          <w:p w14:paraId="1FA72E24" w14:textId="77777777" w:rsidR="00582060" w:rsidRPr="007B6175" w:rsidRDefault="00582060" w:rsidP="00F75DE5">
            <w:pPr>
              <w:pStyle w:val="TableText"/>
            </w:pPr>
          </w:p>
        </w:tc>
        <w:tc>
          <w:tcPr>
            <w:tcW w:w="993" w:type="dxa"/>
            <w:tcBorders>
              <w:bottom w:val="nil"/>
            </w:tcBorders>
          </w:tcPr>
          <w:p w14:paraId="6BA1EED8" w14:textId="77777777" w:rsidR="00582060" w:rsidRPr="007B6175" w:rsidRDefault="00582060" w:rsidP="00F75DE5">
            <w:pPr>
              <w:pStyle w:val="TableText"/>
            </w:pPr>
          </w:p>
        </w:tc>
        <w:tc>
          <w:tcPr>
            <w:tcW w:w="5183" w:type="dxa"/>
            <w:vMerge w:val="restart"/>
          </w:tcPr>
          <w:p w14:paraId="3E54D785" w14:textId="73300A4B" w:rsidR="00582060" w:rsidRPr="007B6175" w:rsidRDefault="00582060" w:rsidP="00F75DE5">
            <w:pPr>
              <w:pStyle w:val="TableText"/>
            </w:pPr>
            <w:r w:rsidRPr="007B6175">
              <w:t xml:space="preserve">Based on distribution </w:t>
            </w:r>
            <w:r w:rsidRPr="00554F58">
              <w:t xml:space="preserve">of headache days associated with baseline migraine headache days per </w:t>
            </w:r>
            <w:r w:rsidRPr="007B6175">
              <w:t>month (10.86); multiplied by corresponding baseline utilities in cycle 1; and by response utilities (which vary by treatment arm) in cycles 2 and 3</w:t>
            </w:r>
          </w:p>
        </w:tc>
      </w:tr>
      <w:tr w:rsidR="00582060" w:rsidRPr="007B6175" w14:paraId="49BE55D1" w14:textId="77777777" w:rsidTr="00F75DE5">
        <w:trPr>
          <w:trHeight w:val="75"/>
        </w:trPr>
        <w:tc>
          <w:tcPr>
            <w:tcW w:w="1555" w:type="dxa"/>
            <w:tcBorders>
              <w:top w:val="nil"/>
              <w:bottom w:val="nil"/>
            </w:tcBorders>
          </w:tcPr>
          <w:p w14:paraId="4E3D1BA3" w14:textId="77777777" w:rsidR="00582060" w:rsidRPr="007B6175" w:rsidRDefault="00582060" w:rsidP="00F75DE5">
            <w:pPr>
              <w:pStyle w:val="TableText"/>
            </w:pPr>
            <w:r w:rsidRPr="007B6175">
              <w:t>- Cycle 1</w:t>
            </w:r>
          </w:p>
        </w:tc>
        <w:tc>
          <w:tcPr>
            <w:tcW w:w="1275" w:type="dxa"/>
            <w:tcBorders>
              <w:top w:val="nil"/>
              <w:bottom w:val="nil"/>
            </w:tcBorders>
            <w:vAlign w:val="center"/>
          </w:tcPr>
          <w:p w14:paraId="195A148F" w14:textId="77777777" w:rsidR="00582060" w:rsidRPr="007B6175" w:rsidRDefault="00582060" w:rsidP="00F75DE5">
            <w:pPr>
              <w:pStyle w:val="TableText"/>
              <w:jc w:val="center"/>
            </w:pPr>
            <w:r w:rsidRPr="007B6175">
              <w:t>0.5849</w:t>
            </w:r>
          </w:p>
        </w:tc>
        <w:tc>
          <w:tcPr>
            <w:tcW w:w="993" w:type="dxa"/>
            <w:tcBorders>
              <w:top w:val="nil"/>
              <w:bottom w:val="nil"/>
            </w:tcBorders>
            <w:vAlign w:val="center"/>
          </w:tcPr>
          <w:p w14:paraId="2FD36B58" w14:textId="77777777" w:rsidR="00582060" w:rsidRPr="007B6175" w:rsidRDefault="00582060" w:rsidP="00F75DE5">
            <w:pPr>
              <w:pStyle w:val="TableText"/>
              <w:jc w:val="center"/>
            </w:pPr>
            <w:r w:rsidRPr="007B6175">
              <w:t>0.5849</w:t>
            </w:r>
          </w:p>
        </w:tc>
        <w:tc>
          <w:tcPr>
            <w:tcW w:w="5183" w:type="dxa"/>
            <w:vMerge/>
          </w:tcPr>
          <w:p w14:paraId="5CC9EE0D" w14:textId="77777777" w:rsidR="00582060" w:rsidRPr="007B6175" w:rsidRDefault="00582060" w:rsidP="00F75DE5">
            <w:pPr>
              <w:pStyle w:val="TableText"/>
            </w:pPr>
          </w:p>
        </w:tc>
      </w:tr>
      <w:tr w:rsidR="00582060" w:rsidRPr="007B6175" w14:paraId="57EA7F45" w14:textId="77777777" w:rsidTr="00F75DE5">
        <w:trPr>
          <w:trHeight w:val="249"/>
        </w:trPr>
        <w:tc>
          <w:tcPr>
            <w:tcW w:w="1555" w:type="dxa"/>
            <w:tcBorders>
              <w:top w:val="nil"/>
              <w:bottom w:val="single" w:sz="4" w:space="0" w:color="auto"/>
            </w:tcBorders>
            <w:vAlign w:val="center"/>
          </w:tcPr>
          <w:p w14:paraId="25EF1EC0" w14:textId="77777777" w:rsidR="00582060" w:rsidRPr="007B6175" w:rsidRDefault="00582060" w:rsidP="00F75DE5">
            <w:pPr>
              <w:pStyle w:val="TableText"/>
            </w:pPr>
            <w:r w:rsidRPr="007B6175">
              <w:t>- Cycle 2-3</w:t>
            </w:r>
          </w:p>
        </w:tc>
        <w:tc>
          <w:tcPr>
            <w:tcW w:w="1275" w:type="dxa"/>
            <w:tcBorders>
              <w:top w:val="nil"/>
              <w:bottom w:val="single" w:sz="4" w:space="0" w:color="auto"/>
            </w:tcBorders>
            <w:vAlign w:val="center"/>
          </w:tcPr>
          <w:p w14:paraId="617B6DD6" w14:textId="77777777" w:rsidR="00582060" w:rsidRPr="007B6175" w:rsidRDefault="00582060" w:rsidP="00F75DE5">
            <w:pPr>
              <w:pStyle w:val="TableText"/>
              <w:jc w:val="center"/>
            </w:pPr>
            <w:r w:rsidRPr="007B6175">
              <w:t>0.6763</w:t>
            </w:r>
          </w:p>
        </w:tc>
        <w:tc>
          <w:tcPr>
            <w:tcW w:w="993" w:type="dxa"/>
            <w:tcBorders>
              <w:top w:val="nil"/>
              <w:bottom w:val="single" w:sz="4" w:space="0" w:color="auto"/>
            </w:tcBorders>
            <w:vAlign w:val="center"/>
          </w:tcPr>
          <w:p w14:paraId="57318C86" w14:textId="77777777" w:rsidR="00582060" w:rsidRPr="007B6175" w:rsidRDefault="00582060" w:rsidP="00F75DE5">
            <w:pPr>
              <w:pStyle w:val="TableText"/>
              <w:jc w:val="center"/>
            </w:pPr>
            <w:r w:rsidRPr="007B6175">
              <w:t>0.6190</w:t>
            </w:r>
          </w:p>
        </w:tc>
        <w:tc>
          <w:tcPr>
            <w:tcW w:w="5183" w:type="dxa"/>
            <w:vMerge/>
          </w:tcPr>
          <w:p w14:paraId="22E8CC18" w14:textId="77777777" w:rsidR="00582060" w:rsidRPr="007B6175" w:rsidRDefault="00582060" w:rsidP="00F75DE5">
            <w:pPr>
              <w:pStyle w:val="TableText"/>
            </w:pPr>
          </w:p>
        </w:tc>
      </w:tr>
      <w:tr w:rsidR="00582060" w:rsidRPr="007B6175" w14:paraId="04E7A27B" w14:textId="77777777" w:rsidTr="00F75DE5">
        <w:trPr>
          <w:trHeight w:val="368"/>
        </w:trPr>
        <w:tc>
          <w:tcPr>
            <w:tcW w:w="1555" w:type="dxa"/>
            <w:tcBorders>
              <w:bottom w:val="nil"/>
            </w:tcBorders>
          </w:tcPr>
          <w:p w14:paraId="5A217001" w14:textId="77777777" w:rsidR="00582060" w:rsidRPr="007B6175" w:rsidRDefault="00582060" w:rsidP="00F75DE5">
            <w:pPr>
              <w:pStyle w:val="TableText"/>
            </w:pPr>
            <w:r w:rsidRPr="007B6175">
              <w:t xml:space="preserve">Off treatment </w:t>
            </w:r>
            <w:r w:rsidRPr="007B6175">
              <w:br/>
              <w:t>(adverse event)</w:t>
            </w:r>
          </w:p>
        </w:tc>
        <w:tc>
          <w:tcPr>
            <w:tcW w:w="1275" w:type="dxa"/>
            <w:tcBorders>
              <w:bottom w:val="nil"/>
            </w:tcBorders>
            <w:vAlign w:val="center"/>
          </w:tcPr>
          <w:p w14:paraId="4FD2AC75" w14:textId="77777777" w:rsidR="00582060" w:rsidRPr="007B6175" w:rsidRDefault="00582060" w:rsidP="00F75DE5">
            <w:pPr>
              <w:pStyle w:val="TableText"/>
              <w:jc w:val="center"/>
            </w:pPr>
          </w:p>
        </w:tc>
        <w:tc>
          <w:tcPr>
            <w:tcW w:w="993" w:type="dxa"/>
            <w:tcBorders>
              <w:bottom w:val="nil"/>
            </w:tcBorders>
            <w:vAlign w:val="center"/>
          </w:tcPr>
          <w:p w14:paraId="602ED307" w14:textId="77777777" w:rsidR="00582060" w:rsidRPr="007B6175" w:rsidRDefault="00582060" w:rsidP="00F75DE5">
            <w:pPr>
              <w:pStyle w:val="TableText"/>
              <w:jc w:val="center"/>
            </w:pPr>
          </w:p>
        </w:tc>
        <w:tc>
          <w:tcPr>
            <w:tcW w:w="5183" w:type="dxa"/>
            <w:vMerge w:val="restart"/>
          </w:tcPr>
          <w:p w14:paraId="7F629B2A" w14:textId="77777777" w:rsidR="00582060" w:rsidRPr="007B6175" w:rsidRDefault="00582060" w:rsidP="00F75DE5">
            <w:pPr>
              <w:pStyle w:val="TableText"/>
            </w:pPr>
            <w:r w:rsidRPr="007B6175">
              <w:t>Based on distribution of headache days associated with baseline migraine headache days per month (10.86); multiplied by baseline utilities</w:t>
            </w:r>
          </w:p>
        </w:tc>
      </w:tr>
      <w:tr w:rsidR="00582060" w:rsidRPr="007B6175" w14:paraId="3F6841F9" w14:textId="77777777" w:rsidTr="00F75DE5">
        <w:trPr>
          <w:trHeight w:val="121"/>
        </w:trPr>
        <w:tc>
          <w:tcPr>
            <w:tcW w:w="1555" w:type="dxa"/>
            <w:tcBorders>
              <w:top w:val="nil"/>
            </w:tcBorders>
          </w:tcPr>
          <w:p w14:paraId="455104DA" w14:textId="77777777" w:rsidR="00582060" w:rsidRPr="007B6175" w:rsidRDefault="00582060" w:rsidP="00F75DE5">
            <w:pPr>
              <w:pStyle w:val="TableText"/>
            </w:pPr>
            <w:r w:rsidRPr="007B6175">
              <w:t>- Cycles 2-3</w:t>
            </w:r>
          </w:p>
        </w:tc>
        <w:tc>
          <w:tcPr>
            <w:tcW w:w="1275" w:type="dxa"/>
            <w:tcBorders>
              <w:top w:val="nil"/>
            </w:tcBorders>
            <w:vAlign w:val="center"/>
          </w:tcPr>
          <w:p w14:paraId="5033F390" w14:textId="77777777" w:rsidR="00582060" w:rsidRPr="007B6175" w:rsidRDefault="00582060" w:rsidP="00F75DE5">
            <w:pPr>
              <w:pStyle w:val="TableText"/>
              <w:jc w:val="center"/>
            </w:pPr>
            <w:r w:rsidRPr="007B6175">
              <w:t>0.5849</w:t>
            </w:r>
          </w:p>
        </w:tc>
        <w:tc>
          <w:tcPr>
            <w:tcW w:w="993" w:type="dxa"/>
            <w:tcBorders>
              <w:top w:val="nil"/>
            </w:tcBorders>
            <w:vAlign w:val="center"/>
          </w:tcPr>
          <w:p w14:paraId="7413C961" w14:textId="77777777" w:rsidR="00582060" w:rsidRPr="007B6175" w:rsidRDefault="00582060" w:rsidP="00F75DE5">
            <w:pPr>
              <w:pStyle w:val="TableText"/>
              <w:jc w:val="center"/>
            </w:pPr>
            <w:r w:rsidRPr="007B6175">
              <w:t>0.5849</w:t>
            </w:r>
          </w:p>
        </w:tc>
        <w:tc>
          <w:tcPr>
            <w:tcW w:w="5183" w:type="dxa"/>
            <w:vMerge/>
          </w:tcPr>
          <w:p w14:paraId="362187EC" w14:textId="77777777" w:rsidR="00582060" w:rsidRPr="007B6175" w:rsidRDefault="00582060" w:rsidP="00F75DE5">
            <w:pPr>
              <w:keepNext/>
              <w:jc w:val="left"/>
              <w:rPr>
                <w:sz w:val="20"/>
              </w:rPr>
            </w:pPr>
          </w:p>
        </w:tc>
      </w:tr>
      <w:tr w:rsidR="00582060" w:rsidRPr="007B6175" w14:paraId="30510A2B" w14:textId="77777777" w:rsidTr="00F75DE5">
        <w:tc>
          <w:tcPr>
            <w:tcW w:w="9006" w:type="dxa"/>
            <w:gridSpan w:val="4"/>
          </w:tcPr>
          <w:p w14:paraId="1DB7D41C" w14:textId="77777777" w:rsidR="00582060" w:rsidRPr="007B6175" w:rsidRDefault="00582060" w:rsidP="00F75DE5">
            <w:pPr>
              <w:pStyle w:val="Tabletext0"/>
              <w:keepNext/>
              <w:rPr>
                <w:b/>
              </w:rPr>
            </w:pPr>
            <w:r w:rsidRPr="007B6175">
              <w:rPr>
                <w:b/>
              </w:rPr>
              <w:t>After response assessment</w:t>
            </w:r>
          </w:p>
        </w:tc>
      </w:tr>
      <w:tr w:rsidR="00582060" w:rsidRPr="007B6175" w14:paraId="360B9928" w14:textId="77777777" w:rsidTr="00F75DE5">
        <w:trPr>
          <w:trHeight w:val="281"/>
        </w:trPr>
        <w:tc>
          <w:tcPr>
            <w:tcW w:w="1555" w:type="dxa"/>
            <w:tcBorders>
              <w:bottom w:val="nil"/>
            </w:tcBorders>
            <w:vAlign w:val="center"/>
          </w:tcPr>
          <w:p w14:paraId="2FFFDEDA" w14:textId="77777777" w:rsidR="00582060" w:rsidRPr="007B6175" w:rsidRDefault="00582060" w:rsidP="00F75DE5">
            <w:pPr>
              <w:pStyle w:val="Tabletext0"/>
              <w:keepNext/>
            </w:pPr>
            <w:r w:rsidRPr="007B6175">
              <w:t>On treatment</w:t>
            </w:r>
          </w:p>
        </w:tc>
        <w:tc>
          <w:tcPr>
            <w:tcW w:w="1275" w:type="dxa"/>
            <w:tcBorders>
              <w:bottom w:val="nil"/>
            </w:tcBorders>
          </w:tcPr>
          <w:p w14:paraId="061512C3" w14:textId="77777777" w:rsidR="00582060" w:rsidRPr="007B6175" w:rsidRDefault="00582060" w:rsidP="00F75DE5">
            <w:pPr>
              <w:pStyle w:val="Tabletext0"/>
              <w:keepNext/>
            </w:pPr>
          </w:p>
        </w:tc>
        <w:tc>
          <w:tcPr>
            <w:tcW w:w="993" w:type="dxa"/>
            <w:tcBorders>
              <w:bottom w:val="nil"/>
            </w:tcBorders>
          </w:tcPr>
          <w:p w14:paraId="717D73D7" w14:textId="77777777" w:rsidR="00582060" w:rsidRPr="007B6175" w:rsidRDefault="00582060" w:rsidP="00F75DE5">
            <w:pPr>
              <w:pStyle w:val="Tabletext0"/>
              <w:keepNext/>
            </w:pPr>
          </w:p>
        </w:tc>
        <w:tc>
          <w:tcPr>
            <w:tcW w:w="5183" w:type="dxa"/>
            <w:vMerge w:val="restart"/>
          </w:tcPr>
          <w:p w14:paraId="74D1F75D" w14:textId="77777777" w:rsidR="00582060" w:rsidRPr="007B6175" w:rsidRDefault="00582060" w:rsidP="00F75DE5">
            <w:pPr>
              <w:pStyle w:val="Tabletext0"/>
              <w:keepNext/>
            </w:pPr>
            <w:r w:rsidRPr="007B6175">
              <w:t xml:space="preserve">Based on distribution of headache days associated with mean migraine headache days per month for responders (3.49 for </w:t>
            </w:r>
            <w:proofErr w:type="spellStart"/>
            <w:r w:rsidRPr="007B6175">
              <w:t>galcanezumab</w:t>
            </w:r>
            <w:proofErr w:type="spellEnd"/>
            <w:r w:rsidRPr="007B6175">
              <w:t xml:space="preserve">; 1.99 for BSC); multiplied by corresponding response utilities (which vary by treatment arm) </w:t>
            </w:r>
          </w:p>
        </w:tc>
      </w:tr>
      <w:tr w:rsidR="00582060" w:rsidRPr="007B6175" w14:paraId="243FB0DE" w14:textId="77777777" w:rsidTr="00F75DE5">
        <w:trPr>
          <w:trHeight w:val="203"/>
        </w:trPr>
        <w:tc>
          <w:tcPr>
            <w:tcW w:w="1555" w:type="dxa"/>
            <w:tcBorders>
              <w:top w:val="nil"/>
              <w:bottom w:val="single" w:sz="4" w:space="0" w:color="auto"/>
            </w:tcBorders>
            <w:vAlign w:val="center"/>
          </w:tcPr>
          <w:p w14:paraId="75FF5C6F" w14:textId="77777777" w:rsidR="00582060" w:rsidRPr="007B6175" w:rsidRDefault="00582060" w:rsidP="00F75DE5">
            <w:pPr>
              <w:pStyle w:val="Tabletext0"/>
              <w:keepNext/>
            </w:pPr>
            <w:r w:rsidRPr="007B6175">
              <w:t>- Cycles 4+</w:t>
            </w:r>
          </w:p>
        </w:tc>
        <w:tc>
          <w:tcPr>
            <w:tcW w:w="1275" w:type="dxa"/>
            <w:tcBorders>
              <w:top w:val="nil"/>
              <w:bottom w:val="single" w:sz="4" w:space="0" w:color="auto"/>
            </w:tcBorders>
            <w:vAlign w:val="center"/>
          </w:tcPr>
          <w:p w14:paraId="608A0469" w14:textId="77777777" w:rsidR="00582060" w:rsidRPr="007B6175" w:rsidRDefault="00582060" w:rsidP="00F75DE5">
            <w:pPr>
              <w:pStyle w:val="Tabletext0"/>
              <w:keepNext/>
              <w:jc w:val="center"/>
            </w:pPr>
            <w:r w:rsidRPr="007B6175">
              <w:t>0.7596</w:t>
            </w:r>
          </w:p>
        </w:tc>
        <w:tc>
          <w:tcPr>
            <w:tcW w:w="993" w:type="dxa"/>
            <w:tcBorders>
              <w:top w:val="nil"/>
              <w:bottom w:val="single" w:sz="4" w:space="0" w:color="auto"/>
            </w:tcBorders>
            <w:vAlign w:val="center"/>
          </w:tcPr>
          <w:p w14:paraId="29D8142D" w14:textId="77777777" w:rsidR="00582060" w:rsidRPr="007B6175" w:rsidRDefault="00582060" w:rsidP="00F75DE5">
            <w:pPr>
              <w:pStyle w:val="Tabletext0"/>
              <w:keepNext/>
              <w:jc w:val="center"/>
            </w:pPr>
            <w:r w:rsidRPr="007B6175">
              <w:t>0.7192</w:t>
            </w:r>
          </w:p>
        </w:tc>
        <w:tc>
          <w:tcPr>
            <w:tcW w:w="5183" w:type="dxa"/>
            <w:vMerge/>
          </w:tcPr>
          <w:p w14:paraId="618AC8A1" w14:textId="77777777" w:rsidR="00582060" w:rsidRPr="007B6175" w:rsidRDefault="00582060" w:rsidP="00F75DE5">
            <w:pPr>
              <w:pStyle w:val="Tabletext0"/>
              <w:keepNext/>
            </w:pPr>
          </w:p>
        </w:tc>
      </w:tr>
      <w:tr w:rsidR="00582060" w:rsidRPr="007B6175" w14:paraId="2E11A0B2" w14:textId="77777777" w:rsidTr="00F75DE5">
        <w:trPr>
          <w:trHeight w:val="281"/>
        </w:trPr>
        <w:tc>
          <w:tcPr>
            <w:tcW w:w="1555" w:type="dxa"/>
            <w:tcBorders>
              <w:bottom w:val="nil"/>
            </w:tcBorders>
            <w:vAlign w:val="center"/>
          </w:tcPr>
          <w:p w14:paraId="3A70E919" w14:textId="77777777" w:rsidR="00582060" w:rsidRPr="007B6175" w:rsidRDefault="00582060" w:rsidP="00F75DE5">
            <w:pPr>
              <w:pStyle w:val="Tabletext0"/>
              <w:keepNext/>
            </w:pPr>
            <w:r w:rsidRPr="007B6175">
              <w:t xml:space="preserve">Off treatment </w:t>
            </w:r>
            <w:r w:rsidRPr="007B6175">
              <w:br/>
              <w:t>(non-response)</w:t>
            </w:r>
          </w:p>
        </w:tc>
        <w:tc>
          <w:tcPr>
            <w:tcW w:w="1275" w:type="dxa"/>
            <w:tcBorders>
              <w:bottom w:val="nil"/>
            </w:tcBorders>
            <w:vAlign w:val="center"/>
          </w:tcPr>
          <w:p w14:paraId="18AB439E" w14:textId="77777777" w:rsidR="00582060" w:rsidRPr="007B6175" w:rsidRDefault="00582060" w:rsidP="00F75DE5">
            <w:pPr>
              <w:pStyle w:val="Tabletext0"/>
              <w:keepNext/>
              <w:jc w:val="center"/>
            </w:pPr>
          </w:p>
        </w:tc>
        <w:tc>
          <w:tcPr>
            <w:tcW w:w="993" w:type="dxa"/>
            <w:tcBorders>
              <w:bottom w:val="nil"/>
            </w:tcBorders>
            <w:vAlign w:val="center"/>
          </w:tcPr>
          <w:p w14:paraId="7D4DCE93" w14:textId="77777777" w:rsidR="00582060" w:rsidRPr="007B6175" w:rsidRDefault="00582060" w:rsidP="00F75DE5">
            <w:pPr>
              <w:pStyle w:val="Tabletext0"/>
              <w:keepNext/>
              <w:jc w:val="center"/>
            </w:pPr>
          </w:p>
        </w:tc>
        <w:tc>
          <w:tcPr>
            <w:tcW w:w="5183" w:type="dxa"/>
            <w:vMerge w:val="restart"/>
          </w:tcPr>
          <w:p w14:paraId="2CFAD6DD" w14:textId="77777777" w:rsidR="00582060" w:rsidRPr="007B6175" w:rsidRDefault="00582060" w:rsidP="00F75DE5">
            <w:pPr>
              <w:pStyle w:val="Tabletext0"/>
              <w:keepNext/>
            </w:pPr>
            <w:r w:rsidRPr="007B6175">
              <w:t xml:space="preserve">For cycle 4, based on distribution of headache days associated with mean migraine headache days per month for non-responders (8.55 for </w:t>
            </w:r>
            <w:proofErr w:type="spellStart"/>
            <w:r w:rsidRPr="007B6175">
              <w:t>galcanezumab</w:t>
            </w:r>
            <w:proofErr w:type="spellEnd"/>
            <w:r w:rsidRPr="007B6175">
              <w:t>; 10.64 for BSC). It is assumed that treatment washout period is one cycle, therefore from cycle 5 distribution of headache days is based on baseline migraine headache days (10.86). Migraine days are multiplied by corresponding baseline utilities</w:t>
            </w:r>
          </w:p>
        </w:tc>
      </w:tr>
      <w:tr w:rsidR="00582060" w:rsidRPr="007B6175" w14:paraId="7B48BB6D" w14:textId="77777777" w:rsidTr="00F75DE5">
        <w:trPr>
          <w:trHeight w:val="70"/>
        </w:trPr>
        <w:tc>
          <w:tcPr>
            <w:tcW w:w="1555" w:type="dxa"/>
            <w:tcBorders>
              <w:top w:val="nil"/>
              <w:bottom w:val="nil"/>
            </w:tcBorders>
            <w:vAlign w:val="center"/>
          </w:tcPr>
          <w:p w14:paraId="754EA048" w14:textId="77777777" w:rsidR="00582060" w:rsidRPr="007B6175" w:rsidRDefault="00582060" w:rsidP="00F75DE5">
            <w:pPr>
              <w:pStyle w:val="Tabletext0"/>
              <w:keepNext/>
            </w:pPr>
            <w:r w:rsidRPr="007B6175">
              <w:t>- Cycle 4</w:t>
            </w:r>
          </w:p>
        </w:tc>
        <w:tc>
          <w:tcPr>
            <w:tcW w:w="1275" w:type="dxa"/>
            <w:tcBorders>
              <w:top w:val="nil"/>
              <w:bottom w:val="nil"/>
            </w:tcBorders>
            <w:vAlign w:val="center"/>
          </w:tcPr>
          <w:p w14:paraId="6467DF44" w14:textId="77777777" w:rsidR="00582060" w:rsidRPr="007B6175" w:rsidRDefault="00582060" w:rsidP="00F75DE5">
            <w:pPr>
              <w:pStyle w:val="Tabletext0"/>
              <w:keepNext/>
              <w:jc w:val="center"/>
            </w:pPr>
            <w:r w:rsidRPr="007B6175">
              <w:t>0.6201</w:t>
            </w:r>
          </w:p>
        </w:tc>
        <w:tc>
          <w:tcPr>
            <w:tcW w:w="993" w:type="dxa"/>
            <w:tcBorders>
              <w:top w:val="nil"/>
              <w:bottom w:val="nil"/>
            </w:tcBorders>
            <w:vAlign w:val="center"/>
          </w:tcPr>
          <w:p w14:paraId="7FED304E" w14:textId="77777777" w:rsidR="00582060" w:rsidRPr="007B6175" w:rsidRDefault="00582060" w:rsidP="00F75DE5">
            <w:pPr>
              <w:pStyle w:val="Tabletext0"/>
              <w:keepNext/>
              <w:jc w:val="center"/>
            </w:pPr>
            <w:r w:rsidRPr="007B6175">
              <w:t>0.5883</w:t>
            </w:r>
          </w:p>
        </w:tc>
        <w:tc>
          <w:tcPr>
            <w:tcW w:w="5183" w:type="dxa"/>
            <w:vMerge/>
          </w:tcPr>
          <w:p w14:paraId="49632329" w14:textId="77777777" w:rsidR="00582060" w:rsidRPr="007B6175" w:rsidRDefault="00582060" w:rsidP="00F75DE5">
            <w:pPr>
              <w:pStyle w:val="Tabletext0"/>
              <w:keepNext/>
            </w:pPr>
          </w:p>
        </w:tc>
      </w:tr>
      <w:tr w:rsidR="00582060" w:rsidRPr="007B6175" w14:paraId="2BDEC159" w14:textId="77777777" w:rsidTr="00F75DE5">
        <w:trPr>
          <w:trHeight w:val="427"/>
        </w:trPr>
        <w:tc>
          <w:tcPr>
            <w:tcW w:w="1555" w:type="dxa"/>
            <w:tcBorders>
              <w:top w:val="nil"/>
              <w:bottom w:val="single" w:sz="4" w:space="0" w:color="auto"/>
            </w:tcBorders>
            <w:vAlign w:val="center"/>
          </w:tcPr>
          <w:p w14:paraId="304B3524" w14:textId="77777777" w:rsidR="00582060" w:rsidRPr="007B6175" w:rsidRDefault="00582060" w:rsidP="00F75DE5">
            <w:pPr>
              <w:pStyle w:val="Tabletext0"/>
              <w:keepNext/>
            </w:pPr>
            <w:r w:rsidRPr="007B6175">
              <w:t>- Cycle 5+</w:t>
            </w:r>
          </w:p>
        </w:tc>
        <w:tc>
          <w:tcPr>
            <w:tcW w:w="1275" w:type="dxa"/>
            <w:tcBorders>
              <w:top w:val="nil"/>
              <w:bottom w:val="single" w:sz="4" w:space="0" w:color="auto"/>
            </w:tcBorders>
            <w:vAlign w:val="center"/>
          </w:tcPr>
          <w:p w14:paraId="50427953" w14:textId="77777777" w:rsidR="00582060" w:rsidRPr="007B6175" w:rsidRDefault="00582060" w:rsidP="00F75DE5">
            <w:pPr>
              <w:pStyle w:val="Tabletext0"/>
              <w:keepNext/>
              <w:jc w:val="center"/>
            </w:pPr>
            <w:r w:rsidRPr="007B6175">
              <w:t>0.5849</w:t>
            </w:r>
          </w:p>
        </w:tc>
        <w:tc>
          <w:tcPr>
            <w:tcW w:w="993" w:type="dxa"/>
            <w:tcBorders>
              <w:top w:val="nil"/>
              <w:bottom w:val="single" w:sz="4" w:space="0" w:color="auto"/>
            </w:tcBorders>
            <w:vAlign w:val="center"/>
          </w:tcPr>
          <w:p w14:paraId="2135376D" w14:textId="77777777" w:rsidR="00582060" w:rsidRPr="007B6175" w:rsidRDefault="00582060" w:rsidP="00F75DE5">
            <w:pPr>
              <w:pStyle w:val="Tabletext0"/>
              <w:keepNext/>
              <w:jc w:val="center"/>
            </w:pPr>
            <w:r w:rsidRPr="007B6175">
              <w:t>0.5849</w:t>
            </w:r>
          </w:p>
        </w:tc>
        <w:tc>
          <w:tcPr>
            <w:tcW w:w="5183" w:type="dxa"/>
            <w:vMerge/>
          </w:tcPr>
          <w:p w14:paraId="119C1503" w14:textId="77777777" w:rsidR="00582060" w:rsidRPr="007B6175" w:rsidRDefault="00582060" w:rsidP="00F75DE5">
            <w:pPr>
              <w:pStyle w:val="Tabletext0"/>
              <w:keepNext/>
            </w:pPr>
          </w:p>
        </w:tc>
      </w:tr>
      <w:tr w:rsidR="00582060" w:rsidRPr="007B6175" w14:paraId="118F8103" w14:textId="77777777" w:rsidTr="00F75DE5">
        <w:trPr>
          <w:trHeight w:val="488"/>
        </w:trPr>
        <w:tc>
          <w:tcPr>
            <w:tcW w:w="1555" w:type="dxa"/>
            <w:tcBorders>
              <w:bottom w:val="nil"/>
            </w:tcBorders>
            <w:vAlign w:val="center"/>
          </w:tcPr>
          <w:p w14:paraId="1BAC4216" w14:textId="77777777" w:rsidR="00582060" w:rsidRPr="007B6175" w:rsidRDefault="00582060" w:rsidP="00F75DE5">
            <w:pPr>
              <w:pStyle w:val="Tabletext0"/>
              <w:keepNext/>
            </w:pPr>
            <w:r w:rsidRPr="007B6175">
              <w:t>Off treatment (adverse event)</w:t>
            </w:r>
          </w:p>
        </w:tc>
        <w:tc>
          <w:tcPr>
            <w:tcW w:w="1275" w:type="dxa"/>
            <w:tcBorders>
              <w:bottom w:val="nil"/>
            </w:tcBorders>
          </w:tcPr>
          <w:p w14:paraId="3A6FF5CC" w14:textId="77777777" w:rsidR="00582060" w:rsidRPr="007B6175" w:rsidRDefault="00582060" w:rsidP="00F75DE5">
            <w:pPr>
              <w:pStyle w:val="Tabletext0"/>
              <w:keepNext/>
            </w:pPr>
          </w:p>
        </w:tc>
        <w:tc>
          <w:tcPr>
            <w:tcW w:w="993" w:type="dxa"/>
            <w:tcBorders>
              <w:bottom w:val="nil"/>
            </w:tcBorders>
          </w:tcPr>
          <w:p w14:paraId="7435689A" w14:textId="77777777" w:rsidR="00582060" w:rsidRPr="007B6175" w:rsidRDefault="00582060" w:rsidP="00F75DE5">
            <w:pPr>
              <w:pStyle w:val="Tabletext0"/>
              <w:keepNext/>
            </w:pPr>
          </w:p>
        </w:tc>
        <w:tc>
          <w:tcPr>
            <w:tcW w:w="5183" w:type="dxa"/>
            <w:vMerge w:val="restart"/>
          </w:tcPr>
          <w:p w14:paraId="3FFABF73" w14:textId="77777777" w:rsidR="00582060" w:rsidRPr="007B6175" w:rsidRDefault="00582060" w:rsidP="00F75DE5">
            <w:pPr>
              <w:pStyle w:val="Tabletext0"/>
              <w:keepNext/>
            </w:pPr>
            <w:r w:rsidRPr="007B6175">
              <w:t>Varies by cycle according to assumed waning of treatment effect over 13 cycles following discontinuation. Mean migraine headache days per month varies from 6.52 to 11.04.</w:t>
            </w:r>
          </w:p>
        </w:tc>
      </w:tr>
      <w:tr w:rsidR="00582060" w:rsidRPr="007B6175" w14:paraId="41E3ECCD" w14:textId="77777777" w:rsidTr="00F75DE5">
        <w:trPr>
          <w:trHeight w:val="64"/>
        </w:trPr>
        <w:tc>
          <w:tcPr>
            <w:tcW w:w="1555" w:type="dxa"/>
            <w:tcBorders>
              <w:top w:val="nil"/>
            </w:tcBorders>
            <w:vAlign w:val="center"/>
          </w:tcPr>
          <w:p w14:paraId="49550896" w14:textId="77777777" w:rsidR="00582060" w:rsidRPr="007B6175" w:rsidRDefault="00582060" w:rsidP="00F75DE5">
            <w:pPr>
              <w:pStyle w:val="Tabletext0"/>
              <w:keepNext/>
            </w:pPr>
            <w:r w:rsidRPr="007B6175">
              <w:t>- Cycles 4+</w:t>
            </w:r>
          </w:p>
        </w:tc>
        <w:tc>
          <w:tcPr>
            <w:tcW w:w="1275" w:type="dxa"/>
            <w:tcBorders>
              <w:top w:val="nil"/>
            </w:tcBorders>
          </w:tcPr>
          <w:p w14:paraId="5E373AAE" w14:textId="77777777" w:rsidR="00582060" w:rsidRPr="007B6175" w:rsidRDefault="00582060" w:rsidP="00F75DE5">
            <w:pPr>
              <w:pStyle w:val="Tabletext0"/>
              <w:keepNext/>
              <w:jc w:val="center"/>
            </w:pPr>
            <w:r w:rsidRPr="007B6175">
              <w:t>0.5822 - 0.6510</w:t>
            </w:r>
          </w:p>
        </w:tc>
        <w:tc>
          <w:tcPr>
            <w:tcW w:w="993" w:type="dxa"/>
            <w:tcBorders>
              <w:top w:val="nil"/>
            </w:tcBorders>
            <w:vAlign w:val="center"/>
          </w:tcPr>
          <w:p w14:paraId="07D31D66" w14:textId="77777777" w:rsidR="00582060" w:rsidRPr="007B6175" w:rsidRDefault="00582060" w:rsidP="00F75DE5">
            <w:pPr>
              <w:pStyle w:val="Tabletext0"/>
              <w:keepNext/>
              <w:jc w:val="center"/>
            </w:pPr>
            <w:r w:rsidRPr="007B6175">
              <w:t>-</w:t>
            </w:r>
          </w:p>
        </w:tc>
        <w:tc>
          <w:tcPr>
            <w:tcW w:w="5183" w:type="dxa"/>
            <w:vMerge/>
          </w:tcPr>
          <w:p w14:paraId="491B9304" w14:textId="77777777" w:rsidR="00582060" w:rsidRPr="007B6175" w:rsidRDefault="00582060" w:rsidP="00F75DE5">
            <w:pPr>
              <w:keepNext/>
              <w:jc w:val="left"/>
              <w:rPr>
                <w:sz w:val="20"/>
                <w:szCs w:val="20"/>
              </w:rPr>
            </w:pPr>
          </w:p>
        </w:tc>
      </w:tr>
    </w:tbl>
    <w:p w14:paraId="600040F9" w14:textId="71A0189F" w:rsidR="00582060" w:rsidRPr="007B6175" w:rsidRDefault="00582060" w:rsidP="00582060">
      <w:pPr>
        <w:pStyle w:val="TableFooter"/>
      </w:pPr>
      <w:r w:rsidRPr="007B6175">
        <w:t xml:space="preserve">Source: </w:t>
      </w:r>
      <w:proofErr w:type="gramStart"/>
      <w:r w:rsidR="004C3CC2" w:rsidRPr="004C3CC2">
        <w:rPr>
          <w:color w:val="000000"/>
          <w:spacing w:val="37"/>
          <w:shd w:val="solid" w:color="000000" w:fill="000000"/>
          <w:fitText w:val="270" w:id="-1504954355"/>
          <w14:textFill>
            <w14:solidFill>
              <w14:srgbClr w14:val="000000">
                <w14:alpha w14:val="100000"/>
              </w14:srgbClr>
            </w14:solidFill>
          </w14:textFill>
        </w:rPr>
        <w:t xml:space="preserve">|  </w:t>
      </w:r>
      <w:r w:rsidR="004C3CC2" w:rsidRPr="004C3CC2">
        <w:rPr>
          <w:color w:val="000000"/>
          <w:spacing w:val="1"/>
          <w:shd w:val="solid" w:color="000000" w:fill="000000"/>
          <w:fitText w:val="270" w:id="-1504954355"/>
          <w14:textFill>
            <w14:solidFill>
              <w14:srgbClr w14:val="000000">
                <w14:alpha w14:val="100000"/>
              </w14:srgbClr>
            </w14:solidFill>
          </w14:textFill>
        </w:rPr>
        <w:t>|</w:t>
      </w:r>
      <w:proofErr w:type="gramEnd"/>
    </w:p>
    <w:p w14:paraId="37AB25AE" w14:textId="17131253" w:rsidR="00582060" w:rsidRDefault="00582060" w:rsidP="00582060">
      <w:pPr>
        <w:pStyle w:val="TableFooter"/>
      </w:pPr>
      <w:r w:rsidRPr="007B6175">
        <w:t>Abbreviations: BSC, best supportive care.</w:t>
      </w:r>
    </w:p>
    <w:p w14:paraId="528D1F30" w14:textId="77777777" w:rsidR="008E2343" w:rsidRPr="004C3CC2" w:rsidRDefault="008E2343" w:rsidP="008E2343">
      <w:pPr>
        <w:pStyle w:val="CommentText"/>
        <w:rPr>
          <w:rFonts w:ascii="Arial Narrow" w:hAnsi="Arial Narrow"/>
          <w:snapToGrid w:val="0"/>
          <w:sz w:val="18"/>
          <w:szCs w:val="22"/>
          <w:lang w:eastAsia="en-US"/>
        </w:rPr>
      </w:pPr>
      <w:r w:rsidRPr="004C3CC2">
        <w:rPr>
          <w:rFonts w:ascii="Arial Narrow" w:hAnsi="Arial Narrow"/>
          <w:snapToGrid w:val="0"/>
          <w:sz w:val="18"/>
          <w:szCs w:val="22"/>
          <w:lang w:eastAsia="en-US"/>
        </w:rPr>
        <w:t>Note that the results presented in Table 12 are derived during the evaluation by the PBAC specifically for the purposes of informing the PBAC consideration. Interpretation of the results and their application should therefore be limited to seeking to understand the basis for the PBAC outcome and should not be used for any other purpose.</w:t>
      </w:r>
    </w:p>
    <w:p w14:paraId="51B2C71A" w14:textId="77777777" w:rsidR="008E2343" w:rsidRPr="007B6175" w:rsidRDefault="008E2343" w:rsidP="00582060">
      <w:pPr>
        <w:pStyle w:val="TableFooter"/>
      </w:pPr>
    </w:p>
    <w:p w14:paraId="46683C33" w14:textId="22F820E7" w:rsidR="00B109A3" w:rsidRPr="007B6175" w:rsidRDefault="00B109A3" w:rsidP="00340E3E">
      <w:pPr>
        <w:pStyle w:val="ExecSumBodyText"/>
        <w:rPr>
          <w:i/>
          <w:iCs/>
          <w:lang w:eastAsia="en-US"/>
        </w:rPr>
      </w:pPr>
      <w:r w:rsidRPr="007B6175">
        <w:rPr>
          <w:lang w:eastAsia="en-US"/>
        </w:rPr>
        <w:t xml:space="preserve">While EQ-5D data </w:t>
      </w:r>
      <w:r w:rsidR="00EA1C91" w:rsidRPr="007B6175">
        <w:rPr>
          <w:lang w:eastAsia="en-US"/>
        </w:rPr>
        <w:t>were</w:t>
      </w:r>
      <w:r w:rsidRPr="007B6175">
        <w:rPr>
          <w:lang w:eastAsia="en-US"/>
        </w:rPr>
        <w:t xml:space="preserve"> collected in the CONQUER trial, the resubmission argued that it did not accurately capture the impact of disease on patient’s quality of life, as it was only administered at baseline and at the end of the trial period, and patients experiencing a migraine may be less likely to attend clinical appointments. The resubmission argued that, in contrast, the </w:t>
      </w:r>
      <w:r w:rsidR="008954B5" w:rsidRPr="007B6175">
        <w:rPr>
          <w:lang w:eastAsia="en-US"/>
        </w:rPr>
        <w:t xml:space="preserve">Migraine Specific Quality of Life Questionnaire (MSQ) </w:t>
      </w:r>
      <w:r w:rsidRPr="007B6175">
        <w:rPr>
          <w:lang w:eastAsia="en-US"/>
        </w:rPr>
        <w:t>was administered monthly throughout the randomised and post-treatment phases on the trial and has a four-week recall period, which may mean it was able to capture more granular changes in health-related quality of life.</w:t>
      </w:r>
      <w:r w:rsidRPr="00B663F3">
        <w:rPr>
          <w:lang w:eastAsia="en-US"/>
        </w:rPr>
        <w:t xml:space="preserve"> </w:t>
      </w:r>
      <w:r w:rsidRPr="00B663F3">
        <w:rPr>
          <w:iCs/>
          <w:lang w:eastAsia="en-US"/>
        </w:rPr>
        <w:t xml:space="preserve">The EQ-5D-5L scores collected during the CONQUER trial show no statistically significant difference between treatment arms, while mapped MSQ utility values used in the economic model favour treatment with </w:t>
      </w:r>
      <w:proofErr w:type="spellStart"/>
      <w:r w:rsidRPr="00B663F3">
        <w:rPr>
          <w:iCs/>
          <w:lang w:eastAsia="en-US"/>
        </w:rPr>
        <w:t>galcanezumab</w:t>
      </w:r>
      <w:proofErr w:type="spellEnd"/>
      <w:r w:rsidRPr="00B663F3">
        <w:rPr>
          <w:iCs/>
          <w:lang w:eastAsia="en-US"/>
        </w:rPr>
        <w:t>.</w:t>
      </w:r>
    </w:p>
    <w:p w14:paraId="1BF64A5B" w14:textId="221CAFBE" w:rsidR="006C49EE" w:rsidRPr="00DE2B84" w:rsidRDefault="0076750B" w:rsidP="00340E3E">
      <w:pPr>
        <w:pStyle w:val="ExecSumBodyText"/>
        <w:rPr>
          <w:i/>
          <w:lang w:eastAsia="en-US"/>
        </w:rPr>
      </w:pPr>
      <w:r w:rsidRPr="00B663F3">
        <w:rPr>
          <w:lang w:eastAsia="en-US"/>
        </w:rPr>
        <w:t xml:space="preserve">There was a large utility benefit associated with being on </w:t>
      </w:r>
      <w:proofErr w:type="spellStart"/>
      <w:r w:rsidRPr="00B663F3">
        <w:rPr>
          <w:lang w:eastAsia="en-US"/>
        </w:rPr>
        <w:t>galcanezumab</w:t>
      </w:r>
      <w:proofErr w:type="spellEnd"/>
      <w:r w:rsidRPr="00B663F3">
        <w:rPr>
          <w:lang w:eastAsia="en-US"/>
        </w:rPr>
        <w:t xml:space="preserve"> treatment, both compared with baseline/off-treatment values, and compared with those on-treatment in the </w:t>
      </w:r>
      <w:r w:rsidR="00D2755C" w:rsidRPr="00B663F3">
        <w:rPr>
          <w:lang w:eastAsia="en-US"/>
        </w:rPr>
        <w:t xml:space="preserve">best supportive care </w:t>
      </w:r>
      <w:r w:rsidRPr="00B663F3">
        <w:rPr>
          <w:lang w:eastAsia="en-US"/>
        </w:rPr>
        <w:t>arm.</w:t>
      </w:r>
      <w:r w:rsidR="003D7339" w:rsidRPr="007B6175">
        <w:rPr>
          <w:i/>
          <w:lang w:eastAsia="en-US"/>
        </w:rPr>
        <w:t xml:space="preserve"> </w:t>
      </w:r>
      <w:r w:rsidR="006C49EE" w:rsidRPr="007B6175">
        <w:rPr>
          <w:lang w:eastAsia="en-US"/>
        </w:rPr>
        <w:t xml:space="preserve">A technical document provided as part of the resubmission stated that the </w:t>
      </w:r>
      <w:r w:rsidR="00293FE9" w:rsidRPr="007B6175">
        <w:rPr>
          <w:lang w:eastAsia="en-US"/>
        </w:rPr>
        <w:t>MSQ</w:t>
      </w:r>
      <w:r w:rsidR="00F546B2" w:rsidRPr="007B6175">
        <w:rPr>
          <w:lang w:eastAsia="en-US"/>
        </w:rPr>
        <w:t>-derived</w:t>
      </w:r>
      <w:r w:rsidR="00293FE9" w:rsidRPr="007B6175">
        <w:rPr>
          <w:lang w:eastAsia="en-US"/>
        </w:rPr>
        <w:t xml:space="preserve"> utilities </w:t>
      </w:r>
      <w:r w:rsidR="006C49EE" w:rsidRPr="007B6175">
        <w:rPr>
          <w:lang w:eastAsia="en-US"/>
        </w:rPr>
        <w:t xml:space="preserve">suggest higher utility values for patients receiving </w:t>
      </w:r>
      <w:proofErr w:type="spellStart"/>
      <w:r w:rsidR="006C49EE" w:rsidRPr="007B6175">
        <w:rPr>
          <w:lang w:eastAsia="en-US"/>
        </w:rPr>
        <w:t>galcanezumab</w:t>
      </w:r>
      <w:proofErr w:type="spellEnd"/>
      <w:r w:rsidR="006C49EE" w:rsidRPr="007B6175">
        <w:rPr>
          <w:lang w:eastAsia="en-US"/>
        </w:rPr>
        <w:t xml:space="preserve"> than for patients receiving placebo for the same number </w:t>
      </w:r>
      <w:r w:rsidR="006C49EE" w:rsidRPr="00DE2B84">
        <w:rPr>
          <w:lang w:eastAsia="en-US"/>
        </w:rPr>
        <w:t xml:space="preserve">of migraine headache days, and that this may indicate that </w:t>
      </w:r>
      <w:proofErr w:type="spellStart"/>
      <w:r w:rsidR="006C49EE" w:rsidRPr="00DE2B84">
        <w:rPr>
          <w:lang w:eastAsia="en-US"/>
        </w:rPr>
        <w:t>galcanezumab</w:t>
      </w:r>
      <w:proofErr w:type="spellEnd"/>
      <w:r w:rsidR="006C49EE" w:rsidRPr="00DE2B84">
        <w:rPr>
          <w:lang w:eastAsia="en-US"/>
        </w:rPr>
        <w:t xml:space="preserve"> may have a benefit beyond reducing the number of monthly migraine headache days.</w:t>
      </w:r>
    </w:p>
    <w:p w14:paraId="6D86EE74" w14:textId="1FC0D9FF" w:rsidR="003C7EE4" w:rsidRPr="00DE2B84" w:rsidRDefault="003C7EE4" w:rsidP="005E6E94">
      <w:pPr>
        <w:pStyle w:val="ExecSumBodyText"/>
        <w:rPr>
          <w:i/>
          <w:lang w:eastAsia="en-US"/>
        </w:rPr>
      </w:pPr>
      <w:r w:rsidRPr="00DE2B84">
        <w:rPr>
          <w:lang w:eastAsia="en-US"/>
        </w:rPr>
        <w:lastRenderedPageBreak/>
        <w:t xml:space="preserve">The ESC previously considered that it was unclear whether the application of a utility benefit for being on treatment with </w:t>
      </w:r>
      <w:proofErr w:type="spellStart"/>
      <w:r w:rsidRPr="00DE2B84">
        <w:rPr>
          <w:lang w:eastAsia="en-US"/>
        </w:rPr>
        <w:t>galcanezumab</w:t>
      </w:r>
      <w:proofErr w:type="spellEnd"/>
      <w:r w:rsidRPr="00DE2B84">
        <w:rPr>
          <w:lang w:eastAsia="en-US"/>
        </w:rPr>
        <w:t xml:space="preserve"> compared with best supportive care</w:t>
      </w:r>
      <w:r w:rsidRPr="00DE2B84">
        <w:rPr>
          <w:i/>
          <w:lang w:eastAsia="en-US"/>
        </w:rPr>
        <w:t xml:space="preserve"> </w:t>
      </w:r>
      <w:r w:rsidRPr="00DE2B84">
        <w:rPr>
          <w:lang w:eastAsia="en-US"/>
        </w:rPr>
        <w:t xml:space="preserve">was appropriate, and likely double counts the benefit of treatment in the model (Paragraph 6.51, </w:t>
      </w:r>
      <w:proofErr w:type="spellStart"/>
      <w:r w:rsidRPr="00DE2B84">
        <w:rPr>
          <w:lang w:eastAsia="en-US"/>
        </w:rPr>
        <w:t>galcanezumab</w:t>
      </w:r>
      <w:proofErr w:type="spellEnd"/>
      <w:r w:rsidR="00133135" w:rsidRPr="00DE2B84">
        <w:rPr>
          <w:lang w:eastAsia="en-US"/>
        </w:rPr>
        <w:t xml:space="preserve"> </w:t>
      </w:r>
      <w:r w:rsidRPr="00DE2B84">
        <w:rPr>
          <w:lang w:eastAsia="en-US"/>
        </w:rPr>
        <w:t>PSD, November 2020 PBAC meeting).</w:t>
      </w:r>
    </w:p>
    <w:p w14:paraId="7C04B698" w14:textId="77777777" w:rsidR="00BC0A33" w:rsidRPr="0021441F" w:rsidRDefault="00F546B2" w:rsidP="00570D1A">
      <w:pPr>
        <w:pStyle w:val="ExecSumBodyText"/>
        <w:rPr>
          <w:i/>
          <w:szCs w:val="22"/>
          <w:lang w:eastAsia="en-US"/>
        </w:rPr>
      </w:pPr>
      <w:r w:rsidRPr="00DE2B84">
        <w:rPr>
          <w:lang w:eastAsia="en-US"/>
        </w:rPr>
        <w:t>The resubmission</w:t>
      </w:r>
      <w:r w:rsidRPr="007B6175">
        <w:rPr>
          <w:lang w:eastAsia="en-US"/>
        </w:rPr>
        <w:t xml:space="preserve"> presented </w:t>
      </w:r>
      <w:r w:rsidR="004C55C5" w:rsidRPr="007B6175">
        <w:rPr>
          <w:lang w:eastAsia="en-US"/>
        </w:rPr>
        <w:t xml:space="preserve">the </w:t>
      </w:r>
      <w:r w:rsidRPr="007B6175">
        <w:rPr>
          <w:lang w:eastAsia="en-US"/>
        </w:rPr>
        <w:t xml:space="preserve">results of a correlation analysis to support the </w:t>
      </w:r>
      <w:r w:rsidR="004C55C5" w:rsidRPr="007B6175">
        <w:rPr>
          <w:lang w:eastAsia="en-US"/>
        </w:rPr>
        <w:t xml:space="preserve">inclusion of a utility benefit for patients on treatment with </w:t>
      </w:r>
      <w:proofErr w:type="spellStart"/>
      <w:r w:rsidR="004C55C5" w:rsidRPr="007B6175">
        <w:rPr>
          <w:lang w:eastAsia="en-US"/>
        </w:rPr>
        <w:t>galcanezumab</w:t>
      </w:r>
      <w:proofErr w:type="spellEnd"/>
      <w:r w:rsidR="004C55C5" w:rsidRPr="007B6175">
        <w:rPr>
          <w:lang w:eastAsia="en-US"/>
        </w:rPr>
        <w:t xml:space="preserve"> in the model. </w:t>
      </w:r>
      <w:r w:rsidR="001753F3" w:rsidRPr="007B6175">
        <w:rPr>
          <w:lang w:eastAsia="en-US"/>
        </w:rPr>
        <w:t>In the episodic migraine population, correlations with the frequency of monthly migraine headache days at Month 3 were low or negligible for all outcomes apart from MSQ Total and MSQ-Role Function Restrictive (moderate), and symptom-free headache free days (high). A moderate correlation was found at Month 6 between migraine headache day and MSQ-Role Function Restrictive and a high correlation between migraine headache day and symptom-free headache free days.</w:t>
      </w:r>
      <w:r w:rsidR="00BC0A33" w:rsidRPr="0021441F">
        <w:rPr>
          <w:iCs/>
          <w:szCs w:val="22"/>
          <w:lang w:eastAsia="en-US"/>
        </w:rPr>
        <w:t xml:space="preserve"> </w:t>
      </w:r>
    </w:p>
    <w:p w14:paraId="6360A4C0" w14:textId="1D5309A0" w:rsidR="00552E9D" w:rsidRPr="00962E43" w:rsidRDefault="00BC0A33" w:rsidP="001A48E1">
      <w:pPr>
        <w:pStyle w:val="ExecSumBodyText"/>
        <w:rPr>
          <w:lang w:eastAsia="en-US"/>
        </w:rPr>
      </w:pPr>
      <w:r w:rsidRPr="0021441F">
        <w:rPr>
          <w:lang w:eastAsia="en-US"/>
        </w:rPr>
        <w:t xml:space="preserve">The resubmission argued that based on the correlation analysis, symptoms associated with the </w:t>
      </w:r>
      <w:r w:rsidRPr="00552E9D">
        <w:rPr>
          <w:lang w:eastAsia="en-US"/>
        </w:rPr>
        <w:t>intensity and severity of pain of a migraine attack, disability caused by migraine attacks, or impact of health-related quality of life between attacks are unlikely to be explained by a change in migraine headache day frequency alone.</w:t>
      </w:r>
      <w:r w:rsidR="00DF19C9">
        <w:rPr>
          <w:i/>
          <w:lang w:eastAsia="en-US"/>
        </w:rPr>
        <w:t xml:space="preserve"> </w:t>
      </w:r>
      <w:r w:rsidR="00552E9D" w:rsidRPr="00962E43">
        <w:rPr>
          <w:lang w:eastAsia="en-US"/>
        </w:rPr>
        <w:t xml:space="preserve">The </w:t>
      </w:r>
      <w:r w:rsidR="002701D0">
        <w:t>Pre-Sub-Committee Response</w:t>
      </w:r>
      <w:r w:rsidR="002701D0" w:rsidRPr="00962E43">
        <w:rPr>
          <w:lang w:eastAsia="en-US"/>
        </w:rPr>
        <w:t xml:space="preserve"> </w:t>
      </w:r>
      <w:r w:rsidR="002701D0">
        <w:rPr>
          <w:lang w:eastAsia="en-US"/>
        </w:rPr>
        <w:t>(</w:t>
      </w:r>
      <w:r w:rsidR="00552E9D" w:rsidRPr="00962E43">
        <w:rPr>
          <w:lang w:eastAsia="en-US"/>
        </w:rPr>
        <w:t>PSCR</w:t>
      </w:r>
      <w:r w:rsidR="002701D0">
        <w:rPr>
          <w:lang w:eastAsia="en-US"/>
        </w:rPr>
        <w:t>)</w:t>
      </w:r>
      <w:r w:rsidR="00552E9D" w:rsidRPr="00962E43">
        <w:rPr>
          <w:lang w:eastAsia="en-US"/>
        </w:rPr>
        <w:t xml:space="preserve"> </w:t>
      </w:r>
      <w:r w:rsidR="00DF19C9" w:rsidRPr="00962E43">
        <w:rPr>
          <w:lang w:eastAsia="en-US"/>
        </w:rPr>
        <w:t xml:space="preserve">reiterated the </w:t>
      </w:r>
      <w:r w:rsidR="00552E9D" w:rsidRPr="00962E43">
        <w:rPr>
          <w:lang w:eastAsia="en-US"/>
        </w:rPr>
        <w:t>argu</w:t>
      </w:r>
      <w:r w:rsidR="00DF19C9" w:rsidRPr="00962E43">
        <w:rPr>
          <w:lang w:eastAsia="en-US"/>
        </w:rPr>
        <w:t xml:space="preserve">ments presented in the </w:t>
      </w:r>
      <w:r w:rsidR="00D35A24" w:rsidRPr="00962E43">
        <w:rPr>
          <w:lang w:eastAsia="en-US"/>
        </w:rPr>
        <w:t>re</w:t>
      </w:r>
      <w:r w:rsidR="00DF19C9" w:rsidRPr="00962E43">
        <w:rPr>
          <w:lang w:eastAsia="en-US"/>
        </w:rPr>
        <w:t xml:space="preserve">submission </w:t>
      </w:r>
      <w:r w:rsidR="00552E9D" w:rsidRPr="00962E43">
        <w:rPr>
          <w:lang w:eastAsia="en-US"/>
        </w:rPr>
        <w:t>th</w:t>
      </w:r>
      <w:r w:rsidR="00DF19C9" w:rsidRPr="00962E43">
        <w:rPr>
          <w:lang w:eastAsia="en-US"/>
        </w:rPr>
        <w:t>at</w:t>
      </w:r>
      <w:r w:rsidR="00552E9D" w:rsidRPr="00962E43">
        <w:rPr>
          <w:lang w:eastAsia="en-US"/>
        </w:rPr>
        <w:t xml:space="preserve"> analyses provided in the resubmission show that migraine headache days alone are poorly correlated with other specific measures of health status used to capture the impact of migraine on</w:t>
      </w:r>
      <w:r w:rsidR="00D35A24" w:rsidRPr="00962E43">
        <w:rPr>
          <w:lang w:eastAsia="en-US"/>
        </w:rPr>
        <w:t xml:space="preserve"> </w:t>
      </w:r>
      <w:r w:rsidR="00552E9D" w:rsidRPr="00962E43">
        <w:rPr>
          <w:lang w:eastAsia="en-US"/>
        </w:rPr>
        <w:t xml:space="preserve">QoL. The PSCR stated it is therefore reasonable that utility values applied in the model are separated for patients on </w:t>
      </w:r>
      <w:proofErr w:type="spellStart"/>
      <w:r w:rsidR="00552E9D" w:rsidRPr="00962E43">
        <w:rPr>
          <w:lang w:eastAsia="en-US"/>
        </w:rPr>
        <w:t>galcanezumab</w:t>
      </w:r>
      <w:proofErr w:type="spellEnd"/>
      <w:r w:rsidR="00552E9D" w:rsidRPr="00962E43">
        <w:rPr>
          <w:lang w:eastAsia="en-US"/>
        </w:rPr>
        <w:t xml:space="preserve"> treatment and BSC in the ‘On-treatment’ health state.</w:t>
      </w:r>
    </w:p>
    <w:p w14:paraId="68A4BAE0" w14:textId="3E3F2219" w:rsidR="008E4397" w:rsidRPr="003A441B" w:rsidRDefault="008E4397">
      <w:pPr>
        <w:pStyle w:val="ExecSumBodyText"/>
        <w:rPr>
          <w:szCs w:val="22"/>
          <w:lang w:eastAsia="en-US"/>
        </w:rPr>
      </w:pPr>
      <w:bookmarkStart w:id="42" w:name="_Ref96352491"/>
      <w:r w:rsidRPr="00962E43">
        <w:rPr>
          <w:lang w:eastAsia="en-US"/>
        </w:rPr>
        <w:t xml:space="preserve">The ESC </w:t>
      </w:r>
      <w:r w:rsidR="00CB1143" w:rsidRPr="00962E43">
        <w:rPr>
          <w:lang w:eastAsia="en-US"/>
        </w:rPr>
        <w:t xml:space="preserve">considered it remained uncertain whether treatment </w:t>
      </w:r>
      <w:r w:rsidR="00792C26" w:rsidRPr="00962E43">
        <w:rPr>
          <w:lang w:eastAsia="en-US"/>
        </w:rPr>
        <w:t xml:space="preserve">with </w:t>
      </w:r>
      <w:proofErr w:type="spellStart"/>
      <w:r w:rsidR="00CB1143" w:rsidRPr="00962E43">
        <w:rPr>
          <w:lang w:eastAsia="en-US"/>
        </w:rPr>
        <w:t>galcanezumab</w:t>
      </w:r>
      <w:proofErr w:type="spellEnd"/>
      <w:r w:rsidR="00CB1143" w:rsidRPr="00962E43">
        <w:rPr>
          <w:lang w:eastAsia="en-US"/>
        </w:rPr>
        <w:t xml:space="preserve"> would have a</w:t>
      </w:r>
      <w:r w:rsidR="00D35A24" w:rsidRPr="00962E43">
        <w:rPr>
          <w:lang w:eastAsia="en-US"/>
        </w:rPr>
        <w:t xml:space="preserve"> QoL </w:t>
      </w:r>
      <w:r w:rsidR="00CB1143" w:rsidRPr="00962E43">
        <w:rPr>
          <w:lang w:eastAsia="en-US"/>
        </w:rPr>
        <w:t xml:space="preserve">benefit in addition to the direct modelled benefit of a reduction in MHD. </w:t>
      </w:r>
      <w:r w:rsidR="00546934" w:rsidRPr="00962E43">
        <w:rPr>
          <w:lang w:eastAsia="en-US"/>
        </w:rPr>
        <w:t xml:space="preserve">The ESC acknowledged migraine has a significant impact on quality of life, in addition to the number of migraine headache days, but considered the evidence provided </w:t>
      </w:r>
      <w:r w:rsidR="00792C26" w:rsidRPr="00962E43">
        <w:rPr>
          <w:lang w:eastAsia="en-US"/>
        </w:rPr>
        <w:t xml:space="preserve">(which was based on small patient numbers with limited follow up) </w:t>
      </w:r>
      <w:r w:rsidR="00546934" w:rsidRPr="00962E43">
        <w:rPr>
          <w:lang w:eastAsia="en-US"/>
        </w:rPr>
        <w:t xml:space="preserve">did not support </w:t>
      </w:r>
      <w:proofErr w:type="spellStart"/>
      <w:r w:rsidR="00546934" w:rsidRPr="00962E43">
        <w:rPr>
          <w:lang w:eastAsia="en-US"/>
        </w:rPr>
        <w:t>galcanezumab</w:t>
      </w:r>
      <w:proofErr w:type="spellEnd"/>
      <w:r w:rsidR="00546934" w:rsidRPr="00962E43">
        <w:rPr>
          <w:lang w:eastAsia="en-US"/>
        </w:rPr>
        <w:t xml:space="preserve"> providing an additional </w:t>
      </w:r>
      <w:r w:rsidR="00792C26" w:rsidRPr="00962E43">
        <w:rPr>
          <w:lang w:eastAsia="en-US"/>
        </w:rPr>
        <w:t xml:space="preserve">QoL </w:t>
      </w:r>
      <w:r w:rsidR="00546934" w:rsidRPr="00962E43">
        <w:rPr>
          <w:lang w:eastAsia="en-US"/>
        </w:rPr>
        <w:t xml:space="preserve">benefit. </w:t>
      </w:r>
      <w:r w:rsidR="004168DD" w:rsidRPr="00962E43">
        <w:rPr>
          <w:lang w:eastAsia="en-US"/>
        </w:rPr>
        <w:t xml:space="preserve">The ESC noted the extent of the ‘on treatment’ utility benefit (as outlined in </w:t>
      </w:r>
      <w:r w:rsidR="004168DD" w:rsidRPr="00962E43">
        <w:rPr>
          <w:lang w:eastAsia="en-US"/>
        </w:rPr>
        <w:fldChar w:fldCharType="begin"/>
      </w:r>
      <w:r w:rsidR="004168DD" w:rsidRPr="00962E43">
        <w:rPr>
          <w:lang w:eastAsia="en-US"/>
        </w:rPr>
        <w:instrText xml:space="preserve"> REF _Ref96337022 \h  \* MERGEFORMAT </w:instrText>
      </w:r>
      <w:r w:rsidR="004168DD" w:rsidRPr="00962E43">
        <w:rPr>
          <w:lang w:eastAsia="en-US"/>
        </w:rPr>
      </w:r>
      <w:r w:rsidR="004168DD" w:rsidRPr="00962E43">
        <w:rPr>
          <w:lang w:eastAsia="en-US"/>
        </w:rPr>
        <w:fldChar w:fldCharType="separate"/>
      </w:r>
      <w:r w:rsidR="00046698" w:rsidRPr="007B6175">
        <w:t xml:space="preserve">Table </w:t>
      </w:r>
      <w:r w:rsidR="00046698">
        <w:rPr>
          <w:noProof/>
        </w:rPr>
        <w:t>12</w:t>
      </w:r>
      <w:r w:rsidR="004168DD" w:rsidRPr="00962E43">
        <w:rPr>
          <w:lang w:eastAsia="en-US"/>
        </w:rPr>
        <w:fldChar w:fldCharType="end"/>
      </w:r>
      <w:r w:rsidR="004168DD" w:rsidRPr="00962E43">
        <w:rPr>
          <w:lang w:eastAsia="en-US"/>
        </w:rPr>
        <w:t>)</w:t>
      </w:r>
      <w:r w:rsidR="00751629" w:rsidRPr="00962E43">
        <w:rPr>
          <w:lang w:eastAsia="en-US"/>
        </w:rPr>
        <w:t>,</w:t>
      </w:r>
      <w:r w:rsidR="004168DD" w:rsidRPr="00962E43">
        <w:rPr>
          <w:lang w:eastAsia="en-US"/>
        </w:rPr>
        <w:t xml:space="preserve"> and </w:t>
      </w:r>
      <w:r w:rsidR="00751629" w:rsidRPr="00962E43">
        <w:rPr>
          <w:lang w:eastAsia="en-US"/>
        </w:rPr>
        <w:t xml:space="preserve">that </w:t>
      </w:r>
      <w:r w:rsidR="00DC3741" w:rsidRPr="00962E43">
        <w:rPr>
          <w:lang w:eastAsia="en-US"/>
        </w:rPr>
        <w:t xml:space="preserve">the model was </w:t>
      </w:r>
      <w:r w:rsidR="004168DD" w:rsidRPr="00962E43">
        <w:rPr>
          <w:lang w:eastAsia="en-US"/>
        </w:rPr>
        <w:t xml:space="preserve">highly </w:t>
      </w:r>
      <w:r w:rsidR="00DC3741" w:rsidRPr="00962E43">
        <w:rPr>
          <w:lang w:eastAsia="en-US"/>
        </w:rPr>
        <w:t xml:space="preserve">sensitive to this assumption with the ICER increasing from </w:t>
      </w:r>
      <w:r w:rsidR="008F0F97" w:rsidRPr="008F0F97">
        <w:rPr>
          <w:lang w:eastAsia="en-US"/>
        </w:rPr>
        <w:t>$25,000 to &lt; $35,000</w:t>
      </w:r>
      <w:r w:rsidR="00DC3741" w:rsidRPr="00962E43">
        <w:rPr>
          <w:lang w:eastAsia="en-US"/>
        </w:rPr>
        <w:t xml:space="preserve">/ QALY to </w:t>
      </w:r>
      <w:r w:rsidR="008F0F97" w:rsidRPr="008F0F97">
        <w:rPr>
          <w:lang w:eastAsia="en-US"/>
        </w:rPr>
        <w:t>$55,000 to &lt; $75,000</w:t>
      </w:r>
      <w:r w:rsidR="00DC3741" w:rsidRPr="00962E43">
        <w:rPr>
          <w:iCs/>
          <w:lang w:eastAsia="en-US"/>
        </w:rPr>
        <w:t>/ QALY</w:t>
      </w:r>
      <w:r w:rsidR="004168DD" w:rsidRPr="00962E43">
        <w:rPr>
          <w:iCs/>
          <w:lang w:eastAsia="en-US"/>
        </w:rPr>
        <w:t xml:space="preserve"> assuming no ‘on treatment’ utility benefit. </w:t>
      </w:r>
      <w:r w:rsidR="00D35A24" w:rsidRPr="00962E43">
        <w:t xml:space="preserve">The ESC considered that in the absence of reliable evidence to support an ‘on treatment’ utility benefit for </w:t>
      </w:r>
      <w:proofErr w:type="spellStart"/>
      <w:r w:rsidR="00D35A24" w:rsidRPr="00962E43">
        <w:t>galcanezumab</w:t>
      </w:r>
      <w:proofErr w:type="spellEnd"/>
      <w:r w:rsidR="00D35A24" w:rsidRPr="00962E43">
        <w:t>, that it should be excluded from the base case analysis.</w:t>
      </w:r>
      <w:bookmarkEnd w:id="42"/>
    </w:p>
    <w:p w14:paraId="44CB8E94" w14:textId="140B76F3" w:rsidR="00464C44" w:rsidRPr="00962E43" w:rsidRDefault="00464C44" w:rsidP="0051322A">
      <w:pPr>
        <w:pStyle w:val="ExecSumBodyText"/>
        <w:rPr>
          <w:szCs w:val="22"/>
          <w:lang w:eastAsia="en-US"/>
        </w:rPr>
      </w:pPr>
      <w:r>
        <w:t>The c</w:t>
      </w:r>
      <w:r w:rsidR="00734CA0">
        <w:t xml:space="preserve">linician input </w:t>
      </w:r>
      <w:r>
        <w:t xml:space="preserve">provided with the pre-PBAC response stated </w:t>
      </w:r>
      <w:r w:rsidR="007155E3">
        <w:t xml:space="preserve">that, in addition to a reduction in the number of migraine headache days, treatment with </w:t>
      </w:r>
      <w:proofErr w:type="spellStart"/>
      <w:r w:rsidR="007155E3">
        <w:t>galcanezumab</w:t>
      </w:r>
      <w:proofErr w:type="spellEnd"/>
      <w:r w:rsidR="007155E3">
        <w:t xml:space="preserve"> can reduce the severity of migraine with episodes shorter and more easily managed. It stated non-headache symptoms such as nausea, </w:t>
      </w:r>
      <w:proofErr w:type="spellStart"/>
      <w:r w:rsidR="007155E3">
        <w:t>postdromal</w:t>
      </w:r>
      <w:proofErr w:type="spellEnd"/>
      <w:r w:rsidR="007155E3">
        <w:t xml:space="preserve"> lethargy and malaise are also reduced. The statement also indicated </w:t>
      </w:r>
      <w:r w:rsidR="003A441B">
        <w:t xml:space="preserve">CGRP antibodies can be highly effective in reducing </w:t>
      </w:r>
      <w:r w:rsidR="007155E3">
        <w:t>interictal burden (whereby patients avoid everyday activities if they have frequent migraine episodes)</w:t>
      </w:r>
      <w:r w:rsidR="003A441B">
        <w:t xml:space="preserve">. </w:t>
      </w:r>
      <w:r w:rsidR="0051322A">
        <w:t>The pre-PBAC response stated</w:t>
      </w:r>
      <w:r w:rsidR="003A441B">
        <w:t xml:space="preserve"> </w:t>
      </w:r>
      <w:r w:rsidR="0051322A" w:rsidRPr="0051322A">
        <w:t xml:space="preserve">measures such as severity and aspects of QoL such as interictal burden, </w:t>
      </w:r>
      <w:proofErr w:type="gramStart"/>
      <w:r w:rsidR="0051322A" w:rsidRPr="0051322A">
        <w:t>disability</w:t>
      </w:r>
      <w:proofErr w:type="gramEnd"/>
      <w:r w:rsidR="0051322A" w:rsidRPr="0051322A">
        <w:t xml:space="preserve"> and functional impairment, that </w:t>
      </w:r>
      <w:r w:rsidR="0051322A" w:rsidRPr="0051322A">
        <w:lastRenderedPageBreak/>
        <w:t xml:space="preserve">aren’t captured within a measure for a MHD, should be included in the economic evaluation in order to capture the full impact on QoL. </w:t>
      </w:r>
      <w:r w:rsidR="0051322A">
        <w:t>The pre-PBAC response stated that u</w:t>
      </w:r>
      <w:r w:rsidR="0051322A" w:rsidRPr="0051322A">
        <w:t>sing treatment specific utilities, as opposed to only a utility value assigned to MHD reduction, is the way that these additional aspects can be captured within the economic evaluation.</w:t>
      </w:r>
    </w:p>
    <w:p w14:paraId="594039BF" w14:textId="77777777" w:rsidR="00FC4282" w:rsidRPr="007B6175" w:rsidRDefault="00FC4282">
      <w:pPr>
        <w:pStyle w:val="ExecSumBodyText"/>
      </w:pPr>
      <w:r w:rsidRPr="007B6175">
        <w:t>The model trace is summarised in the figure below.</w:t>
      </w:r>
    </w:p>
    <w:p w14:paraId="0FF441B6" w14:textId="5BE3F116" w:rsidR="00FC4282" w:rsidRPr="007B6175" w:rsidRDefault="00FC4282" w:rsidP="00FC4282">
      <w:pPr>
        <w:pStyle w:val="TableHeading"/>
      </w:pPr>
      <w:r w:rsidRPr="007B6175">
        <w:t xml:space="preserve">Figure </w:t>
      </w:r>
      <w:r>
        <w:fldChar w:fldCharType="begin"/>
      </w:r>
      <w:r>
        <w:instrText>SEQ Figure \* ARABIC</w:instrText>
      </w:r>
      <w:r>
        <w:fldChar w:fldCharType="separate"/>
      </w:r>
      <w:r w:rsidR="00046698">
        <w:rPr>
          <w:noProof/>
        </w:rPr>
        <w:t>2</w:t>
      </w:r>
      <w:r>
        <w:fldChar w:fldCharType="end"/>
      </w:r>
      <w:r w:rsidRPr="007B6175">
        <w:t xml:space="preserve">: Model traces for the </w:t>
      </w:r>
      <w:proofErr w:type="spellStart"/>
      <w:r w:rsidRPr="007B6175">
        <w:t>galcanezumab</w:t>
      </w:r>
      <w:proofErr w:type="spellEnd"/>
      <w:r w:rsidRPr="007B6175">
        <w:t xml:space="preserve"> and best supportive care arms</w:t>
      </w:r>
    </w:p>
    <w:p w14:paraId="417735FC" w14:textId="10C5527B" w:rsidR="00FC4282" w:rsidRPr="007B6175" w:rsidRDefault="00FC4282" w:rsidP="00FC4282">
      <w:pPr>
        <w:pStyle w:val="TableFigureFooter"/>
      </w:pPr>
      <w:r w:rsidRPr="007B6175">
        <w:rPr>
          <w:noProof/>
        </w:rPr>
        <w:drawing>
          <wp:inline distT="0" distB="0" distL="0" distR="0" wp14:anchorId="5D6FD438" wp14:editId="671AA1F4">
            <wp:extent cx="5732145" cy="4029075"/>
            <wp:effectExtent l="0" t="0" r="1905" b="9525"/>
            <wp:docPr id="12" name="Chart 12" descr="Figure 2: Model traces for the galcanezumab and best supportive care arms">
              <a:extLst xmlns:a="http://schemas.openxmlformats.org/drawingml/2006/main">
                <a:ext uri="{FF2B5EF4-FFF2-40B4-BE49-F238E27FC236}">
                  <a16:creationId xmlns:a16="http://schemas.microsoft.com/office/drawing/2014/main" id="{13379D35-7F6E-40BA-8E5B-11B363E411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roofErr w:type="gramStart"/>
      <w:r w:rsidR="004C3CC2" w:rsidRPr="004C3CC2">
        <w:rPr>
          <w:color w:val="3366FF"/>
          <w:spacing w:val="37"/>
          <w:shd w:val="solid" w:color="000000" w:fill="000000"/>
          <w:fitText w:val="270" w:id="-1504954354"/>
          <w14:textFill>
            <w14:solidFill>
              <w14:srgbClr w14:val="3366FF">
                <w14:alpha w14:val="100000"/>
              </w14:srgbClr>
            </w14:solidFill>
          </w14:textFill>
        </w:rPr>
        <w:t xml:space="preserve">|  </w:t>
      </w:r>
      <w:r w:rsidR="004C3CC2" w:rsidRPr="004C3CC2">
        <w:rPr>
          <w:color w:val="3366FF"/>
          <w:spacing w:val="1"/>
          <w:shd w:val="solid" w:color="000000" w:fill="000000"/>
          <w:fitText w:val="270" w:id="-1504954354"/>
          <w14:textFill>
            <w14:solidFill>
              <w14:srgbClr w14:val="3366FF">
                <w14:alpha w14:val="100000"/>
              </w14:srgbClr>
            </w14:solidFill>
          </w14:textFill>
        </w:rPr>
        <w:t>|</w:t>
      </w:r>
      <w:proofErr w:type="gramEnd"/>
      <w:r w:rsidRPr="007B6175">
        <w:t xml:space="preserve">Source: </w:t>
      </w:r>
      <w:r w:rsidR="004C3CC2" w:rsidRPr="004C3CC2">
        <w:rPr>
          <w:color w:val="000000"/>
          <w:spacing w:val="37"/>
          <w:shd w:val="solid" w:color="000000" w:fill="000000"/>
          <w:fitText w:val="270" w:id="-1504954353"/>
          <w14:textFill>
            <w14:solidFill>
              <w14:srgbClr w14:val="000000">
                <w14:alpha w14:val="100000"/>
              </w14:srgbClr>
            </w14:solidFill>
          </w14:textFill>
        </w:rPr>
        <w:t xml:space="preserve">|  </w:t>
      </w:r>
      <w:r w:rsidR="004C3CC2" w:rsidRPr="004C3CC2">
        <w:rPr>
          <w:color w:val="000000"/>
          <w:spacing w:val="1"/>
          <w:shd w:val="solid" w:color="000000" w:fill="000000"/>
          <w:fitText w:val="270" w:id="-1504954353"/>
          <w14:textFill>
            <w14:solidFill>
              <w14:srgbClr w14:val="000000">
                <w14:alpha w14:val="100000"/>
              </w14:srgbClr>
            </w14:solidFill>
          </w14:textFill>
        </w:rPr>
        <w:t>|</w:t>
      </w:r>
      <w:r w:rsidRPr="007B6175">
        <w:t>.</w:t>
      </w:r>
    </w:p>
    <w:p w14:paraId="155EE775" w14:textId="7B5B46DA" w:rsidR="00FC4282" w:rsidRDefault="00FC4282" w:rsidP="00FC4282">
      <w:pPr>
        <w:pStyle w:val="TableFigureFooter"/>
      </w:pPr>
      <w:r w:rsidRPr="007B6175">
        <w:t xml:space="preserve">Abbreviations: AE, adverse event; BSC, best supportive care; </w:t>
      </w:r>
      <w:proofErr w:type="spellStart"/>
      <w:r w:rsidRPr="007B6175">
        <w:t>Discon</w:t>
      </w:r>
      <w:proofErr w:type="spellEnd"/>
      <w:r w:rsidRPr="007B6175">
        <w:t xml:space="preserve">, discontinuation; </w:t>
      </w:r>
      <w:proofErr w:type="spellStart"/>
      <w:r w:rsidRPr="007B6175">
        <w:t>Galc</w:t>
      </w:r>
      <w:proofErr w:type="spellEnd"/>
      <w:r w:rsidRPr="007B6175">
        <w:t xml:space="preserve">, </w:t>
      </w:r>
      <w:proofErr w:type="spellStart"/>
      <w:r w:rsidRPr="007B6175">
        <w:t>galcanezumab</w:t>
      </w:r>
      <w:proofErr w:type="spellEnd"/>
      <w:r w:rsidRPr="007B6175">
        <w:t xml:space="preserve">; Tx, treatment. </w:t>
      </w:r>
    </w:p>
    <w:p w14:paraId="375967CD" w14:textId="77777777" w:rsidR="00B063B0" w:rsidRPr="004C3CC2" w:rsidRDefault="00B063B0" w:rsidP="00B063B0">
      <w:pPr>
        <w:pStyle w:val="CommentText"/>
        <w:rPr>
          <w:rFonts w:ascii="Arial Narrow" w:hAnsi="Arial Narrow"/>
          <w:snapToGrid w:val="0"/>
          <w:sz w:val="18"/>
          <w:szCs w:val="22"/>
        </w:rPr>
      </w:pPr>
      <w:r w:rsidRPr="004C3CC2">
        <w:rPr>
          <w:rFonts w:ascii="Arial Narrow" w:hAnsi="Arial Narrow"/>
          <w:snapToGrid w:val="0"/>
          <w:sz w:val="18"/>
          <w:szCs w:val="22"/>
        </w:rPr>
        <w:t>Note that the results presented in Figure 2 are derived during the evaluation by the PBAC specifically for the purposes of informing the PBAC consideration. Interpretation of the results and their application should therefore be limited to seeking to understand the basis for the PBAC outcome and should not be used for any other purpose.</w:t>
      </w:r>
    </w:p>
    <w:p w14:paraId="77BA0B88" w14:textId="77777777" w:rsidR="00B063B0" w:rsidRPr="007B6175" w:rsidRDefault="00B063B0" w:rsidP="00FC4282">
      <w:pPr>
        <w:pStyle w:val="TableFigureFooter"/>
      </w:pPr>
    </w:p>
    <w:p w14:paraId="71537B30" w14:textId="77777777" w:rsidR="00FC4282" w:rsidRPr="007B6175" w:rsidRDefault="00FC4282" w:rsidP="00340E3E">
      <w:pPr>
        <w:pStyle w:val="ExecSumBodyText"/>
      </w:pPr>
      <w:r w:rsidRPr="007B6175">
        <w:t xml:space="preserve">The Markov trace indicates that treatment with </w:t>
      </w:r>
      <w:proofErr w:type="spellStart"/>
      <w:r w:rsidRPr="007B6175">
        <w:t>galcanezumab</w:t>
      </w:r>
      <w:proofErr w:type="spellEnd"/>
      <w:r w:rsidRPr="007B6175">
        <w:t xml:space="preserve"> was associated with more time spent in the on-treatment responder health state, and less time in the discontinuation health states (either due to adverse events or non-response), compared with best supportive care. </w:t>
      </w:r>
    </w:p>
    <w:p w14:paraId="7028688F" w14:textId="0012DE05" w:rsidR="00FC4282" w:rsidRPr="007B6175" w:rsidRDefault="00FC4282" w:rsidP="00340E3E">
      <w:pPr>
        <w:pStyle w:val="ExecSumBodyText"/>
      </w:pPr>
      <w:r w:rsidRPr="007B6175">
        <w:t xml:space="preserve">At the end of Year 5, approximately 29% of patients remain on treatment with </w:t>
      </w:r>
      <w:proofErr w:type="spellStart"/>
      <w:r w:rsidRPr="007B6175">
        <w:t>galcanezumab</w:t>
      </w:r>
      <w:proofErr w:type="spellEnd"/>
      <w:r w:rsidRPr="007B6175">
        <w:t xml:space="preserve">, continuing to achieve a response rate of </w:t>
      </w:r>
      <w:r w:rsidRPr="007B6175">
        <w:rPr>
          <w:rFonts w:cs="Calibri"/>
        </w:rPr>
        <w:t>≥</w:t>
      </w:r>
      <w:r w:rsidRPr="007B6175">
        <w:t xml:space="preserve">50% (November 2020 submission: 32%). </w:t>
      </w:r>
      <w:r w:rsidRPr="00B663F3">
        <w:t xml:space="preserve">It is unclear whether these proportions of responders and non-responders will be replicated in practice. Given the lack of available treatments for </w:t>
      </w:r>
      <w:r w:rsidRPr="00B663F3">
        <w:lastRenderedPageBreak/>
        <w:t xml:space="preserve">patients with </w:t>
      </w:r>
      <w:r w:rsidRPr="00B663F3">
        <w:rPr>
          <w:color w:val="000000" w:themeColor="text1"/>
        </w:rPr>
        <w:t xml:space="preserve">episodic migraine who have inadequate response, </w:t>
      </w:r>
      <w:proofErr w:type="gramStart"/>
      <w:r w:rsidRPr="00B663F3">
        <w:rPr>
          <w:color w:val="000000" w:themeColor="text1"/>
        </w:rPr>
        <w:t>intolerance</w:t>
      </w:r>
      <w:proofErr w:type="gramEnd"/>
      <w:r w:rsidRPr="00B663F3">
        <w:rPr>
          <w:color w:val="000000" w:themeColor="text1"/>
        </w:rPr>
        <w:t xml:space="preserve"> or a contraindication to ≥3 prior treatments, and the difficulty in assessing response in clinical practice, patients with smaller reductions in monthly migraine headache days may remain on treatment. It is also unclear whether the treatment effect in responders will be maintained indefinitely</w:t>
      </w:r>
      <w:r w:rsidR="008F0F97">
        <w:rPr>
          <w:color w:val="000000" w:themeColor="text1"/>
        </w:rPr>
        <w:t>.</w:t>
      </w:r>
    </w:p>
    <w:p w14:paraId="55238E9D" w14:textId="73215132" w:rsidR="0043384C" w:rsidRPr="007B6175" w:rsidRDefault="0076750B" w:rsidP="005E6E94">
      <w:pPr>
        <w:pStyle w:val="ExecSumBodyText"/>
        <w:rPr>
          <w:lang w:eastAsia="en-US"/>
        </w:rPr>
      </w:pPr>
      <w:r w:rsidRPr="007B6175">
        <w:rPr>
          <w:lang w:eastAsia="en-US"/>
        </w:rPr>
        <w:t xml:space="preserve">The results of the stepped economic analysis, </w:t>
      </w:r>
      <w:r w:rsidRPr="00B663F3">
        <w:rPr>
          <w:lang w:eastAsia="en-US"/>
        </w:rPr>
        <w:t>including additional steps calculated during the evaluation,</w:t>
      </w:r>
      <w:r w:rsidRPr="007B6175">
        <w:rPr>
          <w:lang w:eastAsia="en-US"/>
        </w:rPr>
        <w:t xml:space="preserve"> are provided in </w:t>
      </w:r>
      <w:r w:rsidR="0043384C" w:rsidRPr="007B6175">
        <w:rPr>
          <w:lang w:eastAsia="en-US"/>
        </w:rPr>
        <w:t>the table below</w:t>
      </w:r>
      <w:r w:rsidRPr="007B6175">
        <w:rPr>
          <w:lang w:eastAsia="en-US"/>
        </w:rPr>
        <w:t>.</w:t>
      </w:r>
    </w:p>
    <w:p w14:paraId="132EE645" w14:textId="0742C22B" w:rsidR="008A3CE1" w:rsidRPr="007B6175" w:rsidRDefault="008A3CE1" w:rsidP="00F95F09">
      <w:pPr>
        <w:pStyle w:val="TableHeading"/>
        <w:keepLines/>
      </w:pPr>
      <w:r w:rsidRPr="007B6175">
        <w:t xml:space="preserve">Table </w:t>
      </w:r>
      <w:r>
        <w:fldChar w:fldCharType="begin"/>
      </w:r>
      <w:r>
        <w:instrText>SEQ Table \* ARABIC</w:instrText>
      </w:r>
      <w:r>
        <w:fldChar w:fldCharType="separate"/>
      </w:r>
      <w:r w:rsidR="00046698">
        <w:rPr>
          <w:noProof/>
        </w:rPr>
        <w:t>13</w:t>
      </w:r>
      <w:r>
        <w:fldChar w:fldCharType="end"/>
      </w:r>
      <w:r w:rsidR="00B417F5" w:rsidRPr="007B6175">
        <w:t>: Results of the stepped economic evaluation</w:t>
      </w:r>
    </w:p>
    <w:tbl>
      <w:tblPr>
        <w:tblStyle w:val="ASD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633"/>
        <w:gridCol w:w="1633"/>
        <w:gridCol w:w="1634"/>
      </w:tblGrid>
      <w:tr w:rsidR="0043384C" w:rsidRPr="007B6175" w14:paraId="5441717A" w14:textId="77777777" w:rsidTr="00F75DE5">
        <w:trPr>
          <w:cnfStyle w:val="100000000000" w:firstRow="1" w:lastRow="0" w:firstColumn="0" w:lastColumn="0" w:oddVBand="0" w:evenVBand="0" w:oddHBand="0" w:evenHBand="0" w:firstRowFirstColumn="0" w:firstRowLastColumn="0" w:lastRowFirstColumn="0" w:lastRowLastColumn="0"/>
        </w:trPr>
        <w:tc>
          <w:tcPr>
            <w:tcW w:w="4106" w:type="dxa"/>
          </w:tcPr>
          <w:p w14:paraId="5022F813" w14:textId="77777777" w:rsidR="0043384C" w:rsidRPr="007B6175" w:rsidRDefault="0043384C" w:rsidP="00F95F09">
            <w:pPr>
              <w:keepNext/>
              <w:keepLines/>
              <w:jc w:val="left"/>
              <w:rPr>
                <w:rFonts w:ascii="Arial Narrow" w:hAnsi="Arial Narrow" w:cs="Times New Roman"/>
                <w:sz w:val="20"/>
                <w:szCs w:val="22"/>
                <w:highlight w:val="yellow"/>
                <w:lang w:val="en-AU"/>
              </w:rPr>
            </w:pPr>
          </w:p>
        </w:tc>
        <w:tc>
          <w:tcPr>
            <w:tcW w:w="1633" w:type="dxa"/>
          </w:tcPr>
          <w:p w14:paraId="6893BEFA" w14:textId="77777777" w:rsidR="0043384C" w:rsidRPr="007B6175" w:rsidRDefault="0043384C" w:rsidP="00F95F09">
            <w:pPr>
              <w:keepNext/>
              <w:keepLines/>
              <w:jc w:val="center"/>
              <w:rPr>
                <w:rFonts w:ascii="Arial Narrow" w:hAnsi="Arial Narrow" w:cs="Times New Roman"/>
                <w:sz w:val="20"/>
                <w:szCs w:val="22"/>
                <w:lang w:val="en-AU"/>
              </w:rPr>
            </w:pPr>
            <w:proofErr w:type="spellStart"/>
            <w:r w:rsidRPr="007B6175">
              <w:rPr>
                <w:rFonts w:ascii="Arial Narrow" w:hAnsi="Arial Narrow" w:cs="Times New Roman"/>
                <w:sz w:val="20"/>
                <w:szCs w:val="22"/>
                <w:lang w:val="en-AU"/>
              </w:rPr>
              <w:t>Galcanezumab</w:t>
            </w:r>
            <w:proofErr w:type="spellEnd"/>
          </w:p>
        </w:tc>
        <w:tc>
          <w:tcPr>
            <w:tcW w:w="1633" w:type="dxa"/>
          </w:tcPr>
          <w:p w14:paraId="07126101"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BSC</w:t>
            </w:r>
          </w:p>
        </w:tc>
        <w:tc>
          <w:tcPr>
            <w:tcW w:w="1634" w:type="dxa"/>
          </w:tcPr>
          <w:p w14:paraId="67201138"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Increment</w:t>
            </w:r>
          </w:p>
        </w:tc>
      </w:tr>
      <w:tr w:rsidR="0043384C" w:rsidRPr="007B6175" w14:paraId="5B7F2697" w14:textId="77777777" w:rsidTr="00F75DE5">
        <w:tc>
          <w:tcPr>
            <w:tcW w:w="9006" w:type="dxa"/>
            <w:gridSpan w:val="4"/>
          </w:tcPr>
          <w:p w14:paraId="6DAB30E1" w14:textId="77777777" w:rsidR="0043384C" w:rsidRPr="00734CA0" w:rsidRDefault="0043384C" w:rsidP="00F95F09">
            <w:pPr>
              <w:keepNext/>
              <w:keepLines/>
              <w:jc w:val="left"/>
              <w:rPr>
                <w:rFonts w:ascii="Arial Narrow" w:hAnsi="Arial Narrow" w:cs="Times New Roman"/>
                <w:sz w:val="20"/>
                <w:szCs w:val="22"/>
                <w:lang w:val="en-AU"/>
              </w:rPr>
            </w:pPr>
            <w:r w:rsidRPr="00AB2ABF">
              <w:rPr>
                <w:rFonts w:ascii="Arial Narrow" w:hAnsi="Arial Narrow" w:cs="Times New Roman"/>
                <w:b/>
                <w:sz w:val="20"/>
                <w:szCs w:val="22"/>
                <w:lang w:val="en-AU"/>
              </w:rPr>
              <w:t>Step 1a: Trial-based analysis, difference in migraine days over 12-weeks, drug costs only</w:t>
            </w:r>
          </w:p>
        </w:tc>
      </w:tr>
      <w:tr w:rsidR="0043384C" w:rsidRPr="007B6175" w14:paraId="39A70E2C" w14:textId="77777777" w:rsidTr="00F75DE5">
        <w:tc>
          <w:tcPr>
            <w:tcW w:w="4106" w:type="dxa"/>
          </w:tcPr>
          <w:p w14:paraId="37F85CA0"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Costs</w:t>
            </w:r>
          </w:p>
        </w:tc>
        <w:tc>
          <w:tcPr>
            <w:tcW w:w="1633" w:type="dxa"/>
          </w:tcPr>
          <w:p w14:paraId="4E0643EF" w14:textId="2EC134D3"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c>
          <w:tcPr>
            <w:tcW w:w="1633" w:type="dxa"/>
          </w:tcPr>
          <w:p w14:paraId="6169118C" w14:textId="60682C82"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c>
          <w:tcPr>
            <w:tcW w:w="1634" w:type="dxa"/>
          </w:tcPr>
          <w:p w14:paraId="16D30D04" w14:textId="117B8B85"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r>
      <w:tr w:rsidR="0043384C" w:rsidRPr="007B6175" w14:paraId="770BFA0C" w14:textId="77777777" w:rsidTr="00F75DE5">
        <w:tc>
          <w:tcPr>
            <w:tcW w:w="4106" w:type="dxa"/>
          </w:tcPr>
          <w:p w14:paraId="58D77EE8"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Mean reduction in migraine days</w:t>
            </w:r>
          </w:p>
        </w:tc>
        <w:tc>
          <w:tcPr>
            <w:tcW w:w="1633" w:type="dxa"/>
          </w:tcPr>
          <w:p w14:paraId="5E2C6AB6" w14:textId="6453FAC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-4.</w:t>
            </w:r>
            <w:r w:rsidR="009B499C">
              <w:rPr>
                <w:rFonts w:ascii="Arial Narrow" w:hAnsi="Arial Narrow" w:cs="Times New Roman"/>
                <w:sz w:val="20"/>
                <w:szCs w:val="22"/>
                <w:lang w:val="en-AU"/>
              </w:rPr>
              <w:t>2</w:t>
            </w:r>
          </w:p>
        </w:tc>
        <w:tc>
          <w:tcPr>
            <w:tcW w:w="1633" w:type="dxa"/>
          </w:tcPr>
          <w:p w14:paraId="6906BF8D" w14:textId="19AEEA63"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-1.</w:t>
            </w:r>
            <w:r w:rsidR="009B499C">
              <w:rPr>
                <w:rFonts w:ascii="Arial Narrow" w:hAnsi="Arial Narrow" w:cs="Times New Roman"/>
                <w:sz w:val="20"/>
                <w:szCs w:val="22"/>
                <w:lang w:val="en-AU"/>
              </w:rPr>
              <w:t>8</w:t>
            </w:r>
          </w:p>
        </w:tc>
        <w:tc>
          <w:tcPr>
            <w:tcW w:w="1634" w:type="dxa"/>
          </w:tcPr>
          <w:p w14:paraId="42EF7298" w14:textId="5EDF4004"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-2.4</w:t>
            </w:r>
          </w:p>
        </w:tc>
      </w:tr>
      <w:tr w:rsidR="0043384C" w:rsidRPr="007B6175" w14:paraId="76C1ECBC" w14:textId="77777777" w:rsidTr="00F75DE5">
        <w:tc>
          <w:tcPr>
            <w:tcW w:w="7372" w:type="dxa"/>
            <w:gridSpan w:val="3"/>
          </w:tcPr>
          <w:p w14:paraId="21848D7B"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Incremental cost per migraine headache day avoided</w:t>
            </w:r>
          </w:p>
        </w:tc>
        <w:tc>
          <w:tcPr>
            <w:tcW w:w="1634" w:type="dxa"/>
          </w:tcPr>
          <w:p w14:paraId="7534698B" w14:textId="7634C0E9"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r>
      <w:tr w:rsidR="0043384C" w:rsidRPr="007B6175" w14:paraId="0F77F227" w14:textId="77777777" w:rsidTr="00F75DE5">
        <w:tc>
          <w:tcPr>
            <w:tcW w:w="9006" w:type="dxa"/>
            <w:gridSpan w:val="4"/>
          </w:tcPr>
          <w:p w14:paraId="08A3D03A" w14:textId="77777777" w:rsidR="0043384C" w:rsidRPr="00734CA0" w:rsidRDefault="0043384C" w:rsidP="00F95F09">
            <w:pPr>
              <w:keepNext/>
              <w:keepLines/>
              <w:jc w:val="left"/>
              <w:rPr>
                <w:rFonts w:ascii="Arial Narrow" w:hAnsi="Arial Narrow" w:cs="Times New Roman"/>
                <w:sz w:val="20"/>
                <w:szCs w:val="22"/>
                <w:lang w:val="en-AU"/>
              </w:rPr>
            </w:pPr>
            <w:r w:rsidRPr="00734CA0">
              <w:rPr>
                <w:rFonts w:ascii="Arial Narrow" w:hAnsi="Arial Narrow" w:cs="Times New Roman"/>
                <w:b/>
                <w:sz w:val="20"/>
                <w:szCs w:val="22"/>
                <w:lang w:val="en-AU"/>
              </w:rPr>
              <w:t xml:space="preserve">Step 1b: </w:t>
            </w:r>
            <w:r w:rsidRPr="00734CA0">
              <w:rPr>
                <w:rFonts w:ascii="Arial Narrow" w:hAnsi="Arial Narrow" w:cs="Times New Roman"/>
                <w:b/>
                <w:sz w:val="20"/>
                <w:szCs w:val="22"/>
                <w:u w:val="single"/>
                <w:lang w:val="en-AU"/>
              </w:rPr>
              <w:t>Modelled analysis</w:t>
            </w:r>
            <w:r w:rsidRPr="00734CA0">
              <w:rPr>
                <w:rFonts w:ascii="Arial Narrow" w:hAnsi="Arial Narrow" w:cs="Times New Roman"/>
                <w:b/>
                <w:sz w:val="20"/>
                <w:szCs w:val="22"/>
                <w:lang w:val="en-AU"/>
              </w:rPr>
              <w:t>, difference in migraine days in cycle 4 (after 3-month assessment period), drug costs over 3 cycles (approximately 12 weeks)</w:t>
            </w:r>
          </w:p>
        </w:tc>
      </w:tr>
      <w:tr w:rsidR="0043384C" w:rsidRPr="007B6175" w14:paraId="7D5FCD9B" w14:textId="77777777" w:rsidTr="00F75DE5">
        <w:tc>
          <w:tcPr>
            <w:tcW w:w="4106" w:type="dxa"/>
          </w:tcPr>
          <w:p w14:paraId="079174AC"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Costs</w:t>
            </w:r>
          </w:p>
        </w:tc>
        <w:tc>
          <w:tcPr>
            <w:tcW w:w="1633" w:type="dxa"/>
          </w:tcPr>
          <w:p w14:paraId="7235AE4B" w14:textId="246CD60F"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c>
          <w:tcPr>
            <w:tcW w:w="1633" w:type="dxa"/>
          </w:tcPr>
          <w:p w14:paraId="106C5BD9" w14:textId="13E97BC6"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c>
          <w:tcPr>
            <w:tcW w:w="1634" w:type="dxa"/>
          </w:tcPr>
          <w:p w14:paraId="280C5D30" w14:textId="27B10D5E"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r>
      <w:tr w:rsidR="0043384C" w:rsidRPr="007B6175" w14:paraId="75F8AC43" w14:textId="77777777" w:rsidTr="00F75DE5">
        <w:tc>
          <w:tcPr>
            <w:tcW w:w="4106" w:type="dxa"/>
          </w:tcPr>
          <w:p w14:paraId="5F5FA4F9" w14:textId="782D0445" w:rsidR="0043384C" w:rsidRPr="007B6175" w:rsidRDefault="00084FFB" w:rsidP="00F95F09">
            <w:pPr>
              <w:keepNext/>
              <w:keepLines/>
              <w:jc w:val="left"/>
              <w:rPr>
                <w:rFonts w:ascii="Arial Narrow" w:hAnsi="Arial Narrow" w:cs="Times New Roman"/>
                <w:sz w:val="20"/>
                <w:szCs w:val="22"/>
                <w:lang w:val="en-AU"/>
              </w:rPr>
            </w:pPr>
            <w:r>
              <w:rPr>
                <w:rFonts w:ascii="Arial Narrow" w:hAnsi="Arial Narrow" w:cs="Times New Roman"/>
                <w:sz w:val="20"/>
                <w:szCs w:val="22"/>
                <w:lang w:val="en-AU"/>
              </w:rPr>
              <w:t>Mean reduction in m</w:t>
            </w:r>
            <w:r w:rsidR="0043384C" w:rsidRPr="007B6175">
              <w:rPr>
                <w:rFonts w:ascii="Arial Narrow" w:hAnsi="Arial Narrow" w:cs="Times New Roman"/>
                <w:sz w:val="20"/>
                <w:szCs w:val="22"/>
                <w:lang w:val="en-AU"/>
              </w:rPr>
              <w:t>igraine days</w:t>
            </w:r>
          </w:p>
        </w:tc>
        <w:tc>
          <w:tcPr>
            <w:tcW w:w="1633" w:type="dxa"/>
          </w:tcPr>
          <w:p w14:paraId="7348D36C"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-4.2</w:t>
            </w:r>
          </w:p>
        </w:tc>
        <w:tc>
          <w:tcPr>
            <w:tcW w:w="1633" w:type="dxa"/>
          </w:tcPr>
          <w:p w14:paraId="4BE3D6D0"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-1.5</w:t>
            </w:r>
          </w:p>
        </w:tc>
        <w:tc>
          <w:tcPr>
            <w:tcW w:w="1634" w:type="dxa"/>
          </w:tcPr>
          <w:p w14:paraId="7EB4B7B6"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-3.2</w:t>
            </w:r>
          </w:p>
        </w:tc>
      </w:tr>
      <w:tr w:rsidR="0043384C" w:rsidRPr="007B6175" w14:paraId="6772BCE0" w14:textId="77777777" w:rsidTr="00F75DE5">
        <w:tc>
          <w:tcPr>
            <w:tcW w:w="7372" w:type="dxa"/>
            <w:gridSpan w:val="3"/>
          </w:tcPr>
          <w:p w14:paraId="5FF57CF3"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Incremental cost per migraine headache day avoided</w:t>
            </w:r>
          </w:p>
        </w:tc>
        <w:tc>
          <w:tcPr>
            <w:tcW w:w="1634" w:type="dxa"/>
          </w:tcPr>
          <w:p w14:paraId="67C764CB" w14:textId="20757B5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r>
      <w:tr w:rsidR="0043384C" w:rsidRPr="007B6175" w14:paraId="12A9B427" w14:textId="77777777" w:rsidTr="00F75DE5">
        <w:tc>
          <w:tcPr>
            <w:tcW w:w="9006" w:type="dxa"/>
            <w:gridSpan w:val="4"/>
          </w:tcPr>
          <w:p w14:paraId="37C4C441" w14:textId="77777777" w:rsidR="0043384C" w:rsidRPr="00734CA0" w:rsidRDefault="0043384C" w:rsidP="00F95F09">
            <w:pPr>
              <w:keepNext/>
              <w:keepLines/>
              <w:jc w:val="left"/>
              <w:rPr>
                <w:rFonts w:ascii="Arial Narrow" w:hAnsi="Arial Narrow" w:cs="Times New Roman"/>
                <w:sz w:val="20"/>
                <w:szCs w:val="22"/>
                <w:lang w:val="en-AU"/>
              </w:rPr>
            </w:pPr>
            <w:r w:rsidRPr="00734CA0">
              <w:rPr>
                <w:rFonts w:ascii="Arial Narrow" w:hAnsi="Arial Narrow" w:cs="Times New Roman"/>
                <w:b/>
                <w:sz w:val="20"/>
                <w:szCs w:val="22"/>
                <w:lang w:val="en-AU"/>
              </w:rPr>
              <w:t xml:space="preserve">Step 2a: Difference in migraine days, drug costs </w:t>
            </w:r>
            <w:r w:rsidRPr="00734CA0">
              <w:rPr>
                <w:rFonts w:ascii="Arial Narrow" w:hAnsi="Arial Narrow" w:cs="Times New Roman"/>
                <w:b/>
                <w:sz w:val="20"/>
                <w:szCs w:val="22"/>
                <w:u w:val="single"/>
                <w:lang w:val="en-AU"/>
              </w:rPr>
              <w:t>over 12 months</w:t>
            </w:r>
          </w:p>
        </w:tc>
      </w:tr>
      <w:tr w:rsidR="0043384C" w:rsidRPr="007B6175" w14:paraId="1E961771" w14:textId="77777777" w:rsidTr="00F75DE5">
        <w:tc>
          <w:tcPr>
            <w:tcW w:w="4106" w:type="dxa"/>
          </w:tcPr>
          <w:p w14:paraId="1370FB09" w14:textId="77777777" w:rsidR="0043384C" w:rsidRPr="0021441F" w:rsidRDefault="0043384C" w:rsidP="00F95F09">
            <w:pPr>
              <w:keepNext/>
              <w:keepLines/>
              <w:jc w:val="left"/>
              <w:rPr>
                <w:rFonts w:ascii="Arial Narrow" w:hAnsi="Arial Narrow" w:cs="Times New Roman"/>
                <w:sz w:val="20"/>
                <w:szCs w:val="22"/>
                <w:lang w:val="en-AU"/>
              </w:rPr>
            </w:pPr>
            <w:r w:rsidRPr="0021441F">
              <w:rPr>
                <w:rFonts w:ascii="Arial Narrow" w:hAnsi="Arial Narrow" w:cs="Times New Roman"/>
                <w:sz w:val="20"/>
                <w:szCs w:val="22"/>
                <w:lang w:val="en-AU"/>
              </w:rPr>
              <w:t>Costs</w:t>
            </w:r>
          </w:p>
        </w:tc>
        <w:tc>
          <w:tcPr>
            <w:tcW w:w="1633" w:type="dxa"/>
          </w:tcPr>
          <w:p w14:paraId="705B4AF4" w14:textId="29818A53" w:rsidR="0043384C" w:rsidRPr="0021441F" w:rsidRDefault="0043384C" w:rsidP="00F95F09">
            <w:pPr>
              <w:keepNext/>
              <w:keepLines/>
              <w:jc w:val="center"/>
              <w:rPr>
                <w:rFonts w:ascii="Arial Narrow" w:hAnsi="Arial Narrow" w:cs="Times New Roman"/>
                <w:sz w:val="20"/>
                <w:szCs w:val="22"/>
                <w:lang w:val="en-AU"/>
              </w:rPr>
            </w:pPr>
            <w:r w:rsidRPr="0021441F">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c>
          <w:tcPr>
            <w:tcW w:w="1633" w:type="dxa"/>
          </w:tcPr>
          <w:p w14:paraId="795765CD" w14:textId="27003D29" w:rsidR="0043384C" w:rsidRPr="0021441F" w:rsidRDefault="0043384C" w:rsidP="00F95F09">
            <w:pPr>
              <w:keepNext/>
              <w:keepLines/>
              <w:jc w:val="center"/>
              <w:rPr>
                <w:rFonts w:ascii="Arial Narrow" w:hAnsi="Arial Narrow" w:cs="Times New Roman"/>
                <w:sz w:val="20"/>
                <w:szCs w:val="22"/>
                <w:lang w:val="en-AU"/>
              </w:rPr>
            </w:pPr>
            <w:r w:rsidRPr="0021441F">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c>
          <w:tcPr>
            <w:tcW w:w="1634" w:type="dxa"/>
          </w:tcPr>
          <w:p w14:paraId="28E970B8" w14:textId="1C2F893B" w:rsidR="0043384C" w:rsidRPr="0021441F" w:rsidRDefault="0043384C" w:rsidP="00F95F09">
            <w:pPr>
              <w:keepNext/>
              <w:keepLines/>
              <w:jc w:val="center"/>
              <w:rPr>
                <w:rFonts w:ascii="Arial Narrow" w:hAnsi="Arial Narrow" w:cs="Times New Roman"/>
                <w:sz w:val="20"/>
                <w:szCs w:val="22"/>
                <w:lang w:val="en-AU"/>
              </w:rPr>
            </w:pPr>
            <w:r w:rsidRPr="0021441F">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r>
      <w:tr w:rsidR="0043384C" w:rsidRPr="007B6175" w14:paraId="7BA72574" w14:textId="77777777" w:rsidTr="00F75DE5">
        <w:tc>
          <w:tcPr>
            <w:tcW w:w="4106" w:type="dxa"/>
          </w:tcPr>
          <w:p w14:paraId="7F0E004C" w14:textId="604915EE" w:rsidR="0043384C" w:rsidRPr="0021441F" w:rsidRDefault="00084FFB" w:rsidP="00F95F09">
            <w:pPr>
              <w:keepNext/>
              <w:keepLines/>
              <w:jc w:val="left"/>
              <w:rPr>
                <w:rFonts w:ascii="Arial Narrow" w:hAnsi="Arial Narrow" w:cs="Times New Roman"/>
                <w:sz w:val="20"/>
                <w:szCs w:val="22"/>
                <w:lang w:val="en-AU"/>
              </w:rPr>
            </w:pPr>
            <w:r w:rsidRPr="0021441F">
              <w:rPr>
                <w:rFonts w:ascii="Arial Narrow" w:hAnsi="Arial Narrow" w:cs="Times New Roman"/>
                <w:sz w:val="20"/>
                <w:szCs w:val="22"/>
                <w:lang w:val="en-AU"/>
              </w:rPr>
              <w:t>Total m</w:t>
            </w:r>
            <w:r w:rsidR="0043384C" w:rsidRPr="0021441F">
              <w:rPr>
                <w:rFonts w:ascii="Arial Narrow" w:hAnsi="Arial Narrow" w:cs="Times New Roman"/>
                <w:sz w:val="20"/>
                <w:szCs w:val="22"/>
                <w:lang w:val="en-AU"/>
              </w:rPr>
              <w:t>igraine days</w:t>
            </w:r>
          </w:p>
        </w:tc>
        <w:tc>
          <w:tcPr>
            <w:tcW w:w="1633" w:type="dxa"/>
          </w:tcPr>
          <w:p w14:paraId="572E50EE" w14:textId="77777777" w:rsidR="0043384C" w:rsidRPr="0021441F" w:rsidRDefault="0043384C" w:rsidP="00F95F09">
            <w:pPr>
              <w:keepNext/>
              <w:keepLines/>
              <w:jc w:val="center"/>
              <w:rPr>
                <w:rFonts w:ascii="Arial Narrow" w:hAnsi="Arial Narrow" w:cs="Times New Roman"/>
                <w:sz w:val="20"/>
                <w:szCs w:val="22"/>
                <w:lang w:val="en-AU"/>
              </w:rPr>
            </w:pPr>
            <w:r w:rsidRPr="0021441F">
              <w:rPr>
                <w:rFonts w:ascii="Arial Narrow" w:hAnsi="Arial Narrow" w:cs="Times New Roman"/>
                <w:sz w:val="20"/>
                <w:szCs w:val="22"/>
                <w:lang w:val="en-AU"/>
              </w:rPr>
              <w:t>112.0</w:t>
            </w:r>
          </w:p>
        </w:tc>
        <w:tc>
          <w:tcPr>
            <w:tcW w:w="1633" w:type="dxa"/>
          </w:tcPr>
          <w:p w14:paraId="26E394E7" w14:textId="77777777" w:rsidR="0043384C" w:rsidRPr="0021441F" w:rsidRDefault="0043384C" w:rsidP="00F95F09">
            <w:pPr>
              <w:keepNext/>
              <w:keepLines/>
              <w:jc w:val="center"/>
              <w:rPr>
                <w:rFonts w:ascii="Arial Narrow" w:hAnsi="Arial Narrow" w:cs="Times New Roman"/>
                <w:sz w:val="20"/>
                <w:szCs w:val="22"/>
                <w:lang w:val="en-AU"/>
              </w:rPr>
            </w:pPr>
            <w:r w:rsidRPr="0021441F">
              <w:rPr>
                <w:rFonts w:ascii="Arial Narrow" w:hAnsi="Arial Narrow" w:cs="Times New Roman"/>
                <w:sz w:val="20"/>
                <w:szCs w:val="22"/>
                <w:lang w:val="en-AU"/>
              </w:rPr>
              <w:t>127.6</w:t>
            </w:r>
          </w:p>
        </w:tc>
        <w:tc>
          <w:tcPr>
            <w:tcW w:w="1634" w:type="dxa"/>
          </w:tcPr>
          <w:p w14:paraId="03D41E9D" w14:textId="77777777" w:rsidR="0043384C" w:rsidRPr="0021441F" w:rsidRDefault="0043384C" w:rsidP="00F95F09">
            <w:pPr>
              <w:keepNext/>
              <w:keepLines/>
              <w:jc w:val="center"/>
              <w:rPr>
                <w:rFonts w:ascii="Arial Narrow" w:hAnsi="Arial Narrow" w:cs="Times New Roman"/>
                <w:sz w:val="20"/>
                <w:szCs w:val="22"/>
                <w:lang w:val="en-AU"/>
              </w:rPr>
            </w:pPr>
            <w:r w:rsidRPr="0021441F">
              <w:rPr>
                <w:rFonts w:ascii="Arial Narrow" w:hAnsi="Arial Narrow" w:cs="Times New Roman"/>
                <w:sz w:val="20"/>
                <w:szCs w:val="22"/>
                <w:lang w:val="en-AU"/>
              </w:rPr>
              <w:t>-15.6</w:t>
            </w:r>
          </w:p>
        </w:tc>
      </w:tr>
      <w:tr w:rsidR="0043384C" w:rsidRPr="007B6175" w14:paraId="1B7CE38B" w14:textId="77777777" w:rsidTr="00F75DE5">
        <w:tc>
          <w:tcPr>
            <w:tcW w:w="7372" w:type="dxa"/>
            <w:gridSpan w:val="3"/>
          </w:tcPr>
          <w:p w14:paraId="5654CABA" w14:textId="77777777" w:rsidR="0043384C" w:rsidRPr="0021441F" w:rsidRDefault="0043384C" w:rsidP="00F95F09">
            <w:pPr>
              <w:keepNext/>
              <w:keepLines/>
              <w:jc w:val="left"/>
              <w:rPr>
                <w:rFonts w:ascii="Arial Narrow" w:hAnsi="Arial Narrow" w:cs="Times New Roman"/>
                <w:sz w:val="20"/>
                <w:szCs w:val="22"/>
                <w:lang w:val="en-AU"/>
              </w:rPr>
            </w:pPr>
            <w:r w:rsidRPr="0021441F">
              <w:rPr>
                <w:rFonts w:ascii="Arial Narrow" w:hAnsi="Arial Narrow" w:cs="Times New Roman"/>
                <w:sz w:val="20"/>
                <w:szCs w:val="22"/>
                <w:lang w:val="en-AU"/>
              </w:rPr>
              <w:t>Incremental cost per migraine headache day avoided</w:t>
            </w:r>
          </w:p>
        </w:tc>
        <w:tc>
          <w:tcPr>
            <w:tcW w:w="1634" w:type="dxa"/>
          </w:tcPr>
          <w:p w14:paraId="0DF21784" w14:textId="3B35563B" w:rsidR="0043384C" w:rsidRPr="0021441F" w:rsidRDefault="0043384C" w:rsidP="00F95F09">
            <w:pPr>
              <w:keepNext/>
              <w:keepLines/>
              <w:jc w:val="center"/>
              <w:rPr>
                <w:rFonts w:ascii="Arial Narrow" w:hAnsi="Arial Narrow" w:cs="Times New Roman"/>
                <w:sz w:val="20"/>
                <w:szCs w:val="22"/>
                <w:lang w:val="en-AU"/>
              </w:rPr>
            </w:pPr>
            <w:r w:rsidRPr="0021441F">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r>
      <w:tr w:rsidR="0043384C" w:rsidRPr="007B6175" w14:paraId="195C821C" w14:textId="77777777" w:rsidTr="00F75DE5">
        <w:tc>
          <w:tcPr>
            <w:tcW w:w="9006" w:type="dxa"/>
            <w:gridSpan w:val="4"/>
          </w:tcPr>
          <w:p w14:paraId="21321501" w14:textId="64EA4689" w:rsidR="0043384C" w:rsidRPr="0021441F" w:rsidRDefault="0043384C" w:rsidP="00F95F09">
            <w:pPr>
              <w:keepNext/>
              <w:keepLines/>
              <w:jc w:val="left"/>
              <w:rPr>
                <w:rFonts w:ascii="Arial Narrow" w:hAnsi="Arial Narrow" w:cs="Times New Roman"/>
                <w:sz w:val="20"/>
                <w:szCs w:val="22"/>
                <w:lang w:val="en-AU"/>
              </w:rPr>
            </w:pPr>
            <w:r w:rsidRPr="0021441F">
              <w:rPr>
                <w:rFonts w:ascii="Arial Narrow" w:hAnsi="Arial Narrow" w:cs="Times New Roman"/>
                <w:b/>
                <w:sz w:val="20"/>
                <w:szCs w:val="22"/>
                <w:lang w:val="en-AU"/>
              </w:rPr>
              <w:t xml:space="preserve">Step 2b: </w:t>
            </w:r>
            <w:r w:rsidR="00FE52D9" w:rsidRPr="0021441F">
              <w:rPr>
                <w:rFonts w:ascii="Arial Narrow" w:hAnsi="Arial Narrow" w:cs="Times New Roman"/>
                <w:b/>
                <w:sz w:val="20"/>
                <w:szCs w:val="22"/>
                <w:lang w:val="en-AU"/>
              </w:rPr>
              <w:t xml:space="preserve">Difference </w:t>
            </w:r>
            <w:r w:rsidRPr="0021441F">
              <w:rPr>
                <w:rFonts w:ascii="Arial Narrow" w:hAnsi="Arial Narrow" w:cs="Times New Roman"/>
                <w:b/>
                <w:sz w:val="20"/>
                <w:szCs w:val="22"/>
                <w:lang w:val="en-AU"/>
              </w:rPr>
              <w:t xml:space="preserve">in migraine days, drug costs, </w:t>
            </w:r>
            <w:r w:rsidRPr="0021441F">
              <w:rPr>
                <w:rFonts w:ascii="Arial Narrow" w:hAnsi="Arial Narrow" w:cs="Times New Roman"/>
                <w:b/>
                <w:sz w:val="20"/>
                <w:szCs w:val="22"/>
                <w:u w:val="single"/>
                <w:lang w:val="en-AU"/>
              </w:rPr>
              <w:t xml:space="preserve">acute </w:t>
            </w:r>
            <w:proofErr w:type="gramStart"/>
            <w:r w:rsidRPr="0021441F">
              <w:rPr>
                <w:rFonts w:ascii="Arial Narrow" w:hAnsi="Arial Narrow" w:cs="Times New Roman"/>
                <w:b/>
                <w:sz w:val="20"/>
                <w:szCs w:val="22"/>
                <w:u w:val="single"/>
                <w:lang w:val="en-AU"/>
              </w:rPr>
              <w:t>treatment</w:t>
            </w:r>
            <w:proofErr w:type="gramEnd"/>
            <w:r w:rsidRPr="0021441F">
              <w:rPr>
                <w:rFonts w:ascii="Arial Narrow" w:hAnsi="Arial Narrow" w:cs="Times New Roman"/>
                <w:b/>
                <w:sz w:val="20"/>
                <w:szCs w:val="22"/>
                <w:u w:val="single"/>
                <w:lang w:val="en-AU"/>
              </w:rPr>
              <w:t xml:space="preserve"> and migraine management costs</w:t>
            </w:r>
            <w:r w:rsidRPr="0021441F">
              <w:rPr>
                <w:rFonts w:ascii="Arial Narrow" w:hAnsi="Arial Narrow" w:cs="Times New Roman"/>
                <w:b/>
                <w:sz w:val="20"/>
                <w:szCs w:val="22"/>
                <w:lang w:val="en-AU"/>
              </w:rPr>
              <w:t xml:space="preserve"> over 12 months</w:t>
            </w:r>
          </w:p>
        </w:tc>
      </w:tr>
      <w:tr w:rsidR="0043384C" w:rsidRPr="007B6175" w14:paraId="4610EBF9" w14:textId="77777777" w:rsidTr="00F75DE5">
        <w:tc>
          <w:tcPr>
            <w:tcW w:w="4106" w:type="dxa"/>
          </w:tcPr>
          <w:p w14:paraId="0CF82F3C"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Costs</w:t>
            </w:r>
          </w:p>
        </w:tc>
        <w:tc>
          <w:tcPr>
            <w:tcW w:w="1633" w:type="dxa"/>
          </w:tcPr>
          <w:p w14:paraId="2838DA14" w14:textId="6325A6E9"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c>
          <w:tcPr>
            <w:tcW w:w="1633" w:type="dxa"/>
          </w:tcPr>
          <w:p w14:paraId="2812FD78" w14:textId="03A77205"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c>
          <w:tcPr>
            <w:tcW w:w="1634" w:type="dxa"/>
          </w:tcPr>
          <w:p w14:paraId="7B92B404" w14:textId="58E605A5"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r>
      <w:tr w:rsidR="0043384C" w:rsidRPr="007B6175" w14:paraId="0DE952FD" w14:textId="77777777" w:rsidTr="00F75DE5">
        <w:tc>
          <w:tcPr>
            <w:tcW w:w="4106" w:type="dxa"/>
          </w:tcPr>
          <w:p w14:paraId="1239864D" w14:textId="4E3A7B33" w:rsidR="0043384C" w:rsidRPr="007B6175" w:rsidRDefault="00084FFB" w:rsidP="00F95F09">
            <w:pPr>
              <w:keepNext/>
              <w:keepLines/>
              <w:jc w:val="left"/>
              <w:rPr>
                <w:rFonts w:ascii="Arial Narrow" w:hAnsi="Arial Narrow" w:cs="Times New Roman"/>
                <w:sz w:val="20"/>
                <w:szCs w:val="22"/>
                <w:lang w:val="en-AU"/>
              </w:rPr>
            </w:pPr>
            <w:r>
              <w:rPr>
                <w:rFonts w:ascii="Arial Narrow" w:hAnsi="Arial Narrow" w:cs="Times New Roman"/>
                <w:sz w:val="20"/>
                <w:szCs w:val="22"/>
                <w:lang w:val="en-AU"/>
              </w:rPr>
              <w:t>Total m</w:t>
            </w:r>
            <w:r w:rsidR="0043384C" w:rsidRPr="007B6175">
              <w:rPr>
                <w:rFonts w:ascii="Arial Narrow" w:hAnsi="Arial Narrow" w:cs="Times New Roman"/>
                <w:sz w:val="20"/>
                <w:szCs w:val="22"/>
                <w:lang w:val="en-AU"/>
              </w:rPr>
              <w:t>igraine days</w:t>
            </w:r>
          </w:p>
        </w:tc>
        <w:tc>
          <w:tcPr>
            <w:tcW w:w="1633" w:type="dxa"/>
          </w:tcPr>
          <w:p w14:paraId="43E1FF74"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112.0</w:t>
            </w:r>
          </w:p>
        </w:tc>
        <w:tc>
          <w:tcPr>
            <w:tcW w:w="1633" w:type="dxa"/>
          </w:tcPr>
          <w:p w14:paraId="5011E9EB"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127.6</w:t>
            </w:r>
          </w:p>
        </w:tc>
        <w:tc>
          <w:tcPr>
            <w:tcW w:w="1634" w:type="dxa"/>
          </w:tcPr>
          <w:p w14:paraId="5A47C1F9"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-15.6</w:t>
            </w:r>
          </w:p>
        </w:tc>
      </w:tr>
      <w:tr w:rsidR="0043384C" w:rsidRPr="007B6175" w14:paraId="3193DFB8" w14:textId="77777777" w:rsidTr="00F75DE5">
        <w:tc>
          <w:tcPr>
            <w:tcW w:w="7372" w:type="dxa"/>
            <w:gridSpan w:val="3"/>
          </w:tcPr>
          <w:p w14:paraId="4B216C1B"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Incremental cost per migraine headache day avoided</w:t>
            </w:r>
          </w:p>
        </w:tc>
        <w:tc>
          <w:tcPr>
            <w:tcW w:w="1634" w:type="dxa"/>
          </w:tcPr>
          <w:p w14:paraId="5C3D2A7D" w14:textId="73EACDB2"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r>
      <w:tr w:rsidR="0043384C" w:rsidRPr="007B6175" w14:paraId="6EA78BC4" w14:textId="77777777" w:rsidTr="00F75DE5">
        <w:tc>
          <w:tcPr>
            <w:tcW w:w="9006" w:type="dxa"/>
            <w:gridSpan w:val="4"/>
          </w:tcPr>
          <w:p w14:paraId="10FA5550" w14:textId="77777777" w:rsidR="0043384C" w:rsidRPr="00734CA0" w:rsidRDefault="0043384C" w:rsidP="00F95F09">
            <w:pPr>
              <w:keepNext/>
              <w:keepLines/>
              <w:jc w:val="left"/>
              <w:rPr>
                <w:rFonts w:ascii="Arial Narrow" w:hAnsi="Arial Narrow" w:cs="Times New Roman"/>
                <w:sz w:val="20"/>
                <w:szCs w:val="22"/>
                <w:lang w:val="en-AU"/>
              </w:rPr>
            </w:pPr>
            <w:r w:rsidRPr="00734CA0">
              <w:rPr>
                <w:rFonts w:ascii="Arial Narrow" w:hAnsi="Arial Narrow" w:cs="Times New Roman"/>
                <w:b/>
                <w:sz w:val="20"/>
                <w:szCs w:val="22"/>
                <w:lang w:val="en-AU"/>
              </w:rPr>
              <w:t xml:space="preserve">Step 3: </w:t>
            </w:r>
            <w:r w:rsidRPr="00734CA0">
              <w:rPr>
                <w:rFonts w:ascii="Arial Narrow" w:hAnsi="Arial Narrow" w:cs="Times New Roman"/>
                <w:b/>
                <w:sz w:val="20"/>
                <w:szCs w:val="22"/>
                <w:u w:val="single"/>
                <w:lang w:val="en-AU"/>
              </w:rPr>
              <w:t>Utilities applied to health states to generate QALYs</w:t>
            </w:r>
            <w:r w:rsidRPr="00734CA0">
              <w:rPr>
                <w:rFonts w:ascii="Arial Narrow" w:hAnsi="Arial Narrow" w:cs="Times New Roman"/>
                <w:b/>
                <w:sz w:val="20"/>
                <w:szCs w:val="22"/>
                <w:lang w:val="en-AU"/>
              </w:rPr>
              <w:t>; costs over 12 months</w:t>
            </w:r>
          </w:p>
        </w:tc>
      </w:tr>
      <w:tr w:rsidR="0043384C" w:rsidRPr="007B6175" w14:paraId="0FB53A2C" w14:textId="77777777" w:rsidTr="00F75DE5">
        <w:tc>
          <w:tcPr>
            <w:tcW w:w="4106" w:type="dxa"/>
          </w:tcPr>
          <w:p w14:paraId="2CA9D6C4"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Costs</w:t>
            </w:r>
          </w:p>
        </w:tc>
        <w:tc>
          <w:tcPr>
            <w:tcW w:w="1633" w:type="dxa"/>
            <w:vAlign w:val="top"/>
          </w:tcPr>
          <w:p w14:paraId="0AA0DAB9" w14:textId="3DAE6BBC" w:rsidR="0043384C" w:rsidRPr="007B6175" w:rsidRDefault="0043384C" w:rsidP="00F95F09">
            <w:pPr>
              <w:keepNext/>
              <w:keepLines/>
              <w:jc w:val="center"/>
              <w:rPr>
                <w:rFonts w:ascii="Arial Narrow" w:hAnsi="Arial Narrow" w:cs="Times New Roman"/>
                <w:sz w:val="20"/>
                <w:szCs w:val="20"/>
                <w:lang w:val="en-AU"/>
              </w:rPr>
            </w:pPr>
            <w:r w:rsidRPr="007B6175">
              <w:rPr>
                <w:rFonts w:ascii="Arial Narrow" w:hAnsi="Arial Narrow"/>
                <w:sz w:val="20"/>
                <w:szCs w:val="20"/>
                <w:lang w:val="en-AU"/>
              </w:rPr>
              <w:t>$</w:t>
            </w:r>
            <w:r w:rsidR="004C3CC2" w:rsidRPr="004C3CC2">
              <w:rPr>
                <w:rFonts w:ascii="Arial Narrow" w:hAnsi="Arial Narrow"/>
                <w:color w:val="000000"/>
                <w:sz w:val="20"/>
                <w:szCs w:val="20"/>
                <w:shd w:val="solid" w:color="000000" w:fill="000000"/>
                <w14:textFill>
                  <w14:solidFill>
                    <w14:srgbClr w14:val="000000">
                      <w14:alpha w14:val="100000"/>
                    </w14:srgbClr>
                  </w14:solidFill>
                </w14:textFill>
              </w:rPr>
              <w:t>|</w:t>
            </w:r>
          </w:p>
        </w:tc>
        <w:tc>
          <w:tcPr>
            <w:tcW w:w="1633" w:type="dxa"/>
            <w:vAlign w:val="top"/>
          </w:tcPr>
          <w:p w14:paraId="57F3A38D" w14:textId="020AC1DE" w:rsidR="0043384C" w:rsidRPr="007B6175" w:rsidRDefault="0043384C" w:rsidP="00F95F09">
            <w:pPr>
              <w:keepNext/>
              <w:keepLines/>
              <w:jc w:val="center"/>
              <w:rPr>
                <w:rFonts w:ascii="Arial Narrow" w:hAnsi="Arial Narrow" w:cs="Times New Roman"/>
                <w:sz w:val="20"/>
                <w:szCs w:val="20"/>
                <w:lang w:val="en-AU"/>
              </w:rPr>
            </w:pPr>
            <w:r w:rsidRPr="007B6175">
              <w:rPr>
                <w:rFonts w:ascii="Arial Narrow" w:hAnsi="Arial Narrow"/>
                <w:sz w:val="20"/>
                <w:szCs w:val="20"/>
                <w:lang w:val="en-AU"/>
              </w:rPr>
              <w:t>$</w:t>
            </w:r>
            <w:r w:rsidR="004C3CC2" w:rsidRPr="004C3CC2">
              <w:rPr>
                <w:rFonts w:ascii="Arial Narrow" w:hAnsi="Arial Narrow"/>
                <w:color w:val="000000"/>
                <w:sz w:val="20"/>
                <w:szCs w:val="20"/>
                <w:shd w:val="solid" w:color="000000" w:fill="000000"/>
                <w14:textFill>
                  <w14:solidFill>
                    <w14:srgbClr w14:val="000000">
                      <w14:alpha w14:val="100000"/>
                    </w14:srgbClr>
                  </w14:solidFill>
                </w14:textFill>
              </w:rPr>
              <w:t>|</w:t>
            </w:r>
          </w:p>
        </w:tc>
        <w:tc>
          <w:tcPr>
            <w:tcW w:w="1634" w:type="dxa"/>
            <w:vAlign w:val="top"/>
          </w:tcPr>
          <w:p w14:paraId="38D648D7" w14:textId="5A505DC4" w:rsidR="0043384C" w:rsidRPr="007B6175" w:rsidRDefault="0043384C" w:rsidP="00F95F09">
            <w:pPr>
              <w:keepNext/>
              <w:keepLines/>
              <w:jc w:val="center"/>
              <w:rPr>
                <w:rFonts w:ascii="Arial Narrow" w:hAnsi="Arial Narrow" w:cs="Times New Roman"/>
                <w:sz w:val="20"/>
                <w:szCs w:val="20"/>
                <w:lang w:val="en-AU"/>
              </w:rPr>
            </w:pPr>
            <w:r w:rsidRPr="007B6175">
              <w:rPr>
                <w:rFonts w:ascii="Arial Narrow" w:hAnsi="Arial Narrow"/>
                <w:sz w:val="20"/>
                <w:szCs w:val="20"/>
                <w:lang w:val="en-AU"/>
              </w:rPr>
              <w:t>$</w:t>
            </w:r>
            <w:r w:rsidR="004C3CC2" w:rsidRPr="004C3CC2">
              <w:rPr>
                <w:rFonts w:ascii="Arial Narrow" w:hAnsi="Arial Narrow"/>
                <w:color w:val="000000"/>
                <w:sz w:val="20"/>
                <w:szCs w:val="20"/>
                <w:shd w:val="solid" w:color="000000" w:fill="000000"/>
                <w14:textFill>
                  <w14:solidFill>
                    <w14:srgbClr w14:val="000000">
                      <w14:alpha w14:val="100000"/>
                    </w14:srgbClr>
                  </w14:solidFill>
                </w14:textFill>
              </w:rPr>
              <w:t>|</w:t>
            </w:r>
          </w:p>
        </w:tc>
      </w:tr>
      <w:tr w:rsidR="0043384C" w:rsidRPr="007B6175" w14:paraId="2C5F1AC4" w14:textId="77777777" w:rsidTr="00F75DE5">
        <w:tc>
          <w:tcPr>
            <w:tcW w:w="4106" w:type="dxa"/>
          </w:tcPr>
          <w:p w14:paraId="36856A33"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QALYs</w:t>
            </w:r>
          </w:p>
        </w:tc>
        <w:tc>
          <w:tcPr>
            <w:tcW w:w="1633" w:type="dxa"/>
          </w:tcPr>
          <w:p w14:paraId="3747F38E"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0.694</w:t>
            </w:r>
          </w:p>
        </w:tc>
        <w:tc>
          <w:tcPr>
            <w:tcW w:w="1633" w:type="dxa"/>
          </w:tcPr>
          <w:p w14:paraId="5E575DEF"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0.647</w:t>
            </w:r>
          </w:p>
        </w:tc>
        <w:tc>
          <w:tcPr>
            <w:tcW w:w="1634" w:type="dxa"/>
          </w:tcPr>
          <w:p w14:paraId="58BB8160"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0.048</w:t>
            </w:r>
          </w:p>
        </w:tc>
      </w:tr>
      <w:tr w:rsidR="0043384C" w:rsidRPr="007B6175" w14:paraId="74211703" w14:textId="77777777" w:rsidTr="00F75DE5">
        <w:tc>
          <w:tcPr>
            <w:tcW w:w="7372" w:type="dxa"/>
            <w:gridSpan w:val="3"/>
          </w:tcPr>
          <w:p w14:paraId="57929157"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Incremental cost per QALY gained</w:t>
            </w:r>
          </w:p>
        </w:tc>
        <w:tc>
          <w:tcPr>
            <w:tcW w:w="1634" w:type="dxa"/>
          </w:tcPr>
          <w:p w14:paraId="2CDEA307" w14:textId="1E8C499B" w:rsidR="0043384C" w:rsidRPr="004C3CC2" w:rsidRDefault="0043384C" w:rsidP="00F95F09">
            <w:pPr>
              <w:keepNext/>
              <w:keepLines/>
              <w:jc w:val="center"/>
              <w:rPr>
                <w:rFonts w:ascii="Arial Narrow" w:hAnsi="Arial Narrow" w:cs="Times New Roman"/>
                <w:sz w:val="20"/>
                <w:szCs w:val="22"/>
                <w:vertAlign w:val="superscript"/>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r w:rsidR="00E45ABB">
              <w:rPr>
                <w:rFonts w:ascii="Arial Narrow" w:hAnsi="Arial Narrow" w:cs="Times New Roman"/>
                <w:sz w:val="20"/>
                <w:szCs w:val="22"/>
                <w:vertAlign w:val="superscript"/>
                <w:lang w:val="en-AU"/>
              </w:rPr>
              <w:t>1</w:t>
            </w:r>
          </w:p>
        </w:tc>
      </w:tr>
      <w:tr w:rsidR="0043384C" w:rsidRPr="007B6175" w14:paraId="2F42D030" w14:textId="77777777" w:rsidTr="00F75DE5">
        <w:tc>
          <w:tcPr>
            <w:tcW w:w="9006" w:type="dxa"/>
            <w:gridSpan w:val="4"/>
          </w:tcPr>
          <w:p w14:paraId="347CB544"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b/>
                <w:sz w:val="20"/>
                <w:szCs w:val="22"/>
                <w:lang w:val="en-AU"/>
              </w:rPr>
              <w:t xml:space="preserve">Step 4: QALYs and costs </w:t>
            </w:r>
            <w:r w:rsidRPr="007B6175">
              <w:rPr>
                <w:rFonts w:ascii="Arial Narrow" w:hAnsi="Arial Narrow" w:cs="Times New Roman"/>
                <w:b/>
                <w:sz w:val="20"/>
                <w:szCs w:val="22"/>
                <w:u w:val="single"/>
                <w:lang w:val="en-AU"/>
              </w:rPr>
              <w:t>over 5-year time horizon</w:t>
            </w:r>
          </w:p>
        </w:tc>
      </w:tr>
      <w:tr w:rsidR="0043384C" w:rsidRPr="007B6175" w14:paraId="57EAACE3" w14:textId="77777777" w:rsidTr="00F75DE5">
        <w:tc>
          <w:tcPr>
            <w:tcW w:w="4106" w:type="dxa"/>
          </w:tcPr>
          <w:p w14:paraId="31399D27"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Costs</w:t>
            </w:r>
          </w:p>
        </w:tc>
        <w:tc>
          <w:tcPr>
            <w:tcW w:w="1633" w:type="dxa"/>
          </w:tcPr>
          <w:p w14:paraId="0A4EA13C" w14:textId="1368EEF5"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c>
          <w:tcPr>
            <w:tcW w:w="1633" w:type="dxa"/>
          </w:tcPr>
          <w:p w14:paraId="058C39E4" w14:textId="62545228"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c>
          <w:tcPr>
            <w:tcW w:w="1634" w:type="dxa"/>
          </w:tcPr>
          <w:p w14:paraId="6F95910E" w14:textId="00D9B9B6"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p>
        </w:tc>
      </w:tr>
      <w:tr w:rsidR="0043384C" w:rsidRPr="007B6175" w14:paraId="5C35463B" w14:textId="77777777" w:rsidTr="00F75DE5">
        <w:tc>
          <w:tcPr>
            <w:tcW w:w="4106" w:type="dxa"/>
          </w:tcPr>
          <w:p w14:paraId="60F76265"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QALYs</w:t>
            </w:r>
          </w:p>
        </w:tc>
        <w:tc>
          <w:tcPr>
            <w:tcW w:w="1633" w:type="dxa"/>
          </w:tcPr>
          <w:p w14:paraId="0D86A60B"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2.934</w:t>
            </w:r>
          </w:p>
        </w:tc>
        <w:tc>
          <w:tcPr>
            <w:tcW w:w="1633" w:type="dxa"/>
          </w:tcPr>
          <w:p w14:paraId="019CB650"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2.752</w:t>
            </w:r>
          </w:p>
        </w:tc>
        <w:tc>
          <w:tcPr>
            <w:tcW w:w="1634" w:type="dxa"/>
          </w:tcPr>
          <w:p w14:paraId="740AC505" w14:textId="77777777" w:rsidR="0043384C" w:rsidRPr="007B6175" w:rsidRDefault="0043384C" w:rsidP="00F95F09">
            <w:pPr>
              <w:keepNext/>
              <w:keepLines/>
              <w:jc w:val="center"/>
              <w:rPr>
                <w:rFonts w:ascii="Arial Narrow" w:hAnsi="Arial Narrow" w:cs="Times New Roman"/>
                <w:sz w:val="20"/>
                <w:szCs w:val="22"/>
                <w:lang w:val="en-AU"/>
              </w:rPr>
            </w:pPr>
            <w:r w:rsidRPr="007B6175">
              <w:rPr>
                <w:rFonts w:ascii="Arial Narrow" w:hAnsi="Arial Narrow" w:cs="Times New Roman"/>
                <w:sz w:val="20"/>
                <w:szCs w:val="22"/>
                <w:lang w:val="en-AU"/>
              </w:rPr>
              <w:t>0.183</w:t>
            </w:r>
          </w:p>
        </w:tc>
      </w:tr>
      <w:tr w:rsidR="0043384C" w:rsidRPr="007B6175" w14:paraId="3757B88E" w14:textId="77777777" w:rsidTr="00F75DE5">
        <w:tc>
          <w:tcPr>
            <w:tcW w:w="7372" w:type="dxa"/>
            <w:gridSpan w:val="3"/>
          </w:tcPr>
          <w:p w14:paraId="02D41CBB" w14:textId="77777777" w:rsidR="0043384C" w:rsidRPr="007B6175" w:rsidRDefault="0043384C" w:rsidP="00F95F09">
            <w:pPr>
              <w:keepNext/>
              <w:keepLines/>
              <w:jc w:val="left"/>
              <w:rPr>
                <w:rFonts w:ascii="Arial Narrow" w:hAnsi="Arial Narrow" w:cs="Times New Roman"/>
                <w:sz w:val="20"/>
                <w:szCs w:val="22"/>
                <w:lang w:val="en-AU"/>
              </w:rPr>
            </w:pPr>
            <w:r w:rsidRPr="007B6175">
              <w:rPr>
                <w:rFonts w:ascii="Arial Narrow" w:hAnsi="Arial Narrow" w:cs="Times New Roman"/>
                <w:sz w:val="20"/>
                <w:szCs w:val="22"/>
                <w:lang w:val="en-AU"/>
              </w:rPr>
              <w:t>Incremental cost per QALY gained</w:t>
            </w:r>
          </w:p>
        </w:tc>
        <w:tc>
          <w:tcPr>
            <w:tcW w:w="1634" w:type="dxa"/>
          </w:tcPr>
          <w:p w14:paraId="1E5ED680" w14:textId="5ABA123A" w:rsidR="0043384C" w:rsidRPr="004C3CC2" w:rsidRDefault="0043384C" w:rsidP="00F95F09">
            <w:pPr>
              <w:keepNext/>
              <w:keepLines/>
              <w:jc w:val="center"/>
              <w:rPr>
                <w:rFonts w:ascii="Arial Narrow" w:hAnsi="Arial Narrow" w:cs="Times New Roman"/>
                <w:sz w:val="20"/>
                <w:szCs w:val="22"/>
                <w:vertAlign w:val="superscript"/>
                <w:lang w:val="en-AU"/>
              </w:rPr>
            </w:pPr>
            <w:r w:rsidRPr="007B6175">
              <w:rPr>
                <w:rFonts w:ascii="Arial Narrow" w:hAnsi="Arial Narrow" w:cs="Times New Roman"/>
                <w:sz w:val="20"/>
                <w:szCs w:val="22"/>
                <w:lang w:val="en-AU"/>
              </w:rPr>
              <w:t>$</w:t>
            </w:r>
            <w:r w:rsidR="004C3CC2" w:rsidRPr="004C3CC2">
              <w:rPr>
                <w:rFonts w:ascii="Arial Narrow" w:hAnsi="Arial Narrow" w:cs="Times New Roman"/>
                <w:color w:val="000000"/>
                <w:sz w:val="20"/>
                <w:szCs w:val="22"/>
                <w:shd w:val="solid" w:color="000000" w:fill="000000"/>
                <w14:textFill>
                  <w14:solidFill>
                    <w14:srgbClr w14:val="000000">
                      <w14:alpha w14:val="100000"/>
                    </w14:srgbClr>
                  </w14:solidFill>
                </w14:textFill>
              </w:rPr>
              <w:t>|</w:t>
            </w:r>
            <w:r w:rsidR="00E45ABB">
              <w:rPr>
                <w:rFonts w:ascii="Arial Narrow" w:hAnsi="Arial Narrow" w:cs="Times New Roman"/>
                <w:sz w:val="20"/>
                <w:szCs w:val="22"/>
                <w:vertAlign w:val="superscript"/>
                <w:lang w:val="en-AU"/>
              </w:rPr>
              <w:t>2</w:t>
            </w:r>
          </w:p>
        </w:tc>
      </w:tr>
    </w:tbl>
    <w:p w14:paraId="3B4FF814" w14:textId="77777777" w:rsidR="0043384C" w:rsidRPr="007B6175" w:rsidRDefault="0043384C" w:rsidP="00F95F09">
      <w:pPr>
        <w:pStyle w:val="TableFooter"/>
        <w:keepNext/>
        <w:keepLines/>
      </w:pPr>
      <w:r w:rsidRPr="007B6175">
        <w:t>Source: Table 3.8.2, p142 of the resubmission; additional analyses calculated during the evaluation using the Section 3 economic model.</w:t>
      </w:r>
    </w:p>
    <w:p w14:paraId="487C3A1D" w14:textId="73E47C81" w:rsidR="0076750B" w:rsidRDefault="0043384C" w:rsidP="004C3CC2">
      <w:pPr>
        <w:pStyle w:val="TableFooter"/>
        <w:keepNext/>
        <w:keepLines/>
        <w:spacing w:after="0"/>
      </w:pPr>
      <w:r w:rsidRPr="007B6175">
        <w:t>Abbreviations: BSC, best supportive care; QALY, quality-adjusted life year.</w:t>
      </w:r>
    </w:p>
    <w:p w14:paraId="7335882A" w14:textId="77777777" w:rsidR="00E45ABB" w:rsidRPr="009A6D58" w:rsidRDefault="00E45ABB" w:rsidP="00E45AB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7B5B57B" w14:textId="1E6C35A9" w:rsidR="00E45ABB" w:rsidRPr="009A6D58" w:rsidRDefault="00E45ABB" w:rsidP="00E45AB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45ABB">
        <w:rPr>
          <w:rFonts w:ascii="Arial Narrow" w:hAnsi="Arial Narrow"/>
          <w:i/>
          <w:sz w:val="18"/>
          <w:szCs w:val="18"/>
        </w:rPr>
        <w:t>$45,000 to &lt; $55,000</w:t>
      </w:r>
    </w:p>
    <w:p w14:paraId="41002433" w14:textId="7F0AAD32" w:rsidR="00E45ABB" w:rsidRPr="009A6D58" w:rsidRDefault="00E45ABB" w:rsidP="00E45AB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E45ABB">
        <w:rPr>
          <w:rFonts w:ascii="Arial Narrow" w:hAnsi="Arial Narrow"/>
          <w:i/>
          <w:sz w:val="18"/>
          <w:szCs w:val="18"/>
        </w:rPr>
        <w:t>$25,000 to &lt; $35,000</w:t>
      </w:r>
    </w:p>
    <w:p w14:paraId="1F89595A" w14:textId="77777777" w:rsidR="00E45ABB" w:rsidRPr="007B6175" w:rsidRDefault="00E45ABB" w:rsidP="00F95F09">
      <w:pPr>
        <w:pStyle w:val="TableFooter"/>
        <w:keepNext/>
        <w:keepLines/>
      </w:pPr>
    </w:p>
    <w:p w14:paraId="15EB6F76" w14:textId="1B382424" w:rsidR="009253FC" w:rsidRPr="00B663F3" w:rsidRDefault="0043384C" w:rsidP="00340E3E">
      <w:pPr>
        <w:pStyle w:val="ExecSumBodyText"/>
        <w:rPr>
          <w:iCs/>
        </w:rPr>
      </w:pPr>
      <w:r w:rsidRPr="007B6175">
        <w:t xml:space="preserve">Based on the results of the economic model, treatment with </w:t>
      </w:r>
      <w:proofErr w:type="spellStart"/>
      <w:r w:rsidRPr="007B6175">
        <w:t>galcanezumab</w:t>
      </w:r>
      <w:proofErr w:type="spellEnd"/>
      <w:r w:rsidRPr="007B6175">
        <w:t xml:space="preserve"> was associated with an incremental cost per migraine day averted over a 12-month period of $</w:t>
      </w:r>
      <w:proofErr w:type="gramStart"/>
      <w:r w:rsidR="004C3CC2" w:rsidRPr="00046698">
        <w:rPr>
          <w:color w:val="000000"/>
          <w:w w:val="15"/>
          <w:shd w:val="solid" w:color="000000" w:fill="000000"/>
          <w:fitText w:val="-20" w:id="-1504954352"/>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4352"/>
          <w14:textFill>
            <w14:solidFill>
              <w14:srgbClr w14:val="000000">
                <w14:alpha w14:val="100000"/>
              </w14:srgbClr>
            </w14:solidFill>
          </w14:textFill>
        </w:rPr>
        <w:t>|</w:t>
      </w:r>
      <w:proofErr w:type="gramEnd"/>
      <w:r w:rsidRPr="007B6175">
        <w:t xml:space="preserve"> (November 2020 submission: $</w:t>
      </w:r>
      <w:r w:rsidR="004C3CC2" w:rsidRPr="00046698">
        <w:rPr>
          <w:color w:val="000000"/>
          <w:w w:val="15"/>
          <w:shd w:val="solid" w:color="000000" w:fill="000000"/>
          <w:fitText w:val="-20" w:id="-1504954368"/>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4368"/>
          <w14:textFill>
            <w14:solidFill>
              <w14:srgbClr w14:val="000000">
                <w14:alpha w14:val="100000"/>
              </w14:srgbClr>
            </w14:solidFill>
          </w14:textFill>
        </w:rPr>
        <w:t>|</w:t>
      </w:r>
      <w:r w:rsidRPr="007B6175">
        <w:t xml:space="preserve">), and a cost per QALY gained over 5 years of </w:t>
      </w:r>
      <w:r w:rsidR="00C949CA" w:rsidRPr="0040358E">
        <w:rPr>
          <w:rFonts w:cstheme="minorHAnsi"/>
        </w:rPr>
        <w:t>$25,000 to &lt; $35,000</w:t>
      </w:r>
      <w:r w:rsidR="00C949CA">
        <w:t xml:space="preserve"> </w:t>
      </w:r>
      <w:r w:rsidRPr="007B6175">
        <w:t xml:space="preserve">(November 2020 submission: </w:t>
      </w:r>
      <w:r w:rsidR="00C949CA" w:rsidRPr="004C3CC2">
        <w:rPr>
          <w:rFonts w:cstheme="minorHAnsi"/>
          <w:snapToGrid/>
          <w:color w:val="333333"/>
        </w:rPr>
        <w:t>$35,000 to &lt; $45,000</w:t>
      </w:r>
      <w:r w:rsidRPr="007B6175">
        <w:t xml:space="preserve">), compared to best supportive care (placebo). </w:t>
      </w:r>
      <w:r w:rsidRPr="00B663F3">
        <w:rPr>
          <w:iCs/>
        </w:rPr>
        <w:t xml:space="preserve">The difference compared to the November 2020 submission was primarily due to a reduction in the proposed </w:t>
      </w:r>
      <w:proofErr w:type="spellStart"/>
      <w:r w:rsidRPr="00B663F3">
        <w:rPr>
          <w:iCs/>
        </w:rPr>
        <w:t>galcanezumab</w:t>
      </w:r>
      <w:proofErr w:type="spellEnd"/>
      <w:r w:rsidRPr="00B663F3">
        <w:rPr>
          <w:iCs/>
        </w:rPr>
        <w:t xml:space="preserve"> price.</w:t>
      </w:r>
    </w:p>
    <w:p w14:paraId="172111BD" w14:textId="21E25611" w:rsidR="009253FC" w:rsidRPr="00B663F3" w:rsidRDefault="009253FC" w:rsidP="00340E3E">
      <w:pPr>
        <w:pStyle w:val="ExecSumBodyText"/>
      </w:pPr>
      <w:bookmarkStart w:id="43" w:name="_Ref96367275"/>
      <w:r w:rsidRPr="00B663F3">
        <w:t xml:space="preserve">The </w:t>
      </w:r>
      <w:r w:rsidR="00D35A24">
        <w:t xml:space="preserve">evaluation noted the </w:t>
      </w:r>
      <w:r w:rsidRPr="00B663F3">
        <w:t>following issues:</w:t>
      </w:r>
      <w:bookmarkEnd w:id="43"/>
      <w:r w:rsidRPr="00B663F3">
        <w:t xml:space="preserve"> </w:t>
      </w:r>
    </w:p>
    <w:p w14:paraId="48815A8E" w14:textId="61D09D8D" w:rsidR="00ED7F69" w:rsidRPr="00B663F3" w:rsidRDefault="00ED7F69" w:rsidP="00845E08">
      <w:pPr>
        <w:pStyle w:val="ListParagraph"/>
        <w:numPr>
          <w:ilvl w:val="0"/>
          <w:numId w:val="32"/>
        </w:numPr>
        <w:ind w:left="1077" w:hanging="357"/>
      </w:pPr>
      <w:r w:rsidRPr="00B663F3">
        <w:lastRenderedPageBreak/>
        <w:t xml:space="preserve">The economic model assumed that only patients who achieved a ≥50% </w:t>
      </w:r>
      <w:r w:rsidR="00165E79" w:rsidRPr="00B663F3">
        <w:t xml:space="preserve">reduction in monthly migraine days </w:t>
      </w:r>
      <w:r w:rsidRPr="00B663F3">
        <w:t xml:space="preserve">at 3 months would continue treatment with </w:t>
      </w:r>
      <w:proofErr w:type="spellStart"/>
      <w:r w:rsidRPr="00B663F3">
        <w:t>galcanezumab</w:t>
      </w:r>
      <w:proofErr w:type="spellEnd"/>
      <w:r w:rsidRPr="00B663F3">
        <w:t>. In practice it is likely that some patients who do not achieve the required 50% response will continue treatment if they have achieved a clinically meaningful reduction in monthly migraine days. The subjective nature of the proposed continuation criteria and a current lack of PBS-listed treatment alternatives for this population may also contribute to a higher continuation rate in clinical practice.</w:t>
      </w:r>
    </w:p>
    <w:p w14:paraId="5B061CA3" w14:textId="217371F4" w:rsidR="00FC4282" w:rsidRDefault="009253FC" w:rsidP="00845E08">
      <w:pPr>
        <w:pStyle w:val="ListParagraph"/>
        <w:numPr>
          <w:ilvl w:val="0"/>
          <w:numId w:val="32"/>
        </w:numPr>
        <w:ind w:left="1077" w:hanging="357"/>
      </w:pPr>
      <w:r w:rsidRPr="00B663F3">
        <w:t xml:space="preserve">The economic model assumed ongoing treatment for responders for the life of the model, with patients only discontinuing due to adverse events or death after the initial response assessment. There is a lack of long-term clinical evidence to support the durability of treatment effect for patients achieving a </w:t>
      </w:r>
      <w:r w:rsidRPr="00B663F3">
        <w:rPr>
          <w:rFonts w:cs="Calibri"/>
        </w:rPr>
        <w:t>≥</w:t>
      </w:r>
      <w:r w:rsidRPr="00B663F3">
        <w:t>50% response at 3 months.</w:t>
      </w:r>
      <w:r w:rsidR="004D6AD7">
        <w:t xml:space="preserve"> </w:t>
      </w:r>
      <w:r w:rsidR="004D6AD7" w:rsidRPr="00962E43">
        <w:t>The PSCR stated extensive long-term evidence was provided in the resubmission and therefore</w:t>
      </w:r>
      <w:r w:rsidR="00D35A24" w:rsidRPr="00962E43">
        <w:t xml:space="preserve"> </w:t>
      </w:r>
      <w:r w:rsidR="004D6AD7" w:rsidRPr="00962E43">
        <w:t xml:space="preserve">it is reasonable to assume that for the patients that remain on </w:t>
      </w:r>
      <w:proofErr w:type="spellStart"/>
      <w:r w:rsidR="004D6AD7" w:rsidRPr="00962E43">
        <w:t>galcanezumab</w:t>
      </w:r>
      <w:proofErr w:type="spellEnd"/>
      <w:r w:rsidR="004D6AD7" w:rsidRPr="00962E43">
        <w:t xml:space="preserve"> treatment in the model, the treatment effect of </w:t>
      </w:r>
      <w:proofErr w:type="spellStart"/>
      <w:r w:rsidR="004D6AD7" w:rsidRPr="00962E43">
        <w:t>galcanezumab</w:t>
      </w:r>
      <w:proofErr w:type="spellEnd"/>
      <w:r w:rsidR="004D6AD7" w:rsidRPr="00962E43">
        <w:t xml:space="preserve"> does not wane over time of the 5-year time horizon of the model. The ESC noted the evidence from the open-label extension studies was limited to </w:t>
      </w:r>
      <w:r w:rsidR="00E650C0" w:rsidRPr="00962E43">
        <w:t xml:space="preserve">a maximum of </w:t>
      </w:r>
      <w:r w:rsidR="004D6AD7" w:rsidRPr="00962E43">
        <w:t xml:space="preserve">12 months and </w:t>
      </w:r>
      <w:r w:rsidR="00E650C0" w:rsidRPr="00962E43">
        <w:t xml:space="preserve">considered the appropriateness </w:t>
      </w:r>
      <w:r w:rsidR="007A547E" w:rsidRPr="00962E43">
        <w:t xml:space="preserve">of </w:t>
      </w:r>
      <w:r w:rsidR="00E650C0" w:rsidRPr="00962E43">
        <w:t>assuming no waning of effect over 5 years remained uncertain</w:t>
      </w:r>
      <w:r w:rsidR="00E650C0">
        <w:rPr>
          <w:i/>
        </w:rPr>
        <w:t>.</w:t>
      </w:r>
    </w:p>
    <w:p w14:paraId="0051E1E0" w14:textId="032367C5" w:rsidR="003C7EE4" w:rsidRPr="00962E43" w:rsidRDefault="00FC4282" w:rsidP="00845E08">
      <w:pPr>
        <w:pStyle w:val="ListParagraph"/>
        <w:numPr>
          <w:ilvl w:val="0"/>
          <w:numId w:val="32"/>
        </w:numPr>
        <w:ind w:left="1077" w:hanging="357"/>
      </w:pPr>
      <w:r w:rsidRPr="00B663F3">
        <w:t xml:space="preserve">The modelled distributions included a large proportion of patients who would either not be eligible under the proposed restriction or would fit the definition for chronic migraine. At baseline in the economic model, 23.8% of the population were experiencing 0-7 monthly migraine headache days, and 19.7% were experiencing ≥15 monthly migraine headache days. </w:t>
      </w:r>
      <w:r w:rsidR="00A36F4A" w:rsidRPr="00B663F3">
        <w:t>As costs and outcomes in the model were derived from these distributions, the modelled results may not reflect the costs and outcomes for patients with high frequency episodic migraine.</w:t>
      </w:r>
      <w:r w:rsidR="00776EF6">
        <w:t xml:space="preserve"> </w:t>
      </w:r>
      <w:r w:rsidR="00776EF6" w:rsidRPr="00962E43">
        <w:t xml:space="preserve">The PSCR argued that the impact of the distributions is limited during the initial three months of the model, given that the same distribution is applied to the </w:t>
      </w:r>
      <w:proofErr w:type="spellStart"/>
      <w:r w:rsidR="00776EF6" w:rsidRPr="00962E43">
        <w:t>galcanezumab</w:t>
      </w:r>
      <w:proofErr w:type="spellEnd"/>
      <w:r w:rsidR="00776EF6" w:rsidRPr="00962E43">
        <w:t xml:space="preserve"> and BSC arms. The ESC considered that the overall impact of the distribution on the results is uncertain; however, noted it may not be substantial given that patients with ≥15 monthly migraine headache days (19.7%) were somewhat balanced by patients experiencing 0-7 monthly migraine headache days (23.8%).</w:t>
      </w:r>
    </w:p>
    <w:p w14:paraId="7A3C52E6" w14:textId="05BC7603" w:rsidR="003C7EE4" w:rsidRPr="00B663F3" w:rsidRDefault="003C7EE4" w:rsidP="00845E08">
      <w:pPr>
        <w:pStyle w:val="ListParagraph"/>
        <w:numPr>
          <w:ilvl w:val="0"/>
          <w:numId w:val="32"/>
        </w:numPr>
        <w:ind w:left="1077" w:hanging="357"/>
      </w:pPr>
      <w:r w:rsidRPr="00B663F3">
        <w:t xml:space="preserve">It </w:t>
      </w:r>
      <w:r w:rsidR="001753F3" w:rsidRPr="00B663F3">
        <w:t>remains</w:t>
      </w:r>
      <w:r w:rsidRPr="00B663F3">
        <w:t xml:space="preserve"> unc</w:t>
      </w:r>
      <w:r w:rsidR="007A547E">
        <w:t>ertain</w:t>
      </w:r>
      <w:r w:rsidRPr="00B663F3">
        <w:t xml:space="preserve"> whether the application of a utility benefit for being on treatment with </w:t>
      </w:r>
      <w:proofErr w:type="spellStart"/>
      <w:r w:rsidRPr="00B663F3">
        <w:t>galcanezumab</w:t>
      </w:r>
      <w:proofErr w:type="spellEnd"/>
      <w:r w:rsidRPr="00B663F3">
        <w:t xml:space="preserve"> compared with best supportive care </w:t>
      </w:r>
      <w:r w:rsidR="001753F3" w:rsidRPr="00B663F3">
        <w:t>is</w:t>
      </w:r>
      <w:r w:rsidRPr="00B663F3">
        <w:t xml:space="preserve"> appropriate.</w:t>
      </w:r>
      <w:r w:rsidR="007A547E">
        <w:t xml:space="preserve"> </w:t>
      </w:r>
      <w:r w:rsidR="007A547E" w:rsidRPr="00962E43">
        <w:t xml:space="preserve">The ESC agreed with the evaluation that this remained uncertain (as discussed in paragraph </w:t>
      </w:r>
      <w:r w:rsidR="007A547E" w:rsidRPr="00962E43">
        <w:fldChar w:fldCharType="begin"/>
      </w:r>
      <w:r w:rsidR="007A547E" w:rsidRPr="00962E43">
        <w:instrText xml:space="preserve"> REF _Ref96352491 \r \h </w:instrText>
      </w:r>
      <w:r w:rsidR="00962E43">
        <w:instrText xml:space="preserve"> \* MERGEFORMAT </w:instrText>
      </w:r>
      <w:r w:rsidR="007A547E" w:rsidRPr="00962E43">
        <w:fldChar w:fldCharType="separate"/>
      </w:r>
      <w:r w:rsidR="00046698">
        <w:t>6.46</w:t>
      </w:r>
      <w:r w:rsidR="007A547E" w:rsidRPr="00962E43">
        <w:fldChar w:fldCharType="end"/>
      </w:r>
      <w:r w:rsidR="007A547E" w:rsidRPr="00962E43">
        <w:t>).</w:t>
      </w:r>
      <w:r w:rsidR="007A547E">
        <w:t xml:space="preserve"> </w:t>
      </w:r>
    </w:p>
    <w:p w14:paraId="027EE452" w14:textId="32ED6332" w:rsidR="009253FC" w:rsidRPr="00B663F3" w:rsidRDefault="009253FC" w:rsidP="00845E08">
      <w:pPr>
        <w:pStyle w:val="ListParagraph"/>
        <w:numPr>
          <w:ilvl w:val="0"/>
          <w:numId w:val="32"/>
        </w:numPr>
        <w:spacing w:after="120"/>
        <w:ind w:left="1077" w:hanging="357"/>
      </w:pPr>
      <w:r w:rsidRPr="00B663F3">
        <w:t xml:space="preserve">The results for the subgroup of patients with high frequency episodic migraine with 3 to 4 prior treatment failures were based on the results of a post hoc analysis which </w:t>
      </w:r>
      <w:proofErr w:type="gramStart"/>
      <w:r w:rsidRPr="00B663F3">
        <w:t>was considered to be</w:t>
      </w:r>
      <w:proofErr w:type="gramEnd"/>
      <w:r w:rsidRPr="00B663F3">
        <w:t xml:space="preserve"> at high risk of bias. Additionally, the results were based on small patient numbers.</w:t>
      </w:r>
    </w:p>
    <w:p w14:paraId="2E6D3516" w14:textId="5A1213E3" w:rsidR="008E7E05" w:rsidRPr="007B6175" w:rsidRDefault="009253FC" w:rsidP="00340E3E">
      <w:pPr>
        <w:pStyle w:val="ExecSumBodyText"/>
        <w:rPr>
          <w:rStyle w:val="CommentReference"/>
          <w:sz w:val="24"/>
          <w:szCs w:val="24"/>
        </w:rPr>
      </w:pPr>
      <w:r w:rsidRPr="007B6175">
        <w:t xml:space="preserve">Key sensitivity analyses presented in the submission and conducted during the evaluation are summarised in </w:t>
      </w:r>
      <w:r w:rsidR="008E7E05" w:rsidRPr="007B6175">
        <w:t>the table below</w:t>
      </w:r>
      <w:r w:rsidRPr="007B6175">
        <w:t>.</w:t>
      </w:r>
    </w:p>
    <w:p w14:paraId="41295F17" w14:textId="5656B7A1" w:rsidR="0015163D" w:rsidRPr="007B6175" w:rsidRDefault="0015163D" w:rsidP="00765995">
      <w:pPr>
        <w:pStyle w:val="TableHeading"/>
      </w:pPr>
      <w:r w:rsidRPr="007B6175">
        <w:lastRenderedPageBreak/>
        <w:t xml:space="preserve">Table </w:t>
      </w:r>
      <w:r>
        <w:fldChar w:fldCharType="begin"/>
      </w:r>
      <w:r>
        <w:instrText>SEQ Table \* ARABIC</w:instrText>
      </w:r>
      <w:r>
        <w:fldChar w:fldCharType="separate"/>
      </w:r>
      <w:r w:rsidR="00046698">
        <w:rPr>
          <w:noProof/>
        </w:rPr>
        <w:t>14</w:t>
      </w:r>
      <w:r>
        <w:fldChar w:fldCharType="end"/>
      </w:r>
      <w:r w:rsidR="00B417F5" w:rsidRPr="007B6175">
        <w:rPr>
          <w:rStyle w:val="CommentReference"/>
          <w:sz w:val="20"/>
          <w:szCs w:val="24"/>
        </w:rPr>
        <w:t>: Results of key sensitivity analyses</w:t>
      </w:r>
    </w:p>
    <w:tbl>
      <w:tblPr>
        <w:tblStyle w:val="TableGrid"/>
        <w:tblW w:w="0" w:type="auto"/>
        <w:tblCellMar>
          <w:left w:w="57" w:type="dxa"/>
          <w:right w:w="57" w:type="dxa"/>
        </w:tblCellMar>
        <w:tblLook w:val="04A0" w:firstRow="1" w:lastRow="0" w:firstColumn="1" w:lastColumn="0" w:noHBand="0" w:noVBand="1"/>
      </w:tblPr>
      <w:tblGrid>
        <w:gridCol w:w="5120"/>
        <w:gridCol w:w="1275"/>
        <w:gridCol w:w="1267"/>
        <w:gridCol w:w="1354"/>
      </w:tblGrid>
      <w:tr w:rsidR="008E7E05" w:rsidRPr="007B6175" w14:paraId="3B46CC01" w14:textId="77777777" w:rsidTr="004C3CC2">
        <w:trPr>
          <w:tblHeader/>
        </w:trPr>
        <w:tc>
          <w:tcPr>
            <w:tcW w:w="5120" w:type="dxa"/>
          </w:tcPr>
          <w:p w14:paraId="2E9A4D5B" w14:textId="77777777" w:rsidR="008E7E05" w:rsidRPr="007B6175" w:rsidRDefault="008E7E05" w:rsidP="00434092">
            <w:pPr>
              <w:pStyle w:val="TableHeading"/>
              <w:rPr>
                <w:rStyle w:val="CommentReference"/>
                <w:sz w:val="20"/>
                <w:szCs w:val="20"/>
              </w:rPr>
            </w:pPr>
          </w:p>
        </w:tc>
        <w:tc>
          <w:tcPr>
            <w:tcW w:w="1275" w:type="dxa"/>
            <w:tcBorders>
              <w:bottom w:val="single" w:sz="4" w:space="0" w:color="auto"/>
            </w:tcBorders>
          </w:tcPr>
          <w:p w14:paraId="70967705" w14:textId="1D55F128" w:rsidR="008E7E05" w:rsidRPr="007B6175" w:rsidRDefault="008E7E05" w:rsidP="00434092">
            <w:pPr>
              <w:pStyle w:val="Tabletext0"/>
              <w:keepNext/>
              <w:jc w:val="center"/>
              <w:rPr>
                <w:b/>
                <w:szCs w:val="20"/>
              </w:rPr>
            </w:pPr>
            <w:r w:rsidRPr="007B6175">
              <w:rPr>
                <w:b/>
                <w:szCs w:val="20"/>
              </w:rPr>
              <w:t>Incremental cost</w:t>
            </w:r>
            <w:r w:rsidR="00E45ABB">
              <w:rPr>
                <w:b/>
                <w:szCs w:val="20"/>
              </w:rPr>
              <w:t xml:space="preserve"> ($)</w:t>
            </w:r>
          </w:p>
        </w:tc>
        <w:tc>
          <w:tcPr>
            <w:tcW w:w="1267" w:type="dxa"/>
          </w:tcPr>
          <w:p w14:paraId="5760E849" w14:textId="77777777" w:rsidR="008E7E05" w:rsidRPr="007B6175" w:rsidRDefault="008E7E05" w:rsidP="00434092">
            <w:pPr>
              <w:pStyle w:val="Tabletext0"/>
              <w:keepNext/>
              <w:jc w:val="center"/>
              <w:rPr>
                <w:b/>
                <w:szCs w:val="20"/>
              </w:rPr>
            </w:pPr>
            <w:r w:rsidRPr="007B6175">
              <w:rPr>
                <w:b/>
                <w:szCs w:val="20"/>
              </w:rPr>
              <w:t>Incremental QALYs</w:t>
            </w:r>
          </w:p>
        </w:tc>
        <w:tc>
          <w:tcPr>
            <w:tcW w:w="1354" w:type="dxa"/>
            <w:vAlign w:val="center"/>
          </w:tcPr>
          <w:p w14:paraId="3BBC20E5" w14:textId="13AA78E0" w:rsidR="008E7E05" w:rsidRPr="007B6175" w:rsidRDefault="008E7E05" w:rsidP="00434092">
            <w:pPr>
              <w:pStyle w:val="Tabletext0"/>
              <w:keepNext/>
              <w:jc w:val="center"/>
              <w:rPr>
                <w:b/>
                <w:szCs w:val="20"/>
              </w:rPr>
            </w:pPr>
            <w:r w:rsidRPr="007B6175">
              <w:rPr>
                <w:b/>
                <w:szCs w:val="20"/>
              </w:rPr>
              <w:t>ICER</w:t>
            </w:r>
            <w:r w:rsidR="00E45ABB">
              <w:rPr>
                <w:b/>
                <w:szCs w:val="20"/>
              </w:rPr>
              <w:t xml:space="preserve"> ($)</w:t>
            </w:r>
          </w:p>
        </w:tc>
      </w:tr>
      <w:tr w:rsidR="008E7E05" w:rsidRPr="007B6175" w14:paraId="6FA13131" w14:textId="77777777" w:rsidTr="004C3CC2">
        <w:tc>
          <w:tcPr>
            <w:tcW w:w="5120" w:type="dxa"/>
          </w:tcPr>
          <w:p w14:paraId="260D21E6" w14:textId="77777777" w:rsidR="008E7E05" w:rsidRPr="007B6175" w:rsidRDefault="008E7E05" w:rsidP="00434092">
            <w:pPr>
              <w:pStyle w:val="TableHeading"/>
              <w:rPr>
                <w:rStyle w:val="CommentReference"/>
                <w:sz w:val="20"/>
                <w:szCs w:val="20"/>
              </w:rPr>
            </w:pPr>
            <w:r w:rsidRPr="007B6175">
              <w:rPr>
                <w:rStyle w:val="CommentReference"/>
                <w:sz w:val="20"/>
                <w:szCs w:val="20"/>
              </w:rPr>
              <w:t>Base case</w:t>
            </w:r>
          </w:p>
        </w:tc>
        <w:tc>
          <w:tcPr>
            <w:tcW w:w="1275" w:type="dxa"/>
            <w:shd w:val="solid" w:color="000000" w:fill="000000"/>
          </w:tcPr>
          <w:p w14:paraId="60DA3EBB" w14:textId="24E87537" w:rsidR="008E7E05" w:rsidRPr="004C3CC2" w:rsidRDefault="004C3CC2" w:rsidP="00434092">
            <w:pPr>
              <w:pStyle w:val="Tabletext0"/>
              <w:keepNext/>
              <w:jc w:val="center"/>
              <w:rPr>
                <w:b/>
                <w:szCs w:val="20"/>
              </w:rPr>
            </w:pPr>
            <w:r w:rsidRPr="00046698">
              <w:rPr>
                <w:rFonts w:hint="eastAsia"/>
                <w:b/>
                <w:color w:val="000000"/>
                <w:w w:val="15"/>
                <w:szCs w:val="20"/>
                <w:fitText w:val="20" w:id="-1504954367"/>
                <w14:textFill>
                  <w14:solidFill>
                    <w14:srgbClr w14:val="000000">
                      <w14:alpha w14:val="100000"/>
                    </w14:srgbClr>
                  </w14:solidFill>
                </w14:textFill>
              </w:rPr>
              <w:t xml:space="preserve">　</w:t>
            </w:r>
            <w:r w:rsidRPr="00046698">
              <w:rPr>
                <w:b/>
                <w:color w:val="000000"/>
                <w:w w:val="15"/>
                <w:szCs w:val="20"/>
                <w:fitText w:val="20" w:id="-1504954367"/>
                <w14:textFill>
                  <w14:solidFill>
                    <w14:srgbClr w14:val="000000">
                      <w14:alpha w14:val="100000"/>
                    </w14:srgbClr>
                  </w14:solidFill>
                </w14:textFill>
              </w:rPr>
              <w:t>|</w:t>
            </w:r>
            <w:r w:rsidRPr="00046698">
              <w:rPr>
                <w:rFonts w:hint="eastAsia"/>
                <w:b/>
                <w:color w:val="000000"/>
                <w:spacing w:val="-46"/>
                <w:w w:val="15"/>
                <w:szCs w:val="20"/>
                <w:fitText w:val="20" w:id="-1504954367"/>
                <w14:textFill>
                  <w14:solidFill>
                    <w14:srgbClr w14:val="000000">
                      <w14:alpha w14:val="100000"/>
                    </w14:srgbClr>
                  </w14:solidFill>
                </w14:textFill>
              </w:rPr>
              <w:t xml:space="preserve">　</w:t>
            </w:r>
          </w:p>
        </w:tc>
        <w:tc>
          <w:tcPr>
            <w:tcW w:w="1267" w:type="dxa"/>
          </w:tcPr>
          <w:p w14:paraId="2FA58565" w14:textId="77777777" w:rsidR="008E7E05" w:rsidRPr="007B6175" w:rsidRDefault="008E7E05" w:rsidP="00434092">
            <w:pPr>
              <w:pStyle w:val="Tabletext0"/>
              <w:keepNext/>
              <w:jc w:val="center"/>
              <w:rPr>
                <w:b/>
                <w:szCs w:val="20"/>
              </w:rPr>
            </w:pPr>
            <w:r w:rsidRPr="007B6175">
              <w:rPr>
                <w:b/>
                <w:szCs w:val="20"/>
              </w:rPr>
              <w:t>0.183</w:t>
            </w:r>
          </w:p>
        </w:tc>
        <w:tc>
          <w:tcPr>
            <w:tcW w:w="1354" w:type="dxa"/>
          </w:tcPr>
          <w:p w14:paraId="7BFB3806" w14:textId="3B8DCF5D" w:rsidR="008E7E05" w:rsidRPr="004C3CC2" w:rsidRDefault="004C3CC2" w:rsidP="00434092">
            <w:pPr>
              <w:pStyle w:val="Tabletext0"/>
              <w:keepNext/>
              <w:jc w:val="center"/>
              <w:rPr>
                <w:b/>
                <w:szCs w:val="20"/>
                <w:highlight w:val="yellow"/>
                <w:vertAlign w:val="superscript"/>
              </w:rPr>
            </w:pPr>
            <w:r w:rsidRPr="00046698">
              <w:rPr>
                <w:rFonts w:hint="eastAsia"/>
                <w:b/>
                <w:color w:val="000000"/>
                <w:w w:val="15"/>
                <w:szCs w:val="20"/>
                <w:shd w:val="solid" w:color="000000" w:fill="000000"/>
                <w:fitText w:val="10" w:id="-1504954366"/>
                <w14:textFill>
                  <w14:solidFill>
                    <w14:srgbClr w14:val="000000">
                      <w14:alpha w14:val="100000"/>
                    </w14:srgbClr>
                  </w14:solidFill>
                </w14:textFill>
              </w:rPr>
              <w:t xml:space="preserve">　</w:t>
            </w:r>
            <w:r w:rsidRPr="00046698">
              <w:rPr>
                <w:b/>
                <w:color w:val="000000"/>
                <w:w w:val="15"/>
                <w:szCs w:val="20"/>
                <w:shd w:val="solid" w:color="000000" w:fill="000000"/>
                <w:fitText w:val="10" w:id="-1504954366"/>
                <w14:textFill>
                  <w14:solidFill>
                    <w14:srgbClr w14:val="000000">
                      <w14:alpha w14:val="100000"/>
                    </w14:srgbClr>
                  </w14:solidFill>
                </w14:textFill>
              </w:rPr>
              <w:t>|</w:t>
            </w:r>
            <w:r w:rsidRPr="00046698">
              <w:rPr>
                <w:rFonts w:hint="eastAsia"/>
                <w:b/>
                <w:color w:val="000000"/>
                <w:spacing w:val="-56"/>
                <w:w w:val="15"/>
                <w:szCs w:val="20"/>
                <w:shd w:val="solid" w:color="000000" w:fill="000000"/>
                <w:fitText w:val="10" w:id="-1504954366"/>
                <w14:textFill>
                  <w14:solidFill>
                    <w14:srgbClr w14:val="000000">
                      <w14:alpha w14:val="100000"/>
                    </w14:srgbClr>
                  </w14:solidFill>
                </w14:textFill>
              </w:rPr>
              <w:t xml:space="preserve">　</w:t>
            </w:r>
            <w:r w:rsidR="0040358E" w:rsidRPr="004C3CC2">
              <w:rPr>
                <w:b/>
                <w:szCs w:val="20"/>
                <w:vertAlign w:val="superscript"/>
              </w:rPr>
              <w:t>2</w:t>
            </w:r>
          </w:p>
        </w:tc>
      </w:tr>
      <w:tr w:rsidR="008E7E05" w:rsidRPr="007B6175" w14:paraId="2B34F502" w14:textId="77777777" w:rsidTr="00F75DE5">
        <w:tc>
          <w:tcPr>
            <w:tcW w:w="9016" w:type="dxa"/>
            <w:gridSpan w:val="4"/>
          </w:tcPr>
          <w:p w14:paraId="15E91E1D" w14:textId="56CDE08A" w:rsidR="008E7E05" w:rsidRPr="007B6175" w:rsidRDefault="008E7E05" w:rsidP="00434092">
            <w:pPr>
              <w:pStyle w:val="TableHeading"/>
              <w:rPr>
                <w:rStyle w:val="CommentReference"/>
                <w:sz w:val="20"/>
                <w:szCs w:val="20"/>
              </w:rPr>
            </w:pPr>
            <w:r w:rsidRPr="007B6175">
              <w:rPr>
                <w:rStyle w:val="CommentReference"/>
                <w:sz w:val="20"/>
                <w:szCs w:val="20"/>
              </w:rPr>
              <w:t xml:space="preserve">Discount rate (base case </w:t>
            </w:r>
            <w:r w:rsidR="004C3CC2" w:rsidRPr="004C3CC2">
              <w:rPr>
                <w:rStyle w:val="CommentReference"/>
                <w:color w:val="000000"/>
                <w:spacing w:val="55"/>
                <w:sz w:val="20"/>
                <w:szCs w:val="20"/>
                <w:shd w:val="solid" w:color="000000" w:fill="000000"/>
                <w:fitText w:val="350" w:id="-1504954365"/>
                <w14:textFill>
                  <w14:solidFill>
                    <w14:srgbClr w14:val="000000">
                      <w14:alpha w14:val="100000"/>
                    </w14:srgbClr>
                  </w14:solidFill>
                </w14:textFill>
              </w:rPr>
              <w:t>|||</w:t>
            </w:r>
            <w:r w:rsidR="004C3CC2" w:rsidRPr="004C3CC2">
              <w:rPr>
                <w:rStyle w:val="CommentReference"/>
                <w:color w:val="000000"/>
                <w:spacing w:val="2"/>
                <w:sz w:val="20"/>
                <w:szCs w:val="20"/>
                <w:shd w:val="solid" w:color="000000" w:fill="000000"/>
                <w:fitText w:val="350" w:id="-1504954365"/>
                <w14:textFill>
                  <w14:solidFill>
                    <w14:srgbClr w14:val="000000">
                      <w14:alpha w14:val="100000"/>
                    </w14:srgbClr>
                  </w14:solidFill>
                </w14:textFill>
              </w:rPr>
              <w:t>|</w:t>
            </w:r>
            <w:r w:rsidRPr="007B6175">
              <w:rPr>
                <w:rStyle w:val="CommentReference"/>
                <w:sz w:val="20"/>
                <w:szCs w:val="20"/>
              </w:rPr>
              <w:t>% for costs and benefits)</w:t>
            </w:r>
          </w:p>
        </w:tc>
      </w:tr>
      <w:tr w:rsidR="008E7E05" w:rsidRPr="007B6175" w14:paraId="501EAA0A" w14:textId="77777777" w:rsidTr="004C3CC2">
        <w:tc>
          <w:tcPr>
            <w:tcW w:w="5120" w:type="dxa"/>
          </w:tcPr>
          <w:p w14:paraId="29A82997" w14:textId="752723BA" w:rsidR="008E7E05" w:rsidRPr="007B6175" w:rsidRDefault="004C3CC2" w:rsidP="00434092">
            <w:pPr>
              <w:pStyle w:val="TableHeading"/>
              <w:rPr>
                <w:rStyle w:val="CommentReference"/>
                <w:b w:val="0"/>
                <w:sz w:val="20"/>
                <w:szCs w:val="20"/>
              </w:rPr>
            </w:pPr>
            <w:r w:rsidRPr="004C3CC2">
              <w:rPr>
                <w:rStyle w:val="CommentReference"/>
                <w:b w:val="0"/>
                <w:color w:val="000000"/>
                <w:spacing w:val="53"/>
                <w:sz w:val="20"/>
                <w:szCs w:val="20"/>
                <w:shd w:val="solid" w:color="000000" w:fill="000000"/>
                <w:fitText w:val="330" w:id="-1504954364"/>
                <w14:textFill>
                  <w14:solidFill>
                    <w14:srgbClr w14:val="000000">
                      <w14:alpha w14:val="100000"/>
                    </w14:srgbClr>
                  </w14:solidFill>
                </w14:textFill>
              </w:rPr>
              <w:t>|||</w:t>
            </w:r>
            <w:r w:rsidRPr="004C3CC2">
              <w:rPr>
                <w:rStyle w:val="CommentReference"/>
                <w:b w:val="0"/>
                <w:color w:val="000000"/>
                <w:spacing w:val="1"/>
                <w:sz w:val="20"/>
                <w:szCs w:val="20"/>
                <w:shd w:val="solid" w:color="000000" w:fill="000000"/>
                <w:fitText w:val="330" w:id="-1504954364"/>
                <w14:textFill>
                  <w14:solidFill>
                    <w14:srgbClr w14:val="000000">
                      <w14:alpha w14:val="100000"/>
                    </w14:srgbClr>
                  </w14:solidFill>
                </w14:textFill>
              </w:rPr>
              <w:t>|</w:t>
            </w:r>
            <w:r w:rsidR="008E7E05" w:rsidRPr="007B6175">
              <w:rPr>
                <w:rStyle w:val="CommentReference"/>
                <w:b w:val="0"/>
                <w:sz w:val="20"/>
                <w:szCs w:val="20"/>
              </w:rPr>
              <w:t>% for costs and benefits</w:t>
            </w:r>
          </w:p>
        </w:tc>
        <w:tc>
          <w:tcPr>
            <w:tcW w:w="1275" w:type="dxa"/>
            <w:tcBorders>
              <w:bottom w:val="single" w:sz="4" w:space="0" w:color="auto"/>
            </w:tcBorders>
            <w:shd w:val="solid" w:color="000000" w:fill="000000"/>
          </w:tcPr>
          <w:p w14:paraId="335053DB" w14:textId="0CF5C8BD" w:rsidR="008E7E05" w:rsidRPr="004C3CC2" w:rsidRDefault="004C3CC2" w:rsidP="00434092">
            <w:pPr>
              <w:pStyle w:val="Tabletext0"/>
              <w:keepNext/>
              <w:jc w:val="center"/>
              <w:rPr>
                <w:szCs w:val="20"/>
              </w:rPr>
            </w:pPr>
            <w:r w:rsidRPr="004C3CC2">
              <w:rPr>
                <w:color w:val="000000"/>
                <w14:textFill>
                  <w14:solidFill>
                    <w14:srgbClr w14:val="000000">
                      <w14:alpha w14:val="100000"/>
                    </w14:srgbClr>
                  </w14:solidFill>
                </w14:textFill>
              </w:rPr>
              <w:t>|</w:t>
            </w:r>
          </w:p>
        </w:tc>
        <w:tc>
          <w:tcPr>
            <w:tcW w:w="1267" w:type="dxa"/>
          </w:tcPr>
          <w:p w14:paraId="2BADD5C5" w14:textId="77777777" w:rsidR="008E7E05" w:rsidRPr="007B6175" w:rsidRDefault="008E7E05" w:rsidP="00434092">
            <w:pPr>
              <w:pStyle w:val="Tabletext0"/>
              <w:keepNext/>
              <w:jc w:val="center"/>
              <w:rPr>
                <w:szCs w:val="20"/>
              </w:rPr>
            </w:pPr>
            <w:r w:rsidRPr="007B6175">
              <w:t>0.199</w:t>
            </w:r>
          </w:p>
        </w:tc>
        <w:tc>
          <w:tcPr>
            <w:tcW w:w="1354" w:type="dxa"/>
          </w:tcPr>
          <w:p w14:paraId="46EEBEE8" w14:textId="39C43CA6" w:rsidR="008E7E05" w:rsidRPr="004C3CC2" w:rsidRDefault="004C3CC2" w:rsidP="00434092">
            <w:pPr>
              <w:pStyle w:val="Tabletext0"/>
              <w:keepNext/>
              <w:jc w:val="center"/>
              <w:rPr>
                <w:szCs w:val="20"/>
                <w:highlight w:val="yellow"/>
              </w:rPr>
            </w:pPr>
            <w:r w:rsidRPr="004C3CC2">
              <w:rPr>
                <w:color w:val="000000"/>
                <w:szCs w:val="20"/>
                <w:shd w:val="solid" w:color="000000" w:fill="000000"/>
                <w14:textFill>
                  <w14:solidFill>
                    <w14:srgbClr w14:val="000000">
                      <w14:alpha w14:val="100000"/>
                    </w14:srgbClr>
                  </w14:solidFill>
                </w14:textFill>
              </w:rPr>
              <w:t>|</w:t>
            </w:r>
            <w:r w:rsidR="0040358E" w:rsidRPr="004C3CC2">
              <w:rPr>
                <w:szCs w:val="20"/>
                <w:vertAlign w:val="superscript"/>
              </w:rPr>
              <w:t>2</w:t>
            </w:r>
          </w:p>
        </w:tc>
      </w:tr>
      <w:tr w:rsidR="008E7E05" w:rsidRPr="007B6175" w14:paraId="4DE42F2F" w14:textId="77777777" w:rsidTr="004C3CC2">
        <w:tc>
          <w:tcPr>
            <w:tcW w:w="5120" w:type="dxa"/>
          </w:tcPr>
          <w:p w14:paraId="436E20B8" w14:textId="1E669DB8" w:rsidR="008E7E05" w:rsidRPr="007B6175" w:rsidRDefault="004C3CC2" w:rsidP="00434092">
            <w:pPr>
              <w:pStyle w:val="TableHeading"/>
              <w:rPr>
                <w:rStyle w:val="CommentReference"/>
                <w:b w:val="0"/>
                <w:sz w:val="20"/>
                <w:szCs w:val="20"/>
              </w:rPr>
            </w:pPr>
            <w:r w:rsidRPr="004C3CC2">
              <w:rPr>
                <w:rStyle w:val="CommentReference"/>
                <w:b w:val="0"/>
                <w:color w:val="000000"/>
                <w:spacing w:val="53"/>
                <w:sz w:val="20"/>
                <w:szCs w:val="20"/>
                <w:shd w:val="solid" w:color="000000" w:fill="000000"/>
                <w:fitText w:val="330" w:id="-1504954363"/>
                <w14:textFill>
                  <w14:solidFill>
                    <w14:srgbClr w14:val="000000">
                      <w14:alpha w14:val="100000"/>
                    </w14:srgbClr>
                  </w14:solidFill>
                </w14:textFill>
              </w:rPr>
              <w:t>|||</w:t>
            </w:r>
            <w:r w:rsidRPr="004C3CC2">
              <w:rPr>
                <w:rStyle w:val="CommentReference"/>
                <w:b w:val="0"/>
                <w:color w:val="000000"/>
                <w:spacing w:val="1"/>
                <w:sz w:val="20"/>
                <w:szCs w:val="20"/>
                <w:shd w:val="solid" w:color="000000" w:fill="000000"/>
                <w:fitText w:val="330" w:id="-1504954363"/>
                <w14:textFill>
                  <w14:solidFill>
                    <w14:srgbClr w14:val="000000">
                      <w14:alpha w14:val="100000"/>
                    </w14:srgbClr>
                  </w14:solidFill>
                </w14:textFill>
              </w:rPr>
              <w:t>|</w:t>
            </w:r>
            <w:r w:rsidR="008E7E05" w:rsidRPr="007B6175">
              <w:rPr>
                <w:rStyle w:val="CommentReference"/>
                <w:b w:val="0"/>
                <w:sz w:val="20"/>
                <w:szCs w:val="20"/>
              </w:rPr>
              <w:t>% for costs and benefits</w:t>
            </w:r>
          </w:p>
        </w:tc>
        <w:tc>
          <w:tcPr>
            <w:tcW w:w="1275" w:type="dxa"/>
            <w:shd w:val="solid" w:color="000000" w:fill="000000"/>
          </w:tcPr>
          <w:p w14:paraId="72E9F993" w14:textId="5D705DD8" w:rsidR="008E7E05" w:rsidRPr="004C3CC2" w:rsidRDefault="004C3CC2" w:rsidP="00434092">
            <w:pPr>
              <w:pStyle w:val="Tabletext0"/>
              <w:keepNext/>
              <w:jc w:val="center"/>
              <w:rPr>
                <w:szCs w:val="20"/>
              </w:rPr>
            </w:pPr>
            <w:r w:rsidRPr="004C3CC2">
              <w:rPr>
                <w:color w:val="000000"/>
                <w14:textFill>
                  <w14:solidFill>
                    <w14:srgbClr w14:val="000000">
                      <w14:alpha w14:val="100000"/>
                    </w14:srgbClr>
                  </w14:solidFill>
                </w14:textFill>
              </w:rPr>
              <w:t>|</w:t>
            </w:r>
          </w:p>
        </w:tc>
        <w:tc>
          <w:tcPr>
            <w:tcW w:w="1267" w:type="dxa"/>
          </w:tcPr>
          <w:p w14:paraId="1518683A" w14:textId="77777777" w:rsidR="008E7E05" w:rsidRPr="007B6175" w:rsidRDefault="008E7E05" w:rsidP="00434092">
            <w:pPr>
              <w:pStyle w:val="Tabletext0"/>
              <w:keepNext/>
              <w:jc w:val="center"/>
              <w:rPr>
                <w:szCs w:val="20"/>
              </w:rPr>
            </w:pPr>
            <w:r w:rsidRPr="007B6175">
              <w:t>0.187</w:t>
            </w:r>
          </w:p>
        </w:tc>
        <w:tc>
          <w:tcPr>
            <w:tcW w:w="1354" w:type="dxa"/>
          </w:tcPr>
          <w:p w14:paraId="64633B3B" w14:textId="5E2A3999" w:rsidR="008E7E05" w:rsidRPr="004C3CC2" w:rsidRDefault="004C3CC2" w:rsidP="00434092">
            <w:pPr>
              <w:pStyle w:val="Tabletext0"/>
              <w:keepNext/>
              <w:jc w:val="center"/>
              <w:rPr>
                <w:szCs w:val="20"/>
                <w:highlight w:val="yellow"/>
              </w:rPr>
            </w:pPr>
            <w:r w:rsidRPr="004C3CC2">
              <w:rPr>
                <w:color w:val="000000"/>
                <w:szCs w:val="20"/>
                <w:shd w:val="solid" w:color="000000" w:fill="000000"/>
                <w14:textFill>
                  <w14:solidFill>
                    <w14:srgbClr w14:val="000000">
                      <w14:alpha w14:val="100000"/>
                    </w14:srgbClr>
                  </w14:solidFill>
                </w14:textFill>
              </w:rPr>
              <w:t>|</w:t>
            </w:r>
            <w:r w:rsidR="0040358E" w:rsidRPr="004C3CC2">
              <w:rPr>
                <w:szCs w:val="20"/>
                <w:vertAlign w:val="superscript"/>
              </w:rPr>
              <w:t>2</w:t>
            </w:r>
          </w:p>
        </w:tc>
      </w:tr>
      <w:tr w:rsidR="008E7E05" w:rsidRPr="007B6175" w14:paraId="14BBE214" w14:textId="77777777" w:rsidTr="00F75DE5">
        <w:tc>
          <w:tcPr>
            <w:tcW w:w="9016" w:type="dxa"/>
            <w:gridSpan w:val="4"/>
          </w:tcPr>
          <w:p w14:paraId="45F2F55E" w14:textId="77777777" w:rsidR="008E7E05" w:rsidRPr="007B6175" w:rsidRDefault="008E7E05" w:rsidP="00434092">
            <w:pPr>
              <w:pStyle w:val="TableHeading"/>
              <w:rPr>
                <w:rStyle w:val="CommentReference"/>
                <w:sz w:val="20"/>
                <w:szCs w:val="20"/>
              </w:rPr>
            </w:pPr>
            <w:r w:rsidRPr="007B6175">
              <w:rPr>
                <w:rStyle w:val="CommentReference"/>
                <w:sz w:val="20"/>
                <w:szCs w:val="20"/>
              </w:rPr>
              <w:t>Time horizon (base case 5 years)</w:t>
            </w:r>
          </w:p>
        </w:tc>
      </w:tr>
      <w:tr w:rsidR="008E7E05" w:rsidRPr="007B6175" w14:paraId="55CBD8D8" w14:textId="77777777" w:rsidTr="004C3CC2">
        <w:tc>
          <w:tcPr>
            <w:tcW w:w="5120" w:type="dxa"/>
          </w:tcPr>
          <w:p w14:paraId="06DCE552" w14:textId="77777777" w:rsidR="008E7E05" w:rsidRPr="004C3CC2" w:rsidRDefault="008E7E05" w:rsidP="00434092">
            <w:pPr>
              <w:pStyle w:val="TableHeading"/>
              <w:rPr>
                <w:rStyle w:val="CommentReference"/>
                <w:b w:val="0"/>
                <w:i/>
                <w:iCs/>
                <w:sz w:val="20"/>
                <w:szCs w:val="20"/>
              </w:rPr>
            </w:pPr>
            <w:r w:rsidRPr="004C3CC2">
              <w:rPr>
                <w:rStyle w:val="CommentReference"/>
                <w:b w:val="0"/>
                <w:i/>
                <w:iCs/>
                <w:sz w:val="20"/>
                <w:szCs w:val="20"/>
              </w:rPr>
              <w:t>1 year</w:t>
            </w:r>
          </w:p>
        </w:tc>
        <w:tc>
          <w:tcPr>
            <w:tcW w:w="1275" w:type="dxa"/>
            <w:tcBorders>
              <w:bottom w:val="single" w:sz="4" w:space="0" w:color="auto"/>
            </w:tcBorders>
            <w:shd w:val="solid" w:color="000000" w:fill="000000"/>
          </w:tcPr>
          <w:p w14:paraId="63563C46" w14:textId="479C63AD" w:rsidR="008E7E05" w:rsidRPr="004C3CC2" w:rsidRDefault="004C3CC2" w:rsidP="00434092">
            <w:pPr>
              <w:keepNext/>
              <w:jc w:val="center"/>
              <w:rPr>
                <w:rFonts w:ascii="Arial Narrow" w:hAnsi="Arial Narrow" w:cs="Calibri"/>
                <w:i/>
                <w:iCs/>
                <w:color w:val="000000"/>
                <w:sz w:val="20"/>
                <w:szCs w:val="20"/>
              </w:rPr>
            </w:pPr>
            <w:r w:rsidRPr="004C3CC2">
              <w:rPr>
                <w:rFonts w:ascii="Arial Narrow" w:hAnsi="Arial Narrow"/>
                <w:i/>
                <w:iCs/>
                <w:color w:val="000000"/>
                <w:sz w:val="20"/>
                <w:szCs w:val="20"/>
                <w14:textFill>
                  <w14:solidFill>
                    <w14:srgbClr w14:val="000000">
                      <w14:alpha w14:val="100000"/>
                    </w14:srgbClr>
                  </w14:solidFill>
                </w14:textFill>
              </w:rPr>
              <w:t>|</w:t>
            </w:r>
          </w:p>
        </w:tc>
        <w:tc>
          <w:tcPr>
            <w:tcW w:w="1267" w:type="dxa"/>
          </w:tcPr>
          <w:p w14:paraId="7E534030" w14:textId="77777777" w:rsidR="008E7E05" w:rsidRPr="00034355" w:rsidRDefault="008E7E05" w:rsidP="00434092">
            <w:pPr>
              <w:keepNext/>
              <w:jc w:val="center"/>
              <w:rPr>
                <w:rFonts w:ascii="Arial Narrow" w:hAnsi="Arial Narrow" w:cs="Calibri"/>
                <w:i/>
                <w:iCs/>
                <w:color w:val="000000"/>
                <w:sz w:val="20"/>
                <w:szCs w:val="20"/>
              </w:rPr>
            </w:pPr>
            <w:r w:rsidRPr="004C3CC2">
              <w:rPr>
                <w:rFonts w:ascii="Arial Narrow" w:hAnsi="Arial Narrow"/>
                <w:i/>
                <w:iCs/>
                <w:sz w:val="20"/>
                <w:szCs w:val="20"/>
              </w:rPr>
              <w:t>0.048</w:t>
            </w:r>
          </w:p>
        </w:tc>
        <w:tc>
          <w:tcPr>
            <w:tcW w:w="1354" w:type="dxa"/>
          </w:tcPr>
          <w:p w14:paraId="5AD26DD1" w14:textId="47DD5F4D" w:rsidR="008E7E05" w:rsidRPr="004C3CC2" w:rsidRDefault="004C3CC2" w:rsidP="00434092">
            <w:pPr>
              <w:keepNext/>
              <w:jc w:val="center"/>
              <w:rPr>
                <w:rFonts w:ascii="Arial Narrow" w:hAnsi="Arial Narrow" w:cs="Calibri"/>
                <w:i/>
                <w:iCs/>
                <w:color w:val="000000"/>
                <w:sz w:val="20"/>
                <w:szCs w:val="20"/>
                <w:highlight w:val="yellow"/>
              </w:rPr>
            </w:pPr>
            <w:r w:rsidRPr="004C3CC2">
              <w:rPr>
                <w:rFonts w:ascii="Arial Narrow" w:hAnsi="Arial Narrow"/>
                <w:i/>
                <w:iCs/>
                <w:color w:val="000000"/>
                <w:sz w:val="20"/>
                <w:szCs w:val="20"/>
                <w:shd w:val="solid" w:color="000000" w:fill="000000"/>
                <w14:textFill>
                  <w14:solidFill>
                    <w14:srgbClr w14:val="000000">
                      <w14:alpha w14:val="100000"/>
                    </w14:srgbClr>
                  </w14:solidFill>
                </w14:textFill>
              </w:rPr>
              <w:t>|</w:t>
            </w:r>
            <w:r w:rsidR="0040358E" w:rsidRPr="004C3CC2">
              <w:rPr>
                <w:rFonts w:ascii="Arial Narrow" w:hAnsi="Arial Narrow"/>
                <w:i/>
                <w:iCs/>
                <w:sz w:val="20"/>
                <w:szCs w:val="20"/>
                <w:vertAlign w:val="superscript"/>
              </w:rPr>
              <w:t>3</w:t>
            </w:r>
          </w:p>
        </w:tc>
      </w:tr>
      <w:tr w:rsidR="008E7E05" w:rsidRPr="007B6175" w14:paraId="3BC71962" w14:textId="77777777" w:rsidTr="004C3CC2">
        <w:tc>
          <w:tcPr>
            <w:tcW w:w="5120" w:type="dxa"/>
          </w:tcPr>
          <w:p w14:paraId="084AC238" w14:textId="77777777" w:rsidR="008E7E05" w:rsidRPr="004C3CC2" w:rsidRDefault="008E7E05" w:rsidP="00434092">
            <w:pPr>
              <w:pStyle w:val="TableHeading"/>
              <w:rPr>
                <w:rStyle w:val="CommentReference"/>
                <w:b w:val="0"/>
                <w:sz w:val="20"/>
                <w:szCs w:val="20"/>
              </w:rPr>
            </w:pPr>
            <w:r w:rsidRPr="00BE008D">
              <w:rPr>
                <w:rStyle w:val="CommentReference"/>
                <w:b w:val="0"/>
                <w:sz w:val="20"/>
                <w:szCs w:val="20"/>
              </w:rPr>
              <w:t>3 years</w:t>
            </w:r>
          </w:p>
        </w:tc>
        <w:tc>
          <w:tcPr>
            <w:tcW w:w="1275" w:type="dxa"/>
            <w:tcBorders>
              <w:bottom w:val="single" w:sz="4" w:space="0" w:color="auto"/>
            </w:tcBorders>
            <w:shd w:val="solid" w:color="000000" w:fill="000000"/>
          </w:tcPr>
          <w:p w14:paraId="37099977" w14:textId="20EA9B51" w:rsidR="008E7E05" w:rsidRPr="004C3CC2" w:rsidRDefault="004C3CC2" w:rsidP="00434092">
            <w:pPr>
              <w:keepNext/>
              <w:jc w:val="center"/>
              <w:rPr>
                <w:rFonts w:ascii="Arial Narrow" w:hAnsi="Arial Narrow" w:cs="Calibri"/>
                <w:color w:val="000000"/>
                <w:sz w:val="20"/>
                <w:szCs w:val="20"/>
              </w:rPr>
            </w:pPr>
            <w:r w:rsidRPr="004C3CC2">
              <w:rPr>
                <w:rFonts w:ascii="Arial Narrow" w:hAnsi="Arial Narrow"/>
                <w:color w:val="000000"/>
                <w:sz w:val="20"/>
                <w:szCs w:val="20"/>
                <w14:textFill>
                  <w14:solidFill>
                    <w14:srgbClr w14:val="000000">
                      <w14:alpha w14:val="100000"/>
                    </w14:srgbClr>
                  </w14:solidFill>
                </w14:textFill>
              </w:rPr>
              <w:t>|</w:t>
            </w:r>
          </w:p>
        </w:tc>
        <w:tc>
          <w:tcPr>
            <w:tcW w:w="1267" w:type="dxa"/>
          </w:tcPr>
          <w:p w14:paraId="065129C6" w14:textId="77777777" w:rsidR="008E7E05" w:rsidRPr="004C3CC2" w:rsidRDefault="008E7E05" w:rsidP="00434092">
            <w:pPr>
              <w:keepNext/>
              <w:jc w:val="center"/>
              <w:rPr>
                <w:rFonts w:ascii="Arial Narrow" w:hAnsi="Arial Narrow" w:cs="Calibri"/>
                <w:color w:val="000000"/>
                <w:sz w:val="20"/>
                <w:szCs w:val="20"/>
              </w:rPr>
            </w:pPr>
            <w:r w:rsidRPr="00BE008D">
              <w:rPr>
                <w:rFonts w:ascii="Arial Narrow" w:hAnsi="Arial Narrow"/>
                <w:sz w:val="20"/>
                <w:szCs w:val="20"/>
              </w:rPr>
              <w:t>0.124</w:t>
            </w:r>
          </w:p>
        </w:tc>
        <w:tc>
          <w:tcPr>
            <w:tcW w:w="1354" w:type="dxa"/>
          </w:tcPr>
          <w:p w14:paraId="72BC459A" w14:textId="401B4687" w:rsidR="008E7E05" w:rsidRPr="004C3CC2" w:rsidRDefault="004C3CC2" w:rsidP="00434092">
            <w:pPr>
              <w:keepNext/>
              <w:jc w:val="center"/>
              <w:rPr>
                <w:rFonts w:ascii="Arial Narrow" w:hAnsi="Arial Narrow" w:cs="Calibri"/>
                <w:color w:val="000000"/>
                <w:sz w:val="20"/>
                <w:szCs w:val="20"/>
                <w:highlight w:val="yellow"/>
              </w:rPr>
            </w:pPr>
            <w:r w:rsidRPr="004C3CC2">
              <w:rPr>
                <w:rFonts w:ascii="Arial Narrow" w:hAnsi="Arial Narrow"/>
                <w:color w:val="000000"/>
                <w:sz w:val="20"/>
                <w:szCs w:val="20"/>
                <w:shd w:val="solid" w:color="000000" w:fill="000000"/>
                <w14:textFill>
                  <w14:solidFill>
                    <w14:srgbClr w14:val="000000">
                      <w14:alpha w14:val="100000"/>
                    </w14:srgbClr>
                  </w14:solidFill>
                </w14:textFill>
              </w:rPr>
              <w:t>|</w:t>
            </w:r>
            <w:r w:rsidR="0040358E" w:rsidRPr="004C3CC2">
              <w:rPr>
                <w:rFonts w:ascii="Arial Narrow" w:hAnsi="Arial Narrow"/>
                <w:sz w:val="20"/>
                <w:szCs w:val="20"/>
                <w:vertAlign w:val="superscript"/>
              </w:rPr>
              <w:t>2</w:t>
            </w:r>
          </w:p>
        </w:tc>
      </w:tr>
      <w:tr w:rsidR="008E7E05" w:rsidRPr="007B6175" w14:paraId="005FE79E" w14:textId="77777777" w:rsidTr="004C3CC2">
        <w:tc>
          <w:tcPr>
            <w:tcW w:w="5120" w:type="dxa"/>
          </w:tcPr>
          <w:p w14:paraId="6025A8EE" w14:textId="77777777" w:rsidR="008E7E05" w:rsidRPr="007B6175" w:rsidRDefault="008E7E05" w:rsidP="00434092">
            <w:pPr>
              <w:pStyle w:val="TableHeading"/>
              <w:rPr>
                <w:rStyle w:val="CommentReference"/>
                <w:b w:val="0"/>
                <w:sz w:val="20"/>
                <w:szCs w:val="20"/>
              </w:rPr>
            </w:pPr>
            <w:r w:rsidRPr="007B6175">
              <w:rPr>
                <w:rStyle w:val="CommentReference"/>
                <w:b w:val="0"/>
                <w:sz w:val="20"/>
                <w:szCs w:val="20"/>
              </w:rPr>
              <w:t>10 years</w:t>
            </w:r>
          </w:p>
        </w:tc>
        <w:tc>
          <w:tcPr>
            <w:tcW w:w="1275" w:type="dxa"/>
            <w:shd w:val="solid" w:color="000000" w:fill="000000"/>
          </w:tcPr>
          <w:p w14:paraId="1FCE949F" w14:textId="742E6F12" w:rsidR="008E7E05" w:rsidRPr="004C3CC2" w:rsidRDefault="004C3CC2" w:rsidP="00434092">
            <w:pPr>
              <w:keepNext/>
              <w:jc w:val="center"/>
              <w:rPr>
                <w:rFonts w:ascii="Arial Narrow" w:hAnsi="Arial Narrow" w:cs="Calibri"/>
                <w:color w:val="000000"/>
                <w:sz w:val="20"/>
                <w:szCs w:val="20"/>
              </w:rPr>
            </w:pPr>
            <w:r w:rsidRPr="004C3CC2">
              <w:rPr>
                <w:rFonts w:ascii="Arial Narrow" w:hAnsi="Arial Narrow"/>
                <w:color w:val="000000"/>
                <w:sz w:val="20"/>
                <w:szCs w:val="20"/>
                <w14:textFill>
                  <w14:solidFill>
                    <w14:srgbClr w14:val="000000">
                      <w14:alpha w14:val="100000"/>
                    </w14:srgbClr>
                  </w14:solidFill>
                </w14:textFill>
              </w:rPr>
              <w:t>|</w:t>
            </w:r>
          </w:p>
        </w:tc>
        <w:tc>
          <w:tcPr>
            <w:tcW w:w="1267" w:type="dxa"/>
          </w:tcPr>
          <w:p w14:paraId="5328494A" w14:textId="77777777" w:rsidR="008E7E05" w:rsidRPr="0040358E" w:rsidRDefault="008E7E05" w:rsidP="00434092">
            <w:pPr>
              <w:keepNext/>
              <w:jc w:val="center"/>
              <w:rPr>
                <w:rFonts w:ascii="Arial Narrow" w:hAnsi="Arial Narrow" w:cs="Calibri"/>
                <w:color w:val="000000"/>
                <w:sz w:val="20"/>
                <w:szCs w:val="20"/>
              </w:rPr>
            </w:pPr>
            <w:r w:rsidRPr="0040358E">
              <w:rPr>
                <w:rFonts w:ascii="Arial Narrow" w:hAnsi="Arial Narrow"/>
                <w:sz w:val="20"/>
                <w:szCs w:val="20"/>
              </w:rPr>
              <w:t>0.277</w:t>
            </w:r>
          </w:p>
        </w:tc>
        <w:tc>
          <w:tcPr>
            <w:tcW w:w="1354" w:type="dxa"/>
          </w:tcPr>
          <w:p w14:paraId="4B907832" w14:textId="04D510A8" w:rsidR="008E7E05" w:rsidRPr="004C3CC2" w:rsidRDefault="004C3CC2" w:rsidP="00434092">
            <w:pPr>
              <w:keepNext/>
              <w:jc w:val="center"/>
              <w:rPr>
                <w:rFonts w:ascii="Arial Narrow" w:hAnsi="Arial Narrow" w:cs="Calibri"/>
                <w:color w:val="000000"/>
                <w:sz w:val="20"/>
                <w:szCs w:val="20"/>
                <w:highlight w:val="yellow"/>
              </w:rPr>
            </w:pPr>
            <w:r w:rsidRPr="004C3CC2">
              <w:rPr>
                <w:rFonts w:ascii="Arial Narrow" w:hAnsi="Arial Narrow"/>
                <w:color w:val="000000"/>
                <w:sz w:val="20"/>
                <w:szCs w:val="20"/>
                <w:shd w:val="solid" w:color="000000" w:fill="000000"/>
                <w14:textFill>
                  <w14:solidFill>
                    <w14:srgbClr w14:val="000000">
                      <w14:alpha w14:val="100000"/>
                    </w14:srgbClr>
                  </w14:solidFill>
                </w14:textFill>
              </w:rPr>
              <w:t>|</w:t>
            </w:r>
            <w:r w:rsidR="0040358E" w:rsidRPr="004C3CC2">
              <w:rPr>
                <w:rFonts w:ascii="Arial Narrow" w:hAnsi="Arial Narrow"/>
                <w:sz w:val="20"/>
                <w:szCs w:val="20"/>
                <w:vertAlign w:val="superscript"/>
              </w:rPr>
              <w:t>2</w:t>
            </w:r>
          </w:p>
        </w:tc>
      </w:tr>
      <w:tr w:rsidR="008E7E05" w:rsidRPr="007B6175" w14:paraId="5D848D2B" w14:textId="77777777" w:rsidTr="00F75DE5">
        <w:tc>
          <w:tcPr>
            <w:tcW w:w="9016" w:type="dxa"/>
            <w:gridSpan w:val="4"/>
          </w:tcPr>
          <w:p w14:paraId="49625C87" w14:textId="77777777" w:rsidR="008E7E05" w:rsidRPr="007B6175" w:rsidRDefault="008E7E05" w:rsidP="00434092">
            <w:pPr>
              <w:pStyle w:val="TableHeading"/>
              <w:rPr>
                <w:rStyle w:val="CommentReference"/>
                <w:sz w:val="20"/>
                <w:szCs w:val="20"/>
                <w:highlight w:val="yellow"/>
              </w:rPr>
            </w:pPr>
            <w:r w:rsidRPr="007B6175">
              <w:rPr>
                <w:rStyle w:val="CommentReference"/>
                <w:sz w:val="20"/>
                <w:szCs w:val="20"/>
              </w:rPr>
              <w:t>Proportion of responders (base case response based on ≥50% reduction for the CONQUER trial high frequency episodic migraine 3 to 4 prior treatments)</w:t>
            </w:r>
          </w:p>
        </w:tc>
      </w:tr>
      <w:tr w:rsidR="008E7E05" w:rsidRPr="007B6175" w14:paraId="1CCC1AE4" w14:textId="77777777" w:rsidTr="004C3CC2">
        <w:tc>
          <w:tcPr>
            <w:tcW w:w="5120" w:type="dxa"/>
          </w:tcPr>
          <w:p w14:paraId="41289A90" w14:textId="77777777" w:rsidR="008E7E05" w:rsidRPr="00B663F3" w:rsidRDefault="008E7E05" w:rsidP="00434092">
            <w:pPr>
              <w:pStyle w:val="TableHeading"/>
              <w:rPr>
                <w:rStyle w:val="CommentReference"/>
                <w:b w:val="0"/>
                <w:sz w:val="20"/>
                <w:szCs w:val="20"/>
              </w:rPr>
            </w:pPr>
            <w:r w:rsidRPr="00B663F3">
              <w:rPr>
                <w:rStyle w:val="CommentReference"/>
                <w:b w:val="0"/>
                <w:sz w:val="20"/>
                <w:szCs w:val="20"/>
              </w:rPr>
              <w:t>Response based on ≥50% reduction in mean MHD for high frequency episodic migraine 2 to 4 prior treatments subgroup</w:t>
            </w:r>
          </w:p>
        </w:tc>
        <w:tc>
          <w:tcPr>
            <w:tcW w:w="1275" w:type="dxa"/>
            <w:tcBorders>
              <w:top w:val="single" w:sz="4" w:space="0" w:color="auto"/>
              <w:left w:val="single" w:sz="4" w:space="0" w:color="auto"/>
              <w:bottom w:val="single" w:sz="4" w:space="0" w:color="auto"/>
              <w:right w:val="single" w:sz="4" w:space="0" w:color="auto"/>
            </w:tcBorders>
            <w:shd w:val="solid" w:color="000000" w:fill="000000"/>
            <w:vAlign w:val="center"/>
          </w:tcPr>
          <w:p w14:paraId="4DBE6E63" w14:textId="5F17C773" w:rsidR="008E7E05" w:rsidRPr="004C3CC2" w:rsidRDefault="004C3CC2" w:rsidP="00434092">
            <w:pPr>
              <w:pStyle w:val="Tabletextleft"/>
              <w:keepNext/>
              <w:jc w:val="center"/>
              <w:rPr>
                <w:rFonts w:ascii="Arial Narrow" w:hAnsi="Arial Narrow"/>
                <w:sz w:val="20"/>
              </w:rPr>
            </w:pPr>
            <w:r w:rsidRPr="004C3CC2">
              <w:rPr>
                <w:rFonts w:ascii="Arial Narrow" w:hAnsi="Arial Narrow"/>
                <w:color w:val="000000"/>
                <w:sz w:val="20"/>
                <w14:textFill>
                  <w14:solidFill>
                    <w14:srgbClr w14:val="000000">
                      <w14:alpha w14:val="100000"/>
                    </w14:srgbClr>
                  </w14:solidFill>
                </w14:textFill>
              </w:rPr>
              <w:t>|</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1D9DB145" w14:textId="77777777" w:rsidR="008E7E05" w:rsidRPr="004C3CC2" w:rsidRDefault="008E7E05" w:rsidP="00434092">
            <w:pPr>
              <w:pStyle w:val="Tabletextleft"/>
              <w:keepNext/>
              <w:jc w:val="center"/>
              <w:rPr>
                <w:rFonts w:ascii="Arial Narrow" w:hAnsi="Arial Narrow"/>
                <w:sz w:val="20"/>
              </w:rPr>
            </w:pPr>
            <w:r w:rsidRPr="0040358E">
              <w:rPr>
                <w:rFonts w:ascii="Arial Narrow" w:hAnsi="Arial Narrow"/>
                <w:sz w:val="20"/>
              </w:rPr>
              <w:t>0.170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5A66DB9" w14:textId="59042635" w:rsidR="008E7E05" w:rsidRPr="0040358E" w:rsidRDefault="004C3CC2" w:rsidP="00434092">
            <w:pPr>
              <w:pStyle w:val="Tabletextleft"/>
              <w:keepNext/>
              <w:jc w:val="center"/>
              <w:rPr>
                <w:rFonts w:ascii="Arial Narrow" w:hAnsi="Arial Narrow"/>
                <w:sz w:val="20"/>
                <w:highlight w:val="yellow"/>
              </w:rPr>
            </w:pPr>
            <w:r w:rsidRPr="004C3CC2">
              <w:rPr>
                <w:rFonts w:ascii="Arial Narrow" w:hAnsi="Arial Narrow"/>
                <w:color w:val="000000"/>
                <w:sz w:val="20"/>
                <w:shd w:val="solid" w:color="000000" w:fill="000000"/>
                <w14:textFill>
                  <w14:solidFill>
                    <w14:srgbClr w14:val="000000">
                      <w14:alpha w14:val="100000"/>
                    </w14:srgbClr>
                  </w14:solidFill>
                </w14:textFill>
              </w:rPr>
              <w:t>|</w:t>
            </w:r>
            <w:r w:rsidR="0040358E" w:rsidRPr="00670FEB">
              <w:rPr>
                <w:rFonts w:ascii="Arial Narrow" w:hAnsi="Arial Narrow"/>
                <w:sz w:val="20"/>
                <w:vertAlign w:val="superscript"/>
              </w:rPr>
              <w:t>2</w:t>
            </w:r>
          </w:p>
        </w:tc>
      </w:tr>
      <w:tr w:rsidR="008E7E05" w:rsidRPr="007B6175" w14:paraId="046DF3AC" w14:textId="77777777" w:rsidTr="004C3CC2">
        <w:tc>
          <w:tcPr>
            <w:tcW w:w="5120" w:type="dxa"/>
          </w:tcPr>
          <w:p w14:paraId="56889DB6" w14:textId="77777777" w:rsidR="008E7E05" w:rsidRPr="00B663F3" w:rsidRDefault="008E7E05" w:rsidP="00434092">
            <w:pPr>
              <w:pStyle w:val="TableHeading"/>
              <w:rPr>
                <w:rStyle w:val="CommentReference"/>
                <w:b w:val="0"/>
                <w:sz w:val="20"/>
                <w:szCs w:val="20"/>
              </w:rPr>
            </w:pPr>
            <w:r w:rsidRPr="00B663F3">
              <w:rPr>
                <w:rStyle w:val="CommentReference"/>
                <w:b w:val="0"/>
                <w:sz w:val="20"/>
                <w:szCs w:val="20"/>
              </w:rPr>
              <w:t>Response based on ≥30% reduction in mean MHD for high frequency episodic migraine 3 to 4 prior treatments subgroup</w:t>
            </w:r>
          </w:p>
        </w:tc>
        <w:tc>
          <w:tcPr>
            <w:tcW w:w="1275" w:type="dxa"/>
            <w:tcBorders>
              <w:bottom w:val="single" w:sz="4" w:space="0" w:color="auto"/>
            </w:tcBorders>
            <w:shd w:val="solid" w:color="000000" w:fill="000000"/>
            <w:vAlign w:val="center"/>
          </w:tcPr>
          <w:p w14:paraId="521735FE" w14:textId="0003DE1E" w:rsidR="008E7E05" w:rsidRPr="004C3CC2" w:rsidRDefault="004C3CC2" w:rsidP="00434092">
            <w:pPr>
              <w:pStyle w:val="Tabletextleft"/>
              <w:keepNext/>
              <w:jc w:val="center"/>
              <w:rPr>
                <w:rFonts w:ascii="Arial Narrow" w:hAnsi="Arial Narrow" w:cs="Calibri"/>
                <w:color w:val="000000"/>
                <w:sz w:val="20"/>
              </w:rPr>
            </w:pPr>
            <w:r w:rsidRPr="004C3CC2">
              <w:rPr>
                <w:rFonts w:ascii="Arial Narrow" w:hAnsi="Arial Narrow"/>
                <w:color w:val="000000"/>
                <w:sz w:val="20"/>
                <w14:textFill>
                  <w14:solidFill>
                    <w14:srgbClr w14:val="000000">
                      <w14:alpha w14:val="100000"/>
                    </w14:srgbClr>
                  </w14:solidFill>
                </w14:textFill>
              </w:rPr>
              <w:t>|</w:t>
            </w:r>
          </w:p>
        </w:tc>
        <w:tc>
          <w:tcPr>
            <w:tcW w:w="1267" w:type="dxa"/>
            <w:vAlign w:val="center"/>
          </w:tcPr>
          <w:p w14:paraId="5F7F3A2C" w14:textId="77777777" w:rsidR="008E7E05" w:rsidRPr="004C3CC2" w:rsidRDefault="008E7E05" w:rsidP="00434092">
            <w:pPr>
              <w:pStyle w:val="Tabletextleft"/>
              <w:keepNext/>
              <w:jc w:val="center"/>
              <w:rPr>
                <w:rFonts w:ascii="Arial Narrow" w:hAnsi="Arial Narrow" w:cs="Calibri"/>
                <w:color w:val="000000"/>
                <w:sz w:val="20"/>
              </w:rPr>
            </w:pPr>
            <w:r w:rsidRPr="0040358E">
              <w:rPr>
                <w:rFonts w:ascii="Arial Narrow" w:hAnsi="Arial Narrow"/>
                <w:sz w:val="20"/>
              </w:rPr>
              <w:t>0.240</w:t>
            </w:r>
          </w:p>
        </w:tc>
        <w:tc>
          <w:tcPr>
            <w:tcW w:w="1354" w:type="dxa"/>
            <w:vAlign w:val="center"/>
          </w:tcPr>
          <w:p w14:paraId="2EE78F37" w14:textId="1F3EB673" w:rsidR="008E7E05" w:rsidRPr="0040358E" w:rsidRDefault="004C3CC2" w:rsidP="00434092">
            <w:pPr>
              <w:pStyle w:val="Tabletextleft"/>
              <w:keepNext/>
              <w:jc w:val="center"/>
              <w:rPr>
                <w:rFonts w:ascii="Arial Narrow" w:hAnsi="Arial Narrow" w:cs="Calibri"/>
                <w:color w:val="000000"/>
                <w:sz w:val="20"/>
                <w:highlight w:val="yellow"/>
              </w:rPr>
            </w:pPr>
            <w:r w:rsidRPr="004C3CC2">
              <w:rPr>
                <w:rFonts w:ascii="Arial Narrow" w:hAnsi="Arial Narrow"/>
                <w:color w:val="000000"/>
                <w:sz w:val="20"/>
                <w:shd w:val="solid" w:color="000000" w:fill="000000"/>
                <w14:textFill>
                  <w14:solidFill>
                    <w14:srgbClr w14:val="000000">
                      <w14:alpha w14:val="100000"/>
                    </w14:srgbClr>
                  </w14:solidFill>
                </w14:textFill>
              </w:rPr>
              <w:t>|</w:t>
            </w:r>
            <w:r w:rsidR="0040358E">
              <w:rPr>
                <w:rFonts w:ascii="Arial Narrow" w:hAnsi="Arial Narrow"/>
                <w:sz w:val="20"/>
                <w:vertAlign w:val="superscript"/>
              </w:rPr>
              <w:t>4</w:t>
            </w:r>
          </w:p>
        </w:tc>
      </w:tr>
      <w:tr w:rsidR="009E7008" w:rsidRPr="007B6175" w14:paraId="1FAB0724" w14:textId="77777777" w:rsidTr="004C3CC2">
        <w:tc>
          <w:tcPr>
            <w:tcW w:w="5120" w:type="dxa"/>
          </w:tcPr>
          <w:p w14:paraId="0CEF0E58" w14:textId="1EEF1D4E" w:rsidR="009E7008" w:rsidRPr="004C3CC2" w:rsidRDefault="009E7008" w:rsidP="009E7008">
            <w:pPr>
              <w:pStyle w:val="TableHeading"/>
              <w:rPr>
                <w:rStyle w:val="CommentReference"/>
                <w:b w:val="0"/>
                <w:sz w:val="20"/>
                <w:szCs w:val="20"/>
              </w:rPr>
            </w:pPr>
            <w:proofErr w:type="spellStart"/>
            <w:r w:rsidRPr="00A55640">
              <w:rPr>
                <w:rStyle w:val="CommentReference"/>
                <w:b w:val="0"/>
                <w:sz w:val="20"/>
                <w:szCs w:val="20"/>
              </w:rPr>
              <w:t>Galcanezumab</w:t>
            </w:r>
            <w:proofErr w:type="spellEnd"/>
            <w:r w:rsidRPr="00A55640">
              <w:rPr>
                <w:rStyle w:val="CommentReference"/>
                <w:b w:val="0"/>
                <w:sz w:val="20"/>
                <w:szCs w:val="20"/>
              </w:rPr>
              <w:t xml:space="preserve"> ≥50% responders increased from 37.7% to 47.7%</w:t>
            </w:r>
          </w:p>
        </w:tc>
        <w:tc>
          <w:tcPr>
            <w:tcW w:w="1275" w:type="dxa"/>
            <w:tcBorders>
              <w:bottom w:val="single" w:sz="4" w:space="0" w:color="auto"/>
            </w:tcBorders>
            <w:shd w:val="solid" w:color="000000" w:fill="000000"/>
          </w:tcPr>
          <w:p w14:paraId="4A05EC42" w14:textId="2CA40FD1" w:rsidR="009E7008" w:rsidRPr="004C3CC2" w:rsidRDefault="004C3CC2" w:rsidP="009E7008">
            <w:pPr>
              <w:pStyle w:val="PBACTableText"/>
              <w:keepNext/>
              <w:rPr>
                <w:rFonts w:cs="Calibri"/>
                <w:color w:val="000000"/>
              </w:rPr>
            </w:pPr>
            <w:r w:rsidRPr="004C3CC2">
              <w:rPr>
                <w:color w:val="000000"/>
                <w14:textFill>
                  <w14:solidFill>
                    <w14:srgbClr w14:val="000000">
                      <w14:alpha w14:val="100000"/>
                    </w14:srgbClr>
                  </w14:solidFill>
                </w14:textFill>
              </w:rPr>
              <w:t>|</w:t>
            </w:r>
          </w:p>
        </w:tc>
        <w:tc>
          <w:tcPr>
            <w:tcW w:w="1267" w:type="dxa"/>
          </w:tcPr>
          <w:p w14:paraId="604572D8" w14:textId="2DFA120E" w:rsidR="009E7008" w:rsidRPr="004C3CC2" w:rsidRDefault="009E7008" w:rsidP="009E7008">
            <w:pPr>
              <w:pStyle w:val="PBACTableText"/>
              <w:keepNext/>
              <w:rPr>
                <w:rFonts w:cs="Calibri"/>
                <w:color w:val="000000"/>
              </w:rPr>
            </w:pPr>
            <w:r w:rsidRPr="004C3CC2">
              <w:t>0.251</w:t>
            </w:r>
          </w:p>
        </w:tc>
        <w:tc>
          <w:tcPr>
            <w:tcW w:w="1354" w:type="dxa"/>
          </w:tcPr>
          <w:p w14:paraId="6353C4A0" w14:textId="0B374454" w:rsidR="009E7008" w:rsidRPr="004C3CC2" w:rsidRDefault="004C3CC2" w:rsidP="009E7008">
            <w:pPr>
              <w:pStyle w:val="PBACTableText"/>
              <w:keepNext/>
              <w:rPr>
                <w:rFonts w:cs="Calibri"/>
                <w:color w:val="000000"/>
                <w:highlight w:val="yellow"/>
              </w:rPr>
            </w:pPr>
            <w:r w:rsidRPr="004C3CC2">
              <w:rPr>
                <w:color w:val="000000"/>
                <w:shd w:val="solid" w:color="000000" w:fill="000000"/>
                <w14:textFill>
                  <w14:solidFill>
                    <w14:srgbClr w14:val="000000">
                      <w14:alpha w14:val="100000"/>
                    </w14:srgbClr>
                  </w14:solidFill>
                </w14:textFill>
              </w:rPr>
              <w:t>|</w:t>
            </w:r>
            <w:r w:rsidR="0040358E" w:rsidRPr="00A55640">
              <w:rPr>
                <w:vertAlign w:val="superscript"/>
              </w:rPr>
              <w:t>2</w:t>
            </w:r>
          </w:p>
        </w:tc>
      </w:tr>
      <w:tr w:rsidR="009E7008" w:rsidRPr="007B6175" w14:paraId="29988C5B" w14:textId="77777777" w:rsidTr="004C3CC2">
        <w:tc>
          <w:tcPr>
            <w:tcW w:w="5120" w:type="dxa"/>
          </w:tcPr>
          <w:p w14:paraId="7F3DC1D2" w14:textId="4D67D342" w:rsidR="009E7008" w:rsidRPr="004C3CC2" w:rsidRDefault="009E7008" w:rsidP="009E7008">
            <w:pPr>
              <w:pStyle w:val="TableHeading"/>
              <w:rPr>
                <w:rStyle w:val="CommentReference"/>
                <w:b w:val="0"/>
                <w:sz w:val="20"/>
                <w:szCs w:val="20"/>
              </w:rPr>
            </w:pPr>
            <w:proofErr w:type="spellStart"/>
            <w:r w:rsidRPr="00BE008D">
              <w:rPr>
                <w:rStyle w:val="CommentReference"/>
                <w:b w:val="0"/>
                <w:sz w:val="20"/>
                <w:szCs w:val="20"/>
              </w:rPr>
              <w:t>Galcanezumab</w:t>
            </w:r>
            <w:proofErr w:type="spellEnd"/>
            <w:r w:rsidRPr="00BE008D">
              <w:rPr>
                <w:rStyle w:val="CommentReference"/>
                <w:b w:val="0"/>
                <w:sz w:val="20"/>
                <w:szCs w:val="20"/>
              </w:rPr>
              <w:t xml:space="preserve"> ≥50% responders reduced from 37.7% to 27.7%</w:t>
            </w:r>
          </w:p>
        </w:tc>
        <w:tc>
          <w:tcPr>
            <w:tcW w:w="1275" w:type="dxa"/>
            <w:shd w:val="solid" w:color="000000" w:fill="000000"/>
          </w:tcPr>
          <w:p w14:paraId="7F419C02" w14:textId="2A4194D4" w:rsidR="009E7008" w:rsidRPr="004C3CC2" w:rsidRDefault="004C3CC2" w:rsidP="009E7008">
            <w:pPr>
              <w:pStyle w:val="PBACTableText"/>
              <w:keepNext/>
              <w:rPr>
                <w:rFonts w:cs="Calibri"/>
                <w:color w:val="000000"/>
              </w:rPr>
            </w:pPr>
            <w:r w:rsidRPr="004C3CC2">
              <w:rPr>
                <w:color w:val="000000"/>
                <w14:textFill>
                  <w14:solidFill>
                    <w14:srgbClr w14:val="000000">
                      <w14:alpha w14:val="100000"/>
                    </w14:srgbClr>
                  </w14:solidFill>
                </w14:textFill>
              </w:rPr>
              <w:t>|</w:t>
            </w:r>
          </w:p>
        </w:tc>
        <w:tc>
          <w:tcPr>
            <w:tcW w:w="1267" w:type="dxa"/>
          </w:tcPr>
          <w:p w14:paraId="130AE959" w14:textId="162E1295" w:rsidR="009E7008" w:rsidRPr="004C3CC2" w:rsidRDefault="009E7008" w:rsidP="009E7008">
            <w:pPr>
              <w:pStyle w:val="PBACTableText"/>
              <w:keepNext/>
              <w:rPr>
                <w:rFonts w:cs="Calibri"/>
                <w:color w:val="000000"/>
              </w:rPr>
            </w:pPr>
            <w:r w:rsidRPr="004C3CC2">
              <w:t>0.115</w:t>
            </w:r>
          </w:p>
        </w:tc>
        <w:tc>
          <w:tcPr>
            <w:tcW w:w="1354" w:type="dxa"/>
          </w:tcPr>
          <w:p w14:paraId="24A6AF1C" w14:textId="2211198E" w:rsidR="009E7008" w:rsidRPr="00CC6DBE" w:rsidRDefault="004C3CC2" w:rsidP="009E7008">
            <w:pPr>
              <w:pStyle w:val="PBACTableText"/>
              <w:keepNext/>
              <w:rPr>
                <w:rFonts w:cs="Calibri"/>
                <w:color w:val="000000"/>
                <w:highlight w:val="yellow"/>
              </w:rPr>
            </w:pPr>
            <w:r w:rsidRPr="004C3CC2">
              <w:rPr>
                <w:color w:val="000000"/>
                <w:shd w:val="solid" w:color="000000" w:fill="000000"/>
                <w14:textFill>
                  <w14:solidFill>
                    <w14:srgbClr w14:val="000000">
                      <w14:alpha w14:val="100000"/>
                    </w14:srgbClr>
                  </w14:solidFill>
                </w14:textFill>
              </w:rPr>
              <w:t>|</w:t>
            </w:r>
            <w:r w:rsidR="0040358E" w:rsidRPr="00BE008D">
              <w:rPr>
                <w:vertAlign w:val="superscript"/>
              </w:rPr>
              <w:t>4</w:t>
            </w:r>
          </w:p>
        </w:tc>
      </w:tr>
      <w:tr w:rsidR="008E7E05" w:rsidRPr="007B6175" w14:paraId="435F9BC8" w14:textId="77777777" w:rsidTr="00F75DE5">
        <w:tc>
          <w:tcPr>
            <w:tcW w:w="9016" w:type="dxa"/>
            <w:gridSpan w:val="4"/>
          </w:tcPr>
          <w:p w14:paraId="3F8A9AC0" w14:textId="77777777" w:rsidR="008E7E05" w:rsidRPr="007B6175" w:rsidRDefault="008E7E05" w:rsidP="00434092">
            <w:pPr>
              <w:keepNext/>
              <w:rPr>
                <w:rFonts w:ascii="Arial Narrow" w:hAnsi="Arial Narrow"/>
                <w:b/>
                <w:sz w:val="20"/>
                <w:szCs w:val="20"/>
              </w:rPr>
            </w:pPr>
            <w:r w:rsidRPr="007B6175">
              <w:rPr>
                <w:rFonts w:ascii="Arial Narrow" w:hAnsi="Arial Narrow"/>
                <w:b/>
                <w:sz w:val="20"/>
                <w:szCs w:val="20"/>
              </w:rPr>
              <w:t>Duration of treatment effect (base case for duration of model)</w:t>
            </w:r>
          </w:p>
        </w:tc>
      </w:tr>
      <w:tr w:rsidR="008E7E05" w:rsidRPr="007B6175" w14:paraId="2DB62D13" w14:textId="77777777" w:rsidTr="004C3CC2">
        <w:tc>
          <w:tcPr>
            <w:tcW w:w="5120" w:type="dxa"/>
          </w:tcPr>
          <w:p w14:paraId="45E80DF0" w14:textId="77777777" w:rsidR="008E7E05" w:rsidRPr="007B6175" w:rsidRDefault="008E7E05" w:rsidP="00434092">
            <w:pPr>
              <w:pStyle w:val="TableHeading"/>
              <w:rPr>
                <w:rStyle w:val="CommentReference"/>
                <w:b w:val="0"/>
                <w:sz w:val="20"/>
                <w:szCs w:val="20"/>
              </w:rPr>
            </w:pPr>
            <w:r w:rsidRPr="007B6175">
              <w:rPr>
                <w:rStyle w:val="CommentReference"/>
                <w:b w:val="0"/>
                <w:sz w:val="20"/>
                <w:szCs w:val="20"/>
              </w:rPr>
              <w:t>BSC loss of efficacy after 1 year</w:t>
            </w:r>
          </w:p>
        </w:tc>
        <w:tc>
          <w:tcPr>
            <w:tcW w:w="1275" w:type="dxa"/>
            <w:tcBorders>
              <w:bottom w:val="single" w:sz="4" w:space="0" w:color="auto"/>
            </w:tcBorders>
            <w:shd w:val="solid" w:color="000000" w:fill="000000"/>
          </w:tcPr>
          <w:p w14:paraId="726B988F" w14:textId="4CA3B89C" w:rsidR="008E7E05" w:rsidRPr="004C3CC2" w:rsidRDefault="004C3CC2" w:rsidP="00434092">
            <w:pPr>
              <w:pStyle w:val="Tabletext0"/>
              <w:keepNext/>
              <w:jc w:val="center"/>
              <w:rPr>
                <w:szCs w:val="20"/>
              </w:rPr>
            </w:pPr>
            <w:r w:rsidRPr="004C3CC2">
              <w:rPr>
                <w:color w:val="000000"/>
                <w14:textFill>
                  <w14:solidFill>
                    <w14:srgbClr w14:val="000000">
                      <w14:alpha w14:val="100000"/>
                    </w14:srgbClr>
                  </w14:solidFill>
                </w14:textFill>
              </w:rPr>
              <w:t>|</w:t>
            </w:r>
          </w:p>
        </w:tc>
        <w:tc>
          <w:tcPr>
            <w:tcW w:w="1267" w:type="dxa"/>
          </w:tcPr>
          <w:p w14:paraId="24C8A721" w14:textId="77777777" w:rsidR="008E7E05" w:rsidRPr="0040358E" w:rsidRDefault="008E7E05" w:rsidP="00434092">
            <w:pPr>
              <w:pStyle w:val="Tabletext0"/>
              <w:keepNext/>
              <w:jc w:val="center"/>
              <w:rPr>
                <w:szCs w:val="20"/>
              </w:rPr>
            </w:pPr>
            <w:r w:rsidRPr="0040358E">
              <w:t>0.240</w:t>
            </w:r>
          </w:p>
        </w:tc>
        <w:tc>
          <w:tcPr>
            <w:tcW w:w="1354" w:type="dxa"/>
          </w:tcPr>
          <w:p w14:paraId="40C05629" w14:textId="1B2C465B" w:rsidR="008E7E05" w:rsidRPr="004C3CC2" w:rsidRDefault="004C3CC2" w:rsidP="00434092">
            <w:pPr>
              <w:pStyle w:val="Tabletext0"/>
              <w:keepNext/>
              <w:jc w:val="center"/>
              <w:rPr>
                <w:szCs w:val="20"/>
                <w:highlight w:val="yellow"/>
              </w:rPr>
            </w:pPr>
            <w:r w:rsidRPr="004C3CC2">
              <w:rPr>
                <w:color w:val="000000"/>
                <w:shd w:val="solid" w:color="000000" w:fill="000000"/>
                <w14:textFill>
                  <w14:solidFill>
                    <w14:srgbClr w14:val="000000">
                      <w14:alpha w14:val="100000"/>
                    </w14:srgbClr>
                  </w14:solidFill>
                </w14:textFill>
              </w:rPr>
              <w:t>|</w:t>
            </w:r>
            <w:r w:rsidR="0040358E">
              <w:rPr>
                <w:szCs w:val="20"/>
                <w:vertAlign w:val="superscript"/>
              </w:rPr>
              <w:t>5</w:t>
            </w:r>
          </w:p>
        </w:tc>
      </w:tr>
      <w:tr w:rsidR="008E7E05" w:rsidRPr="007B6175" w14:paraId="6BF79F9A" w14:textId="77777777" w:rsidTr="004C3CC2">
        <w:tc>
          <w:tcPr>
            <w:tcW w:w="5120" w:type="dxa"/>
          </w:tcPr>
          <w:p w14:paraId="40EC0500" w14:textId="77777777" w:rsidR="008E7E05" w:rsidRPr="004C3CC2" w:rsidRDefault="008E7E05" w:rsidP="00434092">
            <w:pPr>
              <w:pStyle w:val="TableHeading"/>
              <w:rPr>
                <w:rStyle w:val="CommentReference"/>
                <w:b w:val="0"/>
                <w:i/>
                <w:iCs/>
                <w:sz w:val="20"/>
                <w:szCs w:val="20"/>
              </w:rPr>
            </w:pPr>
            <w:r w:rsidRPr="004C3CC2">
              <w:rPr>
                <w:rStyle w:val="CommentReference"/>
                <w:b w:val="0"/>
                <w:i/>
                <w:iCs/>
                <w:sz w:val="20"/>
                <w:szCs w:val="20"/>
              </w:rPr>
              <w:t>10% reduction in mean MHD reduction per year for responders</w:t>
            </w:r>
          </w:p>
        </w:tc>
        <w:tc>
          <w:tcPr>
            <w:tcW w:w="1275" w:type="dxa"/>
            <w:tcBorders>
              <w:bottom w:val="single" w:sz="4" w:space="0" w:color="auto"/>
            </w:tcBorders>
            <w:shd w:val="solid" w:color="000000" w:fill="000000"/>
          </w:tcPr>
          <w:p w14:paraId="39889556" w14:textId="548AE0AF" w:rsidR="008E7E05" w:rsidRPr="004C3CC2" w:rsidRDefault="004C3CC2" w:rsidP="00434092">
            <w:pPr>
              <w:pStyle w:val="Tabletext0"/>
              <w:keepNext/>
              <w:jc w:val="center"/>
              <w:rPr>
                <w:i/>
                <w:iCs/>
                <w:szCs w:val="20"/>
              </w:rPr>
            </w:pPr>
            <w:r w:rsidRPr="004C3CC2">
              <w:rPr>
                <w:i/>
                <w:iCs/>
                <w:color w:val="000000"/>
                <w14:textFill>
                  <w14:solidFill>
                    <w14:srgbClr w14:val="000000">
                      <w14:alpha w14:val="100000"/>
                    </w14:srgbClr>
                  </w14:solidFill>
                </w14:textFill>
              </w:rPr>
              <w:t>|</w:t>
            </w:r>
          </w:p>
        </w:tc>
        <w:tc>
          <w:tcPr>
            <w:tcW w:w="1267" w:type="dxa"/>
          </w:tcPr>
          <w:p w14:paraId="47D5D0E5" w14:textId="77777777" w:rsidR="008E7E05" w:rsidRPr="004C3CC2" w:rsidRDefault="008E7E05" w:rsidP="00434092">
            <w:pPr>
              <w:pStyle w:val="Tabletext0"/>
              <w:keepNext/>
              <w:jc w:val="center"/>
              <w:rPr>
                <w:i/>
                <w:iCs/>
                <w:szCs w:val="20"/>
              </w:rPr>
            </w:pPr>
            <w:r w:rsidRPr="004C3CC2">
              <w:rPr>
                <w:i/>
                <w:iCs/>
              </w:rPr>
              <w:t>0.172</w:t>
            </w:r>
          </w:p>
        </w:tc>
        <w:tc>
          <w:tcPr>
            <w:tcW w:w="1354" w:type="dxa"/>
          </w:tcPr>
          <w:p w14:paraId="70BBB40F" w14:textId="4FA30495" w:rsidR="008E7E05" w:rsidRPr="004C3CC2" w:rsidRDefault="004C3CC2" w:rsidP="00434092">
            <w:pPr>
              <w:pStyle w:val="Tabletext0"/>
              <w:keepNext/>
              <w:jc w:val="center"/>
              <w:rPr>
                <w:i/>
                <w:iCs/>
                <w:szCs w:val="20"/>
                <w:highlight w:val="yellow"/>
              </w:rPr>
            </w:pPr>
            <w:r w:rsidRPr="004C3CC2">
              <w:rPr>
                <w:i/>
                <w:iCs/>
                <w:color w:val="000000"/>
                <w:shd w:val="solid" w:color="000000" w:fill="000000"/>
                <w14:textFill>
                  <w14:solidFill>
                    <w14:srgbClr w14:val="000000">
                      <w14:alpha w14:val="100000"/>
                    </w14:srgbClr>
                  </w14:solidFill>
                </w14:textFill>
              </w:rPr>
              <w:t>|</w:t>
            </w:r>
            <w:r w:rsidR="0040358E" w:rsidRPr="004C3CC2">
              <w:rPr>
                <w:i/>
                <w:iCs/>
                <w:vertAlign w:val="superscript"/>
              </w:rPr>
              <w:t>4</w:t>
            </w:r>
          </w:p>
        </w:tc>
      </w:tr>
      <w:tr w:rsidR="008E7E05" w:rsidRPr="007B6175" w14:paraId="14AA253D" w14:textId="77777777" w:rsidTr="004C3CC2">
        <w:tc>
          <w:tcPr>
            <w:tcW w:w="5120" w:type="dxa"/>
          </w:tcPr>
          <w:p w14:paraId="15B2D667" w14:textId="77777777" w:rsidR="008E7E05" w:rsidRPr="004C3CC2" w:rsidRDefault="008E7E05" w:rsidP="00434092">
            <w:pPr>
              <w:pStyle w:val="TableHeading"/>
              <w:rPr>
                <w:rStyle w:val="CommentReference"/>
                <w:b w:val="0"/>
                <w:i/>
                <w:iCs/>
                <w:sz w:val="20"/>
                <w:szCs w:val="20"/>
              </w:rPr>
            </w:pPr>
            <w:r w:rsidRPr="004C3CC2">
              <w:rPr>
                <w:rStyle w:val="CommentReference"/>
                <w:b w:val="0"/>
                <w:i/>
                <w:iCs/>
                <w:sz w:val="20"/>
                <w:szCs w:val="20"/>
              </w:rPr>
              <w:t>20% reduction in mean MHD reduction per year for responders</w:t>
            </w:r>
          </w:p>
        </w:tc>
        <w:tc>
          <w:tcPr>
            <w:tcW w:w="1275" w:type="dxa"/>
            <w:shd w:val="solid" w:color="000000" w:fill="000000"/>
          </w:tcPr>
          <w:p w14:paraId="08D7DFD9" w14:textId="7C4C5971" w:rsidR="008E7E05" w:rsidRPr="004C3CC2" w:rsidRDefault="004C3CC2" w:rsidP="00434092">
            <w:pPr>
              <w:pStyle w:val="Tabletext0"/>
              <w:keepNext/>
              <w:jc w:val="center"/>
              <w:rPr>
                <w:i/>
                <w:iCs/>
                <w:szCs w:val="20"/>
              </w:rPr>
            </w:pPr>
            <w:r w:rsidRPr="004C3CC2">
              <w:rPr>
                <w:i/>
                <w:iCs/>
                <w:color w:val="000000"/>
                <w14:textFill>
                  <w14:solidFill>
                    <w14:srgbClr w14:val="000000">
                      <w14:alpha w14:val="100000"/>
                    </w14:srgbClr>
                  </w14:solidFill>
                </w14:textFill>
              </w:rPr>
              <w:t>|</w:t>
            </w:r>
          </w:p>
        </w:tc>
        <w:tc>
          <w:tcPr>
            <w:tcW w:w="1267" w:type="dxa"/>
          </w:tcPr>
          <w:p w14:paraId="5CB344AC" w14:textId="77777777" w:rsidR="008E7E05" w:rsidRPr="004C3CC2" w:rsidRDefault="008E7E05" w:rsidP="00434092">
            <w:pPr>
              <w:pStyle w:val="Tabletext0"/>
              <w:keepNext/>
              <w:jc w:val="center"/>
              <w:rPr>
                <w:i/>
                <w:iCs/>
                <w:szCs w:val="20"/>
              </w:rPr>
            </w:pPr>
            <w:r w:rsidRPr="004C3CC2">
              <w:rPr>
                <w:i/>
                <w:iCs/>
              </w:rPr>
              <w:t>0.162</w:t>
            </w:r>
          </w:p>
        </w:tc>
        <w:tc>
          <w:tcPr>
            <w:tcW w:w="1354" w:type="dxa"/>
          </w:tcPr>
          <w:p w14:paraId="645E6734" w14:textId="4992D88E" w:rsidR="008E7E05" w:rsidRPr="004C3CC2" w:rsidRDefault="004C3CC2" w:rsidP="00434092">
            <w:pPr>
              <w:pStyle w:val="Tabletext0"/>
              <w:keepNext/>
              <w:jc w:val="center"/>
              <w:rPr>
                <w:i/>
                <w:iCs/>
                <w:szCs w:val="20"/>
                <w:highlight w:val="yellow"/>
              </w:rPr>
            </w:pPr>
            <w:r w:rsidRPr="004C3CC2">
              <w:rPr>
                <w:i/>
                <w:iCs/>
                <w:color w:val="000000"/>
                <w:shd w:val="solid" w:color="000000" w:fill="000000"/>
                <w14:textFill>
                  <w14:solidFill>
                    <w14:srgbClr w14:val="000000">
                      <w14:alpha w14:val="100000"/>
                    </w14:srgbClr>
                  </w14:solidFill>
                </w14:textFill>
              </w:rPr>
              <w:t>|</w:t>
            </w:r>
            <w:r w:rsidR="0040358E" w:rsidRPr="004C3CC2">
              <w:rPr>
                <w:i/>
                <w:iCs/>
                <w:vertAlign w:val="superscript"/>
              </w:rPr>
              <w:t>4</w:t>
            </w:r>
          </w:p>
        </w:tc>
      </w:tr>
      <w:tr w:rsidR="008E7E05" w:rsidRPr="007B6175" w14:paraId="0E324795" w14:textId="77777777" w:rsidTr="00F75DE5">
        <w:tc>
          <w:tcPr>
            <w:tcW w:w="9016" w:type="dxa"/>
            <w:gridSpan w:val="4"/>
          </w:tcPr>
          <w:p w14:paraId="576D1101" w14:textId="77777777" w:rsidR="008E7E05" w:rsidRPr="007B6175" w:rsidRDefault="008E7E05" w:rsidP="00434092">
            <w:pPr>
              <w:keepNext/>
              <w:rPr>
                <w:rFonts w:ascii="Arial Narrow" w:hAnsi="Arial Narrow"/>
                <w:b/>
                <w:sz w:val="20"/>
                <w:szCs w:val="20"/>
              </w:rPr>
            </w:pPr>
            <w:r w:rsidRPr="007B6175">
              <w:rPr>
                <w:rFonts w:ascii="Arial Narrow" w:hAnsi="Arial Narrow"/>
                <w:b/>
                <w:sz w:val="20"/>
                <w:szCs w:val="20"/>
              </w:rPr>
              <w:t xml:space="preserve">Utility values (base case different utilities per migraine headache day applied to baseline/off treatment, </w:t>
            </w:r>
            <w:proofErr w:type="spellStart"/>
            <w:r w:rsidRPr="007B6175">
              <w:rPr>
                <w:rFonts w:ascii="Arial Narrow" w:hAnsi="Arial Narrow"/>
                <w:b/>
                <w:sz w:val="20"/>
                <w:szCs w:val="20"/>
              </w:rPr>
              <w:t>galcanezumab</w:t>
            </w:r>
            <w:proofErr w:type="spellEnd"/>
            <w:r w:rsidRPr="007B6175">
              <w:rPr>
                <w:rFonts w:ascii="Arial Narrow" w:hAnsi="Arial Narrow"/>
                <w:b/>
                <w:sz w:val="20"/>
                <w:szCs w:val="20"/>
              </w:rPr>
              <w:t xml:space="preserve"> on treatment and BSC on treatment health states)</w:t>
            </w:r>
          </w:p>
        </w:tc>
      </w:tr>
      <w:tr w:rsidR="008E7E05" w:rsidRPr="007B6175" w14:paraId="54F5FD36" w14:textId="77777777" w:rsidTr="004C3CC2">
        <w:tc>
          <w:tcPr>
            <w:tcW w:w="5120" w:type="dxa"/>
          </w:tcPr>
          <w:p w14:paraId="39F0C80A" w14:textId="77777777" w:rsidR="008E7E05" w:rsidRPr="007B6175" w:rsidRDefault="008E7E05" w:rsidP="00434092">
            <w:pPr>
              <w:pStyle w:val="TableHeading"/>
              <w:rPr>
                <w:rStyle w:val="CommentReference"/>
                <w:b w:val="0"/>
                <w:sz w:val="20"/>
                <w:szCs w:val="20"/>
              </w:rPr>
            </w:pPr>
            <w:r w:rsidRPr="007B6175">
              <w:rPr>
                <w:rStyle w:val="CommentReference"/>
                <w:b w:val="0"/>
                <w:sz w:val="20"/>
                <w:szCs w:val="20"/>
              </w:rPr>
              <w:t>Pooled on-treatment utilities</w:t>
            </w:r>
          </w:p>
        </w:tc>
        <w:tc>
          <w:tcPr>
            <w:tcW w:w="1275" w:type="dxa"/>
            <w:tcBorders>
              <w:bottom w:val="single" w:sz="4" w:space="0" w:color="auto"/>
            </w:tcBorders>
            <w:shd w:val="solid" w:color="000000" w:fill="000000"/>
          </w:tcPr>
          <w:p w14:paraId="65370837" w14:textId="6B030321" w:rsidR="008E7E05" w:rsidRPr="004C3CC2" w:rsidRDefault="004C3CC2" w:rsidP="00434092">
            <w:pPr>
              <w:pStyle w:val="Tabletext0"/>
              <w:keepNext/>
              <w:jc w:val="center"/>
              <w:rPr>
                <w:szCs w:val="20"/>
              </w:rPr>
            </w:pPr>
            <w:r w:rsidRPr="004C3CC2">
              <w:rPr>
                <w:color w:val="000000"/>
                <w14:textFill>
                  <w14:solidFill>
                    <w14:srgbClr w14:val="000000">
                      <w14:alpha w14:val="100000"/>
                    </w14:srgbClr>
                  </w14:solidFill>
                </w14:textFill>
              </w:rPr>
              <w:t>|</w:t>
            </w:r>
          </w:p>
        </w:tc>
        <w:tc>
          <w:tcPr>
            <w:tcW w:w="1267" w:type="dxa"/>
          </w:tcPr>
          <w:p w14:paraId="0B4304FE" w14:textId="77777777" w:rsidR="008E7E05" w:rsidRPr="007B6175" w:rsidRDefault="008E7E05" w:rsidP="00434092">
            <w:pPr>
              <w:pStyle w:val="Tabletext0"/>
              <w:keepNext/>
              <w:jc w:val="center"/>
              <w:rPr>
                <w:szCs w:val="20"/>
              </w:rPr>
            </w:pPr>
            <w:r w:rsidRPr="007B6175">
              <w:t>0.118</w:t>
            </w:r>
          </w:p>
        </w:tc>
        <w:tc>
          <w:tcPr>
            <w:tcW w:w="1354" w:type="dxa"/>
          </w:tcPr>
          <w:p w14:paraId="2523440A" w14:textId="77F26D22" w:rsidR="008E7E05" w:rsidRPr="004C3CC2" w:rsidRDefault="004C3CC2" w:rsidP="00434092">
            <w:pPr>
              <w:pStyle w:val="Tabletext0"/>
              <w:keepNext/>
              <w:jc w:val="center"/>
              <w:rPr>
                <w:szCs w:val="20"/>
                <w:highlight w:val="yellow"/>
              </w:rPr>
            </w:pPr>
            <w:r w:rsidRPr="004C3CC2">
              <w:rPr>
                <w:color w:val="000000"/>
                <w:shd w:val="solid" w:color="000000" w:fill="000000"/>
                <w14:textFill>
                  <w14:solidFill>
                    <w14:srgbClr w14:val="000000">
                      <w14:alpha w14:val="100000"/>
                    </w14:srgbClr>
                  </w14:solidFill>
                </w14:textFill>
              </w:rPr>
              <w:t>|</w:t>
            </w:r>
            <w:r w:rsidR="0040358E">
              <w:rPr>
                <w:vertAlign w:val="superscript"/>
              </w:rPr>
              <w:t>3</w:t>
            </w:r>
          </w:p>
        </w:tc>
      </w:tr>
      <w:tr w:rsidR="008E7E05" w:rsidRPr="007B6175" w14:paraId="399A9354" w14:textId="77777777" w:rsidTr="004C3CC2">
        <w:tc>
          <w:tcPr>
            <w:tcW w:w="5120" w:type="dxa"/>
          </w:tcPr>
          <w:p w14:paraId="7BFFE8B0" w14:textId="239C90F1" w:rsidR="008E7E05" w:rsidRPr="00B663F3" w:rsidRDefault="008E7E05" w:rsidP="00434092">
            <w:pPr>
              <w:pStyle w:val="TableHeading"/>
              <w:rPr>
                <w:rStyle w:val="CommentReference"/>
                <w:b w:val="0"/>
                <w:sz w:val="20"/>
                <w:szCs w:val="20"/>
              </w:rPr>
            </w:pPr>
            <w:r w:rsidRPr="00B663F3">
              <w:rPr>
                <w:rStyle w:val="CommentReference"/>
                <w:b w:val="0"/>
                <w:sz w:val="20"/>
                <w:szCs w:val="20"/>
              </w:rPr>
              <w:t xml:space="preserve">Baseline </w:t>
            </w:r>
            <w:r w:rsidR="00B27604" w:rsidRPr="00B663F3">
              <w:rPr>
                <w:rStyle w:val="CommentReference"/>
                <w:b w:val="0"/>
                <w:sz w:val="20"/>
                <w:szCs w:val="20"/>
              </w:rPr>
              <w:t xml:space="preserve">(off-treatment) </w:t>
            </w:r>
            <w:r w:rsidRPr="00B663F3">
              <w:rPr>
                <w:rStyle w:val="CommentReference"/>
                <w:b w:val="0"/>
                <w:sz w:val="20"/>
                <w:szCs w:val="20"/>
              </w:rPr>
              <w:t>utilities applied to all health states</w:t>
            </w:r>
          </w:p>
        </w:tc>
        <w:tc>
          <w:tcPr>
            <w:tcW w:w="1275" w:type="dxa"/>
            <w:shd w:val="solid" w:color="000000" w:fill="000000"/>
          </w:tcPr>
          <w:p w14:paraId="238EB39B" w14:textId="548EC672" w:rsidR="008E7E05" w:rsidRPr="004C3CC2" w:rsidRDefault="004C3CC2" w:rsidP="00434092">
            <w:pPr>
              <w:pStyle w:val="Tabletext0"/>
              <w:keepNext/>
              <w:jc w:val="center"/>
              <w:rPr>
                <w:szCs w:val="20"/>
              </w:rPr>
            </w:pPr>
            <w:r w:rsidRPr="004C3CC2">
              <w:rPr>
                <w:color w:val="000000"/>
                <w14:textFill>
                  <w14:solidFill>
                    <w14:srgbClr w14:val="000000">
                      <w14:alpha w14:val="100000"/>
                    </w14:srgbClr>
                  </w14:solidFill>
                </w14:textFill>
              </w:rPr>
              <w:t>|</w:t>
            </w:r>
          </w:p>
        </w:tc>
        <w:tc>
          <w:tcPr>
            <w:tcW w:w="1267" w:type="dxa"/>
          </w:tcPr>
          <w:p w14:paraId="348D0AF7" w14:textId="77777777" w:rsidR="008E7E05" w:rsidRPr="00B663F3" w:rsidRDefault="008E7E05" w:rsidP="00434092">
            <w:pPr>
              <w:pStyle w:val="Tabletext0"/>
              <w:keepNext/>
              <w:jc w:val="center"/>
              <w:rPr>
                <w:szCs w:val="20"/>
              </w:rPr>
            </w:pPr>
            <w:r w:rsidRPr="00B663F3">
              <w:t>0.082</w:t>
            </w:r>
          </w:p>
        </w:tc>
        <w:tc>
          <w:tcPr>
            <w:tcW w:w="1354" w:type="dxa"/>
          </w:tcPr>
          <w:p w14:paraId="21EA6E6A" w14:textId="7E6250C9" w:rsidR="008E7E05" w:rsidRPr="004C3CC2" w:rsidRDefault="004C3CC2" w:rsidP="00434092">
            <w:pPr>
              <w:pStyle w:val="Tabletext0"/>
              <w:keepNext/>
              <w:jc w:val="center"/>
              <w:rPr>
                <w:szCs w:val="20"/>
                <w:highlight w:val="yellow"/>
              </w:rPr>
            </w:pPr>
            <w:r w:rsidRPr="004C3CC2">
              <w:rPr>
                <w:color w:val="000000"/>
                <w:shd w:val="solid" w:color="000000" w:fill="000000"/>
                <w14:textFill>
                  <w14:solidFill>
                    <w14:srgbClr w14:val="000000">
                      <w14:alpha w14:val="100000"/>
                    </w14:srgbClr>
                  </w14:solidFill>
                </w14:textFill>
              </w:rPr>
              <w:t>|</w:t>
            </w:r>
            <w:r w:rsidR="0040358E">
              <w:rPr>
                <w:vertAlign w:val="superscript"/>
              </w:rPr>
              <w:t>6</w:t>
            </w:r>
          </w:p>
        </w:tc>
      </w:tr>
    </w:tbl>
    <w:p w14:paraId="4982738E" w14:textId="77777777" w:rsidR="008E7E05" w:rsidRPr="007B6175" w:rsidRDefault="008E7E05" w:rsidP="008E7E05">
      <w:pPr>
        <w:pStyle w:val="TableFooter"/>
      </w:pPr>
      <w:r w:rsidRPr="007B6175">
        <w:t>Source: Table 3.9.2, p146 of the resubmission; additional analyses conducted using the Section 3 economic model.</w:t>
      </w:r>
    </w:p>
    <w:p w14:paraId="2C97F264" w14:textId="77777777" w:rsidR="008E7E05" w:rsidRPr="007B6175" w:rsidRDefault="008E7E05" w:rsidP="008E7E05">
      <w:pPr>
        <w:pStyle w:val="TableFooter"/>
      </w:pPr>
      <w:r w:rsidRPr="007B6175">
        <w:t>Abbreviations: BSC, best supportive care; CI, confidence limit; ICER, incremental cost effectiveness ratio; MHD, migraine headache days; QALY, quality adjusted life year.</w:t>
      </w:r>
    </w:p>
    <w:p w14:paraId="5C3ABE11" w14:textId="5132D644" w:rsidR="008E7E05" w:rsidRDefault="008E7E05" w:rsidP="004C3CC2">
      <w:pPr>
        <w:pStyle w:val="TableFooter"/>
        <w:spacing w:after="0"/>
      </w:pPr>
      <w:r w:rsidRPr="007B6175">
        <w:rPr>
          <w:vertAlign w:val="superscript"/>
        </w:rPr>
        <w:t>1</w:t>
      </w:r>
      <w:r w:rsidRPr="007B6175">
        <w:t xml:space="preserve"> Based on calculation in parameters worksheet of model spreadsheet, corrected to 95% rather than 90% confidence interval</w:t>
      </w:r>
    </w:p>
    <w:p w14:paraId="27FA1518" w14:textId="509E1923" w:rsidR="0040358E" w:rsidRPr="0040358E" w:rsidRDefault="0040358E" w:rsidP="0040358E">
      <w:pPr>
        <w:jc w:val="left"/>
        <w:rPr>
          <w:rFonts w:ascii="Arial Narrow" w:hAnsi="Arial Narrow"/>
          <w:i/>
          <w:sz w:val="18"/>
          <w:szCs w:val="18"/>
        </w:rPr>
      </w:pPr>
      <w:r w:rsidRPr="0040358E">
        <w:rPr>
          <w:rFonts w:ascii="Arial Narrow" w:hAnsi="Arial Narrow"/>
          <w:i/>
          <w:sz w:val="18"/>
          <w:szCs w:val="18"/>
        </w:rPr>
        <w:t xml:space="preserve">The redacted values correspond to the following ranges: </w:t>
      </w:r>
    </w:p>
    <w:p w14:paraId="4007F7E9" w14:textId="4EDDCF99" w:rsidR="0040358E" w:rsidRPr="0040358E" w:rsidRDefault="0040358E" w:rsidP="0040358E">
      <w:pPr>
        <w:jc w:val="left"/>
        <w:rPr>
          <w:rFonts w:ascii="Arial Narrow" w:hAnsi="Arial Narrow"/>
          <w:i/>
          <w:sz w:val="18"/>
          <w:szCs w:val="18"/>
        </w:rPr>
      </w:pPr>
      <w:r w:rsidRPr="0040358E">
        <w:rPr>
          <w:rFonts w:ascii="Arial Narrow" w:hAnsi="Arial Narrow"/>
          <w:i/>
          <w:sz w:val="18"/>
          <w:szCs w:val="18"/>
          <w:vertAlign w:val="superscript"/>
        </w:rPr>
        <w:t>2</w:t>
      </w:r>
      <w:r w:rsidRPr="0040358E">
        <w:rPr>
          <w:rFonts w:ascii="Arial Narrow" w:hAnsi="Arial Narrow"/>
          <w:i/>
          <w:sz w:val="18"/>
          <w:szCs w:val="18"/>
        </w:rPr>
        <w:t xml:space="preserve"> $25,000 to &lt; $35,000</w:t>
      </w:r>
    </w:p>
    <w:p w14:paraId="0CBE7659" w14:textId="0AEEC373" w:rsidR="0040358E" w:rsidRPr="0040358E" w:rsidRDefault="0040358E" w:rsidP="0040358E">
      <w:pPr>
        <w:jc w:val="left"/>
        <w:rPr>
          <w:rFonts w:ascii="Arial Narrow" w:hAnsi="Arial Narrow"/>
          <w:i/>
          <w:sz w:val="18"/>
          <w:szCs w:val="18"/>
        </w:rPr>
      </w:pPr>
      <w:r w:rsidRPr="0040358E">
        <w:rPr>
          <w:rFonts w:ascii="Arial Narrow" w:hAnsi="Arial Narrow"/>
          <w:i/>
          <w:sz w:val="18"/>
          <w:szCs w:val="18"/>
          <w:vertAlign w:val="superscript"/>
        </w:rPr>
        <w:t>3</w:t>
      </w:r>
      <w:r w:rsidRPr="0040358E">
        <w:rPr>
          <w:rFonts w:ascii="Arial Narrow" w:hAnsi="Arial Narrow"/>
          <w:i/>
          <w:sz w:val="18"/>
          <w:szCs w:val="18"/>
        </w:rPr>
        <w:t xml:space="preserve"> $45,000 to &lt; $55,000</w:t>
      </w:r>
    </w:p>
    <w:p w14:paraId="01CED980" w14:textId="337E2170" w:rsidR="0040358E" w:rsidRPr="0040358E" w:rsidRDefault="0040358E" w:rsidP="0040358E">
      <w:pPr>
        <w:jc w:val="left"/>
        <w:rPr>
          <w:rFonts w:ascii="Arial Narrow" w:hAnsi="Arial Narrow"/>
          <w:i/>
          <w:sz w:val="18"/>
          <w:szCs w:val="18"/>
        </w:rPr>
      </w:pPr>
      <w:r w:rsidRPr="0040358E">
        <w:rPr>
          <w:rFonts w:ascii="Arial Narrow" w:hAnsi="Arial Narrow"/>
          <w:i/>
          <w:sz w:val="18"/>
          <w:szCs w:val="18"/>
          <w:vertAlign w:val="superscript"/>
        </w:rPr>
        <w:t>4</w:t>
      </w:r>
      <w:r w:rsidRPr="0040358E">
        <w:rPr>
          <w:rFonts w:ascii="Arial Narrow" w:hAnsi="Arial Narrow"/>
          <w:i/>
          <w:sz w:val="18"/>
          <w:szCs w:val="18"/>
        </w:rPr>
        <w:t xml:space="preserve"> $35,000 to &lt; $45,000</w:t>
      </w:r>
    </w:p>
    <w:p w14:paraId="777ABA92" w14:textId="1D98A50A" w:rsidR="0040358E" w:rsidRPr="0040358E" w:rsidRDefault="0040358E" w:rsidP="0040358E">
      <w:pPr>
        <w:jc w:val="left"/>
        <w:rPr>
          <w:rFonts w:ascii="Arial Narrow" w:hAnsi="Arial Narrow"/>
          <w:i/>
          <w:sz w:val="18"/>
          <w:szCs w:val="18"/>
        </w:rPr>
      </w:pPr>
      <w:r w:rsidRPr="0040358E">
        <w:rPr>
          <w:rFonts w:ascii="Arial Narrow" w:hAnsi="Arial Narrow"/>
          <w:i/>
          <w:sz w:val="18"/>
          <w:szCs w:val="18"/>
          <w:vertAlign w:val="superscript"/>
        </w:rPr>
        <w:t>5</w:t>
      </w:r>
      <w:r w:rsidRPr="0040358E">
        <w:rPr>
          <w:rFonts w:ascii="Arial Narrow" w:hAnsi="Arial Narrow"/>
          <w:i/>
          <w:sz w:val="18"/>
          <w:szCs w:val="18"/>
        </w:rPr>
        <w:t xml:space="preserve"> $15,000 to &lt; $25,000</w:t>
      </w:r>
    </w:p>
    <w:p w14:paraId="2652BD28" w14:textId="7A2B4547" w:rsidR="0040358E" w:rsidRPr="007B6175" w:rsidRDefault="0040358E" w:rsidP="004C3CC2">
      <w:pPr>
        <w:spacing w:after="240"/>
        <w:jc w:val="left"/>
      </w:pPr>
      <w:r w:rsidRPr="0040358E">
        <w:rPr>
          <w:rFonts w:ascii="Arial Narrow" w:hAnsi="Arial Narrow"/>
          <w:i/>
          <w:sz w:val="18"/>
          <w:szCs w:val="18"/>
          <w:vertAlign w:val="superscript"/>
        </w:rPr>
        <w:t>6</w:t>
      </w:r>
      <w:r w:rsidRPr="0040358E">
        <w:rPr>
          <w:rFonts w:ascii="Arial Narrow" w:hAnsi="Arial Narrow"/>
          <w:i/>
          <w:sz w:val="18"/>
          <w:szCs w:val="18"/>
        </w:rPr>
        <w:t xml:space="preserve"> $55,000 to &lt; $75,000</w:t>
      </w:r>
    </w:p>
    <w:p w14:paraId="2E4E4D95" w14:textId="2693F069" w:rsidR="00592B4E" w:rsidRPr="007F4437" w:rsidRDefault="00434092" w:rsidP="00340E3E">
      <w:pPr>
        <w:pStyle w:val="ExecSumBodyText"/>
        <w:rPr>
          <w:i/>
          <w:color w:val="000000" w:themeColor="text1"/>
        </w:rPr>
      </w:pPr>
      <w:r w:rsidRPr="00B663F3">
        <w:t>The results of sensitivity analyses indicate that the model was most sensitive to changes in the assumed utility values, the mean monthly migraine headache day</w:t>
      </w:r>
      <w:r w:rsidR="004A23B6" w:rsidRPr="00B663F3">
        <w:t xml:space="preserve"> reduction</w:t>
      </w:r>
      <w:r w:rsidRPr="00B663F3">
        <w:t>s achieved by responders, whether the treatment effect was maintained, and</w:t>
      </w:r>
      <w:r w:rsidRPr="002262AD">
        <w:rPr>
          <w:i/>
        </w:rPr>
        <w:t xml:space="preserve"> </w:t>
      </w:r>
      <w:r w:rsidRPr="00B663F3">
        <w:t xml:space="preserve">the model </w:t>
      </w:r>
      <w:r w:rsidR="00693D27" w:rsidRPr="00B663F3">
        <w:t>time horizon</w:t>
      </w:r>
      <w:r w:rsidRPr="00B663F3">
        <w:t>.</w:t>
      </w:r>
      <w:bookmarkStart w:id="44" w:name="_Hlk90302020"/>
      <w:r w:rsidR="00C531BD" w:rsidRPr="00B663F3">
        <w:rPr>
          <w:color w:val="000000" w:themeColor="text1"/>
        </w:rPr>
        <w:t xml:space="preserve"> </w:t>
      </w:r>
      <w:r w:rsidR="003A72EC" w:rsidRPr="00B663F3">
        <w:rPr>
          <w:color w:val="000000" w:themeColor="text1"/>
        </w:rPr>
        <w:t xml:space="preserve">Due to the structure of the economic model, it was </w:t>
      </w:r>
      <w:r w:rsidR="00070FF9" w:rsidRPr="00B663F3">
        <w:rPr>
          <w:color w:val="000000" w:themeColor="text1"/>
        </w:rPr>
        <w:t>difficult to assess different scenarios exploring alternative distributions of patients across monthly migraine headache days, or the impact of patients with &lt;50% response continuing treatment.</w:t>
      </w:r>
    </w:p>
    <w:p w14:paraId="4DC5BFE1" w14:textId="0A259712" w:rsidR="009844AE" w:rsidRPr="007B6175" w:rsidRDefault="009844AE" w:rsidP="009844AE">
      <w:pPr>
        <w:pStyle w:val="3-SubsectionHeading"/>
        <w:rPr>
          <w:bCs/>
        </w:rPr>
      </w:pPr>
      <w:bookmarkStart w:id="45" w:name="_Toc93419745"/>
      <w:bookmarkStart w:id="46" w:name="_Toc93484679"/>
      <w:bookmarkEnd w:id="44"/>
      <w:r w:rsidRPr="007B6175">
        <w:t>Drug cost/patient/year</w:t>
      </w:r>
      <w:bookmarkEnd w:id="45"/>
      <w:bookmarkEnd w:id="46"/>
    </w:p>
    <w:p w14:paraId="51691BD3" w14:textId="59396EAF" w:rsidR="00494207" w:rsidRPr="007B6175" w:rsidRDefault="00814BB3" w:rsidP="00340E3E">
      <w:pPr>
        <w:pStyle w:val="ExecSumBodyText"/>
      </w:pPr>
      <w:r w:rsidRPr="007B6175">
        <w:t xml:space="preserve">The drug cost per patients for </w:t>
      </w:r>
      <w:proofErr w:type="spellStart"/>
      <w:r w:rsidRPr="007B6175">
        <w:t>galcanezumab</w:t>
      </w:r>
      <w:proofErr w:type="spellEnd"/>
      <w:r w:rsidRPr="007B6175">
        <w:t xml:space="preserve"> is presented in the table below.</w:t>
      </w:r>
    </w:p>
    <w:p w14:paraId="5727B0D9" w14:textId="0052913B" w:rsidR="009944B4" w:rsidRPr="007B6175" w:rsidRDefault="009944B4" w:rsidP="00814BB3">
      <w:pPr>
        <w:pStyle w:val="TableHeading"/>
      </w:pPr>
      <w:r w:rsidRPr="007B6175">
        <w:t xml:space="preserve">Table </w:t>
      </w:r>
      <w:r>
        <w:fldChar w:fldCharType="begin"/>
      </w:r>
      <w:r>
        <w:instrText>SEQ Table \* ARABIC</w:instrText>
      </w:r>
      <w:r>
        <w:fldChar w:fldCharType="separate"/>
      </w:r>
      <w:r w:rsidR="00046698">
        <w:rPr>
          <w:noProof/>
        </w:rPr>
        <w:t>15</w:t>
      </w:r>
      <w:r>
        <w:fldChar w:fldCharType="end"/>
      </w:r>
      <w:r w:rsidR="00814BB3" w:rsidRPr="007B6175">
        <w:t xml:space="preserve">: Drug cost per patient for </w:t>
      </w:r>
      <w:proofErr w:type="spellStart"/>
      <w:r w:rsidR="00814BB3" w:rsidRPr="007B6175">
        <w:t>galcanezumab</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23"/>
        <w:gridCol w:w="2597"/>
        <w:gridCol w:w="2597"/>
      </w:tblGrid>
      <w:tr w:rsidR="00D74A88" w:rsidRPr="007B6175" w14:paraId="21AC90BD" w14:textId="77777777" w:rsidTr="00D74A88">
        <w:trPr>
          <w:cantSplit/>
          <w:tblHeader/>
          <w:jc w:val="center"/>
        </w:trPr>
        <w:tc>
          <w:tcPr>
            <w:tcW w:w="2120" w:type="pct"/>
            <w:shd w:val="clear" w:color="auto" w:fill="auto"/>
            <w:vAlign w:val="center"/>
          </w:tcPr>
          <w:p w14:paraId="3642530E" w14:textId="17ACE45E" w:rsidR="00D74A88" w:rsidRPr="007B6175" w:rsidRDefault="00D74A88" w:rsidP="00BB732D">
            <w:pPr>
              <w:pStyle w:val="Tableheadingrow"/>
              <w:jc w:val="center"/>
              <w:rPr>
                <w:lang w:val="en-AU"/>
              </w:rPr>
            </w:pPr>
          </w:p>
        </w:tc>
        <w:tc>
          <w:tcPr>
            <w:tcW w:w="1440" w:type="pct"/>
            <w:shd w:val="clear" w:color="auto" w:fill="auto"/>
            <w:vAlign w:val="center"/>
          </w:tcPr>
          <w:p w14:paraId="250CD479" w14:textId="0F5ADD8C" w:rsidR="00D74A88" w:rsidRPr="007B6175" w:rsidRDefault="00D74A88" w:rsidP="00E92887">
            <w:pPr>
              <w:pStyle w:val="Tableheadingrow"/>
              <w:jc w:val="center"/>
              <w:rPr>
                <w:lang w:val="en-AU"/>
              </w:rPr>
            </w:pPr>
            <w:r w:rsidRPr="007B6175">
              <w:rPr>
                <w:lang w:val="en-AU"/>
              </w:rPr>
              <w:t>Economic model</w:t>
            </w:r>
          </w:p>
        </w:tc>
        <w:tc>
          <w:tcPr>
            <w:tcW w:w="1440" w:type="pct"/>
            <w:shd w:val="clear" w:color="auto" w:fill="auto"/>
            <w:vAlign w:val="center"/>
          </w:tcPr>
          <w:p w14:paraId="44C76606" w14:textId="77777777" w:rsidR="00D74A88" w:rsidRPr="007B6175" w:rsidRDefault="00D74A88" w:rsidP="00BB732D">
            <w:pPr>
              <w:pStyle w:val="Tableheadingrow"/>
              <w:jc w:val="center"/>
              <w:rPr>
                <w:lang w:val="en-AU"/>
              </w:rPr>
            </w:pPr>
            <w:r w:rsidRPr="007B6175">
              <w:rPr>
                <w:lang w:val="en-AU"/>
              </w:rPr>
              <w:t>Financial estimates</w:t>
            </w:r>
          </w:p>
        </w:tc>
      </w:tr>
      <w:tr w:rsidR="00D74A88" w:rsidRPr="007B6175" w14:paraId="745DAF0B" w14:textId="77777777" w:rsidTr="00D74A88">
        <w:trPr>
          <w:cantSplit/>
          <w:jc w:val="center"/>
        </w:trPr>
        <w:tc>
          <w:tcPr>
            <w:tcW w:w="2120" w:type="pct"/>
            <w:shd w:val="clear" w:color="auto" w:fill="auto"/>
            <w:vAlign w:val="center"/>
          </w:tcPr>
          <w:p w14:paraId="5B1C9B2C" w14:textId="6C0CA9E2" w:rsidR="00D74A88" w:rsidRPr="007B6175" w:rsidRDefault="00D74A88" w:rsidP="00BB732D">
            <w:pPr>
              <w:pStyle w:val="TableText"/>
              <w:jc w:val="center"/>
              <w:rPr>
                <w:bCs w:val="0"/>
              </w:rPr>
            </w:pPr>
            <w:r w:rsidRPr="007B6175">
              <w:t>Dose</w:t>
            </w:r>
          </w:p>
        </w:tc>
        <w:tc>
          <w:tcPr>
            <w:tcW w:w="1440" w:type="pct"/>
            <w:shd w:val="clear" w:color="auto" w:fill="auto"/>
            <w:vAlign w:val="center"/>
          </w:tcPr>
          <w:p w14:paraId="7379D234" w14:textId="2726B1E7" w:rsidR="00D74A88" w:rsidRPr="007B6175" w:rsidRDefault="00D74A88" w:rsidP="00BB732D">
            <w:pPr>
              <w:pStyle w:val="TableText"/>
              <w:jc w:val="center"/>
              <w:rPr>
                <w:bCs w:val="0"/>
              </w:rPr>
            </w:pPr>
            <w:r w:rsidRPr="007B6175">
              <w:rPr>
                <w:bCs w:val="0"/>
              </w:rPr>
              <w:t>240 mg loading dose followed by 120 mg monthly</w:t>
            </w:r>
          </w:p>
        </w:tc>
        <w:tc>
          <w:tcPr>
            <w:tcW w:w="1440" w:type="pct"/>
            <w:shd w:val="clear" w:color="auto" w:fill="auto"/>
            <w:vAlign w:val="center"/>
          </w:tcPr>
          <w:p w14:paraId="23821253" w14:textId="68E04166" w:rsidR="00D74A88" w:rsidRPr="007B6175" w:rsidRDefault="00D74A88" w:rsidP="00BB732D">
            <w:pPr>
              <w:pStyle w:val="TableText"/>
              <w:jc w:val="center"/>
              <w:rPr>
                <w:bCs w:val="0"/>
              </w:rPr>
            </w:pPr>
            <w:r w:rsidRPr="007B6175">
              <w:rPr>
                <w:bCs w:val="0"/>
              </w:rPr>
              <w:t>240 mg loading dose followed by 120 mg monthly</w:t>
            </w:r>
          </w:p>
        </w:tc>
      </w:tr>
      <w:tr w:rsidR="00D74A88" w:rsidRPr="007B6175" w14:paraId="0B84FE33" w14:textId="77777777" w:rsidTr="00D74A88">
        <w:trPr>
          <w:cantSplit/>
          <w:jc w:val="center"/>
        </w:trPr>
        <w:tc>
          <w:tcPr>
            <w:tcW w:w="2120" w:type="pct"/>
            <w:shd w:val="clear" w:color="auto" w:fill="auto"/>
            <w:vAlign w:val="center"/>
          </w:tcPr>
          <w:p w14:paraId="30EF57C3" w14:textId="710481B3" w:rsidR="00D74A88" w:rsidRPr="007B6175" w:rsidRDefault="00D74A88" w:rsidP="00D74A88">
            <w:pPr>
              <w:pStyle w:val="TableText"/>
              <w:rPr>
                <w:b/>
              </w:rPr>
            </w:pPr>
            <w:r w:rsidRPr="007B6175">
              <w:t>Drug cost per dose (effective DPMQ)</w:t>
            </w:r>
          </w:p>
        </w:tc>
        <w:tc>
          <w:tcPr>
            <w:tcW w:w="1440" w:type="pct"/>
            <w:shd w:val="clear" w:color="auto" w:fill="auto"/>
            <w:vAlign w:val="center"/>
          </w:tcPr>
          <w:p w14:paraId="6906B266" w14:textId="7328FFFF" w:rsidR="00D74A88" w:rsidRPr="007B6175" w:rsidRDefault="00D74A88" w:rsidP="00BB732D">
            <w:pPr>
              <w:pStyle w:val="TableText"/>
              <w:jc w:val="center"/>
              <w:rPr>
                <w:bCs w:val="0"/>
              </w:rPr>
            </w:pPr>
            <w:r w:rsidRPr="007B6175">
              <w:rPr>
                <w:bCs w:val="0"/>
              </w:rPr>
              <w:t>$</w:t>
            </w:r>
            <w:r w:rsidR="004C3CC2" w:rsidRPr="004C3CC2">
              <w:rPr>
                <w:bCs w:val="0"/>
                <w:color w:val="000000"/>
                <w:shd w:val="solid" w:color="000000" w:fill="000000"/>
                <w14:textFill>
                  <w14:solidFill>
                    <w14:srgbClr w14:val="000000">
                      <w14:alpha w14:val="100000"/>
                    </w14:srgbClr>
                  </w14:solidFill>
                </w14:textFill>
              </w:rPr>
              <w:t>|</w:t>
            </w:r>
          </w:p>
        </w:tc>
        <w:tc>
          <w:tcPr>
            <w:tcW w:w="1440" w:type="pct"/>
            <w:shd w:val="clear" w:color="auto" w:fill="auto"/>
            <w:vAlign w:val="center"/>
          </w:tcPr>
          <w:p w14:paraId="40F6D5BC" w14:textId="19EBC5C0" w:rsidR="00D74A88" w:rsidRPr="007B6175" w:rsidRDefault="00D74A88" w:rsidP="00BB732D">
            <w:pPr>
              <w:pStyle w:val="TableText"/>
              <w:jc w:val="center"/>
              <w:rPr>
                <w:bCs w:val="0"/>
              </w:rPr>
            </w:pPr>
            <w:r w:rsidRPr="007B6175">
              <w:rPr>
                <w:bCs w:val="0"/>
              </w:rPr>
              <w:t>$</w:t>
            </w:r>
            <w:r w:rsidR="004C3CC2" w:rsidRPr="004C3CC2">
              <w:rPr>
                <w:bCs w:val="0"/>
                <w:color w:val="000000"/>
                <w:shd w:val="solid" w:color="000000" w:fill="000000"/>
                <w14:textFill>
                  <w14:solidFill>
                    <w14:srgbClr w14:val="000000">
                      <w14:alpha w14:val="100000"/>
                    </w14:srgbClr>
                  </w14:solidFill>
                </w14:textFill>
              </w:rPr>
              <w:t>|</w:t>
            </w:r>
          </w:p>
        </w:tc>
      </w:tr>
      <w:tr w:rsidR="00AD6523" w:rsidRPr="007B6175" w14:paraId="4A57D9D4" w14:textId="77777777" w:rsidTr="00AD6523">
        <w:trPr>
          <w:cantSplit/>
          <w:jc w:val="center"/>
        </w:trPr>
        <w:tc>
          <w:tcPr>
            <w:tcW w:w="5000" w:type="pct"/>
            <w:gridSpan w:val="3"/>
            <w:shd w:val="clear" w:color="auto" w:fill="auto"/>
            <w:vAlign w:val="center"/>
          </w:tcPr>
          <w:p w14:paraId="62E01A25" w14:textId="0A2BED5E" w:rsidR="00AD6523" w:rsidRPr="007B6175" w:rsidRDefault="00AD6523" w:rsidP="00AD6523">
            <w:pPr>
              <w:pStyle w:val="TableText"/>
              <w:rPr>
                <w:b/>
              </w:rPr>
            </w:pPr>
            <w:r w:rsidRPr="007B6175">
              <w:rPr>
                <w:b/>
              </w:rPr>
              <w:t>Initial year</w:t>
            </w:r>
          </w:p>
        </w:tc>
      </w:tr>
      <w:tr w:rsidR="00D74A88" w:rsidRPr="007B6175" w14:paraId="455F2922" w14:textId="77777777" w:rsidTr="00D74A88">
        <w:trPr>
          <w:cantSplit/>
          <w:jc w:val="center"/>
        </w:trPr>
        <w:tc>
          <w:tcPr>
            <w:tcW w:w="2120" w:type="pct"/>
            <w:shd w:val="clear" w:color="auto" w:fill="auto"/>
            <w:vAlign w:val="center"/>
          </w:tcPr>
          <w:p w14:paraId="34F0ACD6" w14:textId="5764FE36" w:rsidR="00D74A88" w:rsidRPr="007B6175" w:rsidRDefault="00D74A88" w:rsidP="00D74A88">
            <w:pPr>
              <w:pStyle w:val="TableText"/>
            </w:pPr>
            <w:r w:rsidRPr="007B6175">
              <w:t>Adherence</w:t>
            </w:r>
          </w:p>
        </w:tc>
        <w:tc>
          <w:tcPr>
            <w:tcW w:w="1440" w:type="pct"/>
            <w:shd w:val="clear" w:color="auto" w:fill="auto"/>
            <w:vAlign w:val="center"/>
          </w:tcPr>
          <w:p w14:paraId="10235C1F" w14:textId="5F817E3E" w:rsidR="00D74A88" w:rsidRPr="007B6175" w:rsidRDefault="00D74A88" w:rsidP="000661EB">
            <w:pPr>
              <w:pStyle w:val="TableText"/>
              <w:jc w:val="center"/>
              <w:rPr>
                <w:vertAlign w:val="superscript"/>
              </w:rPr>
            </w:pPr>
            <w:r w:rsidRPr="007B6175">
              <w:t>100%</w:t>
            </w:r>
          </w:p>
        </w:tc>
        <w:tc>
          <w:tcPr>
            <w:tcW w:w="1440" w:type="pct"/>
            <w:shd w:val="clear" w:color="auto" w:fill="auto"/>
            <w:vAlign w:val="center"/>
          </w:tcPr>
          <w:p w14:paraId="3791C497" w14:textId="05D4FFF2" w:rsidR="00D74A88" w:rsidRPr="007B6175" w:rsidRDefault="00D74A88" w:rsidP="000661EB">
            <w:pPr>
              <w:pStyle w:val="TableText"/>
              <w:jc w:val="center"/>
              <w:rPr>
                <w:vertAlign w:val="superscript"/>
              </w:rPr>
            </w:pPr>
            <w:r w:rsidRPr="007B6175">
              <w:t>100%</w:t>
            </w:r>
          </w:p>
        </w:tc>
      </w:tr>
      <w:tr w:rsidR="00D74A88" w:rsidRPr="007B6175" w14:paraId="49821CCC" w14:textId="77777777" w:rsidTr="00D74A88">
        <w:trPr>
          <w:cantSplit/>
          <w:jc w:val="center"/>
        </w:trPr>
        <w:tc>
          <w:tcPr>
            <w:tcW w:w="2120" w:type="pct"/>
            <w:shd w:val="clear" w:color="auto" w:fill="auto"/>
            <w:vAlign w:val="center"/>
          </w:tcPr>
          <w:p w14:paraId="7170FCD1" w14:textId="251B1196" w:rsidR="00D74A88" w:rsidRPr="007B6175" w:rsidRDefault="00D74A88" w:rsidP="00D74A88">
            <w:pPr>
              <w:pStyle w:val="TableText"/>
            </w:pPr>
            <w:r w:rsidRPr="007B6175">
              <w:t>Cost/patient/year (excluding response assessment)</w:t>
            </w:r>
          </w:p>
        </w:tc>
        <w:tc>
          <w:tcPr>
            <w:tcW w:w="1440" w:type="pct"/>
            <w:shd w:val="clear" w:color="auto" w:fill="auto"/>
            <w:vAlign w:val="center"/>
          </w:tcPr>
          <w:p w14:paraId="169FC34E" w14:textId="6958C13E" w:rsidR="00D74A88" w:rsidRPr="007B6175" w:rsidRDefault="00D74A88" w:rsidP="000661EB">
            <w:pPr>
              <w:pStyle w:val="TableText"/>
              <w:jc w:val="center"/>
            </w:pPr>
            <w:r w:rsidRPr="007B6175">
              <w:t>$</w:t>
            </w:r>
            <w:r w:rsidR="004C3CC2" w:rsidRPr="004C3CC2">
              <w:rPr>
                <w:color w:val="000000"/>
                <w:shd w:val="solid" w:color="000000" w:fill="000000"/>
                <w14:textFill>
                  <w14:solidFill>
                    <w14:srgbClr w14:val="000000">
                      <w14:alpha w14:val="100000"/>
                    </w14:srgbClr>
                  </w14:solidFill>
                </w14:textFill>
              </w:rPr>
              <w:t>|</w:t>
            </w:r>
            <w:r w:rsidRPr="00DE3985">
              <w:rPr>
                <w:vertAlign w:val="superscript"/>
              </w:rPr>
              <w:t>a</w:t>
            </w:r>
          </w:p>
        </w:tc>
        <w:tc>
          <w:tcPr>
            <w:tcW w:w="1440" w:type="pct"/>
            <w:shd w:val="clear" w:color="auto" w:fill="auto"/>
            <w:vAlign w:val="center"/>
          </w:tcPr>
          <w:p w14:paraId="0A14580A" w14:textId="7ABEC67B" w:rsidR="00D74A88" w:rsidRPr="007B6175" w:rsidRDefault="00D74A88" w:rsidP="000661EB">
            <w:pPr>
              <w:pStyle w:val="TableText"/>
              <w:jc w:val="center"/>
            </w:pPr>
            <w:r w:rsidRPr="007B6175">
              <w:t>$</w:t>
            </w:r>
            <w:r w:rsidR="004C3CC2" w:rsidRPr="004C3CC2">
              <w:rPr>
                <w:color w:val="000000"/>
                <w:shd w:val="solid" w:color="000000" w:fill="000000"/>
                <w14:textFill>
                  <w14:solidFill>
                    <w14:srgbClr w14:val="000000">
                      <w14:alpha w14:val="100000"/>
                    </w14:srgbClr>
                  </w14:solidFill>
                </w14:textFill>
              </w:rPr>
              <w:t>|</w:t>
            </w:r>
            <w:r w:rsidRPr="00DE3985">
              <w:rPr>
                <w:vertAlign w:val="superscript"/>
              </w:rPr>
              <w:t>b</w:t>
            </w:r>
          </w:p>
        </w:tc>
      </w:tr>
      <w:tr w:rsidR="00D74A88" w:rsidRPr="007B6175" w14:paraId="37C028EB" w14:textId="77777777" w:rsidTr="00D74A88">
        <w:trPr>
          <w:cantSplit/>
          <w:trHeight w:val="64"/>
          <w:jc w:val="center"/>
        </w:trPr>
        <w:tc>
          <w:tcPr>
            <w:tcW w:w="2120" w:type="pct"/>
            <w:shd w:val="clear" w:color="auto" w:fill="auto"/>
            <w:vAlign w:val="center"/>
          </w:tcPr>
          <w:p w14:paraId="135F7F76" w14:textId="22FA97DE" w:rsidR="00D74A88" w:rsidRPr="007B6175" w:rsidRDefault="00D74A88" w:rsidP="00D74A88">
            <w:pPr>
              <w:pStyle w:val="TableText"/>
            </w:pPr>
            <w:r w:rsidRPr="007B6175">
              <w:t>Response rate</w:t>
            </w:r>
          </w:p>
        </w:tc>
        <w:tc>
          <w:tcPr>
            <w:tcW w:w="1440" w:type="pct"/>
            <w:shd w:val="clear" w:color="auto" w:fill="auto"/>
          </w:tcPr>
          <w:p w14:paraId="51A99F6B" w14:textId="2E248973" w:rsidR="00D74A88" w:rsidRPr="007B6175" w:rsidRDefault="00D74A88" w:rsidP="000661EB">
            <w:pPr>
              <w:pStyle w:val="TableText"/>
              <w:jc w:val="center"/>
            </w:pPr>
            <w:r w:rsidRPr="007B6175">
              <w:t>37.7%</w:t>
            </w:r>
          </w:p>
        </w:tc>
        <w:tc>
          <w:tcPr>
            <w:tcW w:w="1440" w:type="pct"/>
            <w:shd w:val="clear" w:color="auto" w:fill="auto"/>
          </w:tcPr>
          <w:p w14:paraId="7355A5A2" w14:textId="4AB9C6C3" w:rsidR="00D74A88" w:rsidRPr="007B6175" w:rsidRDefault="00D74A88" w:rsidP="000661EB">
            <w:pPr>
              <w:pStyle w:val="TableText"/>
              <w:jc w:val="center"/>
            </w:pPr>
            <w:r w:rsidRPr="007B6175">
              <w:t>40%</w:t>
            </w:r>
          </w:p>
        </w:tc>
      </w:tr>
      <w:tr w:rsidR="00D74A88" w:rsidRPr="007B6175" w14:paraId="25C21857" w14:textId="77777777" w:rsidTr="00D74A88">
        <w:trPr>
          <w:cantSplit/>
          <w:jc w:val="center"/>
        </w:trPr>
        <w:tc>
          <w:tcPr>
            <w:tcW w:w="2120" w:type="pct"/>
            <w:shd w:val="clear" w:color="auto" w:fill="auto"/>
            <w:vAlign w:val="center"/>
          </w:tcPr>
          <w:p w14:paraId="20D91BC5" w14:textId="3799576B" w:rsidR="00D74A88" w:rsidRPr="007B6175" w:rsidRDefault="00D74A88" w:rsidP="00D74A88">
            <w:pPr>
              <w:pStyle w:val="TableText"/>
            </w:pPr>
            <w:r w:rsidRPr="007B6175">
              <w:t>Cost including response assessment</w:t>
            </w:r>
          </w:p>
        </w:tc>
        <w:tc>
          <w:tcPr>
            <w:tcW w:w="1440" w:type="pct"/>
            <w:shd w:val="clear" w:color="auto" w:fill="auto"/>
            <w:vAlign w:val="center"/>
          </w:tcPr>
          <w:p w14:paraId="440B2650" w14:textId="7F5052ED" w:rsidR="00D74A88" w:rsidRPr="007B6175" w:rsidRDefault="00D74A88" w:rsidP="000661EB">
            <w:pPr>
              <w:pStyle w:val="TableText"/>
              <w:jc w:val="center"/>
              <w:rPr>
                <w:highlight w:val="yellow"/>
                <w:vertAlign w:val="superscript"/>
              </w:rPr>
            </w:pPr>
            <w:r w:rsidRPr="007B6175">
              <w:t>$</w:t>
            </w:r>
            <w:r w:rsidR="004C3CC2" w:rsidRPr="004C3CC2">
              <w:rPr>
                <w:color w:val="000000"/>
                <w:shd w:val="solid" w:color="000000" w:fill="000000"/>
                <w14:textFill>
                  <w14:solidFill>
                    <w14:srgbClr w14:val="000000">
                      <w14:alpha w14:val="100000"/>
                    </w14:srgbClr>
                  </w14:solidFill>
                </w14:textFill>
              </w:rPr>
              <w:t>|</w:t>
            </w:r>
            <w:r w:rsidRPr="00DE3985">
              <w:rPr>
                <w:vertAlign w:val="superscript"/>
              </w:rPr>
              <w:t>c</w:t>
            </w:r>
          </w:p>
        </w:tc>
        <w:tc>
          <w:tcPr>
            <w:tcW w:w="1440" w:type="pct"/>
            <w:shd w:val="clear" w:color="auto" w:fill="auto"/>
            <w:vAlign w:val="center"/>
          </w:tcPr>
          <w:p w14:paraId="7AC9AB6B" w14:textId="578D1041" w:rsidR="00D74A88" w:rsidRPr="007B6175" w:rsidRDefault="00D74A88" w:rsidP="000661EB">
            <w:pPr>
              <w:pStyle w:val="TableText"/>
              <w:jc w:val="center"/>
              <w:rPr>
                <w:highlight w:val="yellow"/>
              </w:rPr>
            </w:pPr>
            <w:r w:rsidRPr="007B6175">
              <w:t>$</w:t>
            </w:r>
            <w:r w:rsidR="004C3CC2" w:rsidRPr="004C3CC2">
              <w:rPr>
                <w:color w:val="000000"/>
                <w:shd w:val="solid" w:color="000000" w:fill="000000"/>
                <w14:textFill>
                  <w14:solidFill>
                    <w14:srgbClr w14:val="000000">
                      <w14:alpha w14:val="100000"/>
                    </w14:srgbClr>
                  </w14:solidFill>
                </w14:textFill>
              </w:rPr>
              <w:t>|</w:t>
            </w:r>
            <w:r w:rsidRPr="00DE3985">
              <w:rPr>
                <w:vertAlign w:val="superscript"/>
              </w:rPr>
              <w:t>d</w:t>
            </w:r>
          </w:p>
        </w:tc>
      </w:tr>
      <w:tr w:rsidR="000661EB" w:rsidRPr="007B6175" w14:paraId="47521872" w14:textId="77777777" w:rsidTr="00AD6523">
        <w:trPr>
          <w:cantSplit/>
          <w:jc w:val="center"/>
        </w:trPr>
        <w:tc>
          <w:tcPr>
            <w:tcW w:w="5000" w:type="pct"/>
            <w:gridSpan w:val="3"/>
            <w:shd w:val="clear" w:color="auto" w:fill="auto"/>
            <w:vAlign w:val="center"/>
          </w:tcPr>
          <w:p w14:paraId="61279A2A" w14:textId="5CE5D834" w:rsidR="000661EB" w:rsidRPr="007B6175" w:rsidRDefault="000661EB" w:rsidP="000661EB">
            <w:pPr>
              <w:pStyle w:val="TableText"/>
              <w:rPr>
                <w:b/>
                <w:bCs w:val="0"/>
              </w:rPr>
            </w:pPr>
            <w:r w:rsidRPr="007B6175">
              <w:rPr>
                <w:b/>
                <w:bCs w:val="0"/>
              </w:rPr>
              <w:t>Subsequent years</w:t>
            </w:r>
          </w:p>
        </w:tc>
      </w:tr>
      <w:tr w:rsidR="00D74A88" w:rsidRPr="007B6175" w14:paraId="2631D471" w14:textId="77777777" w:rsidTr="00D74A88">
        <w:trPr>
          <w:cantSplit/>
          <w:jc w:val="center"/>
        </w:trPr>
        <w:tc>
          <w:tcPr>
            <w:tcW w:w="2120" w:type="pct"/>
            <w:shd w:val="clear" w:color="auto" w:fill="auto"/>
            <w:vAlign w:val="center"/>
          </w:tcPr>
          <w:p w14:paraId="690E1C77" w14:textId="1972776A" w:rsidR="00D74A88" w:rsidRPr="007B6175" w:rsidRDefault="00D74A88" w:rsidP="00D74A88">
            <w:pPr>
              <w:pStyle w:val="TableText"/>
            </w:pPr>
            <w:r w:rsidRPr="007B6175">
              <w:t>Adherence</w:t>
            </w:r>
          </w:p>
        </w:tc>
        <w:tc>
          <w:tcPr>
            <w:tcW w:w="1440" w:type="pct"/>
            <w:shd w:val="clear" w:color="auto" w:fill="auto"/>
            <w:vAlign w:val="center"/>
          </w:tcPr>
          <w:p w14:paraId="5D66F212" w14:textId="3FC258AA" w:rsidR="00D74A88" w:rsidRPr="007B6175" w:rsidRDefault="00D74A88" w:rsidP="000661EB">
            <w:pPr>
              <w:pStyle w:val="TableText"/>
              <w:jc w:val="center"/>
            </w:pPr>
            <w:r w:rsidRPr="007B6175">
              <w:t>100%</w:t>
            </w:r>
          </w:p>
        </w:tc>
        <w:tc>
          <w:tcPr>
            <w:tcW w:w="1440" w:type="pct"/>
            <w:shd w:val="clear" w:color="auto" w:fill="auto"/>
            <w:vAlign w:val="center"/>
          </w:tcPr>
          <w:p w14:paraId="51618B82" w14:textId="1DD04D9F" w:rsidR="00D74A88" w:rsidRPr="007B6175" w:rsidRDefault="00D74A88" w:rsidP="000661EB">
            <w:pPr>
              <w:pStyle w:val="TableText"/>
              <w:jc w:val="center"/>
            </w:pPr>
            <w:r w:rsidRPr="007B6175">
              <w:t>100%</w:t>
            </w:r>
          </w:p>
        </w:tc>
      </w:tr>
      <w:tr w:rsidR="00D74A88" w:rsidRPr="007B6175" w14:paraId="125189E3" w14:textId="77777777" w:rsidTr="00D74A88">
        <w:trPr>
          <w:cantSplit/>
          <w:jc w:val="center"/>
        </w:trPr>
        <w:tc>
          <w:tcPr>
            <w:tcW w:w="2120" w:type="pct"/>
            <w:shd w:val="clear" w:color="auto" w:fill="auto"/>
            <w:vAlign w:val="center"/>
          </w:tcPr>
          <w:p w14:paraId="04D18740" w14:textId="134239B3" w:rsidR="00D74A88" w:rsidRPr="007B6175" w:rsidRDefault="00D74A88" w:rsidP="00D74A88">
            <w:pPr>
              <w:pStyle w:val="TableText"/>
            </w:pPr>
            <w:r w:rsidRPr="007B6175">
              <w:t>Scripts per year</w:t>
            </w:r>
          </w:p>
        </w:tc>
        <w:tc>
          <w:tcPr>
            <w:tcW w:w="1440" w:type="pct"/>
            <w:shd w:val="clear" w:color="auto" w:fill="auto"/>
            <w:vAlign w:val="center"/>
          </w:tcPr>
          <w:p w14:paraId="753E5F63" w14:textId="647CE513" w:rsidR="00D74A88" w:rsidRPr="007B6175" w:rsidRDefault="00D74A88" w:rsidP="000661EB">
            <w:pPr>
              <w:pStyle w:val="TableText"/>
              <w:jc w:val="center"/>
            </w:pPr>
            <w:r w:rsidRPr="007B6175">
              <w:t>12.175</w:t>
            </w:r>
          </w:p>
        </w:tc>
        <w:tc>
          <w:tcPr>
            <w:tcW w:w="1440" w:type="pct"/>
            <w:shd w:val="clear" w:color="auto" w:fill="auto"/>
            <w:vAlign w:val="center"/>
          </w:tcPr>
          <w:p w14:paraId="74DE618E" w14:textId="51F264CB" w:rsidR="00D74A88" w:rsidRPr="007B6175" w:rsidRDefault="00D74A88" w:rsidP="000661EB">
            <w:pPr>
              <w:pStyle w:val="TableText"/>
              <w:jc w:val="center"/>
            </w:pPr>
            <w:r w:rsidRPr="007B6175">
              <w:t>12</w:t>
            </w:r>
          </w:p>
        </w:tc>
      </w:tr>
      <w:tr w:rsidR="00D74A88" w:rsidRPr="007B6175" w14:paraId="641A167A" w14:textId="77777777" w:rsidTr="00D74A88">
        <w:trPr>
          <w:cantSplit/>
          <w:jc w:val="center"/>
        </w:trPr>
        <w:tc>
          <w:tcPr>
            <w:tcW w:w="2120" w:type="pct"/>
            <w:shd w:val="clear" w:color="auto" w:fill="auto"/>
            <w:vAlign w:val="center"/>
          </w:tcPr>
          <w:p w14:paraId="0BC48A93" w14:textId="3DCE5A1D" w:rsidR="00D74A88" w:rsidRPr="007B6175" w:rsidRDefault="00D74A88" w:rsidP="00D74A88">
            <w:pPr>
              <w:pStyle w:val="TableText"/>
            </w:pPr>
            <w:r w:rsidRPr="007B6175">
              <w:t>Cost/patient/</w:t>
            </w:r>
            <w:proofErr w:type="spellStart"/>
            <w:r w:rsidRPr="007B6175">
              <w:t>year</w:t>
            </w:r>
            <w:r>
              <w:rPr>
                <w:vertAlign w:val="superscript"/>
              </w:rPr>
              <w:t>e</w:t>
            </w:r>
            <w:proofErr w:type="spellEnd"/>
          </w:p>
        </w:tc>
        <w:tc>
          <w:tcPr>
            <w:tcW w:w="1440" w:type="pct"/>
            <w:shd w:val="clear" w:color="auto" w:fill="auto"/>
            <w:vAlign w:val="center"/>
          </w:tcPr>
          <w:p w14:paraId="0E04ED5E" w14:textId="251BD6FE" w:rsidR="00D74A88" w:rsidRPr="007B6175" w:rsidRDefault="00D74A88" w:rsidP="000661EB">
            <w:pPr>
              <w:pStyle w:val="TableText"/>
              <w:jc w:val="center"/>
            </w:pPr>
            <w:r w:rsidRPr="007B6175">
              <w:t>$</w:t>
            </w:r>
            <w:r w:rsidR="004C3CC2" w:rsidRPr="004C3CC2">
              <w:rPr>
                <w:color w:val="000000"/>
                <w:shd w:val="solid" w:color="000000" w:fill="000000"/>
                <w14:textFill>
                  <w14:solidFill>
                    <w14:srgbClr w14:val="000000">
                      <w14:alpha w14:val="100000"/>
                    </w14:srgbClr>
                  </w14:solidFill>
                </w14:textFill>
              </w:rPr>
              <w:t>|</w:t>
            </w:r>
          </w:p>
        </w:tc>
        <w:tc>
          <w:tcPr>
            <w:tcW w:w="1440" w:type="pct"/>
            <w:shd w:val="clear" w:color="auto" w:fill="auto"/>
            <w:vAlign w:val="center"/>
          </w:tcPr>
          <w:p w14:paraId="6E12D8F5" w14:textId="2E8CA6E0" w:rsidR="00D74A88" w:rsidRPr="007B6175" w:rsidRDefault="00D74A88" w:rsidP="000661EB">
            <w:pPr>
              <w:pStyle w:val="TableText"/>
              <w:jc w:val="center"/>
            </w:pPr>
            <w:r w:rsidRPr="007B6175">
              <w:t>$</w:t>
            </w:r>
            <w:r w:rsidR="004C3CC2" w:rsidRPr="004C3CC2">
              <w:rPr>
                <w:color w:val="000000"/>
                <w:shd w:val="solid" w:color="000000" w:fill="000000"/>
                <w14:textFill>
                  <w14:solidFill>
                    <w14:srgbClr w14:val="000000">
                      <w14:alpha w14:val="100000"/>
                    </w14:srgbClr>
                  </w14:solidFill>
                </w14:textFill>
              </w:rPr>
              <w:t>|</w:t>
            </w:r>
          </w:p>
        </w:tc>
      </w:tr>
    </w:tbl>
    <w:p w14:paraId="717CADAF" w14:textId="5A066EB9" w:rsidR="00494207" w:rsidRPr="007B6175" w:rsidRDefault="00494207" w:rsidP="00C94053">
      <w:pPr>
        <w:pStyle w:val="TableFigureFooter"/>
      </w:pPr>
      <w:r w:rsidRPr="007B6175">
        <w:t xml:space="preserve">Source: </w:t>
      </w:r>
      <w:r w:rsidR="009944B4" w:rsidRPr="007B6175">
        <w:t>Complied using the Section 3 economic model and Section 4 financial impacts workbook.</w:t>
      </w:r>
    </w:p>
    <w:p w14:paraId="43515C58" w14:textId="76A350E1" w:rsidR="00343F6E" w:rsidRPr="007B6175" w:rsidRDefault="00BF69EE" w:rsidP="00C94053">
      <w:pPr>
        <w:pStyle w:val="TableFigureFooter"/>
      </w:pPr>
      <w:r w:rsidRPr="007B6175">
        <w:rPr>
          <w:vertAlign w:val="superscript"/>
        </w:rPr>
        <w:t>a</w:t>
      </w:r>
      <w:r w:rsidRPr="007B6175">
        <w:t xml:space="preserve"> </w:t>
      </w:r>
      <w:r w:rsidR="00F414A3" w:rsidRPr="007B6175">
        <w:t>Calculated based on 13.175 doses per year (inclusive of initial loading dose) x DPMQ of $</w:t>
      </w:r>
      <w:proofErr w:type="gramStart"/>
      <w:r w:rsidR="004C3CC2" w:rsidRPr="004C3CC2">
        <w:rPr>
          <w:color w:val="000000"/>
          <w:spacing w:val="40"/>
          <w:shd w:val="solid" w:color="000000" w:fill="000000"/>
          <w:fitText w:val="280" w:id="-1504954362"/>
          <w14:textFill>
            <w14:solidFill>
              <w14:srgbClr w14:val="000000">
                <w14:alpha w14:val="100000"/>
              </w14:srgbClr>
            </w14:solidFill>
          </w14:textFill>
        </w:rPr>
        <w:t xml:space="preserve">|  </w:t>
      </w:r>
      <w:r w:rsidR="004C3CC2" w:rsidRPr="004C3CC2">
        <w:rPr>
          <w:color w:val="000000"/>
          <w:spacing w:val="2"/>
          <w:shd w:val="solid" w:color="000000" w:fill="000000"/>
          <w:fitText w:val="280" w:id="-1504954362"/>
          <w14:textFill>
            <w14:solidFill>
              <w14:srgbClr w14:val="000000">
                <w14:alpha w14:val="100000"/>
              </w14:srgbClr>
            </w14:solidFill>
          </w14:textFill>
        </w:rPr>
        <w:t>|</w:t>
      </w:r>
      <w:proofErr w:type="gramEnd"/>
      <w:r w:rsidR="00F414A3" w:rsidRPr="007B6175">
        <w:t>.</w:t>
      </w:r>
    </w:p>
    <w:p w14:paraId="457D84EB" w14:textId="75CA6544" w:rsidR="009A00A8" w:rsidRPr="007B6175" w:rsidRDefault="009A00A8" w:rsidP="00C94053">
      <w:pPr>
        <w:pStyle w:val="TableFigureFooter"/>
      </w:pPr>
      <w:r w:rsidRPr="007B6175">
        <w:rPr>
          <w:vertAlign w:val="superscript"/>
        </w:rPr>
        <w:t xml:space="preserve">b </w:t>
      </w:r>
      <w:r w:rsidR="005209C6" w:rsidRPr="007B6175">
        <w:t>Calculated based on 13 doses per year (inclusive of initial loading dose) x DPMQ of $</w:t>
      </w:r>
      <w:proofErr w:type="gramStart"/>
      <w:r w:rsidR="004C3CC2" w:rsidRPr="004C3CC2">
        <w:rPr>
          <w:color w:val="000000"/>
          <w:spacing w:val="40"/>
          <w:shd w:val="solid" w:color="000000" w:fill="000000"/>
          <w:fitText w:val="280" w:id="-1504954361"/>
          <w14:textFill>
            <w14:solidFill>
              <w14:srgbClr w14:val="000000">
                <w14:alpha w14:val="100000"/>
              </w14:srgbClr>
            </w14:solidFill>
          </w14:textFill>
        </w:rPr>
        <w:t xml:space="preserve">|  </w:t>
      </w:r>
      <w:r w:rsidR="004C3CC2" w:rsidRPr="004C3CC2">
        <w:rPr>
          <w:color w:val="000000"/>
          <w:spacing w:val="2"/>
          <w:shd w:val="solid" w:color="000000" w:fill="000000"/>
          <w:fitText w:val="280" w:id="-1504954361"/>
          <w14:textFill>
            <w14:solidFill>
              <w14:srgbClr w14:val="000000">
                <w14:alpha w14:val="100000"/>
              </w14:srgbClr>
            </w14:solidFill>
          </w14:textFill>
        </w:rPr>
        <w:t>|</w:t>
      </w:r>
      <w:proofErr w:type="gramEnd"/>
      <w:r w:rsidR="005209C6" w:rsidRPr="007B6175">
        <w:t>.</w:t>
      </w:r>
    </w:p>
    <w:p w14:paraId="7C99128C" w14:textId="6A1B0B17" w:rsidR="00BF69EE" w:rsidRPr="007B6175" w:rsidRDefault="009A00A8" w:rsidP="00C94053">
      <w:pPr>
        <w:pStyle w:val="TableFigureFooter"/>
      </w:pPr>
      <w:r w:rsidRPr="007B6175">
        <w:rPr>
          <w:vertAlign w:val="superscript"/>
        </w:rPr>
        <w:t>c</w:t>
      </w:r>
      <w:r w:rsidR="00343F6E" w:rsidRPr="007B6175">
        <w:t xml:space="preserve"> </w:t>
      </w:r>
      <w:r w:rsidRPr="007B6175">
        <w:t xml:space="preserve">Calculated based on initial </w:t>
      </w:r>
      <w:r w:rsidR="00F414A3" w:rsidRPr="007B6175">
        <w:t xml:space="preserve">4 </w:t>
      </w:r>
      <w:r w:rsidRPr="007B6175">
        <w:t>administrations including loading dose x</w:t>
      </w:r>
      <w:r w:rsidR="00F414A3" w:rsidRPr="007B6175">
        <w:t xml:space="preserve"> </w:t>
      </w:r>
      <w:r w:rsidRPr="007B6175">
        <w:t xml:space="preserve">DPMQ of </w:t>
      </w:r>
      <w:r w:rsidR="00F414A3" w:rsidRPr="007B6175">
        <w:t>$</w:t>
      </w:r>
      <w:proofErr w:type="gramStart"/>
      <w:r w:rsidR="004C3CC2" w:rsidRPr="004C3CC2">
        <w:rPr>
          <w:color w:val="000000"/>
          <w:spacing w:val="37"/>
          <w:shd w:val="solid" w:color="000000" w:fill="000000"/>
          <w:fitText w:val="270" w:id="-1504954360"/>
          <w14:textFill>
            <w14:solidFill>
              <w14:srgbClr w14:val="000000">
                <w14:alpha w14:val="100000"/>
              </w14:srgbClr>
            </w14:solidFill>
          </w14:textFill>
        </w:rPr>
        <w:t xml:space="preserve">|  </w:t>
      </w:r>
      <w:r w:rsidR="004C3CC2" w:rsidRPr="004C3CC2">
        <w:rPr>
          <w:color w:val="000000"/>
          <w:spacing w:val="1"/>
          <w:shd w:val="solid" w:color="000000" w:fill="000000"/>
          <w:fitText w:val="270" w:id="-1504954360"/>
          <w14:textFill>
            <w14:solidFill>
              <w14:srgbClr w14:val="000000">
                <w14:alpha w14:val="100000"/>
              </w14:srgbClr>
            </w14:solidFill>
          </w14:textFill>
        </w:rPr>
        <w:t>|</w:t>
      </w:r>
      <w:proofErr w:type="gramEnd"/>
      <w:r w:rsidRPr="007B6175">
        <w:t xml:space="preserve">, plus </w:t>
      </w:r>
      <w:r w:rsidR="00BF69EE" w:rsidRPr="007B6175">
        <w:t xml:space="preserve">37.7% </w:t>
      </w:r>
      <w:r w:rsidRPr="007B6175">
        <w:t>responders x</w:t>
      </w:r>
      <w:r w:rsidR="00BF69EE" w:rsidRPr="007B6175">
        <w:t xml:space="preserve"> 9.175 </w:t>
      </w:r>
      <w:r w:rsidRPr="007B6175">
        <w:t xml:space="preserve">subsequent administrations x DPMQ of </w:t>
      </w:r>
      <w:r w:rsidR="00BF69EE" w:rsidRPr="007B6175">
        <w:t>$</w:t>
      </w:r>
      <w:r w:rsidR="004C3CC2" w:rsidRPr="004C3CC2">
        <w:rPr>
          <w:color w:val="000000"/>
          <w:spacing w:val="37"/>
          <w:shd w:val="solid" w:color="000000" w:fill="000000"/>
          <w:fitText w:val="270" w:id="-1504954359"/>
          <w14:textFill>
            <w14:solidFill>
              <w14:srgbClr w14:val="000000">
                <w14:alpha w14:val="100000"/>
              </w14:srgbClr>
            </w14:solidFill>
          </w14:textFill>
        </w:rPr>
        <w:t xml:space="preserve">|  </w:t>
      </w:r>
      <w:r w:rsidR="004C3CC2" w:rsidRPr="004C3CC2">
        <w:rPr>
          <w:color w:val="000000"/>
          <w:spacing w:val="1"/>
          <w:shd w:val="solid" w:color="000000" w:fill="000000"/>
          <w:fitText w:val="270" w:id="-1504954359"/>
          <w14:textFill>
            <w14:solidFill>
              <w14:srgbClr w14:val="000000">
                <w14:alpha w14:val="100000"/>
              </w14:srgbClr>
            </w14:solidFill>
          </w14:textFill>
        </w:rPr>
        <w:t>|</w:t>
      </w:r>
      <w:r w:rsidR="00BF69EE" w:rsidRPr="007B6175">
        <w:t>.</w:t>
      </w:r>
    </w:p>
    <w:p w14:paraId="114C7A26" w14:textId="6E295ED1" w:rsidR="009A00A8" w:rsidRPr="007B6175" w:rsidRDefault="009A00A8" w:rsidP="00C94053">
      <w:pPr>
        <w:pStyle w:val="TableFigureFooter"/>
      </w:pPr>
      <w:r w:rsidRPr="007B6175">
        <w:rPr>
          <w:vertAlign w:val="superscript"/>
        </w:rPr>
        <w:t>d</w:t>
      </w:r>
      <w:r w:rsidRPr="007B6175">
        <w:t xml:space="preserve"> Calculated </w:t>
      </w:r>
      <w:r w:rsidR="005209C6" w:rsidRPr="007B6175">
        <w:t>based on initial 4 administrations including loading dose x DPMQ of $</w:t>
      </w:r>
      <w:proofErr w:type="gramStart"/>
      <w:r w:rsidR="004C3CC2" w:rsidRPr="004C3CC2">
        <w:rPr>
          <w:color w:val="000000"/>
          <w:spacing w:val="40"/>
          <w:shd w:val="solid" w:color="000000" w:fill="000000"/>
          <w:fitText w:val="280" w:id="-1504954358"/>
          <w14:textFill>
            <w14:solidFill>
              <w14:srgbClr w14:val="000000">
                <w14:alpha w14:val="100000"/>
              </w14:srgbClr>
            </w14:solidFill>
          </w14:textFill>
        </w:rPr>
        <w:t xml:space="preserve">|  </w:t>
      </w:r>
      <w:r w:rsidR="004C3CC2" w:rsidRPr="004C3CC2">
        <w:rPr>
          <w:color w:val="000000"/>
          <w:spacing w:val="2"/>
          <w:shd w:val="solid" w:color="000000" w:fill="000000"/>
          <w:fitText w:val="280" w:id="-1504954358"/>
          <w14:textFill>
            <w14:solidFill>
              <w14:srgbClr w14:val="000000">
                <w14:alpha w14:val="100000"/>
              </w14:srgbClr>
            </w14:solidFill>
          </w14:textFill>
        </w:rPr>
        <w:t>|</w:t>
      </w:r>
      <w:proofErr w:type="gramEnd"/>
      <w:r w:rsidR="005209C6" w:rsidRPr="007B6175">
        <w:t>, plus 40% responders x 9 subsequent administrations x DPMQ of $</w:t>
      </w:r>
      <w:r w:rsidR="004C3CC2" w:rsidRPr="004C3CC2">
        <w:rPr>
          <w:color w:val="000000"/>
          <w:spacing w:val="40"/>
          <w:shd w:val="solid" w:color="000000" w:fill="000000"/>
          <w:fitText w:val="280" w:id="-1504954357"/>
          <w14:textFill>
            <w14:solidFill>
              <w14:srgbClr w14:val="000000">
                <w14:alpha w14:val="100000"/>
              </w14:srgbClr>
            </w14:solidFill>
          </w14:textFill>
        </w:rPr>
        <w:t xml:space="preserve">|  </w:t>
      </w:r>
      <w:r w:rsidR="004C3CC2" w:rsidRPr="004C3CC2">
        <w:rPr>
          <w:color w:val="000000"/>
          <w:spacing w:val="2"/>
          <w:shd w:val="solid" w:color="000000" w:fill="000000"/>
          <w:fitText w:val="280" w:id="-1504954357"/>
          <w14:textFill>
            <w14:solidFill>
              <w14:srgbClr w14:val="000000">
                <w14:alpha w14:val="100000"/>
              </w14:srgbClr>
            </w14:solidFill>
          </w14:textFill>
        </w:rPr>
        <w:t>|</w:t>
      </w:r>
      <w:r w:rsidR="005209C6" w:rsidRPr="007B6175">
        <w:t>.</w:t>
      </w:r>
    </w:p>
    <w:p w14:paraId="2C26C8AD" w14:textId="3BD81ACC" w:rsidR="00C8777B" w:rsidRPr="007B6175" w:rsidRDefault="00C8777B" w:rsidP="00C94053">
      <w:pPr>
        <w:pStyle w:val="TableFigureFooter"/>
      </w:pPr>
      <w:r w:rsidRPr="007B6175">
        <w:rPr>
          <w:vertAlign w:val="superscript"/>
        </w:rPr>
        <w:t>e</w:t>
      </w:r>
      <w:r w:rsidRPr="007B6175">
        <w:t xml:space="preserve"> </w:t>
      </w:r>
      <w:proofErr w:type="gramStart"/>
      <w:r w:rsidRPr="007B6175">
        <w:t>In</w:t>
      </w:r>
      <w:proofErr w:type="gramEnd"/>
      <w:r w:rsidRPr="007B6175">
        <w:t xml:space="preserve"> the economic model, 0.43% discontinued treatment each cycle (approximately 5.4% per year). In the financial estimates, 5% of patients </w:t>
      </w:r>
      <w:r w:rsidR="00934C83">
        <w:t xml:space="preserve">were assumed to </w:t>
      </w:r>
      <w:r w:rsidRPr="007B6175">
        <w:t>discontinu</w:t>
      </w:r>
      <w:r w:rsidR="00934C83">
        <w:t>e</w:t>
      </w:r>
      <w:r w:rsidR="00B67BBD" w:rsidRPr="007B6175">
        <w:t xml:space="preserve"> treatment</w:t>
      </w:r>
      <w:r w:rsidRPr="007B6175">
        <w:t xml:space="preserve"> each year.</w:t>
      </w:r>
    </w:p>
    <w:p w14:paraId="247D127D" w14:textId="4C4FE850" w:rsidR="00482FD4" w:rsidRPr="007B6175" w:rsidRDefault="00482FD4" w:rsidP="00C94053">
      <w:pPr>
        <w:pStyle w:val="TableFigureFooter"/>
      </w:pPr>
      <w:r w:rsidRPr="007B6175">
        <w:t>Abbreviations:</w:t>
      </w:r>
      <w:r w:rsidR="00373FF6">
        <w:t xml:space="preserve"> DPMQ, dispensed price for maximum quantity;</w:t>
      </w:r>
      <w:r w:rsidRPr="007B6175">
        <w:t xml:space="preserve"> </w:t>
      </w:r>
      <w:proofErr w:type="gramStart"/>
      <w:r w:rsidR="004C3CC2" w:rsidRPr="004C3CC2">
        <w:rPr>
          <w:color w:val="000000"/>
          <w:spacing w:val="37"/>
          <w:shd w:val="solid" w:color="000000" w:fill="000000"/>
          <w:fitText w:val="270" w:id="-1504954356"/>
          <w14:textFill>
            <w14:solidFill>
              <w14:srgbClr w14:val="000000">
                <w14:alpha w14:val="100000"/>
              </w14:srgbClr>
            </w14:solidFill>
          </w14:textFill>
        </w:rPr>
        <w:t xml:space="preserve">|  </w:t>
      </w:r>
      <w:r w:rsidR="004C3CC2" w:rsidRPr="004C3CC2">
        <w:rPr>
          <w:color w:val="000000"/>
          <w:spacing w:val="1"/>
          <w:shd w:val="solid" w:color="000000" w:fill="000000"/>
          <w:fitText w:val="270" w:id="-1504954356"/>
          <w14:textFill>
            <w14:solidFill>
              <w14:srgbClr w14:val="000000">
                <w14:alpha w14:val="100000"/>
              </w14:srgbClr>
            </w14:solidFill>
          </w14:textFill>
        </w:rPr>
        <w:t>|</w:t>
      </w:r>
      <w:proofErr w:type="gramEnd"/>
      <w:r w:rsidRPr="007B6175">
        <w:t>.</w:t>
      </w:r>
    </w:p>
    <w:p w14:paraId="424AEB82" w14:textId="0EB60165" w:rsidR="00FE4B64" w:rsidRPr="00B663F3" w:rsidRDefault="00900E79" w:rsidP="00340E3E">
      <w:pPr>
        <w:pStyle w:val="ExecSumBodyText"/>
      </w:pPr>
      <w:r w:rsidRPr="007B6175">
        <w:t xml:space="preserve">The average cost per patient of </w:t>
      </w:r>
      <w:proofErr w:type="spellStart"/>
      <w:r w:rsidRPr="007B6175">
        <w:t>galcanezumab</w:t>
      </w:r>
      <w:proofErr w:type="spellEnd"/>
      <w:r w:rsidRPr="007B6175">
        <w:t xml:space="preserve"> </w:t>
      </w:r>
      <w:r w:rsidR="00B67BBD" w:rsidRPr="007B6175">
        <w:t xml:space="preserve">in the initial year of treatment was </w:t>
      </w:r>
      <w:r w:rsidR="00814BB3" w:rsidRPr="007B6175">
        <w:t>$</w:t>
      </w:r>
      <w:proofErr w:type="gramStart"/>
      <w:r w:rsidR="004C3CC2" w:rsidRPr="00046698">
        <w:rPr>
          <w:color w:val="000000"/>
          <w:w w:val="15"/>
          <w:shd w:val="solid" w:color="000000" w:fill="000000"/>
          <w:fitText w:val="-20" w:id="-1504954355"/>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4355"/>
          <w14:textFill>
            <w14:solidFill>
              <w14:srgbClr w14:val="000000">
                <w14:alpha w14:val="100000"/>
              </w14:srgbClr>
            </w14:solidFill>
          </w14:textFill>
        </w:rPr>
        <w:t>|</w:t>
      </w:r>
      <w:proofErr w:type="gramEnd"/>
      <w:r w:rsidR="00814BB3" w:rsidRPr="007B6175">
        <w:t xml:space="preserve"> </w:t>
      </w:r>
      <w:r w:rsidR="00B67BBD" w:rsidRPr="007B6175">
        <w:t xml:space="preserve">in the economic model, </w:t>
      </w:r>
      <w:r w:rsidR="00FE4B64" w:rsidRPr="007B6175">
        <w:t>$</w:t>
      </w:r>
      <w:r w:rsidR="004C3CC2" w:rsidRPr="00046698">
        <w:rPr>
          <w:color w:val="000000"/>
          <w:w w:val="15"/>
          <w:shd w:val="solid" w:color="000000" w:fill="000000"/>
          <w:fitText w:val="-20" w:id="-1504954354"/>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4354"/>
          <w14:textFill>
            <w14:solidFill>
              <w14:srgbClr w14:val="000000">
                <w14:alpha w14:val="100000"/>
              </w14:srgbClr>
            </w14:solidFill>
          </w14:textFill>
        </w:rPr>
        <w:t>|</w:t>
      </w:r>
      <w:r w:rsidR="00FE4B64" w:rsidRPr="007B6175">
        <w:t xml:space="preserve"> in the financial estimates. </w:t>
      </w:r>
      <w:r w:rsidR="00D74A88" w:rsidRPr="007B6175">
        <w:t xml:space="preserve">The average cost per patient of </w:t>
      </w:r>
      <w:proofErr w:type="spellStart"/>
      <w:r w:rsidR="00D74A88" w:rsidRPr="007B6175">
        <w:t>galcanezumab</w:t>
      </w:r>
      <w:proofErr w:type="spellEnd"/>
      <w:r w:rsidR="00D74A88" w:rsidRPr="007B6175">
        <w:t xml:space="preserve"> in subsequent years was $</w:t>
      </w:r>
      <w:proofErr w:type="gramStart"/>
      <w:r w:rsidR="004C3CC2" w:rsidRPr="00046698">
        <w:rPr>
          <w:color w:val="000000"/>
          <w:w w:val="15"/>
          <w:shd w:val="solid" w:color="000000" w:fill="000000"/>
          <w:fitText w:val="-20" w:id="-1504954353"/>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4353"/>
          <w14:textFill>
            <w14:solidFill>
              <w14:srgbClr w14:val="000000">
                <w14:alpha w14:val="100000"/>
              </w14:srgbClr>
            </w14:solidFill>
          </w14:textFill>
        </w:rPr>
        <w:t>|</w:t>
      </w:r>
      <w:proofErr w:type="gramEnd"/>
      <w:r w:rsidR="00D74A88" w:rsidRPr="007B6175">
        <w:t xml:space="preserve"> in the economic model and $</w:t>
      </w:r>
      <w:r w:rsidR="004C3CC2" w:rsidRPr="00046698">
        <w:rPr>
          <w:color w:val="000000"/>
          <w:w w:val="15"/>
          <w:shd w:val="solid" w:color="000000" w:fill="000000"/>
          <w:fitText w:val="-20" w:id="-1504954352"/>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4352"/>
          <w14:textFill>
            <w14:solidFill>
              <w14:srgbClr w14:val="000000">
                <w14:alpha w14:val="100000"/>
              </w14:srgbClr>
            </w14:solidFill>
          </w14:textFill>
        </w:rPr>
        <w:t>|</w:t>
      </w:r>
      <w:r w:rsidR="00D74A88" w:rsidRPr="007B6175">
        <w:t xml:space="preserve"> in the financial estimates.</w:t>
      </w:r>
      <w:r w:rsidR="00D74A88">
        <w:t xml:space="preserve"> </w:t>
      </w:r>
      <w:r w:rsidR="00FE4B64" w:rsidRPr="00B663F3">
        <w:rPr>
          <w:iCs/>
        </w:rPr>
        <w:t>The difference between the economic model and financial estimates was due to</w:t>
      </w:r>
      <w:r w:rsidR="008C1E18" w:rsidRPr="00B663F3">
        <w:rPr>
          <w:iCs/>
        </w:rPr>
        <w:t xml:space="preserve"> differences in </w:t>
      </w:r>
      <w:r w:rsidR="00FE4B64" w:rsidRPr="00B663F3">
        <w:rPr>
          <w:iCs/>
        </w:rPr>
        <w:t>the assumed response rates</w:t>
      </w:r>
      <w:r w:rsidR="008C1E18" w:rsidRPr="00B663F3">
        <w:rPr>
          <w:iCs/>
        </w:rPr>
        <w:t xml:space="preserve"> and </w:t>
      </w:r>
      <w:r w:rsidR="00FE4B64" w:rsidRPr="00B663F3">
        <w:rPr>
          <w:iCs/>
        </w:rPr>
        <w:t>number</w:t>
      </w:r>
      <w:r w:rsidR="008C1E18" w:rsidRPr="00B663F3">
        <w:rPr>
          <w:iCs/>
        </w:rPr>
        <w:t>s</w:t>
      </w:r>
      <w:r w:rsidR="00FE4B64" w:rsidRPr="00B663F3">
        <w:rPr>
          <w:iCs/>
        </w:rPr>
        <w:t xml:space="preserve"> of scripts</w:t>
      </w:r>
      <w:r w:rsidR="008C1E18" w:rsidRPr="00B663F3">
        <w:rPr>
          <w:iCs/>
        </w:rPr>
        <w:t>.</w:t>
      </w:r>
    </w:p>
    <w:p w14:paraId="268768EF" w14:textId="21B73B6D" w:rsidR="00B60939" w:rsidRPr="007B6175" w:rsidRDefault="00B60939" w:rsidP="002B05A1">
      <w:pPr>
        <w:pStyle w:val="3-SubsectionHeading"/>
      </w:pPr>
      <w:bookmarkStart w:id="47" w:name="_Toc22897647"/>
      <w:bookmarkStart w:id="48" w:name="_Toc93419746"/>
      <w:bookmarkStart w:id="49" w:name="_Toc93484680"/>
      <w:r w:rsidRPr="007B6175">
        <w:t>Estimated PBS usage &amp; financial implications</w:t>
      </w:r>
      <w:bookmarkEnd w:id="47"/>
      <w:bookmarkEnd w:id="48"/>
      <w:bookmarkEnd w:id="49"/>
    </w:p>
    <w:p w14:paraId="51C44481" w14:textId="052ACA17" w:rsidR="00DF1E7B" w:rsidRPr="007B6175" w:rsidRDefault="00DF1E7B" w:rsidP="00340E3E">
      <w:pPr>
        <w:pStyle w:val="ExecSumBodyText"/>
      </w:pPr>
      <w:r w:rsidRPr="007B6175">
        <w:t xml:space="preserve">This resubmission </w:t>
      </w:r>
      <w:r w:rsidR="001641E3">
        <w:t>was</w:t>
      </w:r>
      <w:r w:rsidR="001641E3" w:rsidRPr="007B6175">
        <w:t xml:space="preserve"> </w:t>
      </w:r>
      <w:r w:rsidRPr="007B6175">
        <w:t xml:space="preserve">not considered by DUSC. The submission used an epidemiological approach to estimate the utilisation and financial impacts associated with the requested listing. </w:t>
      </w:r>
    </w:p>
    <w:p w14:paraId="77F14D7D" w14:textId="5C4CD42A" w:rsidR="0015163D" w:rsidRPr="007B6175" w:rsidRDefault="0015163D" w:rsidP="00845E08">
      <w:pPr>
        <w:pStyle w:val="TableHeading"/>
        <w:keepLines/>
      </w:pPr>
      <w:bookmarkStart w:id="50" w:name="_Ref99102274"/>
      <w:r w:rsidRPr="007B6175">
        <w:t xml:space="preserve">Table </w:t>
      </w:r>
      <w:r>
        <w:fldChar w:fldCharType="begin"/>
      </w:r>
      <w:r>
        <w:instrText>SEQ Table \* ARABIC</w:instrText>
      </w:r>
      <w:r>
        <w:fldChar w:fldCharType="separate"/>
      </w:r>
      <w:r w:rsidR="00046698">
        <w:rPr>
          <w:noProof/>
        </w:rPr>
        <w:t>16</w:t>
      </w:r>
      <w:r>
        <w:fldChar w:fldCharType="end"/>
      </w:r>
      <w:bookmarkEnd w:id="50"/>
      <w:r w:rsidR="00B417F5" w:rsidRPr="007B6175">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3116"/>
        <w:gridCol w:w="4487"/>
      </w:tblGrid>
      <w:tr w:rsidR="003E4415" w:rsidRPr="007B6175" w14:paraId="7AFD013A" w14:textId="77777777" w:rsidTr="00140297">
        <w:trPr>
          <w:cantSplit/>
          <w:tblHeader/>
        </w:trPr>
        <w:tc>
          <w:tcPr>
            <w:tcW w:w="784" w:type="pct"/>
            <w:shd w:val="clear" w:color="auto" w:fill="auto"/>
            <w:vAlign w:val="center"/>
          </w:tcPr>
          <w:p w14:paraId="45C2C4CE" w14:textId="370E9AAB" w:rsidR="00E42F73" w:rsidRPr="007B6175" w:rsidRDefault="004658B5" w:rsidP="00845E08">
            <w:pPr>
              <w:pStyle w:val="Tableheadingrow"/>
              <w:rPr>
                <w:lang w:val="en-AU"/>
              </w:rPr>
            </w:pPr>
            <w:r w:rsidRPr="007B6175">
              <w:rPr>
                <w:lang w:val="en-AU"/>
              </w:rPr>
              <w:t>Parameter</w:t>
            </w:r>
          </w:p>
        </w:tc>
        <w:tc>
          <w:tcPr>
            <w:tcW w:w="1728" w:type="pct"/>
            <w:shd w:val="clear" w:color="auto" w:fill="auto"/>
            <w:vAlign w:val="center"/>
          </w:tcPr>
          <w:p w14:paraId="5C04F956" w14:textId="559E8DB1" w:rsidR="00E42F73" w:rsidRPr="007B6175" w:rsidRDefault="004658B5" w:rsidP="00845E08">
            <w:pPr>
              <w:pStyle w:val="Tableheadingrow"/>
              <w:jc w:val="center"/>
              <w:rPr>
                <w:lang w:val="en-AU"/>
              </w:rPr>
            </w:pPr>
            <w:r w:rsidRPr="007B6175">
              <w:rPr>
                <w:lang w:val="en-AU"/>
              </w:rPr>
              <w:t>Value applied and source</w:t>
            </w:r>
          </w:p>
        </w:tc>
        <w:tc>
          <w:tcPr>
            <w:tcW w:w="2488" w:type="pct"/>
            <w:shd w:val="clear" w:color="auto" w:fill="auto"/>
            <w:vAlign w:val="center"/>
          </w:tcPr>
          <w:p w14:paraId="45DE44AA" w14:textId="4713F72E" w:rsidR="00E42F73" w:rsidRPr="007B6175" w:rsidRDefault="004658B5" w:rsidP="00845E08">
            <w:pPr>
              <w:pStyle w:val="Tableheadingrow"/>
              <w:jc w:val="center"/>
              <w:rPr>
                <w:lang w:val="en-AU"/>
              </w:rPr>
            </w:pPr>
            <w:r w:rsidRPr="007B6175">
              <w:rPr>
                <w:lang w:val="en-AU"/>
              </w:rPr>
              <w:t>Comment</w:t>
            </w:r>
          </w:p>
        </w:tc>
      </w:tr>
      <w:tr w:rsidR="003E4415" w:rsidRPr="007B6175" w14:paraId="4BEF206D" w14:textId="77777777" w:rsidTr="00140297">
        <w:trPr>
          <w:cantSplit/>
        </w:trPr>
        <w:tc>
          <w:tcPr>
            <w:tcW w:w="784" w:type="pct"/>
            <w:shd w:val="clear" w:color="auto" w:fill="auto"/>
            <w:vAlign w:val="center"/>
          </w:tcPr>
          <w:p w14:paraId="5724F53F" w14:textId="4A321AF7" w:rsidR="00E42F73" w:rsidRPr="007B6175" w:rsidRDefault="00333ACB" w:rsidP="00845E08">
            <w:pPr>
              <w:pStyle w:val="TableText"/>
            </w:pPr>
            <w:r w:rsidRPr="007B6175">
              <w:t>Migraine prevalence</w:t>
            </w:r>
          </w:p>
        </w:tc>
        <w:tc>
          <w:tcPr>
            <w:tcW w:w="1728" w:type="pct"/>
            <w:shd w:val="clear" w:color="auto" w:fill="auto"/>
            <w:vAlign w:val="center"/>
          </w:tcPr>
          <w:p w14:paraId="2974F923" w14:textId="4B656902" w:rsidR="00E42F73" w:rsidRPr="007B6175" w:rsidRDefault="00333ACB" w:rsidP="00845E08">
            <w:pPr>
              <w:pStyle w:val="TableText"/>
            </w:pPr>
            <w:r w:rsidRPr="007B6175">
              <w:t xml:space="preserve">22.8%; </w:t>
            </w:r>
            <w:r w:rsidR="004E09BF" w:rsidRPr="007B6175">
              <w:t xml:space="preserve">Based on the estimated </w:t>
            </w:r>
            <w:r w:rsidRPr="007B6175">
              <w:t xml:space="preserve">Australian 2017 </w:t>
            </w:r>
            <w:r w:rsidR="004E09BF" w:rsidRPr="007B6175">
              <w:t xml:space="preserve">prevalence reported in The Global Burden of Disease </w:t>
            </w:r>
            <w:r w:rsidRPr="007B6175">
              <w:t>s</w:t>
            </w:r>
            <w:r w:rsidR="004E09BF" w:rsidRPr="007B6175">
              <w:t>tudy</w:t>
            </w:r>
            <w:r w:rsidRPr="007B6175">
              <w:t>,</w:t>
            </w:r>
            <w:r w:rsidR="004E09BF" w:rsidRPr="007B6175">
              <w:t xml:space="preserve"> presented as a sensitivity analysis in the November 2020 </w:t>
            </w:r>
            <w:proofErr w:type="spellStart"/>
            <w:r w:rsidR="004E09BF" w:rsidRPr="007B6175">
              <w:t>galcanezumab</w:t>
            </w:r>
            <w:proofErr w:type="spellEnd"/>
            <w:r w:rsidR="004E09BF" w:rsidRPr="007B6175">
              <w:t xml:space="preserve"> commentary.</w:t>
            </w:r>
          </w:p>
        </w:tc>
        <w:tc>
          <w:tcPr>
            <w:tcW w:w="2488" w:type="pct"/>
            <w:shd w:val="clear" w:color="auto" w:fill="auto"/>
            <w:vAlign w:val="center"/>
          </w:tcPr>
          <w:p w14:paraId="078672CF" w14:textId="1D24CF46" w:rsidR="00E42F73" w:rsidRPr="00B663F3" w:rsidRDefault="004E09BF" w:rsidP="00845E08">
            <w:pPr>
              <w:pStyle w:val="TableText"/>
            </w:pPr>
            <w:r w:rsidRPr="00B663F3">
              <w:t>Increased from the November 2020 submission prevalence estimate of 14.6% based on the weighted average of patients with migraine, age</w:t>
            </w:r>
            <w:r w:rsidR="001641E3">
              <w:t>d</w:t>
            </w:r>
            <w:r w:rsidRPr="00B663F3">
              <w:t xml:space="preserve"> ≥15 years reported by Stark et al. (2007). The all-age prevalence of migraine reported by the GBD study has been updated, with reported prevalence estimates of 14.75%, 14.77% and 14.86% for 2017, 2018 and 2019, respectively. These estimates are </w:t>
            </w:r>
            <w:proofErr w:type="gramStart"/>
            <w:r w:rsidRPr="00B663F3">
              <w:t>similar to</w:t>
            </w:r>
            <w:proofErr w:type="gramEnd"/>
            <w:r w:rsidRPr="00B663F3">
              <w:t xml:space="preserve"> the Stark et al. estimate included in the November 2020 submission, and more closely aligned with the estimated global migraine prevalence of migraine reported by the GBD study (2019 global all-age prevalence of 15.16%)</w:t>
            </w:r>
            <w:r w:rsidR="0000778C">
              <w:t xml:space="preserve"> </w:t>
            </w:r>
            <w:r w:rsidR="0000778C" w:rsidRPr="00C517FF">
              <w:t>The ESC considered a migraine prevalence of 14.</w:t>
            </w:r>
            <w:r w:rsidR="00297643" w:rsidRPr="00C517FF">
              <w:t>64</w:t>
            </w:r>
            <w:r w:rsidR="0000778C" w:rsidRPr="00C517FF">
              <w:t>% based on the Stark study was reasonable</w:t>
            </w:r>
            <w:r w:rsidR="00CD1242" w:rsidRPr="00C517FF">
              <w:t xml:space="preserve"> and consistent with previous consideration</w:t>
            </w:r>
            <w:r w:rsidR="00297643" w:rsidRPr="00C517FF">
              <w:t>s</w:t>
            </w:r>
            <w:r w:rsidR="00CD1242" w:rsidRPr="00C517FF">
              <w:t xml:space="preserve"> of migraine</w:t>
            </w:r>
            <w:r w:rsidR="00546934" w:rsidRPr="00C517FF">
              <w:t xml:space="preserve"> treatments</w:t>
            </w:r>
            <w:r w:rsidR="00CD1242" w:rsidRPr="00C517FF">
              <w:t>.</w:t>
            </w:r>
            <w:r w:rsidR="0000778C" w:rsidRPr="0000778C">
              <w:rPr>
                <w:i/>
              </w:rPr>
              <w:t xml:space="preserve"> </w:t>
            </w:r>
          </w:p>
        </w:tc>
      </w:tr>
      <w:tr w:rsidR="003E4415" w:rsidRPr="007B6175" w14:paraId="273D05F4" w14:textId="77777777" w:rsidTr="00140297">
        <w:trPr>
          <w:cantSplit/>
        </w:trPr>
        <w:tc>
          <w:tcPr>
            <w:tcW w:w="784" w:type="pct"/>
            <w:shd w:val="clear" w:color="auto" w:fill="auto"/>
            <w:vAlign w:val="center"/>
          </w:tcPr>
          <w:p w14:paraId="0152C8AA" w14:textId="4906FAC7" w:rsidR="00A05C32" w:rsidRPr="007B6175" w:rsidRDefault="00333ACB" w:rsidP="00845E08">
            <w:pPr>
              <w:pStyle w:val="TableText"/>
            </w:pPr>
            <w:r w:rsidRPr="007B6175">
              <w:t>Proportion of migraine that is episodic migraine</w:t>
            </w:r>
          </w:p>
        </w:tc>
        <w:tc>
          <w:tcPr>
            <w:tcW w:w="1728" w:type="pct"/>
            <w:shd w:val="clear" w:color="auto" w:fill="auto"/>
            <w:vAlign w:val="center"/>
          </w:tcPr>
          <w:p w14:paraId="5FE8DC6D" w14:textId="5FE25F14" w:rsidR="00A05C32" w:rsidRPr="007B6175" w:rsidRDefault="00333ACB" w:rsidP="00845E08">
            <w:pPr>
              <w:pStyle w:val="TableText"/>
            </w:pPr>
            <w:r w:rsidRPr="007B6175">
              <w:t>92.39%; Proportion of migraine that is chronic migraine assumed to be 7.61% based on the proportion reported in Deloitte Access Economics Whitepaper on Migraine in Australia (2018), which was based on chronic migraine estimates reported for the AMPP study (Buse et al., 2012), applied to Australia’s demographic structure. The complement proportion was assumed to have episodic migraine (i.e., 100% - 7.61% = 92.39%).</w:t>
            </w:r>
          </w:p>
        </w:tc>
        <w:tc>
          <w:tcPr>
            <w:tcW w:w="2488" w:type="pct"/>
            <w:shd w:val="clear" w:color="auto" w:fill="auto"/>
            <w:vAlign w:val="center"/>
          </w:tcPr>
          <w:p w14:paraId="035D240F" w14:textId="2830784A" w:rsidR="00A05C32" w:rsidRPr="00B663F3" w:rsidRDefault="004467B6" w:rsidP="00AB2ABF">
            <w:pPr>
              <w:pStyle w:val="TableText"/>
            </w:pPr>
            <w:r w:rsidRPr="00B663F3">
              <w:t>The November 2020 episodic and chronic migraine submissions assumed that 10% of patients had chronic migraine and 90% had episodic migraine.</w:t>
            </w:r>
            <w:r w:rsidR="0000788A">
              <w:t xml:space="preserve"> </w:t>
            </w:r>
            <w:r w:rsidR="0000788A" w:rsidRPr="00C517FF">
              <w:t>The PSCR stated that to address the concern around double counting, it would be reasonable to assume 90% of patients had episodic migraine, consistent with the previously approved chronic migraine estimates.</w:t>
            </w:r>
            <w:r w:rsidR="00AB2ABF">
              <w:t xml:space="preserve"> The PBAC agreed with the PSCR amendment.</w:t>
            </w:r>
          </w:p>
        </w:tc>
      </w:tr>
      <w:tr w:rsidR="003E4415" w:rsidRPr="007B6175" w14:paraId="72C9FBDD" w14:textId="77777777" w:rsidTr="00140297">
        <w:trPr>
          <w:cantSplit/>
        </w:trPr>
        <w:tc>
          <w:tcPr>
            <w:tcW w:w="784" w:type="pct"/>
            <w:shd w:val="clear" w:color="auto" w:fill="auto"/>
            <w:vAlign w:val="center"/>
          </w:tcPr>
          <w:p w14:paraId="2FBBDC67" w14:textId="270990B3" w:rsidR="00E42F73" w:rsidRPr="007B6175" w:rsidRDefault="004467B6" w:rsidP="00B417F5">
            <w:pPr>
              <w:pStyle w:val="TableText"/>
              <w:keepNext w:val="0"/>
            </w:pPr>
            <w:r w:rsidRPr="007B6175">
              <w:t>Proportion of episodic migraine that is high frequency episodic migraine</w:t>
            </w:r>
          </w:p>
        </w:tc>
        <w:tc>
          <w:tcPr>
            <w:tcW w:w="1728" w:type="pct"/>
            <w:shd w:val="clear" w:color="auto" w:fill="auto"/>
            <w:vAlign w:val="center"/>
          </w:tcPr>
          <w:p w14:paraId="550316FC" w14:textId="5DD94B8F" w:rsidR="00E42F73" w:rsidRPr="007B6175" w:rsidRDefault="004467B6" w:rsidP="00B417F5">
            <w:pPr>
              <w:pStyle w:val="TableText"/>
              <w:keepNext w:val="0"/>
            </w:pPr>
            <w:r w:rsidRPr="007B6175">
              <w:t>19.5%; Based on the results of an online survey of GPs (n=87) and neurologists (n=30) conducted by the sponsor. Based on the average of 13% reported by general practitioners and 26% reported by neurologists.</w:t>
            </w:r>
          </w:p>
        </w:tc>
        <w:tc>
          <w:tcPr>
            <w:tcW w:w="2488" w:type="pct"/>
            <w:shd w:val="clear" w:color="auto" w:fill="auto"/>
            <w:vAlign w:val="center"/>
          </w:tcPr>
          <w:p w14:paraId="7295AAE5" w14:textId="4DA0E60C" w:rsidR="00E42F73" w:rsidRPr="00B663F3" w:rsidRDefault="004467B6" w:rsidP="00B417F5">
            <w:pPr>
              <w:pStyle w:val="TableText"/>
              <w:keepNext w:val="0"/>
            </w:pPr>
            <w:r w:rsidRPr="00B663F3">
              <w:t>There were large differences in the survey results for GPs and neurologists.</w:t>
            </w:r>
            <w:r w:rsidR="00A709C3">
              <w:t xml:space="preserve"> The evaluation considered i</w:t>
            </w:r>
            <w:r w:rsidRPr="00B663F3">
              <w:t>t may not be reasonable to average the results of general practitioners and neurologists, given that GPs are likely to treat all patients whereas neurologists are likely to see patients with more severe disease.</w:t>
            </w:r>
          </w:p>
        </w:tc>
      </w:tr>
      <w:tr w:rsidR="003E4415" w:rsidRPr="007B6175" w14:paraId="512A8938" w14:textId="77777777" w:rsidTr="00140297">
        <w:trPr>
          <w:cantSplit/>
        </w:trPr>
        <w:tc>
          <w:tcPr>
            <w:tcW w:w="784" w:type="pct"/>
            <w:shd w:val="clear" w:color="auto" w:fill="auto"/>
            <w:vAlign w:val="center"/>
          </w:tcPr>
          <w:p w14:paraId="1F4C70A3" w14:textId="292B098F" w:rsidR="00A05C32" w:rsidRPr="007B6175" w:rsidRDefault="004467B6" w:rsidP="00B417F5">
            <w:pPr>
              <w:pStyle w:val="TableText"/>
              <w:keepNext w:val="0"/>
            </w:pPr>
            <w:r w:rsidRPr="007B6175">
              <w:t>Proportion currently taking an oral preventative</w:t>
            </w:r>
          </w:p>
        </w:tc>
        <w:tc>
          <w:tcPr>
            <w:tcW w:w="1728" w:type="pct"/>
            <w:shd w:val="clear" w:color="auto" w:fill="auto"/>
            <w:vAlign w:val="center"/>
          </w:tcPr>
          <w:p w14:paraId="5289CDB1" w14:textId="0A145DF7" w:rsidR="00A05C32" w:rsidRPr="007B6175" w:rsidRDefault="004467B6" w:rsidP="00B417F5">
            <w:pPr>
              <w:pStyle w:val="TableText"/>
              <w:keepNext w:val="0"/>
            </w:pPr>
            <w:r w:rsidRPr="007B6175">
              <w:t>74.5%; Based on the results of an online survey of GPs (n=87) and Neurologists (n=30) conducted by the sponsor. Based on the average of 67% reported by general practitioners and 82% reported by neurologists.</w:t>
            </w:r>
          </w:p>
        </w:tc>
        <w:tc>
          <w:tcPr>
            <w:tcW w:w="2488" w:type="pct"/>
            <w:shd w:val="clear" w:color="auto" w:fill="auto"/>
            <w:vAlign w:val="center"/>
          </w:tcPr>
          <w:p w14:paraId="0BA4ED26" w14:textId="668369C6" w:rsidR="00A05C32" w:rsidRPr="00B663F3" w:rsidRDefault="004467B6" w:rsidP="00071398">
            <w:pPr>
              <w:pStyle w:val="TableText"/>
              <w:keepNext w:val="0"/>
            </w:pPr>
            <w:r w:rsidRPr="00B663F3">
              <w:t xml:space="preserve">The proposed restriction does not require patients to be currently using an oral migraine preventative. </w:t>
            </w:r>
            <w:r w:rsidR="00071398">
              <w:t>The evaluation noted that s</w:t>
            </w:r>
            <w:r w:rsidRPr="00B663F3">
              <w:t>ome patients who have failed ≥3 prior migraine preventative therapies may have ceased all prophylactic treatments, due to a lack of efficacious therapies.</w:t>
            </w:r>
          </w:p>
        </w:tc>
      </w:tr>
      <w:tr w:rsidR="003E4415" w:rsidRPr="007B6175" w14:paraId="18F4FF1F" w14:textId="77777777" w:rsidTr="00140297">
        <w:trPr>
          <w:cantSplit/>
        </w:trPr>
        <w:tc>
          <w:tcPr>
            <w:tcW w:w="784" w:type="pct"/>
            <w:shd w:val="clear" w:color="auto" w:fill="auto"/>
            <w:vAlign w:val="center"/>
          </w:tcPr>
          <w:p w14:paraId="09A388E2" w14:textId="56E96B39" w:rsidR="00D244B6" w:rsidRPr="007B6175" w:rsidRDefault="005E7B0A" w:rsidP="00B417F5">
            <w:pPr>
              <w:pStyle w:val="TableText"/>
              <w:keepNext w:val="0"/>
            </w:pPr>
            <w:r w:rsidRPr="007B6175">
              <w:t>Proportion currently taking ≥3 oral preventatives</w:t>
            </w:r>
          </w:p>
        </w:tc>
        <w:tc>
          <w:tcPr>
            <w:tcW w:w="1728" w:type="pct"/>
            <w:shd w:val="clear" w:color="auto" w:fill="auto"/>
            <w:vAlign w:val="center"/>
          </w:tcPr>
          <w:p w14:paraId="61C6F202" w14:textId="7B4BD172" w:rsidR="00D244B6" w:rsidRPr="007B6175" w:rsidRDefault="005E7B0A" w:rsidP="00B417F5">
            <w:pPr>
              <w:pStyle w:val="TableText"/>
              <w:keepNext w:val="0"/>
            </w:pPr>
            <w:r w:rsidRPr="007B6175">
              <w:t>10%; Based on the results of an online survey of GPs (n=87) and neurologists (n=30) conducted by the sponsor. Neurologists reported 10% of patients and GPs reported 5% of patients were currently taking ≥3 oral preventatives.</w:t>
            </w:r>
          </w:p>
        </w:tc>
        <w:tc>
          <w:tcPr>
            <w:tcW w:w="2488" w:type="pct"/>
            <w:shd w:val="clear" w:color="auto" w:fill="auto"/>
            <w:vAlign w:val="center"/>
          </w:tcPr>
          <w:p w14:paraId="283F2180" w14:textId="50A81DF9" w:rsidR="00D244B6" w:rsidRPr="00B663F3" w:rsidRDefault="005E7B0A" w:rsidP="00071398">
            <w:pPr>
              <w:pStyle w:val="TableText"/>
              <w:keepNext w:val="0"/>
            </w:pPr>
            <w:r w:rsidRPr="00B663F3">
              <w:t xml:space="preserve">The resubmission assumed that only patients currently taking ≥3 oral migraine treatments would be treated. </w:t>
            </w:r>
            <w:r w:rsidR="00071398">
              <w:t>The evaluation noted that a</w:t>
            </w:r>
            <w:r w:rsidR="00071398" w:rsidRPr="00071398">
              <w:t>s current treatment with ≥3 prophylactic treatment is not a requirement under the proposed restriction, this step should not have been included.</w:t>
            </w:r>
          </w:p>
        </w:tc>
      </w:tr>
      <w:tr w:rsidR="003E4415" w:rsidRPr="007B6175" w14:paraId="0C865763" w14:textId="77777777" w:rsidTr="00140297">
        <w:trPr>
          <w:cantSplit/>
        </w:trPr>
        <w:tc>
          <w:tcPr>
            <w:tcW w:w="784" w:type="pct"/>
            <w:shd w:val="clear" w:color="auto" w:fill="auto"/>
            <w:vAlign w:val="center"/>
          </w:tcPr>
          <w:p w14:paraId="49D0440C" w14:textId="5E9509E9" w:rsidR="00E42F73" w:rsidRPr="007B6175" w:rsidRDefault="005E7B0A" w:rsidP="00B417F5">
            <w:pPr>
              <w:pStyle w:val="TableText"/>
              <w:keepNext w:val="0"/>
            </w:pPr>
            <w:r w:rsidRPr="007B6175">
              <w:t xml:space="preserve">Proportion </w:t>
            </w:r>
            <w:r w:rsidR="00C228D9" w:rsidRPr="007B6175">
              <w:t xml:space="preserve">currently </w:t>
            </w:r>
            <w:r w:rsidR="00637938" w:rsidRPr="007B6175">
              <w:t xml:space="preserve">taking ≥3 oral preventatives and </w:t>
            </w:r>
            <w:r w:rsidRPr="007B6175">
              <w:t>are intolerant, contraindicated, or have failed ≥3 preventative treatments</w:t>
            </w:r>
          </w:p>
        </w:tc>
        <w:tc>
          <w:tcPr>
            <w:tcW w:w="1728" w:type="pct"/>
            <w:shd w:val="clear" w:color="auto" w:fill="auto"/>
            <w:vAlign w:val="center"/>
          </w:tcPr>
          <w:p w14:paraId="55CF5673" w14:textId="5A7DC84A" w:rsidR="00E42F73" w:rsidRPr="007B6175" w:rsidRDefault="00637938" w:rsidP="00B417F5">
            <w:pPr>
              <w:pStyle w:val="TableText"/>
              <w:keepNext w:val="0"/>
            </w:pPr>
            <w:r w:rsidRPr="007B6175">
              <w:t>48%; Based on the results of an online survey of GPs (n=87) and Neurologists (n=30) conducted by the sponsor. Among patients taking ≥3 oral preventive treatments, an average of 48% are treatment resistant (not achieving adequate response, intolerance or contraindicated to ≥3 prophylactic migraine medication).</w:t>
            </w:r>
          </w:p>
        </w:tc>
        <w:tc>
          <w:tcPr>
            <w:tcW w:w="2488" w:type="pct"/>
            <w:shd w:val="clear" w:color="auto" w:fill="auto"/>
            <w:vAlign w:val="center"/>
          </w:tcPr>
          <w:p w14:paraId="0E346EAB" w14:textId="58F0AC44" w:rsidR="00E42F73" w:rsidRPr="00B663F3" w:rsidRDefault="00637938" w:rsidP="00B417F5">
            <w:pPr>
              <w:pStyle w:val="TableText"/>
              <w:keepNext w:val="0"/>
            </w:pPr>
            <w:r w:rsidRPr="00B663F3">
              <w:t xml:space="preserve">The proportion of patients who are treatment resistant (not achieving adequate response, intolerance or contraindicated to ≥3 prophylactic migraine medication) </w:t>
            </w:r>
            <w:r w:rsidR="001713D6" w:rsidRPr="00B663F3">
              <w:t>was</w:t>
            </w:r>
            <w:r w:rsidRPr="00B663F3">
              <w:t xml:space="preserve"> based on patients currently taking ≥3 oral preventatives which </w:t>
            </w:r>
            <w:r w:rsidR="00071398">
              <w:t xml:space="preserve">the evaluation considered </w:t>
            </w:r>
            <w:r w:rsidRPr="00B663F3">
              <w:t>was not consistent with the proposed restriction.</w:t>
            </w:r>
          </w:p>
        </w:tc>
      </w:tr>
      <w:tr w:rsidR="003E4415" w:rsidRPr="007B6175" w14:paraId="7DA05E57" w14:textId="77777777" w:rsidTr="00140297">
        <w:trPr>
          <w:cantSplit/>
        </w:trPr>
        <w:tc>
          <w:tcPr>
            <w:tcW w:w="784" w:type="pct"/>
            <w:shd w:val="clear" w:color="auto" w:fill="auto"/>
            <w:vAlign w:val="center"/>
          </w:tcPr>
          <w:p w14:paraId="38021BE8" w14:textId="57EE8062" w:rsidR="004658B5" w:rsidRPr="007B6175" w:rsidRDefault="006F6ADB" w:rsidP="00B417F5">
            <w:pPr>
              <w:pStyle w:val="TableText"/>
              <w:keepNext w:val="0"/>
            </w:pPr>
            <w:r w:rsidRPr="007B6175">
              <w:t>Continuing patients (patients with response)</w:t>
            </w:r>
          </w:p>
        </w:tc>
        <w:tc>
          <w:tcPr>
            <w:tcW w:w="1728" w:type="pct"/>
            <w:shd w:val="clear" w:color="auto" w:fill="auto"/>
            <w:vAlign w:val="center"/>
          </w:tcPr>
          <w:p w14:paraId="43F57750" w14:textId="614338EB" w:rsidR="004658B5" w:rsidRPr="007B6175" w:rsidRDefault="006F6ADB" w:rsidP="00B417F5">
            <w:pPr>
              <w:pStyle w:val="TableText"/>
              <w:keepNext w:val="0"/>
            </w:pPr>
            <w:r w:rsidRPr="007B6175">
              <w:t xml:space="preserve">40%; Based on the proportion included in the November 2020 </w:t>
            </w:r>
            <w:proofErr w:type="spellStart"/>
            <w:r w:rsidRPr="007B6175">
              <w:t>galcanezumab</w:t>
            </w:r>
            <w:proofErr w:type="spellEnd"/>
            <w:r w:rsidRPr="007B6175">
              <w:t xml:space="preserve"> chronic migraine minor resubmission.</w:t>
            </w:r>
          </w:p>
        </w:tc>
        <w:tc>
          <w:tcPr>
            <w:tcW w:w="2488" w:type="pct"/>
            <w:shd w:val="clear" w:color="auto" w:fill="auto"/>
            <w:vAlign w:val="center"/>
          </w:tcPr>
          <w:p w14:paraId="3AEEFE59" w14:textId="2569852D" w:rsidR="004658B5" w:rsidRPr="00B663F3" w:rsidRDefault="006F6ADB" w:rsidP="00B417F5">
            <w:pPr>
              <w:pStyle w:val="TableText"/>
              <w:keepNext w:val="0"/>
            </w:pPr>
            <w:r w:rsidRPr="00B663F3">
              <w:t>This was higher than the response rate reported for the high frequency subgroup with ≥3 prior treatments in the CONQUER trial used in the economic model (37.7%). However, some patients who achieve less than a 50% reduction in migraine headache days may continue treatment (</w:t>
            </w:r>
            <w:r w:rsidR="007920A8" w:rsidRPr="00B663F3">
              <w:t>i.e.,</w:t>
            </w:r>
            <w:r w:rsidRPr="00B663F3">
              <w:t xml:space="preserve"> outside of the proposed restriction) if a clinically meaningful reduction in migraine headache days is achieved.</w:t>
            </w:r>
          </w:p>
        </w:tc>
      </w:tr>
      <w:tr w:rsidR="003E4415" w:rsidRPr="007B6175" w14:paraId="7B7FA999" w14:textId="77777777" w:rsidTr="00140297">
        <w:trPr>
          <w:cantSplit/>
        </w:trPr>
        <w:tc>
          <w:tcPr>
            <w:tcW w:w="784" w:type="pct"/>
            <w:shd w:val="clear" w:color="auto" w:fill="auto"/>
            <w:vAlign w:val="center"/>
          </w:tcPr>
          <w:p w14:paraId="2C67FF14" w14:textId="7BF6CAC0" w:rsidR="004658B5" w:rsidRPr="007B6175" w:rsidRDefault="006F6ADB" w:rsidP="00B417F5">
            <w:pPr>
              <w:pStyle w:val="TableText"/>
              <w:keepNext w:val="0"/>
            </w:pPr>
            <w:r w:rsidRPr="007B6175">
              <w:t>Continuation rate in subsequent years</w:t>
            </w:r>
          </w:p>
        </w:tc>
        <w:tc>
          <w:tcPr>
            <w:tcW w:w="1728" w:type="pct"/>
            <w:shd w:val="clear" w:color="auto" w:fill="auto"/>
            <w:vAlign w:val="center"/>
          </w:tcPr>
          <w:p w14:paraId="2CB17643" w14:textId="67FFE9F9" w:rsidR="004658B5" w:rsidRPr="007B6175" w:rsidRDefault="006F6ADB" w:rsidP="00B417F5">
            <w:pPr>
              <w:pStyle w:val="TableText"/>
              <w:keepNext w:val="0"/>
            </w:pPr>
            <w:r w:rsidRPr="007B6175">
              <w:t xml:space="preserve">95%; Based on the proportion included in the November 2020 </w:t>
            </w:r>
            <w:proofErr w:type="spellStart"/>
            <w:r w:rsidRPr="007B6175">
              <w:t>galcanezumab</w:t>
            </w:r>
            <w:proofErr w:type="spellEnd"/>
            <w:r w:rsidRPr="007B6175">
              <w:t xml:space="preserve"> chronic migraine minor resubmission.</w:t>
            </w:r>
          </w:p>
        </w:tc>
        <w:tc>
          <w:tcPr>
            <w:tcW w:w="2488" w:type="pct"/>
            <w:shd w:val="clear" w:color="auto" w:fill="auto"/>
            <w:vAlign w:val="center"/>
          </w:tcPr>
          <w:p w14:paraId="2F12B392" w14:textId="42914DEF" w:rsidR="004658B5" w:rsidRPr="00B663F3" w:rsidRDefault="006F6ADB" w:rsidP="00B417F5">
            <w:pPr>
              <w:pStyle w:val="TableText"/>
              <w:keepNext w:val="0"/>
            </w:pPr>
            <w:r w:rsidRPr="00B663F3">
              <w:t>Continuation rates among patients with episodic migraine may be lower than estimated.</w:t>
            </w:r>
          </w:p>
        </w:tc>
      </w:tr>
      <w:tr w:rsidR="006F6ADB" w:rsidRPr="007B6175" w14:paraId="6583D706" w14:textId="77777777" w:rsidTr="00140297">
        <w:trPr>
          <w:cantSplit/>
        </w:trPr>
        <w:tc>
          <w:tcPr>
            <w:tcW w:w="784" w:type="pct"/>
            <w:shd w:val="clear" w:color="auto" w:fill="auto"/>
            <w:vAlign w:val="center"/>
          </w:tcPr>
          <w:p w14:paraId="62703D17" w14:textId="57DF09FE" w:rsidR="006F6ADB" w:rsidRPr="007B6175" w:rsidRDefault="006F6ADB" w:rsidP="00B417F5">
            <w:pPr>
              <w:pStyle w:val="TableText"/>
              <w:keepNext w:val="0"/>
            </w:pPr>
            <w:r w:rsidRPr="007B6175">
              <w:t>Grandfathered patients</w:t>
            </w:r>
          </w:p>
        </w:tc>
        <w:tc>
          <w:tcPr>
            <w:tcW w:w="1728" w:type="pct"/>
            <w:shd w:val="clear" w:color="auto" w:fill="auto"/>
            <w:vAlign w:val="center"/>
          </w:tcPr>
          <w:p w14:paraId="06E47EDD" w14:textId="57DDE956" w:rsidR="006F6ADB" w:rsidRPr="007B6175" w:rsidRDefault="006F6ADB" w:rsidP="00B417F5">
            <w:pPr>
              <w:pStyle w:val="TableText"/>
              <w:keepNext w:val="0"/>
            </w:pPr>
            <w:r w:rsidRPr="007B6175">
              <w:t xml:space="preserve">The resubmission estimated that approximately </w:t>
            </w:r>
            <w:r w:rsidR="008E2343">
              <w:t>&lt;500</w:t>
            </w:r>
            <w:r w:rsidR="008E2343" w:rsidRPr="007B6175">
              <w:t xml:space="preserve"> </w:t>
            </w:r>
            <w:r w:rsidRPr="007B6175">
              <w:t xml:space="preserve">patients from the sponsor’s access program would be treatment with </w:t>
            </w:r>
            <w:proofErr w:type="spellStart"/>
            <w:r w:rsidRPr="007B6175">
              <w:t>galcanezumab</w:t>
            </w:r>
            <w:proofErr w:type="spellEnd"/>
            <w:r w:rsidR="0040040F">
              <w:t xml:space="preserve"> under the proposed listing</w:t>
            </w:r>
            <w:r w:rsidRPr="007B6175">
              <w:t xml:space="preserve">. Based on </w:t>
            </w:r>
            <w:r w:rsidR="00C228D9" w:rsidRPr="007B6175">
              <w:t xml:space="preserve">the </w:t>
            </w:r>
            <w:r w:rsidRPr="007B6175">
              <w:t xml:space="preserve">assumption that 40% of patients </w:t>
            </w:r>
            <w:r w:rsidR="00076DF6" w:rsidRPr="007B6175">
              <w:t>achieve</w:t>
            </w:r>
            <w:r w:rsidRPr="007B6175">
              <w:t xml:space="preserve"> a ≥50% response and continue treatment at 12 weeks, and 95% of responders continue in subsequent years.</w:t>
            </w:r>
          </w:p>
        </w:tc>
        <w:tc>
          <w:tcPr>
            <w:tcW w:w="2488" w:type="pct"/>
            <w:shd w:val="clear" w:color="auto" w:fill="auto"/>
            <w:vAlign w:val="center"/>
          </w:tcPr>
          <w:p w14:paraId="06E3A028" w14:textId="6AB4002E" w:rsidR="006F6ADB" w:rsidRPr="00B663F3" w:rsidRDefault="00AB2432" w:rsidP="00B417F5">
            <w:pPr>
              <w:pStyle w:val="TableText"/>
              <w:keepNext w:val="0"/>
            </w:pPr>
            <w:r w:rsidRPr="00B663F3">
              <w:t>These patients would already be accounted for in the resubmission’s estimates of eligible patients.</w:t>
            </w:r>
          </w:p>
        </w:tc>
      </w:tr>
      <w:tr w:rsidR="006F6ADB" w:rsidRPr="007B6175" w14:paraId="56F5979F" w14:textId="77777777" w:rsidTr="00140297">
        <w:trPr>
          <w:cantSplit/>
        </w:trPr>
        <w:tc>
          <w:tcPr>
            <w:tcW w:w="784" w:type="pct"/>
            <w:shd w:val="clear" w:color="auto" w:fill="auto"/>
            <w:vAlign w:val="center"/>
          </w:tcPr>
          <w:p w14:paraId="37C9EE21" w14:textId="766E0CB7" w:rsidR="006F6ADB" w:rsidRPr="007B6175" w:rsidRDefault="00AB2432" w:rsidP="00B417F5">
            <w:pPr>
              <w:pStyle w:val="TableText"/>
              <w:keepNext w:val="0"/>
            </w:pPr>
            <w:proofErr w:type="spellStart"/>
            <w:r w:rsidRPr="007B6175">
              <w:t>Galcanezumab</w:t>
            </w:r>
            <w:proofErr w:type="spellEnd"/>
            <w:r w:rsidRPr="007B6175">
              <w:t xml:space="preserve"> price</w:t>
            </w:r>
          </w:p>
        </w:tc>
        <w:tc>
          <w:tcPr>
            <w:tcW w:w="1728" w:type="pct"/>
            <w:shd w:val="clear" w:color="auto" w:fill="auto"/>
            <w:vAlign w:val="center"/>
          </w:tcPr>
          <w:p w14:paraId="58C13B75" w14:textId="33A24AEB" w:rsidR="006F6ADB" w:rsidRPr="007B6175" w:rsidRDefault="00AB2432" w:rsidP="00B417F5">
            <w:pPr>
              <w:pStyle w:val="TableText"/>
              <w:keepNext w:val="0"/>
            </w:pPr>
            <w:r w:rsidRPr="007B6175">
              <w:t>$</w:t>
            </w:r>
            <w:r w:rsidR="004C3CC2" w:rsidRPr="004C3CC2">
              <w:rPr>
                <w:color w:val="000000"/>
                <w:spacing w:val="53"/>
                <w:shd w:val="solid" w:color="000000" w:fill="000000"/>
                <w:fitText w:val="330" w:id="-1504954368"/>
                <w14:textFill>
                  <w14:solidFill>
                    <w14:srgbClr w14:val="000000">
                      <w14:alpha w14:val="100000"/>
                    </w14:srgbClr>
                  </w14:solidFill>
                </w14:textFill>
              </w:rPr>
              <w:t>|||</w:t>
            </w:r>
            <w:r w:rsidR="004C3CC2" w:rsidRPr="004C3CC2">
              <w:rPr>
                <w:color w:val="000000"/>
                <w:spacing w:val="1"/>
                <w:shd w:val="solid" w:color="000000" w:fill="000000"/>
                <w:fitText w:val="330" w:id="-1504954368"/>
                <w14:textFill>
                  <w14:solidFill>
                    <w14:srgbClr w14:val="000000">
                      <w14:alpha w14:val="100000"/>
                    </w14:srgbClr>
                  </w14:solidFill>
                </w14:textFill>
              </w:rPr>
              <w:t>|</w:t>
            </w:r>
            <w:r w:rsidRPr="007B6175">
              <w:t xml:space="preserve"> (AEMP)/$</w:t>
            </w:r>
            <w:r w:rsidR="004C3CC2" w:rsidRPr="004C3CC2">
              <w:rPr>
                <w:color w:val="000000"/>
                <w:spacing w:val="53"/>
                <w:shd w:val="solid" w:color="000000" w:fill="000000"/>
                <w:fitText w:val="330" w:id="-1504954367"/>
                <w14:textFill>
                  <w14:solidFill>
                    <w14:srgbClr w14:val="000000">
                      <w14:alpha w14:val="100000"/>
                    </w14:srgbClr>
                  </w14:solidFill>
                </w14:textFill>
              </w:rPr>
              <w:t>|||</w:t>
            </w:r>
            <w:r w:rsidR="004C3CC2" w:rsidRPr="004C3CC2">
              <w:rPr>
                <w:color w:val="000000"/>
                <w:spacing w:val="1"/>
                <w:shd w:val="solid" w:color="000000" w:fill="000000"/>
                <w:fitText w:val="330" w:id="-1504954367"/>
                <w14:textFill>
                  <w14:solidFill>
                    <w14:srgbClr w14:val="000000">
                      <w14:alpha w14:val="100000"/>
                    </w14:srgbClr>
                  </w14:solidFill>
                </w14:textFill>
              </w:rPr>
              <w:t>|</w:t>
            </w:r>
            <w:r w:rsidRPr="007B6175">
              <w:t xml:space="preserve"> (DPMQ); Proposed effective price for </w:t>
            </w:r>
            <w:proofErr w:type="spellStart"/>
            <w:r w:rsidRPr="007B6175">
              <w:t>galcanezumab</w:t>
            </w:r>
            <w:proofErr w:type="spellEnd"/>
            <w:r w:rsidRPr="007B6175">
              <w:t>.</w:t>
            </w:r>
          </w:p>
        </w:tc>
        <w:tc>
          <w:tcPr>
            <w:tcW w:w="2488" w:type="pct"/>
            <w:shd w:val="clear" w:color="auto" w:fill="auto"/>
            <w:vAlign w:val="center"/>
          </w:tcPr>
          <w:p w14:paraId="0812DEAF" w14:textId="239D3F6B" w:rsidR="006F6ADB" w:rsidRPr="007B6175" w:rsidRDefault="00AB2432" w:rsidP="00B417F5">
            <w:pPr>
              <w:pStyle w:val="TableText"/>
              <w:keepNext w:val="0"/>
              <w:jc w:val="center"/>
              <w:rPr>
                <w:i/>
              </w:rPr>
            </w:pPr>
            <w:r w:rsidRPr="007B6175">
              <w:rPr>
                <w:i/>
              </w:rPr>
              <w:t>-</w:t>
            </w:r>
          </w:p>
        </w:tc>
      </w:tr>
      <w:tr w:rsidR="006F6ADB" w:rsidRPr="007B6175" w14:paraId="42B274C8" w14:textId="77777777" w:rsidTr="00140297">
        <w:trPr>
          <w:cantSplit/>
        </w:trPr>
        <w:tc>
          <w:tcPr>
            <w:tcW w:w="784" w:type="pct"/>
            <w:shd w:val="clear" w:color="auto" w:fill="auto"/>
            <w:vAlign w:val="center"/>
          </w:tcPr>
          <w:p w14:paraId="216EE8D2" w14:textId="59676D23" w:rsidR="006F6ADB" w:rsidRPr="007B6175" w:rsidRDefault="00AB2432" w:rsidP="00B417F5">
            <w:pPr>
              <w:pStyle w:val="TableText"/>
              <w:keepNext w:val="0"/>
            </w:pPr>
            <w:r w:rsidRPr="007B6175">
              <w:t>MBS costs</w:t>
            </w:r>
          </w:p>
        </w:tc>
        <w:tc>
          <w:tcPr>
            <w:tcW w:w="1728" w:type="pct"/>
            <w:shd w:val="clear" w:color="auto" w:fill="auto"/>
            <w:vAlign w:val="center"/>
          </w:tcPr>
          <w:p w14:paraId="36E69555" w14:textId="40E5BCA7" w:rsidR="006F6ADB" w:rsidRPr="007B6175" w:rsidRDefault="00AB2432" w:rsidP="00B417F5">
            <w:pPr>
              <w:pStyle w:val="TableText"/>
              <w:keepNext w:val="0"/>
            </w:pPr>
            <w:r w:rsidRPr="007B6175">
              <w:t>$79.75; Neurologist visits (MBS item 116), first visit, after 3 treatment cycles, then ongoing follow-up every 6 treatment cycles; 2 visits in first 3 months, one additional visit in Year 1 for continuing patients, then 2.03 visits/year after the first year.</w:t>
            </w:r>
          </w:p>
        </w:tc>
        <w:tc>
          <w:tcPr>
            <w:tcW w:w="2488" w:type="pct"/>
            <w:shd w:val="clear" w:color="auto" w:fill="auto"/>
            <w:vAlign w:val="center"/>
          </w:tcPr>
          <w:p w14:paraId="46FBBDF0" w14:textId="20C7A01D" w:rsidR="006F6ADB" w:rsidRPr="00B663F3" w:rsidRDefault="00AB2432" w:rsidP="00B417F5">
            <w:pPr>
              <w:pStyle w:val="TableText"/>
              <w:keepNext w:val="0"/>
            </w:pPr>
            <w:r w:rsidRPr="00B663F3">
              <w:t>The estimates are likely to be overestimated, given that a large proportion of patients would be managed by their GP after an initial consultation with a neurologist.</w:t>
            </w:r>
          </w:p>
        </w:tc>
      </w:tr>
    </w:tbl>
    <w:p w14:paraId="25278A04" w14:textId="4381D9CC" w:rsidR="00AB2432" w:rsidRPr="007B6175" w:rsidRDefault="00AB2432" w:rsidP="00C228D9">
      <w:pPr>
        <w:pStyle w:val="TableFooter"/>
      </w:pPr>
      <w:r w:rsidRPr="007B6175">
        <w:t>Source: Table 4.1.2, pp149-150; Table 4.1.3, pp150-151 of the resubmission.</w:t>
      </w:r>
    </w:p>
    <w:p w14:paraId="18D32C76" w14:textId="1F698984" w:rsidR="00E42F73" w:rsidRPr="007B6175" w:rsidRDefault="00AB2432" w:rsidP="00C228D9">
      <w:pPr>
        <w:pStyle w:val="TableFooter"/>
      </w:pPr>
      <w:r w:rsidRPr="007B6175">
        <w:t xml:space="preserve">Abbreviations: AEMP, approved ex-manufacturer price; </w:t>
      </w:r>
      <w:proofErr w:type="gramStart"/>
      <w:r w:rsidR="004C3CC2" w:rsidRPr="004C3CC2">
        <w:rPr>
          <w:color w:val="000000"/>
          <w:spacing w:val="40"/>
          <w:shd w:val="solid" w:color="000000" w:fill="000000"/>
          <w:fitText w:val="280" w:id="-1504954366"/>
          <w14:textFill>
            <w14:solidFill>
              <w14:srgbClr w14:val="000000">
                <w14:alpha w14:val="100000"/>
              </w14:srgbClr>
            </w14:solidFill>
          </w14:textFill>
        </w:rPr>
        <w:t xml:space="preserve">|  </w:t>
      </w:r>
      <w:r w:rsidR="004C3CC2" w:rsidRPr="004C3CC2">
        <w:rPr>
          <w:color w:val="000000"/>
          <w:spacing w:val="2"/>
          <w:shd w:val="solid" w:color="000000" w:fill="000000"/>
          <w:fitText w:val="280" w:id="-1504954366"/>
          <w14:textFill>
            <w14:solidFill>
              <w14:srgbClr w14:val="000000">
                <w14:alpha w14:val="100000"/>
              </w14:srgbClr>
            </w14:solidFill>
          </w14:textFill>
        </w:rPr>
        <w:t>|</w:t>
      </w:r>
      <w:proofErr w:type="gramEnd"/>
      <w:r w:rsidR="00A60BD8">
        <w:t xml:space="preserve"> </w:t>
      </w:r>
      <w:r w:rsidRPr="007B6175">
        <w:t>American Migraine Prevalence and Prevention; DPMQ, dispensed price for maximum quantity; GBD, Global Burden of Disease; GP, general practitioner.</w:t>
      </w:r>
    </w:p>
    <w:p w14:paraId="7C418E73" w14:textId="582B5542" w:rsidR="005551CF" w:rsidRDefault="00D57079" w:rsidP="00340E3E">
      <w:pPr>
        <w:pStyle w:val="ExecSumBodyText"/>
      </w:pPr>
      <w:r w:rsidRPr="007B6175">
        <w:t xml:space="preserve">The estimated utilisation and financial impact of listing </w:t>
      </w:r>
      <w:proofErr w:type="spellStart"/>
      <w:r w:rsidRPr="007B6175">
        <w:t>galcanezumab</w:t>
      </w:r>
      <w:proofErr w:type="spellEnd"/>
      <w:r w:rsidRPr="007B6175">
        <w:t xml:space="preserve"> for high frequency episodic migraine is presented in the table below.</w:t>
      </w:r>
    </w:p>
    <w:p w14:paraId="1172990D" w14:textId="77777777" w:rsidR="005551CF" w:rsidRDefault="005551CF">
      <w:pPr>
        <w:jc w:val="left"/>
        <w:rPr>
          <w:rFonts w:asciiTheme="minorHAnsi" w:hAnsiTheme="minorHAnsi"/>
          <w:snapToGrid w:val="0"/>
        </w:rPr>
      </w:pPr>
      <w:r>
        <w:br w:type="page"/>
      </w:r>
    </w:p>
    <w:p w14:paraId="0547D5C4" w14:textId="0D77B20B" w:rsidR="0015163D" w:rsidRPr="007B6175" w:rsidRDefault="0015163D" w:rsidP="0071406C">
      <w:pPr>
        <w:pStyle w:val="TableHeading"/>
      </w:pPr>
      <w:r w:rsidRPr="007B6175">
        <w:t xml:space="preserve">Table </w:t>
      </w:r>
      <w:r>
        <w:fldChar w:fldCharType="begin"/>
      </w:r>
      <w:r>
        <w:instrText>SEQ Table \* ARABIC</w:instrText>
      </w:r>
      <w:r>
        <w:fldChar w:fldCharType="separate"/>
      </w:r>
      <w:r w:rsidR="00046698">
        <w:rPr>
          <w:noProof/>
        </w:rPr>
        <w:t>17</w:t>
      </w:r>
      <w:r>
        <w:fldChar w:fldCharType="end"/>
      </w:r>
      <w:r w:rsidR="008250DB" w:rsidRPr="007B6175">
        <w:t xml:space="preserve">: Estimated utilisation and financial impact of listing </w:t>
      </w:r>
      <w:proofErr w:type="spellStart"/>
      <w:r w:rsidR="008250DB" w:rsidRPr="007B6175">
        <w:t>galcanezumab</w:t>
      </w:r>
      <w:proofErr w:type="spellEnd"/>
      <w:r w:rsidR="008250DB" w:rsidRPr="007B6175">
        <w:t xml:space="preserve"> for high frequency episodic migraine</w:t>
      </w:r>
    </w:p>
    <w:tbl>
      <w:tblPr>
        <w:tblStyle w:val="TableGrid"/>
        <w:tblpPr w:leftFromText="180" w:rightFromText="180" w:vertAnchor="text" w:tblpY="1"/>
        <w:tblOverlap w:val="never"/>
        <w:tblW w:w="5000" w:type="pct"/>
        <w:tblLayout w:type="fixed"/>
        <w:tblCellMar>
          <w:left w:w="57" w:type="dxa"/>
          <w:right w:w="57" w:type="dxa"/>
        </w:tblCellMar>
        <w:tblLook w:val="04A0" w:firstRow="1" w:lastRow="0" w:firstColumn="1" w:lastColumn="0" w:noHBand="0" w:noVBand="1"/>
      </w:tblPr>
      <w:tblGrid>
        <w:gridCol w:w="2264"/>
        <w:gridCol w:w="1133"/>
        <w:gridCol w:w="1134"/>
        <w:gridCol w:w="1134"/>
        <w:gridCol w:w="1134"/>
        <w:gridCol w:w="1134"/>
        <w:gridCol w:w="1084"/>
      </w:tblGrid>
      <w:tr w:rsidR="004713D9" w:rsidRPr="007B6175" w14:paraId="59511923" w14:textId="77777777" w:rsidTr="00845E08">
        <w:trPr>
          <w:trHeight w:val="64"/>
          <w:tblHeader/>
        </w:trPr>
        <w:tc>
          <w:tcPr>
            <w:tcW w:w="1255" w:type="pct"/>
          </w:tcPr>
          <w:p w14:paraId="2B87FAE1" w14:textId="77777777" w:rsidR="004713D9" w:rsidRPr="007B6175" w:rsidRDefault="004713D9" w:rsidP="00F75DE5">
            <w:pPr>
              <w:keepNext/>
              <w:contextualSpacing/>
              <w:rPr>
                <w:rFonts w:ascii="Arial Narrow" w:hAnsi="Arial Narrow"/>
                <w:color w:val="3366FF"/>
                <w:sz w:val="20"/>
                <w:szCs w:val="20"/>
              </w:rPr>
            </w:pPr>
          </w:p>
        </w:tc>
        <w:tc>
          <w:tcPr>
            <w:tcW w:w="628" w:type="pct"/>
            <w:shd w:val="clear" w:color="auto" w:fill="FFFFFF" w:themeFill="background1"/>
            <w:vAlign w:val="center"/>
          </w:tcPr>
          <w:p w14:paraId="1AB04802" w14:textId="77777777" w:rsidR="004713D9" w:rsidRPr="007B6175" w:rsidRDefault="004713D9" w:rsidP="00F75DE5">
            <w:pPr>
              <w:pStyle w:val="TableFigureCaption"/>
              <w:contextualSpacing/>
              <w:jc w:val="center"/>
            </w:pPr>
            <w:r w:rsidRPr="007B6175">
              <w:t>Year 1</w:t>
            </w:r>
          </w:p>
        </w:tc>
        <w:tc>
          <w:tcPr>
            <w:tcW w:w="629" w:type="pct"/>
            <w:shd w:val="clear" w:color="auto" w:fill="FFFFFF" w:themeFill="background1"/>
            <w:vAlign w:val="center"/>
          </w:tcPr>
          <w:p w14:paraId="77C72607" w14:textId="77777777" w:rsidR="004713D9" w:rsidRPr="007B6175" w:rsidRDefault="004713D9" w:rsidP="00F75DE5">
            <w:pPr>
              <w:pStyle w:val="TableFigureCaption"/>
              <w:contextualSpacing/>
              <w:jc w:val="center"/>
            </w:pPr>
            <w:r w:rsidRPr="007B6175">
              <w:t>Year 2</w:t>
            </w:r>
          </w:p>
        </w:tc>
        <w:tc>
          <w:tcPr>
            <w:tcW w:w="629" w:type="pct"/>
            <w:shd w:val="clear" w:color="auto" w:fill="FFFFFF" w:themeFill="background1"/>
            <w:vAlign w:val="center"/>
          </w:tcPr>
          <w:p w14:paraId="2E0AC850" w14:textId="77777777" w:rsidR="004713D9" w:rsidRPr="007B6175" w:rsidRDefault="004713D9" w:rsidP="00F75DE5">
            <w:pPr>
              <w:pStyle w:val="TableFigureCaption"/>
              <w:contextualSpacing/>
              <w:jc w:val="center"/>
            </w:pPr>
            <w:r w:rsidRPr="007B6175">
              <w:t>Year 3</w:t>
            </w:r>
          </w:p>
        </w:tc>
        <w:tc>
          <w:tcPr>
            <w:tcW w:w="629" w:type="pct"/>
            <w:shd w:val="clear" w:color="auto" w:fill="FFFFFF" w:themeFill="background1"/>
            <w:vAlign w:val="center"/>
          </w:tcPr>
          <w:p w14:paraId="6EB382F2" w14:textId="77777777" w:rsidR="004713D9" w:rsidRPr="007B6175" w:rsidRDefault="004713D9" w:rsidP="00F75DE5">
            <w:pPr>
              <w:pStyle w:val="TableFigureCaption"/>
              <w:contextualSpacing/>
              <w:jc w:val="center"/>
            </w:pPr>
            <w:r w:rsidRPr="007B6175">
              <w:t>Year 4</w:t>
            </w:r>
          </w:p>
        </w:tc>
        <w:tc>
          <w:tcPr>
            <w:tcW w:w="629" w:type="pct"/>
            <w:shd w:val="clear" w:color="auto" w:fill="FFFFFF" w:themeFill="background1"/>
            <w:vAlign w:val="center"/>
          </w:tcPr>
          <w:p w14:paraId="77B36E9A" w14:textId="77777777" w:rsidR="004713D9" w:rsidRPr="007B6175" w:rsidRDefault="004713D9" w:rsidP="00F75DE5">
            <w:pPr>
              <w:pStyle w:val="TableFigureCaption"/>
              <w:contextualSpacing/>
              <w:jc w:val="center"/>
            </w:pPr>
            <w:r w:rsidRPr="007B6175">
              <w:t>Year 5</w:t>
            </w:r>
          </w:p>
        </w:tc>
        <w:tc>
          <w:tcPr>
            <w:tcW w:w="601" w:type="pct"/>
            <w:shd w:val="clear" w:color="auto" w:fill="FFFFFF" w:themeFill="background1"/>
            <w:vAlign w:val="center"/>
          </w:tcPr>
          <w:p w14:paraId="39A71157" w14:textId="77777777" w:rsidR="004713D9" w:rsidRPr="007B6175" w:rsidRDefault="004713D9" w:rsidP="00F75DE5">
            <w:pPr>
              <w:pStyle w:val="TableFigureCaption"/>
              <w:contextualSpacing/>
              <w:jc w:val="center"/>
            </w:pPr>
            <w:r w:rsidRPr="007B6175">
              <w:t>Year 6</w:t>
            </w:r>
          </w:p>
        </w:tc>
      </w:tr>
      <w:tr w:rsidR="004713D9" w:rsidRPr="007B6175" w14:paraId="0FA083AD" w14:textId="77777777" w:rsidTr="00845E08">
        <w:tc>
          <w:tcPr>
            <w:tcW w:w="1255" w:type="pct"/>
          </w:tcPr>
          <w:p w14:paraId="173E2816" w14:textId="77777777" w:rsidR="004713D9" w:rsidRPr="007B6175" w:rsidRDefault="004713D9" w:rsidP="00F75DE5">
            <w:pPr>
              <w:pStyle w:val="TableText"/>
            </w:pPr>
            <w:r w:rsidRPr="007B6175">
              <w:rPr>
                <w:rFonts w:cs="Calibri"/>
                <w:color w:val="000000"/>
              </w:rPr>
              <w:t>Australian population (18 to 90 years of age)</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46949BB3" w14:textId="41B8610D" w:rsidR="004713D9" w:rsidRPr="004C3CC2" w:rsidRDefault="004C3CC2" w:rsidP="00F75DE5">
            <w:pPr>
              <w:pStyle w:val="TableText"/>
              <w:jc w:val="center"/>
              <w:rPr>
                <w:highlight w:val="yellow"/>
                <w:vertAlign w:val="superscript"/>
              </w:rPr>
            </w:pPr>
            <w:r w:rsidRPr="004C3CC2">
              <w:rPr>
                <w:rFonts w:hint="eastAsia"/>
                <w:color w:val="000000"/>
                <w:w w:val="15"/>
                <w:shd w:val="solid" w:color="000000" w:fill="000000"/>
                <w:fitText w:val="70" w:id="-1504954365"/>
                <w14:textFill>
                  <w14:solidFill>
                    <w14:srgbClr w14:val="000000">
                      <w14:alpha w14:val="100000"/>
                    </w14:srgbClr>
                  </w14:solidFill>
                </w14:textFill>
              </w:rPr>
              <w:t xml:space="preserve">　</w:t>
            </w:r>
            <w:r w:rsidRPr="004C3CC2">
              <w:rPr>
                <w:color w:val="000000"/>
                <w:w w:val="15"/>
                <w:shd w:val="solid" w:color="000000" w:fill="000000"/>
                <w:fitText w:val="70" w:id="-1504954365"/>
                <w14:textFill>
                  <w14:solidFill>
                    <w14:srgbClr w14:val="000000">
                      <w14:alpha w14:val="100000"/>
                    </w14:srgbClr>
                  </w14:solidFill>
                </w14:textFill>
              </w:rPr>
              <w:t>|</w:t>
            </w:r>
            <w:r w:rsidRPr="004C3CC2">
              <w:rPr>
                <w:rFonts w:hint="eastAsia"/>
                <w:color w:val="000000"/>
                <w:spacing w:val="4"/>
                <w:w w:val="15"/>
                <w:shd w:val="solid" w:color="000000" w:fill="000000"/>
                <w:fitText w:val="70" w:id="-1504954365"/>
                <w14:textFill>
                  <w14:solidFill>
                    <w14:srgbClr w14:val="000000">
                      <w14:alpha w14:val="100000"/>
                    </w14:srgbClr>
                  </w14:solidFill>
                </w14:textFill>
              </w:rPr>
              <w:t xml:space="preserve">　</w:t>
            </w:r>
            <w:r w:rsidR="009672AF" w:rsidRPr="004C3CC2">
              <w:rPr>
                <w:vertAlign w:val="superscript"/>
              </w:rPr>
              <w:t>1</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4E25F559" w14:textId="599181E8"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64"/>
                <w14:textFill>
                  <w14:solidFill>
                    <w14:srgbClr w14:val="000000">
                      <w14:alpha w14:val="100000"/>
                    </w14:srgbClr>
                  </w14:solidFill>
                </w14:textFill>
              </w:rPr>
              <w:t xml:space="preserve">　</w:t>
            </w:r>
            <w:r w:rsidRPr="004C3CC2">
              <w:rPr>
                <w:color w:val="000000"/>
                <w:w w:val="15"/>
                <w:shd w:val="solid" w:color="000000" w:fill="000000"/>
                <w:fitText w:val="70" w:id="-1504954364"/>
                <w14:textFill>
                  <w14:solidFill>
                    <w14:srgbClr w14:val="000000">
                      <w14:alpha w14:val="100000"/>
                    </w14:srgbClr>
                  </w14:solidFill>
                </w14:textFill>
              </w:rPr>
              <w:t>|</w:t>
            </w:r>
            <w:r w:rsidRPr="004C3CC2">
              <w:rPr>
                <w:rFonts w:hint="eastAsia"/>
                <w:color w:val="000000"/>
                <w:spacing w:val="4"/>
                <w:w w:val="15"/>
                <w:shd w:val="solid" w:color="000000" w:fill="000000"/>
                <w:fitText w:val="70" w:id="-1504954364"/>
                <w14:textFill>
                  <w14:solidFill>
                    <w14:srgbClr w14:val="000000">
                      <w14:alpha w14:val="100000"/>
                    </w14:srgbClr>
                  </w14:solidFill>
                </w14:textFill>
              </w:rPr>
              <w:t xml:space="preserve">　</w:t>
            </w:r>
            <w:r w:rsidR="009672AF" w:rsidRPr="00670FEB">
              <w:rPr>
                <w:vertAlign w:val="superscript"/>
              </w:rPr>
              <w:t>1</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21423093" w14:textId="042FA9CD"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63"/>
                <w14:textFill>
                  <w14:solidFill>
                    <w14:srgbClr w14:val="000000">
                      <w14:alpha w14:val="100000"/>
                    </w14:srgbClr>
                  </w14:solidFill>
                </w14:textFill>
              </w:rPr>
              <w:t xml:space="preserve">　</w:t>
            </w:r>
            <w:r w:rsidRPr="004C3CC2">
              <w:rPr>
                <w:color w:val="000000"/>
                <w:w w:val="15"/>
                <w:shd w:val="solid" w:color="000000" w:fill="000000"/>
                <w:fitText w:val="70" w:id="-1504954363"/>
                <w14:textFill>
                  <w14:solidFill>
                    <w14:srgbClr w14:val="000000">
                      <w14:alpha w14:val="100000"/>
                    </w14:srgbClr>
                  </w14:solidFill>
                </w14:textFill>
              </w:rPr>
              <w:t>|</w:t>
            </w:r>
            <w:r w:rsidRPr="004C3CC2">
              <w:rPr>
                <w:rFonts w:hint="eastAsia"/>
                <w:color w:val="000000"/>
                <w:spacing w:val="4"/>
                <w:w w:val="15"/>
                <w:shd w:val="solid" w:color="000000" w:fill="000000"/>
                <w:fitText w:val="70" w:id="-1504954363"/>
                <w14:textFill>
                  <w14:solidFill>
                    <w14:srgbClr w14:val="000000">
                      <w14:alpha w14:val="100000"/>
                    </w14:srgbClr>
                  </w14:solidFill>
                </w14:textFill>
              </w:rPr>
              <w:t xml:space="preserve">　</w:t>
            </w:r>
            <w:r w:rsidR="009672AF" w:rsidRPr="00670FEB">
              <w:rPr>
                <w:vertAlign w:val="superscript"/>
              </w:rPr>
              <w:t>1</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034E37B2" w14:textId="415C98C6"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62"/>
                <w14:textFill>
                  <w14:solidFill>
                    <w14:srgbClr w14:val="000000">
                      <w14:alpha w14:val="100000"/>
                    </w14:srgbClr>
                  </w14:solidFill>
                </w14:textFill>
              </w:rPr>
              <w:t xml:space="preserve">　</w:t>
            </w:r>
            <w:r w:rsidRPr="004C3CC2">
              <w:rPr>
                <w:color w:val="000000"/>
                <w:w w:val="15"/>
                <w:shd w:val="solid" w:color="000000" w:fill="000000"/>
                <w:fitText w:val="70" w:id="-1504954362"/>
                <w14:textFill>
                  <w14:solidFill>
                    <w14:srgbClr w14:val="000000">
                      <w14:alpha w14:val="100000"/>
                    </w14:srgbClr>
                  </w14:solidFill>
                </w14:textFill>
              </w:rPr>
              <w:t>|</w:t>
            </w:r>
            <w:r w:rsidRPr="004C3CC2">
              <w:rPr>
                <w:rFonts w:hint="eastAsia"/>
                <w:color w:val="000000"/>
                <w:spacing w:val="4"/>
                <w:w w:val="15"/>
                <w:shd w:val="solid" w:color="000000" w:fill="000000"/>
                <w:fitText w:val="70" w:id="-1504954362"/>
                <w14:textFill>
                  <w14:solidFill>
                    <w14:srgbClr w14:val="000000">
                      <w14:alpha w14:val="100000"/>
                    </w14:srgbClr>
                  </w14:solidFill>
                </w14:textFill>
              </w:rPr>
              <w:t xml:space="preserve">　</w:t>
            </w:r>
            <w:r w:rsidR="009672AF" w:rsidRPr="00670FEB">
              <w:rPr>
                <w:vertAlign w:val="superscript"/>
              </w:rPr>
              <w:t>1</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6ABB554B" w14:textId="10FE2B7F"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61"/>
                <w14:textFill>
                  <w14:solidFill>
                    <w14:srgbClr w14:val="000000">
                      <w14:alpha w14:val="100000"/>
                    </w14:srgbClr>
                  </w14:solidFill>
                </w14:textFill>
              </w:rPr>
              <w:t xml:space="preserve">　</w:t>
            </w:r>
            <w:r w:rsidRPr="004C3CC2">
              <w:rPr>
                <w:color w:val="000000"/>
                <w:w w:val="15"/>
                <w:shd w:val="solid" w:color="000000" w:fill="000000"/>
                <w:fitText w:val="70" w:id="-1504954361"/>
                <w14:textFill>
                  <w14:solidFill>
                    <w14:srgbClr w14:val="000000">
                      <w14:alpha w14:val="100000"/>
                    </w14:srgbClr>
                  </w14:solidFill>
                </w14:textFill>
              </w:rPr>
              <w:t>|</w:t>
            </w:r>
            <w:r w:rsidRPr="004C3CC2">
              <w:rPr>
                <w:rFonts w:hint="eastAsia"/>
                <w:color w:val="000000"/>
                <w:spacing w:val="4"/>
                <w:w w:val="15"/>
                <w:shd w:val="solid" w:color="000000" w:fill="000000"/>
                <w:fitText w:val="70" w:id="-1504954361"/>
                <w14:textFill>
                  <w14:solidFill>
                    <w14:srgbClr w14:val="000000">
                      <w14:alpha w14:val="100000"/>
                    </w14:srgbClr>
                  </w14:solidFill>
                </w14:textFill>
              </w:rPr>
              <w:t xml:space="preserve">　</w:t>
            </w:r>
            <w:r w:rsidR="009672AF" w:rsidRPr="00670FEB">
              <w:rPr>
                <w:vertAlign w:val="superscript"/>
              </w:rPr>
              <w:t>1</w:t>
            </w:r>
          </w:p>
        </w:tc>
        <w:tc>
          <w:tcPr>
            <w:tcW w:w="601" w:type="pct"/>
            <w:tcBorders>
              <w:top w:val="single" w:sz="4" w:space="0" w:color="auto"/>
              <w:left w:val="nil"/>
              <w:bottom w:val="single" w:sz="4" w:space="0" w:color="auto"/>
              <w:right w:val="single" w:sz="4" w:space="0" w:color="auto"/>
            </w:tcBorders>
            <w:shd w:val="clear" w:color="000000" w:fill="FFFFFF"/>
            <w:vAlign w:val="center"/>
          </w:tcPr>
          <w:p w14:paraId="2FC40FD7" w14:textId="221DC293" w:rsidR="004713D9" w:rsidRPr="004C3CC2" w:rsidRDefault="004C3CC2" w:rsidP="00F75DE5">
            <w:pPr>
              <w:pStyle w:val="TableText"/>
              <w:jc w:val="center"/>
              <w:rPr>
                <w:highlight w:val="yellow"/>
              </w:rPr>
            </w:pPr>
            <w:r w:rsidRPr="004C3CC2">
              <w:rPr>
                <w:rFonts w:hint="eastAsia"/>
                <w:color w:val="000000"/>
                <w:w w:val="18"/>
                <w:shd w:val="solid" w:color="000000" w:fill="000000"/>
                <w:fitText w:val="80" w:id="-1504954360"/>
                <w14:textFill>
                  <w14:solidFill>
                    <w14:srgbClr w14:val="000000">
                      <w14:alpha w14:val="100000"/>
                    </w14:srgbClr>
                  </w14:solidFill>
                </w14:textFill>
              </w:rPr>
              <w:t xml:space="preserve">　</w:t>
            </w:r>
            <w:r w:rsidRPr="004C3CC2">
              <w:rPr>
                <w:color w:val="000000"/>
                <w:w w:val="18"/>
                <w:shd w:val="solid" w:color="000000" w:fill="000000"/>
                <w:fitText w:val="80" w:id="-1504954360"/>
                <w14:textFill>
                  <w14:solidFill>
                    <w14:srgbClr w14:val="000000">
                      <w14:alpha w14:val="100000"/>
                    </w14:srgbClr>
                  </w14:solidFill>
                </w14:textFill>
              </w:rPr>
              <w:t>|</w:t>
            </w:r>
            <w:r w:rsidRPr="004C3CC2">
              <w:rPr>
                <w:rFonts w:hint="eastAsia"/>
                <w:color w:val="000000"/>
                <w:w w:val="18"/>
                <w:shd w:val="solid" w:color="000000" w:fill="000000"/>
                <w:fitText w:val="80" w:id="-1504954360"/>
                <w14:textFill>
                  <w14:solidFill>
                    <w14:srgbClr w14:val="000000">
                      <w14:alpha w14:val="100000"/>
                    </w14:srgbClr>
                  </w14:solidFill>
                </w14:textFill>
              </w:rPr>
              <w:t xml:space="preserve">　</w:t>
            </w:r>
            <w:r w:rsidR="009672AF" w:rsidRPr="00670FEB">
              <w:rPr>
                <w:vertAlign w:val="superscript"/>
              </w:rPr>
              <w:t>1</w:t>
            </w:r>
          </w:p>
        </w:tc>
      </w:tr>
      <w:tr w:rsidR="004713D9" w:rsidRPr="007B6175" w14:paraId="1A214E0F" w14:textId="77777777" w:rsidTr="00845E08">
        <w:tc>
          <w:tcPr>
            <w:tcW w:w="1255" w:type="pct"/>
          </w:tcPr>
          <w:p w14:paraId="1BE82BC9" w14:textId="77777777" w:rsidR="004713D9" w:rsidRPr="007B6175" w:rsidRDefault="004713D9" w:rsidP="00F75DE5">
            <w:pPr>
              <w:pStyle w:val="TableText"/>
            </w:pPr>
            <w:r w:rsidRPr="007B6175">
              <w:rPr>
                <w:rFonts w:cs="Calibri"/>
                <w:color w:val="000000"/>
              </w:rPr>
              <w:t>Migraine prevalence (22.8%)</w:t>
            </w:r>
          </w:p>
        </w:tc>
        <w:tc>
          <w:tcPr>
            <w:tcW w:w="628" w:type="pct"/>
            <w:tcBorders>
              <w:top w:val="nil"/>
              <w:left w:val="single" w:sz="4" w:space="0" w:color="auto"/>
              <w:bottom w:val="single" w:sz="4" w:space="0" w:color="auto"/>
              <w:right w:val="single" w:sz="4" w:space="0" w:color="auto"/>
            </w:tcBorders>
            <w:shd w:val="clear" w:color="000000" w:fill="FFFFFF"/>
            <w:vAlign w:val="center"/>
          </w:tcPr>
          <w:p w14:paraId="34E490BE" w14:textId="32F5B92C"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59"/>
                <w14:textFill>
                  <w14:solidFill>
                    <w14:srgbClr w14:val="000000">
                      <w14:alpha w14:val="100000"/>
                    </w14:srgbClr>
                  </w14:solidFill>
                </w14:textFill>
              </w:rPr>
              <w:t xml:space="preserve">　</w:t>
            </w:r>
            <w:r w:rsidRPr="004C3CC2">
              <w:rPr>
                <w:color w:val="000000"/>
                <w:w w:val="15"/>
                <w:shd w:val="solid" w:color="000000" w:fill="000000"/>
                <w:fitText w:val="70" w:id="-1504954359"/>
                <w14:textFill>
                  <w14:solidFill>
                    <w14:srgbClr w14:val="000000">
                      <w14:alpha w14:val="100000"/>
                    </w14:srgbClr>
                  </w14:solidFill>
                </w14:textFill>
              </w:rPr>
              <w:t>|</w:t>
            </w:r>
            <w:r w:rsidRPr="004C3CC2">
              <w:rPr>
                <w:rFonts w:hint="eastAsia"/>
                <w:color w:val="000000"/>
                <w:spacing w:val="4"/>
                <w:w w:val="15"/>
                <w:shd w:val="solid" w:color="000000" w:fill="000000"/>
                <w:fitText w:val="70" w:id="-1504954359"/>
                <w14:textFill>
                  <w14:solidFill>
                    <w14:srgbClr w14:val="000000">
                      <w14:alpha w14:val="100000"/>
                    </w14:srgbClr>
                  </w14:solidFill>
                </w14:textFill>
              </w:rPr>
              <w:t xml:space="preserve">　</w:t>
            </w:r>
            <w:r w:rsidR="009672AF">
              <w:rPr>
                <w:vertAlign w:val="superscript"/>
              </w:rPr>
              <w:t>2</w:t>
            </w:r>
          </w:p>
        </w:tc>
        <w:tc>
          <w:tcPr>
            <w:tcW w:w="629" w:type="pct"/>
            <w:tcBorders>
              <w:top w:val="nil"/>
              <w:left w:val="nil"/>
              <w:bottom w:val="single" w:sz="4" w:space="0" w:color="auto"/>
              <w:right w:val="single" w:sz="4" w:space="0" w:color="auto"/>
            </w:tcBorders>
            <w:shd w:val="clear" w:color="000000" w:fill="FFFFFF"/>
            <w:vAlign w:val="center"/>
          </w:tcPr>
          <w:p w14:paraId="3F9190E1" w14:textId="5DEE84DD"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58"/>
                <w14:textFill>
                  <w14:solidFill>
                    <w14:srgbClr w14:val="000000">
                      <w14:alpha w14:val="100000"/>
                    </w14:srgbClr>
                  </w14:solidFill>
                </w14:textFill>
              </w:rPr>
              <w:t xml:space="preserve">　</w:t>
            </w:r>
            <w:r w:rsidRPr="004C3CC2">
              <w:rPr>
                <w:color w:val="000000"/>
                <w:w w:val="15"/>
                <w:shd w:val="solid" w:color="000000" w:fill="000000"/>
                <w:fitText w:val="70" w:id="-1504954358"/>
                <w14:textFill>
                  <w14:solidFill>
                    <w14:srgbClr w14:val="000000">
                      <w14:alpha w14:val="100000"/>
                    </w14:srgbClr>
                  </w14:solidFill>
                </w14:textFill>
              </w:rPr>
              <w:t>|</w:t>
            </w:r>
            <w:r w:rsidRPr="004C3CC2">
              <w:rPr>
                <w:rFonts w:hint="eastAsia"/>
                <w:color w:val="000000"/>
                <w:spacing w:val="4"/>
                <w:w w:val="15"/>
                <w:shd w:val="solid" w:color="000000" w:fill="000000"/>
                <w:fitText w:val="70" w:id="-1504954358"/>
                <w14:textFill>
                  <w14:solidFill>
                    <w14:srgbClr w14:val="000000">
                      <w14:alpha w14:val="100000"/>
                    </w14:srgbClr>
                  </w14:solidFill>
                </w14:textFill>
              </w:rPr>
              <w:t xml:space="preserve">　</w:t>
            </w:r>
            <w:r w:rsidR="009672AF">
              <w:rPr>
                <w:vertAlign w:val="superscript"/>
              </w:rPr>
              <w:t>2</w:t>
            </w:r>
          </w:p>
        </w:tc>
        <w:tc>
          <w:tcPr>
            <w:tcW w:w="629" w:type="pct"/>
            <w:tcBorders>
              <w:top w:val="nil"/>
              <w:left w:val="nil"/>
              <w:bottom w:val="single" w:sz="4" w:space="0" w:color="auto"/>
              <w:right w:val="single" w:sz="4" w:space="0" w:color="auto"/>
            </w:tcBorders>
            <w:shd w:val="clear" w:color="000000" w:fill="FFFFFF"/>
            <w:vAlign w:val="center"/>
          </w:tcPr>
          <w:p w14:paraId="4E6FE8FF" w14:textId="3CA91CA8"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57"/>
                <w14:textFill>
                  <w14:solidFill>
                    <w14:srgbClr w14:val="000000">
                      <w14:alpha w14:val="100000"/>
                    </w14:srgbClr>
                  </w14:solidFill>
                </w14:textFill>
              </w:rPr>
              <w:t xml:space="preserve">　</w:t>
            </w:r>
            <w:r w:rsidRPr="004C3CC2">
              <w:rPr>
                <w:color w:val="000000"/>
                <w:w w:val="15"/>
                <w:shd w:val="solid" w:color="000000" w:fill="000000"/>
                <w:fitText w:val="70" w:id="-1504954357"/>
                <w14:textFill>
                  <w14:solidFill>
                    <w14:srgbClr w14:val="000000">
                      <w14:alpha w14:val="100000"/>
                    </w14:srgbClr>
                  </w14:solidFill>
                </w14:textFill>
              </w:rPr>
              <w:t>|</w:t>
            </w:r>
            <w:r w:rsidRPr="004C3CC2">
              <w:rPr>
                <w:rFonts w:hint="eastAsia"/>
                <w:color w:val="000000"/>
                <w:spacing w:val="4"/>
                <w:w w:val="15"/>
                <w:shd w:val="solid" w:color="000000" w:fill="000000"/>
                <w:fitText w:val="70" w:id="-1504954357"/>
                <w14:textFill>
                  <w14:solidFill>
                    <w14:srgbClr w14:val="000000">
                      <w14:alpha w14:val="100000"/>
                    </w14:srgbClr>
                  </w14:solidFill>
                </w14:textFill>
              </w:rPr>
              <w:t xml:space="preserve">　</w:t>
            </w:r>
            <w:r w:rsidR="009672AF">
              <w:rPr>
                <w:vertAlign w:val="superscript"/>
              </w:rPr>
              <w:t>2</w:t>
            </w:r>
          </w:p>
        </w:tc>
        <w:tc>
          <w:tcPr>
            <w:tcW w:w="629" w:type="pct"/>
            <w:tcBorders>
              <w:top w:val="nil"/>
              <w:left w:val="nil"/>
              <w:bottom w:val="single" w:sz="4" w:space="0" w:color="auto"/>
              <w:right w:val="single" w:sz="4" w:space="0" w:color="auto"/>
            </w:tcBorders>
            <w:shd w:val="clear" w:color="000000" w:fill="FFFFFF"/>
            <w:vAlign w:val="center"/>
          </w:tcPr>
          <w:p w14:paraId="364A4FA3" w14:textId="35C2079F"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56"/>
                <w14:textFill>
                  <w14:solidFill>
                    <w14:srgbClr w14:val="000000">
                      <w14:alpha w14:val="100000"/>
                    </w14:srgbClr>
                  </w14:solidFill>
                </w14:textFill>
              </w:rPr>
              <w:t xml:space="preserve">　</w:t>
            </w:r>
            <w:r w:rsidRPr="004C3CC2">
              <w:rPr>
                <w:color w:val="000000"/>
                <w:w w:val="15"/>
                <w:shd w:val="solid" w:color="000000" w:fill="000000"/>
                <w:fitText w:val="70" w:id="-1504954356"/>
                <w14:textFill>
                  <w14:solidFill>
                    <w14:srgbClr w14:val="000000">
                      <w14:alpha w14:val="100000"/>
                    </w14:srgbClr>
                  </w14:solidFill>
                </w14:textFill>
              </w:rPr>
              <w:t>|</w:t>
            </w:r>
            <w:r w:rsidRPr="004C3CC2">
              <w:rPr>
                <w:rFonts w:hint="eastAsia"/>
                <w:color w:val="000000"/>
                <w:spacing w:val="4"/>
                <w:w w:val="15"/>
                <w:shd w:val="solid" w:color="000000" w:fill="000000"/>
                <w:fitText w:val="70" w:id="-1504954356"/>
                <w14:textFill>
                  <w14:solidFill>
                    <w14:srgbClr w14:val="000000">
                      <w14:alpha w14:val="100000"/>
                    </w14:srgbClr>
                  </w14:solidFill>
                </w14:textFill>
              </w:rPr>
              <w:t xml:space="preserve">　</w:t>
            </w:r>
            <w:r w:rsidR="009672AF">
              <w:rPr>
                <w:vertAlign w:val="superscript"/>
              </w:rPr>
              <w:t>2</w:t>
            </w:r>
          </w:p>
        </w:tc>
        <w:tc>
          <w:tcPr>
            <w:tcW w:w="629" w:type="pct"/>
            <w:tcBorders>
              <w:top w:val="nil"/>
              <w:left w:val="nil"/>
              <w:bottom w:val="single" w:sz="4" w:space="0" w:color="auto"/>
              <w:right w:val="single" w:sz="4" w:space="0" w:color="auto"/>
            </w:tcBorders>
            <w:shd w:val="clear" w:color="000000" w:fill="FFFFFF"/>
            <w:vAlign w:val="center"/>
          </w:tcPr>
          <w:p w14:paraId="5BDDE140" w14:textId="70BF5037"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55"/>
                <w14:textFill>
                  <w14:solidFill>
                    <w14:srgbClr w14:val="000000">
                      <w14:alpha w14:val="100000"/>
                    </w14:srgbClr>
                  </w14:solidFill>
                </w14:textFill>
              </w:rPr>
              <w:t xml:space="preserve">　</w:t>
            </w:r>
            <w:r w:rsidRPr="004C3CC2">
              <w:rPr>
                <w:color w:val="000000"/>
                <w:w w:val="15"/>
                <w:shd w:val="solid" w:color="000000" w:fill="000000"/>
                <w:fitText w:val="70" w:id="-1504954355"/>
                <w14:textFill>
                  <w14:solidFill>
                    <w14:srgbClr w14:val="000000">
                      <w14:alpha w14:val="100000"/>
                    </w14:srgbClr>
                  </w14:solidFill>
                </w14:textFill>
              </w:rPr>
              <w:t>|</w:t>
            </w:r>
            <w:r w:rsidRPr="004C3CC2">
              <w:rPr>
                <w:rFonts w:hint="eastAsia"/>
                <w:color w:val="000000"/>
                <w:spacing w:val="4"/>
                <w:w w:val="15"/>
                <w:shd w:val="solid" w:color="000000" w:fill="000000"/>
                <w:fitText w:val="70" w:id="-1504954355"/>
                <w14:textFill>
                  <w14:solidFill>
                    <w14:srgbClr w14:val="000000">
                      <w14:alpha w14:val="100000"/>
                    </w14:srgbClr>
                  </w14:solidFill>
                </w14:textFill>
              </w:rPr>
              <w:t xml:space="preserve">　</w:t>
            </w:r>
            <w:r w:rsidR="009672AF">
              <w:rPr>
                <w:vertAlign w:val="superscript"/>
              </w:rPr>
              <w:t>2</w:t>
            </w:r>
          </w:p>
        </w:tc>
        <w:tc>
          <w:tcPr>
            <w:tcW w:w="601" w:type="pct"/>
            <w:tcBorders>
              <w:top w:val="nil"/>
              <w:left w:val="nil"/>
              <w:bottom w:val="single" w:sz="4" w:space="0" w:color="auto"/>
              <w:right w:val="single" w:sz="4" w:space="0" w:color="auto"/>
            </w:tcBorders>
            <w:shd w:val="clear" w:color="000000" w:fill="FFFFFF"/>
            <w:vAlign w:val="center"/>
          </w:tcPr>
          <w:p w14:paraId="6A174790" w14:textId="7437B178" w:rsidR="004713D9" w:rsidRPr="004C3CC2" w:rsidRDefault="004C3CC2" w:rsidP="00F75DE5">
            <w:pPr>
              <w:pStyle w:val="TableText"/>
              <w:jc w:val="center"/>
              <w:rPr>
                <w:highlight w:val="yellow"/>
              </w:rPr>
            </w:pPr>
            <w:r w:rsidRPr="004C3CC2">
              <w:rPr>
                <w:rFonts w:hint="eastAsia"/>
                <w:color w:val="000000"/>
                <w:w w:val="24"/>
                <w:shd w:val="solid" w:color="000000" w:fill="000000"/>
                <w:fitText w:val="110" w:id="-1504954354"/>
                <w14:textFill>
                  <w14:solidFill>
                    <w14:srgbClr w14:val="000000">
                      <w14:alpha w14:val="100000"/>
                    </w14:srgbClr>
                  </w14:solidFill>
                </w14:textFill>
              </w:rPr>
              <w:t xml:space="preserve">　</w:t>
            </w:r>
            <w:r w:rsidRPr="004C3CC2">
              <w:rPr>
                <w:color w:val="000000"/>
                <w:w w:val="24"/>
                <w:shd w:val="solid" w:color="000000" w:fill="000000"/>
                <w:fitText w:val="110" w:id="-1504954354"/>
                <w14:textFill>
                  <w14:solidFill>
                    <w14:srgbClr w14:val="000000">
                      <w14:alpha w14:val="100000"/>
                    </w14:srgbClr>
                  </w14:solidFill>
                </w14:textFill>
              </w:rPr>
              <w:t>|</w:t>
            </w:r>
            <w:r w:rsidRPr="004C3CC2">
              <w:rPr>
                <w:rFonts w:hint="eastAsia"/>
                <w:color w:val="000000"/>
                <w:spacing w:val="6"/>
                <w:w w:val="24"/>
                <w:shd w:val="solid" w:color="000000" w:fill="000000"/>
                <w:fitText w:val="110" w:id="-1504954354"/>
                <w14:textFill>
                  <w14:solidFill>
                    <w14:srgbClr w14:val="000000">
                      <w14:alpha w14:val="100000"/>
                    </w14:srgbClr>
                  </w14:solidFill>
                </w14:textFill>
              </w:rPr>
              <w:t xml:space="preserve">　</w:t>
            </w:r>
            <w:r w:rsidR="00E424EC">
              <w:rPr>
                <w:vertAlign w:val="superscript"/>
              </w:rPr>
              <w:t>20</w:t>
            </w:r>
          </w:p>
        </w:tc>
      </w:tr>
      <w:tr w:rsidR="004713D9" w:rsidRPr="007B6175" w14:paraId="6D23BAB2" w14:textId="77777777" w:rsidTr="00845E08">
        <w:tc>
          <w:tcPr>
            <w:tcW w:w="1255" w:type="pct"/>
          </w:tcPr>
          <w:p w14:paraId="0ABC5AC3" w14:textId="77777777" w:rsidR="004713D9" w:rsidRPr="007B6175" w:rsidRDefault="004713D9" w:rsidP="00F75DE5">
            <w:pPr>
              <w:pStyle w:val="TableText"/>
            </w:pPr>
            <w:r w:rsidRPr="007B6175">
              <w:rPr>
                <w:rFonts w:cs="Calibri"/>
                <w:color w:val="000000"/>
              </w:rPr>
              <w:t>Patients with EM (92.4%)</w:t>
            </w:r>
          </w:p>
        </w:tc>
        <w:tc>
          <w:tcPr>
            <w:tcW w:w="628" w:type="pct"/>
            <w:tcBorders>
              <w:top w:val="nil"/>
              <w:left w:val="single" w:sz="4" w:space="0" w:color="auto"/>
              <w:bottom w:val="single" w:sz="4" w:space="0" w:color="auto"/>
              <w:right w:val="single" w:sz="4" w:space="0" w:color="auto"/>
            </w:tcBorders>
            <w:shd w:val="clear" w:color="000000" w:fill="FFFFFF"/>
            <w:vAlign w:val="center"/>
          </w:tcPr>
          <w:p w14:paraId="76F29EFD" w14:textId="481C41A3"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53"/>
                <w14:textFill>
                  <w14:solidFill>
                    <w14:srgbClr w14:val="000000">
                      <w14:alpha w14:val="100000"/>
                    </w14:srgbClr>
                  </w14:solidFill>
                </w14:textFill>
              </w:rPr>
              <w:t xml:space="preserve">　</w:t>
            </w:r>
            <w:r w:rsidRPr="004C3CC2">
              <w:rPr>
                <w:color w:val="000000"/>
                <w:w w:val="15"/>
                <w:shd w:val="solid" w:color="000000" w:fill="000000"/>
                <w:fitText w:val="70" w:id="-1504954353"/>
                <w14:textFill>
                  <w14:solidFill>
                    <w14:srgbClr w14:val="000000">
                      <w14:alpha w14:val="100000"/>
                    </w14:srgbClr>
                  </w14:solidFill>
                </w14:textFill>
              </w:rPr>
              <w:t>|</w:t>
            </w:r>
            <w:r w:rsidRPr="004C3CC2">
              <w:rPr>
                <w:rFonts w:hint="eastAsia"/>
                <w:color w:val="000000"/>
                <w:spacing w:val="4"/>
                <w:w w:val="15"/>
                <w:shd w:val="solid" w:color="000000" w:fill="000000"/>
                <w:fitText w:val="70" w:id="-1504954353"/>
                <w14:textFill>
                  <w14:solidFill>
                    <w14:srgbClr w14:val="000000">
                      <w14:alpha w14:val="100000"/>
                    </w14:srgbClr>
                  </w14:solidFill>
                </w14:textFill>
              </w:rPr>
              <w:t xml:space="preserve">　</w:t>
            </w:r>
            <w:r w:rsidR="009672AF">
              <w:rPr>
                <w:vertAlign w:val="superscript"/>
              </w:rPr>
              <w:t>2</w:t>
            </w:r>
          </w:p>
        </w:tc>
        <w:tc>
          <w:tcPr>
            <w:tcW w:w="629" w:type="pct"/>
            <w:tcBorders>
              <w:top w:val="nil"/>
              <w:left w:val="nil"/>
              <w:bottom w:val="single" w:sz="4" w:space="0" w:color="auto"/>
              <w:right w:val="single" w:sz="4" w:space="0" w:color="auto"/>
            </w:tcBorders>
            <w:shd w:val="clear" w:color="000000" w:fill="FFFFFF"/>
            <w:vAlign w:val="center"/>
          </w:tcPr>
          <w:p w14:paraId="54CA39EF" w14:textId="5DF20344"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52"/>
                <w14:textFill>
                  <w14:solidFill>
                    <w14:srgbClr w14:val="000000">
                      <w14:alpha w14:val="100000"/>
                    </w14:srgbClr>
                  </w14:solidFill>
                </w14:textFill>
              </w:rPr>
              <w:t xml:space="preserve">　</w:t>
            </w:r>
            <w:r w:rsidRPr="004C3CC2">
              <w:rPr>
                <w:color w:val="000000"/>
                <w:w w:val="15"/>
                <w:shd w:val="solid" w:color="000000" w:fill="000000"/>
                <w:fitText w:val="70" w:id="-1504954352"/>
                <w14:textFill>
                  <w14:solidFill>
                    <w14:srgbClr w14:val="000000">
                      <w14:alpha w14:val="100000"/>
                    </w14:srgbClr>
                  </w14:solidFill>
                </w14:textFill>
              </w:rPr>
              <w:t>|</w:t>
            </w:r>
            <w:r w:rsidRPr="004C3CC2">
              <w:rPr>
                <w:rFonts w:hint="eastAsia"/>
                <w:color w:val="000000"/>
                <w:spacing w:val="4"/>
                <w:w w:val="15"/>
                <w:shd w:val="solid" w:color="000000" w:fill="000000"/>
                <w:fitText w:val="70" w:id="-1504954352"/>
                <w14:textFill>
                  <w14:solidFill>
                    <w14:srgbClr w14:val="000000">
                      <w14:alpha w14:val="100000"/>
                    </w14:srgbClr>
                  </w14:solidFill>
                </w14:textFill>
              </w:rPr>
              <w:t xml:space="preserve">　</w:t>
            </w:r>
            <w:r w:rsidR="009672AF">
              <w:rPr>
                <w:vertAlign w:val="superscript"/>
              </w:rPr>
              <w:t>2</w:t>
            </w:r>
          </w:p>
        </w:tc>
        <w:tc>
          <w:tcPr>
            <w:tcW w:w="629" w:type="pct"/>
            <w:tcBorders>
              <w:top w:val="nil"/>
              <w:left w:val="nil"/>
              <w:bottom w:val="single" w:sz="4" w:space="0" w:color="auto"/>
              <w:right w:val="single" w:sz="4" w:space="0" w:color="auto"/>
            </w:tcBorders>
            <w:shd w:val="clear" w:color="000000" w:fill="FFFFFF"/>
            <w:vAlign w:val="center"/>
          </w:tcPr>
          <w:p w14:paraId="6D1D608F" w14:textId="70D96682"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68"/>
                <w14:textFill>
                  <w14:solidFill>
                    <w14:srgbClr w14:val="000000">
                      <w14:alpha w14:val="100000"/>
                    </w14:srgbClr>
                  </w14:solidFill>
                </w14:textFill>
              </w:rPr>
              <w:t xml:space="preserve">　</w:t>
            </w:r>
            <w:r w:rsidRPr="004C3CC2">
              <w:rPr>
                <w:color w:val="000000"/>
                <w:w w:val="15"/>
                <w:shd w:val="solid" w:color="000000" w:fill="000000"/>
                <w:fitText w:val="70" w:id="-1504954368"/>
                <w14:textFill>
                  <w14:solidFill>
                    <w14:srgbClr w14:val="000000">
                      <w14:alpha w14:val="100000"/>
                    </w14:srgbClr>
                  </w14:solidFill>
                </w14:textFill>
              </w:rPr>
              <w:t>|</w:t>
            </w:r>
            <w:r w:rsidRPr="004C3CC2">
              <w:rPr>
                <w:rFonts w:hint="eastAsia"/>
                <w:color w:val="000000"/>
                <w:spacing w:val="4"/>
                <w:w w:val="15"/>
                <w:shd w:val="solid" w:color="000000" w:fill="000000"/>
                <w:fitText w:val="70" w:id="-1504954368"/>
                <w14:textFill>
                  <w14:solidFill>
                    <w14:srgbClr w14:val="000000">
                      <w14:alpha w14:val="100000"/>
                    </w14:srgbClr>
                  </w14:solidFill>
                </w14:textFill>
              </w:rPr>
              <w:t xml:space="preserve">　</w:t>
            </w:r>
            <w:r w:rsidR="009672AF">
              <w:rPr>
                <w:vertAlign w:val="superscript"/>
              </w:rPr>
              <w:t>2</w:t>
            </w:r>
          </w:p>
        </w:tc>
        <w:tc>
          <w:tcPr>
            <w:tcW w:w="629" w:type="pct"/>
            <w:tcBorders>
              <w:top w:val="nil"/>
              <w:left w:val="nil"/>
              <w:bottom w:val="single" w:sz="4" w:space="0" w:color="auto"/>
              <w:right w:val="single" w:sz="4" w:space="0" w:color="auto"/>
            </w:tcBorders>
            <w:shd w:val="clear" w:color="000000" w:fill="FFFFFF"/>
            <w:vAlign w:val="center"/>
          </w:tcPr>
          <w:p w14:paraId="1B0E4CE1" w14:textId="2F91BBB4"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67"/>
                <w14:textFill>
                  <w14:solidFill>
                    <w14:srgbClr w14:val="000000">
                      <w14:alpha w14:val="100000"/>
                    </w14:srgbClr>
                  </w14:solidFill>
                </w14:textFill>
              </w:rPr>
              <w:t xml:space="preserve">　</w:t>
            </w:r>
            <w:r w:rsidRPr="004C3CC2">
              <w:rPr>
                <w:color w:val="000000"/>
                <w:w w:val="15"/>
                <w:shd w:val="solid" w:color="000000" w:fill="000000"/>
                <w:fitText w:val="70" w:id="-1504954367"/>
                <w14:textFill>
                  <w14:solidFill>
                    <w14:srgbClr w14:val="000000">
                      <w14:alpha w14:val="100000"/>
                    </w14:srgbClr>
                  </w14:solidFill>
                </w14:textFill>
              </w:rPr>
              <w:t>|</w:t>
            </w:r>
            <w:r w:rsidRPr="004C3CC2">
              <w:rPr>
                <w:rFonts w:hint="eastAsia"/>
                <w:color w:val="000000"/>
                <w:spacing w:val="4"/>
                <w:w w:val="15"/>
                <w:shd w:val="solid" w:color="000000" w:fill="000000"/>
                <w:fitText w:val="70" w:id="-1504954367"/>
                <w14:textFill>
                  <w14:solidFill>
                    <w14:srgbClr w14:val="000000">
                      <w14:alpha w14:val="100000"/>
                    </w14:srgbClr>
                  </w14:solidFill>
                </w14:textFill>
              </w:rPr>
              <w:t xml:space="preserve">　</w:t>
            </w:r>
            <w:r w:rsidR="009672AF">
              <w:rPr>
                <w:vertAlign w:val="superscript"/>
              </w:rPr>
              <w:t>2</w:t>
            </w:r>
          </w:p>
        </w:tc>
        <w:tc>
          <w:tcPr>
            <w:tcW w:w="629" w:type="pct"/>
            <w:tcBorders>
              <w:top w:val="nil"/>
              <w:left w:val="nil"/>
              <w:bottom w:val="single" w:sz="4" w:space="0" w:color="auto"/>
              <w:right w:val="single" w:sz="4" w:space="0" w:color="auto"/>
            </w:tcBorders>
            <w:shd w:val="clear" w:color="000000" w:fill="FFFFFF"/>
            <w:vAlign w:val="center"/>
          </w:tcPr>
          <w:p w14:paraId="0EA82231" w14:textId="11B055E8"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66"/>
                <w14:textFill>
                  <w14:solidFill>
                    <w14:srgbClr w14:val="000000">
                      <w14:alpha w14:val="100000"/>
                    </w14:srgbClr>
                  </w14:solidFill>
                </w14:textFill>
              </w:rPr>
              <w:t xml:space="preserve">　</w:t>
            </w:r>
            <w:r w:rsidRPr="004C3CC2">
              <w:rPr>
                <w:color w:val="000000"/>
                <w:w w:val="15"/>
                <w:shd w:val="solid" w:color="000000" w:fill="000000"/>
                <w:fitText w:val="70" w:id="-1504954366"/>
                <w14:textFill>
                  <w14:solidFill>
                    <w14:srgbClr w14:val="000000">
                      <w14:alpha w14:val="100000"/>
                    </w14:srgbClr>
                  </w14:solidFill>
                </w14:textFill>
              </w:rPr>
              <w:t>|</w:t>
            </w:r>
            <w:r w:rsidRPr="004C3CC2">
              <w:rPr>
                <w:rFonts w:hint="eastAsia"/>
                <w:color w:val="000000"/>
                <w:spacing w:val="4"/>
                <w:w w:val="15"/>
                <w:shd w:val="solid" w:color="000000" w:fill="000000"/>
                <w:fitText w:val="70" w:id="-1504954366"/>
                <w14:textFill>
                  <w14:solidFill>
                    <w14:srgbClr w14:val="000000">
                      <w14:alpha w14:val="100000"/>
                    </w14:srgbClr>
                  </w14:solidFill>
                </w14:textFill>
              </w:rPr>
              <w:t xml:space="preserve">　</w:t>
            </w:r>
            <w:r w:rsidR="009672AF">
              <w:rPr>
                <w:vertAlign w:val="superscript"/>
              </w:rPr>
              <w:t>2</w:t>
            </w:r>
          </w:p>
        </w:tc>
        <w:tc>
          <w:tcPr>
            <w:tcW w:w="601" w:type="pct"/>
            <w:tcBorders>
              <w:top w:val="nil"/>
              <w:left w:val="nil"/>
              <w:bottom w:val="single" w:sz="4" w:space="0" w:color="auto"/>
              <w:right w:val="single" w:sz="4" w:space="0" w:color="auto"/>
            </w:tcBorders>
            <w:shd w:val="clear" w:color="000000" w:fill="FFFFFF"/>
            <w:vAlign w:val="center"/>
          </w:tcPr>
          <w:p w14:paraId="63346C18" w14:textId="54EF4FA1" w:rsidR="004713D9" w:rsidRPr="004C3CC2" w:rsidRDefault="004C3CC2" w:rsidP="00F75DE5">
            <w:pPr>
              <w:pStyle w:val="TableText"/>
              <w:jc w:val="center"/>
              <w:rPr>
                <w:highlight w:val="yellow"/>
              </w:rPr>
            </w:pPr>
            <w:r w:rsidRPr="004C3CC2">
              <w:rPr>
                <w:rFonts w:hint="eastAsia"/>
                <w:color w:val="000000"/>
                <w:w w:val="18"/>
                <w:shd w:val="solid" w:color="000000" w:fill="000000"/>
                <w:fitText w:val="80" w:id="-1504954365"/>
                <w14:textFill>
                  <w14:solidFill>
                    <w14:srgbClr w14:val="000000">
                      <w14:alpha w14:val="100000"/>
                    </w14:srgbClr>
                  </w14:solidFill>
                </w14:textFill>
              </w:rPr>
              <w:t xml:space="preserve">　</w:t>
            </w:r>
            <w:r w:rsidRPr="004C3CC2">
              <w:rPr>
                <w:color w:val="000000"/>
                <w:w w:val="18"/>
                <w:shd w:val="solid" w:color="000000" w:fill="000000"/>
                <w:fitText w:val="80" w:id="-1504954365"/>
                <w14:textFill>
                  <w14:solidFill>
                    <w14:srgbClr w14:val="000000">
                      <w14:alpha w14:val="100000"/>
                    </w14:srgbClr>
                  </w14:solidFill>
                </w14:textFill>
              </w:rPr>
              <w:t>|</w:t>
            </w:r>
            <w:r w:rsidRPr="004C3CC2">
              <w:rPr>
                <w:rFonts w:hint="eastAsia"/>
                <w:color w:val="000000"/>
                <w:w w:val="18"/>
                <w:shd w:val="solid" w:color="000000" w:fill="000000"/>
                <w:fitText w:val="80" w:id="-1504954365"/>
                <w14:textFill>
                  <w14:solidFill>
                    <w14:srgbClr w14:val="000000">
                      <w14:alpha w14:val="100000"/>
                    </w14:srgbClr>
                  </w14:solidFill>
                </w14:textFill>
              </w:rPr>
              <w:t xml:space="preserve">　</w:t>
            </w:r>
            <w:r w:rsidR="009672AF">
              <w:rPr>
                <w:vertAlign w:val="superscript"/>
              </w:rPr>
              <w:t>2</w:t>
            </w:r>
          </w:p>
        </w:tc>
      </w:tr>
      <w:tr w:rsidR="004713D9" w:rsidRPr="007B6175" w14:paraId="56B59C0A" w14:textId="77777777" w:rsidTr="00845E08">
        <w:tc>
          <w:tcPr>
            <w:tcW w:w="1255" w:type="pct"/>
          </w:tcPr>
          <w:p w14:paraId="0EBE20AC" w14:textId="77777777" w:rsidR="004713D9" w:rsidRPr="007B6175" w:rsidRDefault="004713D9" w:rsidP="00F75DE5">
            <w:pPr>
              <w:pStyle w:val="TableText"/>
            </w:pPr>
            <w:r w:rsidRPr="007B6175">
              <w:rPr>
                <w:rFonts w:cs="Calibri"/>
                <w:color w:val="000000"/>
              </w:rPr>
              <w:t>Proportion of EM that is high frequency (19.5%)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2EF83071" w14:textId="7266B4FD"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364"/>
                <w14:textFill>
                  <w14:solidFill>
                    <w14:srgbClr w14:val="000000">
                      <w14:alpha w14:val="100000"/>
                    </w14:srgbClr>
                  </w14:solidFill>
                </w14:textFill>
              </w:rPr>
              <w:t xml:space="preserve">　</w:t>
            </w:r>
            <w:r w:rsidRPr="004C3CC2">
              <w:rPr>
                <w:color w:val="000000"/>
                <w:w w:val="15"/>
                <w:shd w:val="solid" w:color="000000" w:fill="000000"/>
                <w:fitText w:val="70" w:id="-1504954364"/>
                <w14:textFill>
                  <w14:solidFill>
                    <w14:srgbClr w14:val="000000">
                      <w14:alpha w14:val="100000"/>
                    </w14:srgbClr>
                  </w14:solidFill>
                </w14:textFill>
              </w:rPr>
              <w:t>|</w:t>
            </w:r>
            <w:r w:rsidRPr="004C3CC2">
              <w:rPr>
                <w:rFonts w:hint="eastAsia"/>
                <w:color w:val="000000"/>
                <w:spacing w:val="4"/>
                <w:w w:val="15"/>
                <w:shd w:val="solid" w:color="000000" w:fill="000000"/>
                <w:fitText w:val="70" w:id="-1504954364"/>
                <w14:textFill>
                  <w14:solidFill>
                    <w14:srgbClr w14:val="000000">
                      <w14:alpha w14:val="100000"/>
                    </w14:srgbClr>
                  </w14:solidFill>
                </w14:textFill>
              </w:rPr>
              <w:t xml:space="preserve">　</w:t>
            </w:r>
            <w:r w:rsidR="009672AF">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02671D3F" w14:textId="58CAFB7C"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12"/>
                <w14:textFill>
                  <w14:solidFill>
                    <w14:srgbClr w14:val="000000">
                      <w14:alpha w14:val="100000"/>
                    </w14:srgbClr>
                  </w14:solidFill>
                </w14:textFill>
              </w:rPr>
              <w:t xml:space="preserve">　</w:t>
            </w:r>
            <w:r w:rsidRPr="004C3CC2">
              <w:rPr>
                <w:color w:val="000000"/>
                <w:w w:val="15"/>
                <w:shd w:val="solid" w:color="000000" w:fill="000000"/>
                <w:fitText w:val="70" w:id="-1504954112"/>
                <w14:textFill>
                  <w14:solidFill>
                    <w14:srgbClr w14:val="000000">
                      <w14:alpha w14:val="100000"/>
                    </w14:srgbClr>
                  </w14:solidFill>
                </w14:textFill>
              </w:rPr>
              <w:t>|</w:t>
            </w:r>
            <w:r w:rsidRPr="004C3CC2">
              <w:rPr>
                <w:rFonts w:hint="eastAsia"/>
                <w:color w:val="000000"/>
                <w:spacing w:val="4"/>
                <w:w w:val="15"/>
                <w:shd w:val="solid" w:color="000000" w:fill="000000"/>
                <w:fitText w:val="70" w:id="-1504954112"/>
                <w14:textFill>
                  <w14:solidFill>
                    <w14:srgbClr w14:val="000000">
                      <w14:alpha w14:val="100000"/>
                    </w14:srgbClr>
                  </w14:solidFill>
                </w14:textFill>
              </w:rPr>
              <w:t xml:space="preserve">　</w:t>
            </w:r>
            <w:r w:rsidR="009672AF">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48D9A439" w14:textId="1642D567"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11"/>
                <w14:textFill>
                  <w14:solidFill>
                    <w14:srgbClr w14:val="000000">
                      <w14:alpha w14:val="100000"/>
                    </w14:srgbClr>
                  </w14:solidFill>
                </w14:textFill>
              </w:rPr>
              <w:t xml:space="preserve">　</w:t>
            </w:r>
            <w:r w:rsidRPr="004C3CC2">
              <w:rPr>
                <w:color w:val="000000"/>
                <w:w w:val="15"/>
                <w:shd w:val="solid" w:color="000000" w:fill="000000"/>
                <w:fitText w:val="70" w:id="-1504954111"/>
                <w14:textFill>
                  <w14:solidFill>
                    <w14:srgbClr w14:val="000000">
                      <w14:alpha w14:val="100000"/>
                    </w14:srgbClr>
                  </w14:solidFill>
                </w14:textFill>
              </w:rPr>
              <w:t>|</w:t>
            </w:r>
            <w:r w:rsidRPr="004C3CC2">
              <w:rPr>
                <w:rFonts w:hint="eastAsia"/>
                <w:color w:val="000000"/>
                <w:spacing w:val="4"/>
                <w:w w:val="15"/>
                <w:shd w:val="solid" w:color="000000" w:fill="000000"/>
                <w:fitText w:val="70" w:id="-1504954111"/>
                <w14:textFill>
                  <w14:solidFill>
                    <w14:srgbClr w14:val="000000">
                      <w14:alpha w14:val="100000"/>
                    </w14:srgbClr>
                  </w14:solidFill>
                </w14:textFill>
              </w:rPr>
              <w:t xml:space="preserve">　</w:t>
            </w:r>
            <w:r w:rsidR="009672AF">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607DEA3C" w14:textId="368D0C0B"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10"/>
                <w14:textFill>
                  <w14:solidFill>
                    <w14:srgbClr w14:val="000000">
                      <w14:alpha w14:val="100000"/>
                    </w14:srgbClr>
                  </w14:solidFill>
                </w14:textFill>
              </w:rPr>
              <w:t xml:space="preserve">　</w:t>
            </w:r>
            <w:r w:rsidRPr="004C3CC2">
              <w:rPr>
                <w:color w:val="000000"/>
                <w:w w:val="15"/>
                <w:shd w:val="solid" w:color="000000" w:fill="000000"/>
                <w:fitText w:val="70" w:id="-1504954110"/>
                <w14:textFill>
                  <w14:solidFill>
                    <w14:srgbClr w14:val="000000">
                      <w14:alpha w14:val="100000"/>
                    </w14:srgbClr>
                  </w14:solidFill>
                </w14:textFill>
              </w:rPr>
              <w:t>|</w:t>
            </w:r>
            <w:r w:rsidRPr="004C3CC2">
              <w:rPr>
                <w:rFonts w:hint="eastAsia"/>
                <w:color w:val="000000"/>
                <w:spacing w:val="4"/>
                <w:w w:val="15"/>
                <w:shd w:val="solid" w:color="000000" w:fill="000000"/>
                <w:fitText w:val="70" w:id="-1504954110"/>
                <w14:textFill>
                  <w14:solidFill>
                    <w14:srgbClr w14:val="000000">
                      <w14:alpha w14:val="100000"/>
                    </w14:srgbClr>
                  </w14:solidFill>
                </w14:textFill>
              </w:rPr>
              <w:t xml:space="preserve">　</w:t>
            </w:r>
            <w:r w:rsidR="009672AF">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598FF43C" w14:textId="0A7B5267"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09"/>
                <w14:textFill>
                  <w14:solidFill>
                    <w14:srgbClr w14:val="000000">
                      <w14:alpha w14:val="100000"/>
                    </w14:srgbClr>
                  </w14:solidFill>
                </w14:textFill>
              </w:rPr>
              <w:t xml:space="preserve">　</w:t>
            </w:r>
            <w:r w:rsidRPr="004C3CC2">
              <w:rPr>
                <w:color w:val="000000"/>
                <w:w w:val="15"/>
                <w:shd w:val="solid" w:color="000000" w:fill="000000"/>
                <w:fitText w:val="70" w:id="-1504954109"/>
                <w14:textFill>
                  <w14:solidFill>
                    <w14:srgbClr w14:val="000000">
                      <w14:alpha w14:val="100000"/>
                    </w14:srgbClr>
                  </w14:solidFill>
                </w14:textFill>
              </w:rPr>
              <w:t>|</w:t>
            </w:r>
            <w:r w:rsidRPr="004C3CC2">
              <w:rPr>
                <w:rFonts w:hint="eastAsia"/>
                <w:color w:val="000000"/>
                <w:spacing w:val="4"/>
                <w:w w:val="15"/>
                <w:shd w:val="solid" w:color="000000" w:fill="000000"/>
                <w:fitText w:val="70" w:id="-1504954109"/>
                <w14:textFill>
                  <w14:solidFill>
                    <w14:srgbClr w14:val="000000">
                      <w14:alpha w14:val="100000"/>
                    </w14:srgbClr>
                  </w14:solidFill>
                </w14:textFill>
              </w:rPr>
              <w:t xml:space="preserve">　</w:t>
            </w:r>
            <w:r w:rsidR="009672AF">
              <w:rPr>
                <w:vertAlign w:val="superscript"/>
              </w:rPr>
              <w:t>3</w:t>
            </w:r>
          </w:p>
        </w:tc>
        <w:tc>
          <w:tcPr>
            <w:tcW w:w="601" w:type="pct"/>
            <w:tcBorders>
              <w:top w:val="single" w:sz="4" w:space="0" w:color="auto"/>
              <w:left w:val="nil"/>
              <w:bottom w:val="single" w:sz="4" w:space="0" w:color="auto"/>
              <w:right w:val="single" w:sz="4" w:space="0" w:color="auto"/>
            </w:tcBorders>
            <w:shd w:val="clear" w:color="auto" w:fill="auto"/>
            <w:vAlign w:val="center"/>
          </w:tcPr>
          <w:p w14:paraId="029985FB" w14:textId="64CCA549" w:rsidR="004713D9" w:rsidRPr="004C3CC2" w:rsidRDefault="004C3CC2" w:rsidP="00F75DE5">
            <w:pPr>
              <w:pStyle w:val="TableText"/>
              <w:jc w:val="center"/>
              <w:rPr>
                <w:highlight w:val="yellow"/>
              </w:rPr>
            </w:pPr>
            <w:r w:rsidRPr="004C3CC2">
              <w:rPr>
                <w:rFonts w:hint="eastAsia"/>
                <w:color w:val="000000"/>
                <w:w w:val="24"/>
                <w:shd w:val="solid" w:color="000000" w:fill="000000"/>
                <w:fitText w:val="110" w:id="-1504954108"/>
                <w14:textFill>
                  <w14:solidFill>
                    <w14:srgbClr w14:val="000000">
                      <w14:alpha w14:val="100000"/>
                    </w14:srgbClr>
                  </w14:solidFill>
                </w14:textFill>
              </w:rPr>
              <w:t xml:space="preserve">　</w:t>
            </w:r>
            <w:r w:rsidRPr="004C3CC2">
              <w:rPr>
                <w:color w:val="000000"/>
                <w:w w:val="24"/>
                <w:shd w:val="solid" w:color="000000" w:fill="000000"/>
                <w:fitText w:val="110" w:id="-1504954108"/>
                <w14:textFill>
                  <w14:solidFill>
                    <w14:srgbClr w14:val="000000">
                      <w14:alpha w14:val="100000"/>
                    </w14:srgbClr>
                  </w14:solidFill>
                </w14:textFill>
              </w:rPr>
              <w:t>|</w:t>
            </w:r>
            <w:r w:rsidRPr="004C3CC2">
              <w:rPr>
                <w:rFonts w:hint="eastAsia"/>
                <w:color w:val="000000"/>
                <w:spacing w:val="6"/>
                <w:w w:val="24"/>
                <w:shd w:val="solid" w:color="000000" w:fill="000000"/>
                <w:fitText w:val="110" w:id="-1504954108"/>
                <w14:textFill>
                  <w14:solidFill>
                    <w14:srgbClr w14:val="000000">
                      <w14:alpha w14:val="100000"/>
                    </w14:srgbClr>
                  </w14:solidFill>
                </w14:textFill>
              </w:rPr>
              <w:t xml:space="preserve">　</w:t>
            </w:r>
            <w:r w:rsidR="00E424EC">
              <w:rPr>
                <w:vertAlign w:val="superscript"/>
              </w:rPr>
              <w:t>21</w:t>
            </w:r>
          </w:p>
        </w:tc>
      </w:tr>
      <w:tr w:rsidR="004713D9" w:rsidRPr="007B6175" w14:paraId="5818244A" w14:textId="77777777" w:rsidTr="00845E08">
        <w:tc>
          <w:tcPr>
            <w:tcW w:w="1255" w:type="pct"/>
          </w:tcPr>
          <w:p w14:paraId="10300BC5" w14:textId="00F0A3DD" w:rsidR="004713D9" w:rsidRPr="007B6175" w:rsidRDefault="004713D9" w:rsidP="00F75DE5">
            <w:pPr>
              <w:pStyle w:val="TableText"/>
            </w:pPr>
            <w:r w:rsidRPr="007B6175">
              <w:rPr>
                <w:rFonts w:cs="Calibri"/>
                <w:color w:val="000000"/>
              </w:rPr>
              <w:t xml:space="preserve">Patients currently using an </w:t>
            </w:r>
            <w:r w:rsidR="00175B34" w:rsidRPr="007B6175">
              <w:rPr>
                <w:rFonts w:cs="Calibri"/>
                <w:color w:val="000000"/>
              </w:rPr>
              <w:t>oral preventative (74.5%)</w:t>
            </w:r>
          </w:p>
        </w:tc>
        <w:tc>
          <w:tcPr>
            <w:tcW w:w="628" w:type="pct"/>
            <w:tcBorders>
              <w:top w:val="nil"/>
              <w:left w:val="single" w:sz="4" w:space="0" w:color="auto"/>
              <w:bottom w:val="single" w:sz="4" w:space="0" w:color="auto"/>
              <w:right w:val="single" w:sz="4" w:space="0" w:color="auto"/>
            </w:tcBorders>
            <w:shd w:val="clear" w:color="000000" w:fill="FFFFFF"/>
            <w:vAlign w:val="center"/>
          </w:tcPr>
          <w:p w14:paraId="1E4050C5" w14:textId="13617C57"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07"/>
                <w14:textFill>
                  <w14:solidFill>
                    <w14:srgbClr w14:val="000000">
                      <w14:alpha w14:val="100000"/>
                    </w14:srgbClr>
                  </w14:solidFill>
                </w14:textFill>
              </w:rPr>
              <w:t xml:space="preserve">　</w:t>
            </w:r>
            <w:r w:rsidRPr="004C3CC2">
              <w:rPr>
                <w:color w:val="000000"/>
                <w:w w:val="15"/>
                <w:shd w:val="solid" w:color="000000" w:fill="000000"/>
                <w:fitText w:val="70" w:id="-1504954107"/>
                <w14:textFill>
                  <w14:solidFill>
                    <w14:srgbClr w14:val="000000">
                      <w14:alpha w14:val="100000"/>
                    </w14:srgbClr>
                  </w14:solidFill>
                </w14:textFill>
              </w:rPr>
              <w:t>|</w:t>
            </w:r>
            <w:r w:rsidRPr="004C3CC2">
              <w:rPr>
                <w:rFonts w:hint="eastAsia"/>
                <w:color w:val="000000"/>
                <w:spacing w:val="4"/>
                <w:w w:val="15"/>
                <w:shd w:val="solid" w:color="000000" w:fill="000000"/>
                <w:fitText w:val="70" w:id="-1504954107"/>
                <w14:textFill>
                  <w14:solidFill>
                    <w14:srgbClr w14:val="000000">
                      <w14:alpha w14:val="100000"/>
                    </w14:srgbClr>
                  </w14:solidFill>
                </w14:textFill>
              </w:rPr>
              <w:t xml:space="preserve">　</w:t>
            </w:r>
            <w:r w:rsidR="009672AF">
              <w:rPr>
                <w:vertAlign w:val="superscript"/>
              </w:rPr>
              <w:t>4</w:t>
            </w:r>
          </w:p>
        </w:tc>
        <w:tc>
          <w:tcPr>
            <w:tcW w:w="629" w:type="pct"/>
            <w:tcBorders>
              <w:top w:val="nil"/>
              <w:left w:val="nil"/>
              <w:bottom w:val="single" w:sz="4" w:space="0" w:color="auto"/>
              <w:right w:val="single" w:sz="4" w:space="0" w:color="auto"/>
            </w:tcBorders>
            <w:shd w:val="clear" w:color="000000" w:fill="FFFFFF"/>
            <w:vAlign w:val="center"/>
          </w:tcPr>
          <w:p w14:paraId="246764FE" w14:textId="3CA2E66F"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06"/>
                <w14:textFill>
                  <w14:solidFill>
                    <w14:srgbClr w14:val="000000">
                      <w14:alpha w14:val="100000"/>
                    </w14:srgbClr>
                  </w14:solidFill>
                </w14:textFill>
              </w:rPr>
              <w:t xml:space="preserve">　</w:t>
            </w:r>
            <w:r w:rsidRPr="004C3CC2">
              <w:rPr>
                <w:color w:val="000000"/>
                <w:w w:val="15"/>
                <w:shd w:val="solid" w:color="000000" w:fill="000000"/>
                <w:fitText w:val="70" w:id="-1504954106"/>
                <w14:textFill>
                  <w14:solidFill>
                    <w14:srgbClr w14:val="000000">
                      <w14:alpha w14:val="100000"/>
                    </w14:srgbClr>
                  </w14:solidFill>
                </w14:textFill>
              </w:rPr>
              <w:t>|</w:t>
            </w:r>
            <w:r w:rsidRPr="004C3CC2">
              <w:rPr>
                <w:rFonts w:hint="eastAsia"/>
                <w:color w:val="000000"/>
                <w:spacing w:val="4"/>
                <w:w w:val="15"/>
                <w:shd w:val="solid" w:color="000000" w:fill="000000"/>
                <w:fitText w:val="70" w:id="-1504954106"/>
                <w14:textFill>
                  <w14:solidFill>
                    <w14:srgbClr w14:val="000000">
                      <w14:alpha w14:val="100000"/>
                    </w14:srgbClr>
                  </w14:solidFill>
                </w14:textFill>
              </w:rPr>
              <w:t xml:space="preserve">　</w:t>
            </w:r>
            <w:r w:rsidR="009672AF">
              <w:rPr>
                <w:vertAlign w:val="superscript"/>
              </w:rPr>
              <w:t>4</w:t>
            </w:r>
          </w:p>
        </w:tc>
        <w:tc>
          <w:tcPr>
            <w:tcW w:w="629" w:type="pct"/>
            <w:tcBorders>
              <w:top w:val="nil"/>
              <w:left w:val="nil"/>
              <w:bottom w:val="single" w:sz="4" w:space="0" w:color="auto"/>
              <w:right w:val="single" w:sz="4" w:space="0" w:color="auto"/>
            </w:tcBorders>
            <w:shd w:val="clear" w:color="000000" w:fill="FFFFFF"/>
            <w:vAlign w:val="center"/>
          </w:tcPr>
          <w:p w14:paraId="2D9A2C6E" w14:textId="696FFF0C"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05"/>
                <w14:textFill>
                  <w14:solidFill>
                    <w14:srgbClr w14:val="000000">
                      <w14:alpha w14:val="100000"/>
                    </w14:srgbClr>
                  </w14:solidFill>
                </w14:textFill>
              </w:rPr>
              <w:t xml:space="preserve">　</w:t>
            </w:r>
            <w:r w:rsidRPr="004C3CC2">
              <w:rPr>
                <w:color w:val="000000"/>
                <w:w w:val="15"/>
                <w:shd w:val="solid" w:color="000000" w:fill="000000"/>
                <w:fitText w:val="70" w:id="-1504954105"/>
                <w14:textFill>
                  <w14:solidFill>
                    <w14:srgbClr w14:val="000000">
                      <w14:alpha w14:val="100000"/>
                    </w14:srgbClr>
                  </w14:solidFill>
                </w14:textFill>
              </w:rPr>
              <w:t>|</w:t>
            </w:r>
            <w:r w:rsidRPr="004C3CC2">
              <w:rPr>
                <w:rFonts w:hint="eastAsia"/>
                <w:color w:val="000000"/>
                <w:spacing w:val="4"/>
                <w:w w:val="15"/>
                <w:shd w:val="solid" w:color="000000" w:fill="000000"/>
                <w:fitText w:val="70" w:id="-1504954105"/>
                <w14:textFill>
                  <w14:solidFill>
                    <w14:srgbClr w14:val="000000">
                      <w14:alpha w14:val="100000"/>
                    </w14:srgbClr>
                  </w14:solidFill>
                </w14:textFill>
              </w:rPr>
              <w:t xml:space="preserve">　</w:t>
            </w:r>
            <w:r w:rsidR="009672AF">
              <w:rPr>
                <w:vertAlign w:val="superscript"/>
              </w:rPr>
              <w:t>4</w:t>
            </w:r>
          </w:p>
        </w:tc>
        <w:tc>
          <w:tcPr>
            <w:tcW w:w="629" w:type="pct"/>
            <w:tcBorders>
              <w:top w:val="nil"/>
              <w:left w:val="nil"/>
              <w:bottom w:val="single" w:sz="4" w:space="0" w:color="auto"/>
              <w:right w:val="single" w:sz="4" w:space="0" w:color="auto"/>
            </w:tcBorders>
            <w:shd w:val="clear" w:color="000000" w:fill="FFFFFF"/>
            <w:vAlign w:val="center"/>
          </w:tcPr>
          <w:p w14:paraId="0EA74EBB" w14:textId="7AB179B4"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04"/>
                <w14:textFill>
                  <w14:solidFill>
                    <w14:srgbClr w14:val="000000">
                      <w14:alpha w14:val="100000"/>
                    </w14:srgbClr>
                  </w14:solidFill>
                </w14:textFill>
              </w:rPr>
              <w:t xml:space="preserve">　</w:t>
            </w:r>
            <w:r w:rsidRPr="004C3CC2">
              <w:rPr>
                <w:color w:val="000000"/>
                <w:w w:val="15"/>
                <w:shd w:val="solid" w:color="000000" w:fill="000000"/>
                <w:fitText w:val="70" w:id="-1504954104"/>
                <w14:textFill>
                  <w14:solidFill>
                    <w14:srgbClr w14:val="000000">
                      <w14:alpha w14:val="100000"/>
                    </w14:srgbClr>
                  </w14:solidFill>
                </w14:textFill>
              </w:rPr>
              <w:t>|</w:t>
            </w:r>
            <w:r w:rsidRPr="004C3CC2">
              <w:rPr>
                <w:rFonts w:hint="eastAsia"/>
                <w:color w:val="000000"/>
                <w:spacing w:val="4"/>
                <w:w w:val="15"/>
                <w:shd w:val="solid" w:color="000000" w:fill="000000"/>
                <w:fitText w:val="70" w:id="-1504954104"/>
                <w14:textFill>
                  <w14:solidFill>
                    <w14:srgbClr w14:val="000000">
                      <w14:alpha w14:val="100000"/>
                    </w14:srgbClr>
                  </w14:solidFill>
                </w14:textFill>
              </w:rPr>
              <w:t xml:space="preserve">　</w:t>
            </w:r>
            <w:r w:rsidR="009672AF">
              <w:rPr>
                <w:vertAlign w:val="superscript"/>
              </w:rPr>
              <w:t>4</w:t>
            </w:r>
          </w:p>
        </w:tc>
        <w:tc>
          <w:tcPr>
            <w:tcW w:w="629" w:type="pct"/>
            <w:tcBorders>
              <w:top w:val="nil"/>
              <w:left w:val="nil"/>
              <w:bottom w:val="single" w:sz="4" w:space="0" w:color="auto"/>
              <w:right w:val="single" w:sz="4" w:space="0" w:color="auto"/>
            </w:tcBorders>
            <w:shd w:val="clear" w:color="000000" w:fill="FFFFFF"/>
            <w:vAlign w:val="center"/>
          </w:tcPr>
          <w:p w14:paraId="43841C72" w14:textId="431ECF9C"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03"/>
                <w14:textFill>
                  <w14:solidFill>
                    <w14:srgbClr w14:val="000000">
                      <w14:alpha w14:val="100000"/>
                    </w14:srgbClr>
                  </w14:solidFill>
                </w14:textFill>
              </w:rPr>
              <w:t xml:space="preserve">　</w:t>
            </w:r>
            <w:r w:rsidRPr="004C3CC2">
              <w:rPr>
                <w:color w:val="000000"/>
                <w:w w:val="15"/>
                <w:shd w:val="solid" w:color="000000" w:fill="000000"/>
                <w:fitText w:val="70" w:id="-1504954103"/>
                <w14:textFill>
                  <w14:solidFill>
                    <w14:srgbClr w14:val="000000">
                      <w14:alpha w14:val="100000"/>
                    </w14:srgbClr>
                  </w14:solidFill>
                </w14:textFill>
              </w:rPr>
              <w:t>|</w:t>
            </w:r>
            <w:r w:rsidRPr="004C3CC2">
              <w:rPr>
                <w:rFonts w:hint="eastAsia"/>
                <w:color w:val="000000"/>
                <w:spacing w:val="4"/>
                <w:w w:val="15"/>
                <w:shd w:val="solid" w:color="000000" w:fill="000000"/>
                <w:fitText w:val="70" w:id="-1504954103"/>
                <w14:textFill>
                  <w14:solidFill>
                    <w14:srgbClr w14:val="000000">
                      <w14:alpha w14:val="100000"/>
                    </w14:srgbClr>
                  </w14:solidFill>
                </w14:textFill>
              </w:rPr>
              <w:t xml:space="preserve">　</w:t>
            </w:r>
            <w:r w:rsidR="009672AF">
              <w:rPr>
                <w:vertAlign w:val="superscript"/>
              </w:rPr>
              <w:t>4</w:t>
            </w:r>
          </w:p>
        </w:tc>
        <w:tc>
          <w:tcPr>
            <w:tcW w:w="601" w:type="pct"/>
            <w:tcBorders>
              <w:top w:val="nil"/>
              <w:left w:val="nil"/>
              <w:bottom w:val="single" w:sz="4" w:space="0" w:color="auto"/>
              <w:right w:val="single" w:sz="4" w:space="0" w:color="auto"/>
            </w:tcBorders>
            <w:shd w:val="clear" w:color="000000" w:fill="FFFFFF"/>
            <w:vAlign w:val="center"/>
          </w:tcPr>
          <w:p w14:paraId="3E442A50" w14:textId="290CBAD0" w:rsidR="004713D9" w:rsidRPr="004C3CC2" w:rsidRDefault="004C3CC2" w:rsidP="00F75DE5">
            <w:pPr>
              <w:pStyle w:val="TableText"/>
              <w:jc w:val="center"/>
              <w:rPr>
                <w:highlight w:val="yellow"/>
              </w:rPr>
            </w:pPr>
            <w:r w:rsidRPr="004C3CC2">
              <w:rPr>
                <w:rFonts w:hint="eastAsia"/>
                <w:color w:val="000000"/>
                <w:w w:val="18"/>
                <w:shd w:val="solid" w:color="000000" w:fill="000000"/>
                <w:fitText w:val="80" w:id="-1504954102"/>
                <w14:textFill>
                  <w14:solidFill>
                    <w14:srgbClr w14:val="000000">
                      <w14:alpha w14:val="100000"/>
                    </w14:srgbClr>
                  </w14:solidFill>
                </w14:textFill>
              </w:rPr>
              <w:t xml:space="preserve">　</w:t>
            </w:r>
            <w:r w:rsidRPr="004C3CC2">
              <w:rPr>
                <w:color w:val="000000"/>
                <w:w w:val="18"/>
                <w:shd w:val="solid" w:color="000000" w:fill="000000"/>
                <w:fitText w:val="80" w:id="-1504954102"/>
                <w14:textFill>
                  <w14:solidFill>
                    <w14:srgbClr w14:val="000000">
                      <w14:alpha w14:val="100000"/>
                    </w14:srgbClr>
                  </w14:solidFill>
                </w14:textFill>
              </w:rPr>
              <w:t>|</w:t>
            </w:r>
            <w:r w:rsidRPr="004C3CC2">
              <w:rPr>
                <w:rFonts w:hint="eastAsia"/>
                <w:color w:val="000000"/>
                <w:w w:val="18"/>
                <w:shd w:val="solid" w:color="000000" w:fill="000000"/>
                <w:fitText w:val="80" w:id="-1504954102"/>
                <w14:textFill>
                  <w14:solidFill>
                    <w14:srgbClr w14:val="000000">
                      <w14:alpha w14:val="100000"/>
                    </w14:srgbClr>
                  </w14:solidFill>
                </w14:textFill>
              </w:rPr>
              <w:t xml:space="preserve">　</w:t>
            </w:r>
            <w:r w:rsidR="009672AF">
              <w:rPr>
                <w:vertAlign w:val="superscript"/>
              </w:rPr>
              <w:t>4</w:t>
            </w:r>
          </w:p>
        </w:tc>
      </w:tr>
      <w:tr w:rsidR="004713D9" w:rsidRPr="007B6175" w14:paraId="42ACC6F9" w14:textId="77777777" w:rsidTr="00845E08">
        <w:tc>
          <w:tcPr>
            <w:tcW w:w="1255" w:type="pct"/>
          </w:tcPr>
          <w:p w14:paraId="313513EF" w14:textId="0AABD665" w:rsidR="004713D9" w:rsidRPr="007B6175" w:rsidRDefault="004713D9" w:rsidP="00F75DE5">
            <w:pPr>
              <w:pStyle w:val="TableText"/>
            </w:pPr>
            <w:r w:rsidRPr="007B6175">
              <w:t xml:space="preserve">Patients </w:t>
            </w:r>
            <w:r w:rsidR="00175B34" w:rsidRPr="007B6175">
              <w:t xml:space="preserve">currently </w:t>
            </w:r>
            <w:r w:rsidRPr="007B6175">
              <w:t>on ≥3 oral preventatives (10%)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5C4A84A0" w14:textId="6EDC1BB1"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01"/>
                <w14:textFill>
                  <w14:solidFill>
                    <w14:srgbClr w14:val="000000">
                      <w14:alpha w14:val="100000"/>
                    </w14:srgbClr>
                  </w14:solidFill>
                </w14:textFill>
              </w:rPr>
              <w:t xml:space="preserve">　</w:t>
            </w:r>
            <w:r w:rsidRPr="004C3CC2">
              <w:rPr>
                <w:color w:val="000000"/>
                <w:w w:val="15"/>
                <w:shd w:val="solid" w:color="000000" w:fill="000000"/>
                <w:fitText w:val="70" w:id="-1504954101"/>
                <w14:textFill>
                  <w14:solidFill>
                    <w14:srgbClr w14:val="000000">
                      <w14:alpha w14:val="100000"/>
                    </w14:srgbClr>
                  </w14:solidFill>
                </w14:textFill>
              </w:rPr>
              <w:t>|</w:t>
            </w:r>
            <w:r w:rsidRPr="004C3CC2">
              <w:rPr>
                <w:rFonts w:hint="eastAsia"/>
                <w:color w:val="000000"/>
                <w:spacing w:val="4"/>
                <w:w w:val="15"/>
                <w:shd w:val="solid" w:color="000000" w:fill="000000"/>
                <w:fitText w:val="70" w:id="-1504954101"/>
                <w14:textFill>
                  <w14:solidFill>
                    <w14:srgbClr w14:val="000000">
                      <w14:alpha w14:val="100000"/>
                    </w14:srgbClr>
                  </w14:solidFill>
                </w14:textFill>
              </w:rPr>
              <w:t xml:space="preserve">　</w:t>
            </w:r>
            <w:r w:rsidR="009672AF">
              <w:rPr>
                <w:vertAlign w:val="superscript"/>
              </w:rPr>
              <w:t>5</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31CECEEF" w14:textId="148E2B4F"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00"/>
                <w14:textFill>
                  <w14:solidFill>
                    <w14:srgbClr w14:val="000000">
                      <w14:alpha w14:val="100000"/>
                    </w14:srgbClr>
                  </w14:solidFill>
                </w14:textFill>
              </w:rPr>
              <w:t xml:space="preserve">　</w:t>
            </w:r>
            <w:r w:rsidRPr="004C3CC2">
              <w:rPr>
                <w:color w:val="000000"/>
                <w:w w:val="15"/>
                <w:shd w:val="solid" w:color="000000" w:fill="000000"/>
                <w:fitText w:val="70" w:id="-1504954100"/>
                <w14:textFill>
                  <w14:solidFill>
                    <w14:srgbClr w14:val="000000">
                      <w14:alpha w14:val="100000"/>
                    </w14:srgbClr>
                  </w14:solidFill>
                </w14:textFill>
              </w:rPr>
              <w:t>|</w:t>
            </w:r>
            <w:r w:rsidRPr="004C3CC2">
              <w:rPr>
                <w:rFonts w:hint="eastAsia"/>
                <w:color w:val="000000"/>
                <w:spacing w:val="4"/>
                <w:w w:val="15"/>
                <w:shd w:val="solid" w:color="000000" w:fill="000000"/>
                <w:fitText w:val="70" w:id="-1504954100"/>
                <w14:textFill>
                  <w14:solidFill>
                    <w14:srgbClr w14:val="000000">
                      <w14:alpha w14:val="100000"/>
                    </w14:srgbClr>
                  </w14:solidFill>
                </w14:textFill>
              </w:rPr>
              <w:t xml:space="preserve">　</w:t>
            </w:r>
            <w:r w:rsidR="009672AF">
              <w:rPr>
                <w:vertAlign w:val="superscript"/>
              </w:rPr>
              <w:t>5</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65E5745F" w14:textId="691C90BA"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099"/>
                <w14:textFill>
                  <w14:solidFill>
                    <w14:srgbClr w14:val="000000">
                      <w14:alpha w14:val="100000"/>
                    </w14:srgbClr>
                  </w14:solidFill>
                </w14:textFill>
              </w:rPr>
              <w:t xml:space="preserve">　</w:t>
            </w:r>
            <w:r w:rsidRPr="004C3CC2">
              <w:rPr>
                <w:color w:val="000000"/>
                <w:w w:val="15"/>
                <w:shd w:val="solid" w:color="000000" w:fill="000000"/>
                <w:fitText w:val="70" w:id="-1504954099"/>
                <w14:textFill>
                  <w14:solidFill>
                    <w14:srgbClr w14:val="000000">
                      <w14:alpha w14:val="100000"/>
                    </w14:srgbClr>
                  </w14:solidFill>
                </w14:textFill>
              </w:rPr>
              <w:t>|</w:t>
            </w:r>
            <w:r w:rsidRPr="004C3CC2">
              <w:rPr>
                <w:rFonts w:hint="eastAsia"/>
                <w:color w:val="000000"/>
                <w:spacing w:val="4"/>
                <w:w w:val="15"/>
                <w:shd w:val="solid" w:color="000000" w:fill="000000"/>
                <w:fitText w:val="70" w:id="-1504954099"/>
                <w14:textFill>
                  <w14:solidFill>
                    <w14:srgbClr w14:val="000000">
                      <w14:alpha w14:val="100000"/>
                    </w14:srgbClr>
                  </w14:solidFill>
                </w14:textFill>
              </w:rPr>
              <w:t xml:space="preserve">　</w:t>
            </w:r>
            <w:r w:rsidR="009672AF">
              <w:rPr>
                <w:vertAlign w:val="superscript"/>
              </w:rPr>
              <w:t>5</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2EAE60A4" w14:textId="66860343"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098"/>
                <w14:textFill>
                  <w14:solidFill>
                    <w14:srgbClr w14:val="000000">
                      <w14:alpha w14:val="100000"/>
                    </w14:srgbClr>
                  </w14:solidFill>
                </w14:textFill>
              </w:rPr>
              <w:t xml:space="preserve">　</w:t>
            </w:r>
            <w:r w:rsidRPr="004C3CC2">
              <w:rPr>
                <w:color w:val="000000"/>
                <w:w w:val="15"/>
                <w:shd w:val="solid" w:color="000000" w:fill="000000"/>
                <w:fitText w:val="70" w:id="-1504954098"/>
                <w14:textFill>
                  <w14:solidFill>
                    <w14:srgbClr w14:val="000000">
                      <w14:alpha w14:val="100000"/>
                    </w14:srgbClr>
                  </w14:solidFill>
                </w14:textFill>
              </w:rPr>
              <w:t>|</w:t>
            </w:r>
            <w:r w:rsidRPr="004C3CC2">
              <w:rPr>
                <w:rFonts w:hint="eastAsia"/>
                <w:color w:val="000000"/>
                <w:spacing w:val="4"/>
                <w:w w:val="15"/>
                <w:shd w:val="solid" w:color="000000" w:fill="000000"/>
                <w:fitText w:val="70" w:id="-1504954098"/>
                <w14:textFill>
                  <w14:solidFill>
                    <w14:srgbClr w14:val="000000">
                      <w14:alpha w14:val="100000"/>
                    </w14:srgbClr>
                  </w14:solidFill>
                </w14:textFill>
              </w:rPr>
              <w:t xml:space="preserve">　</w:t>
            </w:r>
            <w:r w:rsidR="009672AF">
              <w:rPr>
                <w:vertAlign w:val="superscript"/>
              </w:rPr>
              <w:t>5</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72BE3E47" w14:textId="4A0B45E0"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097"/>
                <w14:textFill>
                  <w14:solidFill>
                    <w14:srgbClr w14:val="000000">
                      <w14:alpha w14:val="100000"/>
                    </w14:srgbClr>
                  </w14:solidFill>
                </w14:textFill>
              </w:rPr>
              <w:t xml:space="preserve">　</w:t>
            </w:r>
            <w:r w:rsidRPr="004C3CC2">
              <w:rPr>
                <w:color w:val="000000"/>
                <w:w w:val="15"/>
                <w:shd w:val="solid" w:color="000000" w:fill="000000"/>
                <w:fitText w:val="70" w:id="-1504954097"/>
                <w14:textFill>
                  <w14:solidFill>
                    <w14:srgbClr w14:val="000000">
                      <w14:alpha w14:val="100000"/>
                    </w14:srgbClr>
                  </w14:solidFill>
                </w14:textFill>
              </w:rPr>
              <w:t>|</w:t>
            </w:r>
            <w:r w:rsidRPr="004C3CC2">
              <w:rPr>
                <w:rFonts w:hint="eastAsia"/>
                <w:color w:val="000000"/>
                <w:spacing w:val="4"/>
                <w:w w:val="15"/>
                <w:shd w:val="solid" w:color="000000" w:fill="000000"/>
                <w:fitText w:val="70" w:id="-1504954097"/>
                <w14:textFill>
                  <w14:solidFill>
                    <w14:srgbClr w14:val="000000">
                      <w14:alpha w14:val="100000"/>
                    </w14:srgbClr>
                  </w14:solidFill>
                </w14:textFill>
              </w:rPr>
              <w:t xml:space="preserve">　</w:t>
            </w:r>
            <w:r w:rsidR="009672AF">
              <w:rPr>
                <w:vertAlign w:val="superscript"/>
              </w:rPr>
              <w:t>5</w:t>
            </w:r>
          </w:p>
        </w:tc>
        <w:tc>
          <w:tcPr>
            <w:tcW w:w="601" w:type="pct"/>
            <w:tcBorders>
              <w:top w:val="single" w:sz="4" w:space="0" w:color="auto"/>
              <w:left w:val="nil"/>
              <w:bottom w:val="single" w:sz="4" w:space="0" w:color="auto"/>
              <w:right w:val="single" w:sz="4" w:space="0" w:color="auto"/>
            </w:tcBorders>
            <w:shd w:val="clear" w:color="000000" w:fill="FFFFFF"/>
            <w:vAlign w:val="center"/>
          </w:tcPr>
          <w:p w14:paraId="07682DAC" w14:textId="0BCD052A" w:rsidR="004713D9" w:rsidRPr="004C3CC2" w:rsidRDefault="004C3CC2" w:rsidP="00F75DE5">
            <w:pPr>
              <w:pStyle w:val="TableText"/>
              <w:jc w:val="center"/>
              <w:rPr>
                <w:highlight w:val="yellow"/>
              </w:rPr>
            </w:pPr>
            <w:r w:rsidRPr="004C3CC2">
              <w:rPr>
                <w:rFonts w:hint="eastAsia"/>
                <w:color w:val="000000"/>
                <w:w w:val="18"/>
                <w:shd w:val="solid" w:color="000000" w:fill="000000"/>
                <w:fitText w:val="80" w:id="-1504954096"/>
                <w14:textFill>
                  <w14:solidFill>
                    <w14:srgbClr w14:val="000000">
                      <w14:alpha w14:val="100000"/>
                    </w14:srgbClr>
                  </w14:solidFill>
                </w14:textFill>
              </w:rPr>
              <w:t xml:space="preserve">　</w:t>
            </w:r>
            <w:r w:rsidRPr="004C3CC2">
              <w:rPr>
                <w:color w:val="000000"/>
                <w:w w:val="18"/>
                <w:shd w:val="solid" w:color="000000" w:fill="000000"/>
                <w:fitText w:val="80" w:id="-1504954096"/>
                <w14:textFill>
                  <w14:solidFill>
                    <w14:srgbClr w14:val="000000">
                      <w14:alpha w14:val="100000"/>
                    </w14:srgbClr>
                  </w14:solidFill>
                </w14:textFill>
              </w:rPr>
              <w:t>|</w:t>
            </w:r>
            <w:r w:rsidRPr="004C3CC2">
              <w:rPr>
                <w:rFonts w:hint="eastAsia"/>
                <w:color w:val="000000"/>
                <w:w w:val="18"/>
                <w:shd w:val="solid" w:color="000000" w:fill="000000"/>
                <w:fitText w:val="80" w:id="-1504954096"/>
                <w14:textFill>
                  <w14:solidFill>
                    <w14:srgbClr w14:val="000000">
                      <w14:alpha w14:val="100000"/>
                    </w14:srgbClr>
                  </w14:solidFill>
                </w14:textFill>
              </w:rPr>
              <w:t xml:space="preserve">　</w:t>
            </w:r>
            <w:r w:rsidR="009672AF">
              <w:rPr>
                <w:vertAlign w:val="superscript"/>
              </w:rPr>
              <w:t>5</w:t>
            </w:r>
          </w:p>
        </w:tc>
      </w:tr>
      <w:tr w:rsidR="004713D9" w:rsidRPr="007B6175" w14:paraId="46ACEDA9" w14:textId="77777777" w:rsidTr="00845E08">
        <w:tc>
          <w:tcPr>
            <w:tcW w:w="1255" w:type="pct"/>
          </w:tcPr>
          <w:p w14:paraId="795A0DBA" w14:textId="549213E3" w:rsidR="004713D9" w:rsidRPr="007B6175" w:rsidRDefault="004713D9" w:rsidP="00F75DE5">
            <w:pPr>
              <w:pStyle w:val="TableText"/>
            </w:pPr>
            <w:r w:rsidRPr="007B6175">
              <w:t xml:space="preserve">On ≥3 </w:t>
            </w:r>
            <w:r w:rsidR="00175B34" w:rsidRPr="007B6175">
              <w:t>preventatives</w:t>
            </w:r>
            <w:r w:rsidRPr="007B6175">
              <w:t xml:space="preserve"> and intolerant, contraindicated, or have failed ≥3 preventative treatments (48.0%)</w:t>
            </w:r>
          </w:p>
        </w:tc>
        <w:tc>
          <w:tcPr>
            <w:tcW w:w="628" w:type="pct"/>
            <w:tcBorders>
              <w:top w:val="nil"/>
              <w:left w:val="single" w:sz="4" w:space="0" w:color="auto"/>
              <w:bottom w:val="single" w:sz="4" w:space="0" w:color="auto"/>
              <w:right w:val="single" w:sz="4" w:space="0" w:color="auto"/>
            </w:tcBorders>
            <w:shd w:val="clear" w:color="auto" w:fill="auto"/>
            <w:vAlign w:val="center"/>
          </w:tcPr>
          <w:p w14:paraId="0ECD9F85" w14:textId="56D5FF86"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12"/>
                <w14:textFill>
                  <w14:solidFill>
                    <w14:srgbClr w14:val="000000">
                      <w14:alpha w14:val="100000"/>
                    </w14:srgbClr>
                  </w14:solidFill>
                </w14:textFill>
              </w:rPr>
              <w:t xml:space="preserve">　</w:t>
            </w:r>
            <w:r w:rsidRPr="004C3CC2">
              <w:rPr>
                <w:color w:val="000000"/>
                <w:w w:val="15"/>
                <w:shd w:val="solid" w:color="000000" w:fill="000000"/>
                <w:fitText w:val="70" w:id="-1504954112"/>
                <w14:textFill>
                  <w14:solidFill>
                    <w14:srgbClr w14:val="000000">
                      <w14:alpha w14:val="100000"/>
                    </w14:srgbClr>
                  </w14:solidFill>
                </w14:textFill>
              </w:rPr>
              <w:t>|</w:t>
            </w:r>
            <w:r w:rsidRPr="004C3CC2">
              <w:rPr>
                <w:rFonts w:hint="eastAsia"/>
                <w:color w:val="000000"/>
                <w:spacing w:val="4"/>
                <w:w w:val="15"/>
                <w:shd w:val="solid" w:color="000000" w:fill="000000"/>
                <w:fitText w:val="70" w:id="-1504954112"/>
                <w14:textFill>
                  <w14:solidFill>
                    <w14:srgbClr w14:val="000000">
                      <w14:alpha w14:val="100000"/>
                    </w14:srgbClr>
                  </w14:solidFill>
                </w14:textFill>
              </w:rPr>
              <w:t xml:space="preserve">　</w:t>
            </w:r>
            <w:r w:rsidR="009672AF">
              <w:rPr>
                <w:vertAlign w:val="superscript"/>
              </w:rPr>
              <w:t>6</w:t>
            </w:r>
          </w:p>
        </w:tc>
        <w:tc>
          <w:tcPr>
            <w:tcW w:w="629" w:type="pct"/>
            <w:tcBorders>
              <w:top w:val="nil"/>
              <w:left w:val="nil"/>
              <w:bottom w:val="single" w:sz="4" w:space="0" w:color="auto"/>
              <w:right w:val="single" w:sz="4" w:space="0" w:color="auto"/>
            </w:tcBorders>
            <w:shd w:val="clear" w:color="auto" w:fill="auto"/>
            <w:vAlign w:val="center"/>
          </w:tcPr>
          <w:p w14:paraId="016D6A0B" w14:textId="4862C98E"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11"/>
                <w14:textFill>
                  <w14:solidFill>
                    <w14:srgbClr w14:val="000000">
                      <w14:alpha w14:val="100000"/>
                    </w14:srgbClr>
                  </w14:solidFill>
                </w14:textFill>
              </w:rPr>
              <w:t xml:space="preserve">　</w:t>
            </w:r>
            <w:r w:rsidRPr="004C3CC2">
              <w:rPr>
                <w:color w:val="000000"/>
                <w:w w:val="15"/>
                <w:shd w:val="solid" w:color="000000" w:fill="000000"/>
                <w:fitText w:val="70" w:id="-1504954111"/>
                <w14:textFill>
                  <w14:solidFill>
                    <w14:srgbClr w14:val="000000">
                      <w14:alpha w14:val="100000"/>
                    </w14:srgbClr>
                  </w14:solidFill>
                </w14:textFill>
              </w:rPr>
              <w:t>|</w:t>
            </w:r>
            <w:r w:rsidRPr="004C3CC2">
              <w:rPr>
                <w:rFonts w:hint="eastAsia"/>
                <w:color w:val="000000"/>
                <w:spacing w:val="4"/>
                <w:w w:val="15"/>
                <w:shd w:val="solid" w:color="000000" w:fill="000000"/>
                <w:fitText w:val="70" w:id="-1504954111"/>
                <w14:textFill>
                  <w14:solidFill>
                    <w14:srgbClr w14:val="000000">
                      <w14:alpha w14:val="100000"/>
                    </w14:srgbClr>
                  </w14:solidFill>
                </w14:textFill>
              </w:rPr>
              <w:t xml:space="preserve">　</w:t>
            </w:r>
            <w:r w:rsidR="009672AF">
              <w:rPr>
                <w:vertAlign w:val="superscript"/>
              </w:rPr>
              <w:t>6</w:t>
            </w:r>
          </w:p>
        </w:tc>
        <w:tc>
          <w:tcPr>
            <w:tcW w:w="629" w:type="pct"/>
            <w:tcBorders>
              <w:top w:val="nil"/>
              <w:left w:val="nil"/>
              <w:bottom w:val="single" w:sz="4" w:space="0" w:color="auto"/>
              <w:right w:val="single" w:sz="4" w:space="0" w:color="auto"/>
            </w:tcBorders>
            <w:shd w:val="clear" w:color="auto" w:fill="auto"/>
            <w:vAlign w:val="center"/>
          </w:tcPr>
          <w:p w14:paraId="5D89C85D" w14:textId="063C2D6D"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10"/>
                <w14:textFill>
                  <w14:solidFill>
                    <w14:srgbClr w14:val="000000">
                      <w14:alpha w14:val="100000"/>
                    </w14:srgbClr>
                  </w14:solidFill>
                </w14:textFill>
              </w:rPr>
              <w:t xml:space="preserve">　</w:t>
            </w:r>
            <w:r w:rsidRPr="004C3CC2">
              <w:rPr>
                <w:color w:val="000000"/>
                <w:w w:val="15"/>
                <w:shd w:val="solid" w:color="000000" w:fill="000000"/>
                <w:fitText w:val="70" w:id="-1504954110"/>
                <w14:textFill>
                  <w14:solidFill>
                    <w14:srgbClr w14:val="000000">
                      <w14:alpha w14:val="100000"/>
                    </w14:srgbClr>
                  </w14:solidFill>
                </w14:textFill>
              </w:rPr>
              <w:t>|</w:t>
            </w:r>
            <w:r w:rsidRPr="004C3CC2">
              <w:rPr>
                <w:rFonts w:hint="eastAsia"/>
                <w:color w:val="000000"/>
                <w:spacing w:val="4"/>
                <w:w w:val="15"/>
                <w:shd w:val="solid" w:color="000000" w:fill="000000"/>
                <w:fitText w:val="70" w:id="-1504954110"/>
                <w14:textFill>
                  <w14:solidFill>
                    <w14:srgbClr w14:val="000000">
                      <w14:alpha w14:val="100000"/>
                    </w14:srgbClr>
                  </w14:solidFill>
                </w14:textFill>
              </w:rPr>
              <w:t xml:space="preserve">　</w:t>
            </w:r>
            <w:r w:rsidR="009672AF">
              <w:rPr>
                <w:vertAlign w:val="superscript"/>
              </w:rPr>
              <w:t>6</w:t>
            </w:r>
          </w:p>
        </w:tc>
        <w:tc>
          <w:tcPr>
            <w:tcW w:w="629" w:type="pct"/>
            <w:tcBorders>
              <w:top w:val="nil"/>
              <w:left w:val="nil"/>
              <w:bottom w:val="single" w:sz="4" w:space="0" w:color="auto"/>
              <w:right w:val="single" w:sz="4" w:space="0" w:color="auto"/>
            </w:tcBorders>
            <w:shd w:val="clear" w:color="auto" w:fill="auto"/>
            <w:vAlign w:val="center"/>
          </w:tcPr>
          <w:p w14:paraId="09D8839D" w14:textId="6F9E686D"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09"/>
                <w14:textFill>
                  <w14:solidFill>
                    <w14:srgbClr w14:val="000000">
                      <w14:alpha w14:val="100000"/>
                    </w14:srgbClr>
                  </w14:solidFill>
                </w14:textFill>
              </w:rPr>
              <w:t xml:space="preserve">　</w:t>
            </w:r>
            <w:r w:rsidRPr="004C3CC2">
              <w:rPr>
                <w:color w:val="000000"/>
                <w:w w:val="15"/>
                <w:shd w:val="solid" w:color="000000" w:fill="000000"/>
                <w:fitText w:val="70" w:id="-1504954109"/>
                <w14:textFill>
                  <w14:solidFill>
                    <w14:srgbClr w14:val="000000">
                      <w14:alpha w14:val="100000"/>
                    </w14:srgbClr>
                  </w14:solidFill>
                </w14:textFill>
              </w:rPr>
              <w:t>|</w:t>
            </w:r>
            <w:r w:rsidRPr="004C3CC2">
              <w:rPr>
                <w:rFonts w:hint="eastAsia"/>
                <w:color w:val="000000"/>
                <w:spacing w:val="4"/>
                <w:w w:val="15"/>
                <w:shd w:val="solid" w:color="000000" w:fill="000000"/>
                <w:fitText w:val="70" w:id="-1504954109"/>
                <w14:textFill>
                  <w14:solidFill>
                    <w14:srgbClr w14:val="000000">
                      <w14:alpha w14:val="100000"/>
                    </w14:srgbClr>
                  </w14:solidFill>
                </w14:textFill>
              </w:rPr>
              <w:t xml:space="preserve">　</w:t>
            </w:r>
            <w:r w:rsidR="009672AF">
              <w:rPr>
                <w:vertAlign w:val="superscript"/>
              </w:rPr>
              <w:t>6</w:t>
            </w:r>
          </w:p>
        </w:tc>
        <w:tc>
          <w:tcPr>
            <w:tcW w:w="629" w:type="pct"/>
            <w:tcBorders>
              <w:top w:val="nil"/>
              <w:left w:val="nil"/>
              <w:bottom w:val="single" w:sz="4" w:space="0" w:color="auto"/>
              <w:right w:val="single" w:sz="4" w:space="0" w:color="auto"/>
            </w:tcBorders>
            <w:shd w:val="clear" w:color="auto" w:fill="auto"/>
            <w:vAlign w:val="center"/>
          </w:tcPr>
          <w:p w14:paraId="523DC539" w14:textId="48FDEEA7" w:rsidR="004713D9" w:rsidRPr="004C3CC2" w:rsidRDefault="004C3CC2" w:rsidP="00F75DE5">
            <w:pPr>
              <w:pStyle w:val="TableText"/>
              <w:jc w:val="center"/>
              <w:rPr>
                <w:highlight w:val="yellow"/>
              </w:rPr>
            </w:pPr>
            <w:r w:rsidRPr="004C3CC2">
              <w:rPr>
                <w:rFonts w:hint="eastAsia"/>
                <w:color w:val="000000"/>
                <w:w w:val="15"/>
                <w:shd w:val="solid" w:color="000000" w:fill="000000"/>
                <w:fitText w:val="70" w:id="-1504954108"/>
                <w14:textFill>
                  <w14:solidFill>
                    <w14:srgbClr w14:val="000000">
                      <w14:alpha w14:val="100000"/>
                    </w14:srgbClr>
                  </w14:solidFill>
                </w14:textFill>
              </w:rPr>
              <w:t xml:space="preserve">　</w:t>
            </w:r>
            <w:r w:rsidRPr="004C3CC2">
              <w:rPr>
                <w:color w:val="000000"/>
                <w:w w:val="15"/>
                <w:shd w:val="solid" w:color="000000" w:fill="000000"/>
                <w:fitText w:val="70" w:id="-1504954108"/>
                <w14:textFill>
                  <w14:solidFill>
                    <w14:srgbClr w14:val="000000">
                      <w14:alpha w14:val="100000"/>
                    </w14:srgbClr>
                  </w14:solidFill>
                </w14:textFill>
              </w:rPr>
              <w:t>|</w:t>
            </w:r>
            <w:r w:rsidRPr="004C3CC2">
              <w:rPr>
                <w:rFonts w:hint="eastAsia"/>
                <w:color w:val="000000"/>
                <w:spacing w:val="4"/>
                <w:w w:val="15"/>
                <w:shd w:val="solid" w:color="000000" w:fill="000000"/>
                <w:fitText w:val="70" w:id="-1504954108"/>
                <w14:textFill>
                  <w14:solidFill>
                    <w14:srgbClr w14:val="000000">
                      <w14:alpha w14:val="100000"/>
                    </w14:srgbClr>
                  </w14:solidFill>
                </w14:textFill>
              </w:rPr>
              <w:t xml:space="preserve">　</w:t>
            </w:r>
            <w:r w:rsidR="009672AF">
              <w:rPr>
                <w:vertAlign w:val="superscript"/>
              </w:rPr>
              <w:t>6</w:t>
            </w:r>
          </w:p>
        </w:tc>
        <w:tc>
          <w:tcPr>
            <w:tcW w:w="601" w:type="pct"/>
            <w:tcBorders>
              <w:top w:val="nil"/>
              <w:left w:val="nil"/>
              <w:bottom w:val="single" w:sz="4" w:space="0" w:color="auto"/>
              <w:right w:val="single" w:sz="4" w:space="0" w:color="auto"/>
            </w:tcBorders>
            <w:shd w:val="clear" w:color="auto" w:fill="auto"/>
            <w:vAlign w:val="center"/>
          </w:tcPr>
          <w:p w14:paraId="26C3F579" w14:textId="48037E68" w:rsidR="004713D9" w:rsidRPr="004C3CC2" w:rsidRDefault="004C3CC2" w:rsidP="00F75DE5">
            <w:pPr>
              <w:pStyle w:val="TableText"/>
              <w:jc w:val="center"/>
              <w:rPr>
                <w:highlight w:val="yellow"/>
              </w:rPr>
            </w:pPr>
            <w:r w:rsidRPr="004C3CC2">
              <w:rPr>
                <w:rFonts w:hint="eastAsia"/>
                <w:color w:val="000000"/>
                <w:w w:val="18"/>
                <w:shd w:val="solid" w:color="000000" w:fill="000000"/>
                <w:fitText w:val="80" w:id="-1504954107"/>
                <w14:textFill>
                  <w14:solidFill>
                    <w14:srgbClr w14:val="000000">
                      <w14:alpha w14:val="100000"/>
                    </w14:srgbClr>
                  </w14:solidFill>
                </w14:textFill>
              </w:rPr>
              <w:t xml:space="preserve">　</w:t>
            </w:r>
            <w:r w:rsidRPr="004C3CC2">
              <w:rPr>
                <w:color w:val="000000"/>
                <w:w w:val="18"/>
                <w:shd w:val="solid" w:color="000000" w:fill="000000"/>
                <w:fitText w:val="80" w:id="-1504954107"/>
                <w14:textFill>
                  <w14:solidFill>
                    <w14:srgbClr w14:val="000000">
                      <w14:alpha w14:val="100000"/>
                    </w14:srgbClr>
                  </w14:solidFill>
                </w14:textFill>
              </w:rPr>
              <w:t>|</w:t>
            </w:r>
            <w:r w:rsidRPr="004C3CC2">
              <w:rPr>
                <w:rFonts w:hint="eastAsia"/>
                <w:color w:val="000000"/>
                <w:w w:val="18"/>
                <w:shd w:val="solid" w:color="000000" w:fill="000000"/>
                <w:fitText w:val="80" w:id="-1504954107"/>
                <w14:textFill>
                  <w14:solidFill>
                    <w14:srgbClr w14:val="000000">
                      <w14:alpha w14:val="100000"/>
                    </w14:srgbClr>
                  </w14:solidFill>
                </w14:textFill>
              </w:rPr>
              <w:t xml:space="preserve">　</w:t>
            </w:r>
            <w:r w:rsidR="009672AF">
              <w:rPr>
                <w:vertAlign w:val="superscript"/>
              </w:rPr>
              <w:t>6</w:t>
            </w:r>
          </w:p>
        </w:tc>
      </w:tr>
      <w:tr w:rsidR="004713D9" w:rsidRPr="007B6175" w14:paraId="7C26D08A" w14:textId="77777777" w:rsidTr="00845E08">
        <w:tc>
          <w:tcPr>
            <w:tcW w:w="1255" w:type="pct"/>
            <w:tcBorders>
              <w:top w:val="nil"/>
              <w:left w:val="single" w:sz="4" w:space="0" w:color="auto"/>
              <w:bottom w:val="single" w:sz="4" w:space="0" w:color="auto"/>
              <w:right w:val="single" w:sz="4" w:space="0" w:color="auto"/>
            </w:tcBorders>
            <w:shd w:val="clear" w:color="auto" w:fill="FFFFFF" w:themeFill="background1"/>
            <w:vAlign w:val="bottom"/>
          </w:tcPr>
          <w:p w14:paraId="732649E7" w14:textId="77777777" w:rsidR="004713D9" w:rsidRPr="00BE008D" w:rsidRDefault="004713D9" w:rsidP="00F75DE5">
            <w:pPr>
              <w:pStyle w:val="TableText"/>
            </w:pPr>
            <w:r w:rsidRPr="00BE008D">
              <w:t xml:space="preserve">Uptake rates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1EEE1722" w14:textId="4EFE7CE3" w:rsidR="004713D9" w:rsidRPr="004C3CC2" w:rsidRDefault="004C3CC2" w:rsidP="00F75DE5">
            <w:pPr>
              <w:pStyle w:val="TableText"/>
              <w:jc w:val="center"/>
            </w:pPr>
            <w:r w:rsidRPr="004C3CC2">
              <w:rPr>
                <w:rFonts w:hint="eastAsia"/>
                <w:color w:val="000000"/>
                <w:w w:val="24"/>
                <w:shd w:val="solid" w:color="000000" w:fill="000000"/>
                <w:fitText w:val="110" w:id="-1504954106"/>
                <w14:textFill>
                  <w14:solidFill>
                    <w14:srgbClr w14:val="000000">
                      <w14:alpha w14:val="100000"/>
                    </w14:srgbClr>
                  </w14:solidFill>
                </w14:textFill>
              </w:rPr>
              <w:t xml:space="preserve">　</w:t>
            </w:r>
            <w:r w:rsidRPr="004C3CC2">
              <w:rPr>
                <w:color w:val="000000"/>
                <w:w w:val="24"/>
                <w:shd w:val="solid" w:color="000000" w:fill="000000"/>
                <w:fitText w:val="110" w:id="-1504954106"/>
                <w14:textFill>
                  <w14:solidFill>
                    <w14:srgbClr w14:val="000000">
                      <w14:alpha w14:val="100000"/>
                    </w14:srgbClr>
                  </w14:solidFill>
                </w14:textFill>
              </w:rPr>
              <w:t>|</w:t>
            </w:r>
            <w:r w:rsidRPr="004C3CC2">
              <w:rPr>
                <w:rFonts w:hint="eastAsia"/>
                <w:color w:val="000000"/>
                <w:spacing w:val="6"/>
                <w:w w:val="24"/>
                <w:shd w:val="solid" w:color="000000" w:fill="000000"/>
                <w:fitText w:val="110" w:id="-1504954106"/>
                <w14:textFill>
                  <w14:solidFill>
                    <w14:srgbClr w14:val="000000">
                      <w14:alpha w14:val="100000"/>
                    </w14:srgbClr>
                  </w14:solidFill>
                </w14:textFill>
              </w:rPr>
              <w:t xml:space="preserve">　</w:t>
            </w:r>
            <w:r w:rsidR="004713D9" w:rsidRPr="00BE008D">
              <w:t>%</w:t>
            </w:r>
          </w:p>
        </w:tc>
        <w:tc>
          <w:tcPr>
            <w:tcW w:w="629" w:type="pct"/>
            <w:tcBorders>
              <w:top w:val="single" w:sz="4" w:space="0" w:color="auto"/>
              <w:left w:val="nil"/>
              <w:bottom w:val="single" w:sz="4" w:space="0" w:color="auto"/>
              <w:right w:val="single" w:sz="4" w:space="0" w:color="auto"/>
            </w:tcBorders>
            <w:shd w:val="clear" w:color="auto" w:fill="auto"/>
            <w:vAlign w:val="center"/>
          </w:tcPr>
          <w:p w14:paraId="2EFA42B4" w14:textId="602854B9" w:rsidR="004713D9" w:rsidRPr="004C3CC2" w:rsidRDefault="004C3CC2" w:rsidP="00F75DE5">
            <w:pPr>
              <w:pStyle w:val="TableText"/>
              <w:jc w:val="center"/>
            </w:pPr>
            <w:r w:rsidRPr="004C3CC2">
              <w:rPr>
                <w:rFonts w:hint="eastAsia"/>
                <w:color w:val="000000"/>
                <w:w w:val="24"/>
                <w:shd w:val="solid" w:color="000000" w:fill="000000"/>
                <w:fitText w:val="110" w:id="-1504954105"/>
                <w14:textFill>
                  <w14:solidFill>
                    <w14:srgbClr w14:val="000000">
                      <w14:alpha w14:val="100000"/>
                    </w14:srgbClr>
                  </w14:solidFill>
                </w14:textFill>
              </w:rPr>
              <w:t xml:space="preserve">　</w:t>
            </w:r>
            <w:r w:rsidRPr="004C3CC2">
              <w:rPr>
                <w:color w:val="000000"/>
                <w:w w:val="24"/>
                <w:shd w:val="solid" w:color="000000" w:fill="000000"/>
                <w:fitText w:val="110" w:id="-1504954105"/>
                <w14:textFill>
                  <w14:solidFill>
                    <w14:srgbClr w14:val="000000">
                      <w14:alpha w14:val="100000"/>
                    </w14:srgbClr>
                  </w14:solidFill>
                </w14:textFill>
              </w:rPr>
              <w:t>|</w:t>
            </w:r>
            <w:r w:rsidRPr="004C3CC2">
              <w:rPr>
                <w:rFonts w:hint="eastAsia"/>
                <w:color w:val="000000"/>
                <w:spacing w:val="6"/>
                <w:w w:val="24"/>
                <w:shd w:val="solid" w:color="000000" w:fill="000000"/>
                <w:fitText w:val="110" w:id="-1504954105"/>
                <w14:textFill>
                  <w14:solidFill>
                    <w14:srgbClr w14:val="000000">
                      <w14:alpha w14:val="100000"/>
                    </w14:srgbClr>
                  </w14:solidFill>
                </w14:textFill>
              </w:rPr>
              <w:t xml:space="preserve">　</w:t>
            </w:r>
            <w:r w:rsidR="004713D9" w:rsidRPr="00BE008D">
              <w:t>%</w:t>
            </w:r>
          </w:p>
        </w:tc>
        <w:tc>
          <w:tcPr>
            <w:tcW w:w="629" w:type="pct"/>
            <w:tcBorders>
              <w:top w:val="single" w:sz="4" w:space="0" w:color="auto"/>
              <w:left w:val="nil"/>
              <w:bottom w:val="single" w:sz="4" w:space="0" w:color="auto"/>
              <w:right w:val="single" w:sz="4" w:space="0" w:color="auto"/>
            </w:tcBorders>
            <w:shd w:val="clear" w:color="auto" w:fill="auto"/>
            <w:vAlign w:val="center"/>
          </w:tcPr>
          <w:p w14:paraId="51DDB494" w14:textId="371B938D" w:rsidR="004713D9" w:rsidRPr="004C3CC2" w:rsidRDefault="004C3CC2" w:rsidP="00F75DE5">
            <w:pPr>
              <w:pStyle w:val="TableText"/>
              <w:jc w:val="center"/>
            </w:pPr>
            <w:r w:rsidRPr="004C3CC2">
              <w:rPr>
                <w:rFonts w:hint="eastAsia"/>
                <w:color w:val="000000"/>
                <w:w w:val="24"/>
                <w:shd w:val="solid" w:color="000000" w:fill="000000"/>
                <w:fitText w:val="110" w:id="-1504954104"/>
                <w14:textFill>
                  <w14:solidFill>
                    <w14:srgbClr w14:val="000000">
                      <w14:alpha w14:val="100000"/>
                    </w14:srgbClr>
                  </w14:solidFill>
                </w14:textFill>
              </w:rPr>
              <w:t xml:space="preserve">　</w:t>
            </w:r>
            <w:r w:rsidRPr="004C3CC2">
              <w:rPr>
                <w:color w:val="000000"/>
                <w:w w:val="24"/>
                <w:shd w:val="solid" w:color="000000" w:fill="000000"/>
                <w:fitText w:val="110" w:id="-1504954104"/>
                <w14:textFill>
                  <w14:solidFill>
                    <w14:srgbClr w14:val="000000">
                      <w14:alpha w14:val="100000"/>
                    </w14:srgbClr>
                  </w14:solidFill>
                </w14:textFill>
              </w:rPr>
              <w:t>|</w:t>
            </w:r>
            <w:r w:rsidRPr="004C3CC2">
              <w:rPr>
                <w:rFonts w:hint="eastAsia"/>
                <w:color w:val="000000"/>
                <w:spacing w:val="6"/>
                <w:w w:val="24"/>
                <w:shd w:val="solid" w:color="000000" w:fill="000000"/>
                <w:fitText w:val="110" w:id="-1504954104"/>
                <w14:textFill>
                  <w14:solidFill>
                    <w14:srgbClr w14:val="000000">
                      <w14:alpha w14:val="100000"/>
                    </w14:srgbClr>
                  </w14:solidFill>
                </w14:textFill>
              </w:rPr>
              <w:t xml:space="preserve">　</w:t>
            </w:r>
            <w:r w:rsidR="004713D9" w:rsidRPr="00BE008D">
              <w:t>%</w:t>
            </w:r>
          </w:p>
        </w:tc>
        <w:tc>
          <w:tcPr>
            <w:tcW w:w="629" w:type="pct"/>
            <w:tcBorders>
              <w:top w:val="single" w:sz="4" w:space="0" w:color="auto"/>
              <w:left w:val="nil"/>
              <w:bottom w:val="single" w:sz="4" w:space="0" w:color="auto"/>
              <w:right w:val="single" w:sz="4" w:space="0" w:color="auto"/>
            </w:tcBorders>
            <w:shd w:val="clear" w:color="auto" w:fill="auto"/>
            <w:vAlign w:val="center"/>
          </w:tcPr>
          <w:p w14:paraId="41656CA7" w14:textId="41E6232C" w:rsidR="004713D9" w:rsidRPr="004C3CC2" w:rsidRDefault="004C3CC2" w:rsidP="00F75DE5">
            <w:pPr>
              <w:pStyle w:val="TableText"/>
              <w:jc w:val="center"/>
            </w:pPr>
            <w:r w:rsidRPr="004C3CC2">
              <w:rPr>
                <w:rFonts w:hint="eastAsia"/>
                <w:color w:val="000000"/>
                <w:w w:val="24"/>
                <w:shd w:val="solid" w:color="000000" w:fill="000000"/>
                <w:fitText w:val="110" w:id="-1504954103"/>
                <w14:textFill>
                  <w14:solidFill>
                    <w14:srgbClr w14:val="000000">
                      <w14:alpha w14:val="100000"/>
                    </w14:srgbClr>
                  </w14:solidFill>
                </w14:textFill>
              </w:rPr>
              <w:t xml:space="preserve">　</w:t>
            </w:r>
            <w:r w:rsidRPr="004C3CC2">
              <w:rPr>
                <w:color w:val="000000"/>
                <w:w w:val="24"/>
                <w:shd w:val="solid" w:color="000000" w:fill="000000"/>
                <w:fitText w:val="110" w:id="-1504954103"/>
                <w14:textFill>
                  <w14:solidFill>
                    <w14:srgbClr w14:val="000000">
                      <w14:alpha w14:val="100000"/>
                    </w14:srgbClr>
                  </w14:solidFill>
                </w14:textFill>
              </w:rPr>
              <w:t>|</w:t>
            </w:r>
            <w:r w:rsidRPr="004C3CC2">
              <w:rPr>
                <w:rFonts w:hint="eastAsia"/>
                <w:color w:val="000000"/>
                <w:spacing w:val="6"/>
                <w:w w:val="24"/>
                <w:shd w:val="solid" w:color="000000" w:fill="000000"/>
                <w:fitText w:val="110" w:id="-1504954103"/>
                <w14:textFill>
                  <w14:solidFill>
                    <w14:srgbClr w14:val="000000">
                      <w14:alpha w14:val="100000"/>
                    </w14:srgbClr>
                  </w14:solidFill>
                </w14:textFill>
              </w:rPr>
              <w:t xml:space="preserve">　</w:t>
            </w:r>
            <w:r w:rsidR="004713D9" w:rsidRPr="00BE008D">
              <w:t>%</w:t>
            </w:r>
          </w:p>
        </w:tc>
        <w:tc>
          <w:tcPr>
            <w:tcW w:w="629" w:type="pct"/>
            <w:tcBorders>
              <w:top w:val="single" w:sz="4" w:space="0" w:color="auto"/>
              <w:left w:val="nil"/>
              <w:bottom w:val="single" w:sz="4" w:space="0" w:color="auto"/>
              <w:right w:val="single" w:sz="4" w:space="0" w:color="auto"/>
            </w:tcBorders>
            <w:shd w:val="clear" w:color="auto" w:fill="auto"/>
            <w:vAlign w:val="center"/>
          </w:tcPr>
          <w:p w14:paraId="6B06292B" w14:textId="7D466709" w:rsidR="004713D9" w:rsidRPr="004C3CC2" w:rsidRDefault="004C3CC2" w:rsidP="00F75DE5">
            <w:pPr>
              <w:pStyle w:val="TableText"/>
              <w:jc w:val="center"/>
            </w:pPr>
            <w:r w:rsidRPr="004C3CC2">
              <w:rPr>
                <w:rFonts w:hint="eastAsia"/>
                <w:color w:val="000000"/>
                <w:w w:val="24"/>
                <w:shd w:val="solid" w:color="000000" w:fill="000000"/>
                <w:fitText w:val="110" w:id="-1504954102"/>
                <w14:textFill>
                  <w14:solidFill>
                    <w14:srgbClr w14:val="000000">
                      <w14:alpha w14:val="100000"/>
                    </w14:srgbClr>
                  </w14:solidFill>
                </w14:textFill>
              </w:rPr>
              <w:t xml:space="preserve">　</w:t>
            </w:r>
            <w:r w:rsidRPr="004C3CC2">
              <w:rPr>
                <w:color w:val="000000"/>
                <w:w w:val="24"/>
                <w:shd w:val="solid" w:color="000000" w:fill="000000"/>
                <w:fitText w:val="110" w:id="-1504954102"/>
                <w14:textFill>
                  <w14:solidFill>
                    <w14:srgbClr w14:val="000000">
                      <w14:alpha w14:val="100000"/>
                    </w14:srgbClr>
                  </w14:solidFill>
                </w14:textFill>
              </w:rPr>
              <w:t>|</w:t>
            </w:r>
            <w:r w:rsidRPr="004C3CC2">
              <w:rPr>
                <w:rFonts w:hint="eastAsia"/>
                <w:color w:val="000000"/>
                <w:spacing w:val="6"/>
                <w:w w:val="24"/>
                <w:shd w:val="solid" w:color="000000" w:fill="000000"/>
                <w:fitText w:val="110" w:id="-1504954102"/>
                <w14:textFill>
                  <w14:solidFill>
                    <w14:srgbClr w14:val="000000">
                      <w14:alpha w14:val="100000"/>
                    </w14:srgbClr>
                  </w14:solidFill>
                </w14:textFill>
              </w:rPr>
              <w:t xml:space="preserve">　</w:t>
            </w:r>
            <w:r w:rsidR="004713D9" w:rsidRPr="00BE008D">
              <w:t>%</w:t>
            </w:r>
          </w:p>
        </w:tc>
        <w:tc>
          <w:tcPr>
            <w:tcW w:w="601" w:type="pct"/>
            <w:tcBorders>
              <w:top w:val="single" w:sz="4" w:space="0" w:color="auto"/>
              <w:left w:val="nil"/>
              <w:bottom w:val="single" w:sz="4" w:space="0" w:color="auto"/>
              <w:right w:val="single" w:sz="4" w:space="0" w:color="auto"/>
            </w:tcBorders>
            <w:shd w:val="clear" w:color="auto" w:fill="auto"/>
            <w:vAlign w:val="center"/>
          </w:tcPr>
          <w:p w14:paraId="6666430A" w14:textId="79A4F525" w:rsidR="004713D9" w:rsidRPr="004C3CC2" w:rsidRDefault="004C3CC2" w:rsidP="00F75DE5">
            <w:pPr>
              <w:pStyle w:val="TableText"/>
              <w:jc w:val="center"/>
            </w:pPr>
            <w:r w:rsidRPr="004C3CC2">
              <w:rPr>
                <w:rFonts w:hint="eastAsia"/>
                <w:color w:val="000000"/>
                <w:w w:val="31"/>
                <w:shd w:val="solid" w:color="000000" w:fill="000000"/>
                <w:fitText w:val="140" w:id="-1504954101"/>
                <w14:textFill>
                  <w14:solidFill>
                    <w14:srgbClr w14:val="000000">
                      <w14:alpha w14:val="100000"/>
                    </w14:srgbClr>
                  </w14:solidFill>
                </w14:textFill>
              </w:rPr>
              <w:t xml:space="preserve">　</w:t>
            </w:r>
            <w:r w:rsidRPr="004C3CC2">
              <w:rPr>
                <w:color w:val="000000"/>
                <w:w w:val="31"/>
                <w:shd w:val="solid" w:color="000000" w:fill="000000"/>
                <w:fitText w:val="140" w:id="-1504954101"/>
                <w14:textFill>
                  <w14:solidFill>
                    <w14:srgbClr w14:val="000000">
                      <w14:alpha w14:val="100000"/>
                    </w14:srgbClr>
                  </w14:solidFill>
                </w14:textFill>
              </w:rPr>
              <w:t>|</w:t>
            </w:r>
            <w:r w:rsidRPr="004C3CC2">
              <w:rPr>
                <w:rFonts w:hint="eastAsia"/>
                <w:color w:val="000000"/>
                <w:spacing w:val="4"/>
                <w:w w:val="31"/>
                <w:shd w:val="solid" w:color="000000" w:fill="000000"/>
                <w:fitText w:val="140" w:id="-1504954101"/>
                <w14:textFill>
                  <w14:solidFill>
                    <w14:srgbClr w14:val="000000">
                      <w14:alpha w14:val="100000"/>
                    </w14:srgbClr>
                  </w14:solidFill>
                </w14:textFill>
              </w:rPr>
              <w:t xml:space="preserve">　</w:t>
            </w:r>
            <w:r w:rsidR="004713D9" w:rsidRPr="00BE008D">
              <w:t>%</w:t>
            </w:r>
          </w:p>
        </w:tc>
      </w:tr>
      <w:tr w:rsidR="004713D9" w:rsidRPr="007B6175" w14:paraId="2236CD36" w14:textId="77777777" w:rsidTr="00845E08">
        <w:tc>
          <w:tcPr>
            <w:tcW w:w="1255" w:type="pct"/>
            <w:tcBorders>
              <w:top w:val="nil"/>
              <w:left w:val="single" w:sz="4" w:space="0" w:color="auto"/>
              <w:bottom w:val="single" w:sz="4" w:space="0" w:color="auto"/>
              <w:right w:val="single" w:sz="4" w:space="0" w:color="auto"/>
            </w:tcBorders>
            <w:shd w:val="clear" w:color="auto" w:fill="FFFFFF" w:themeFill="background1"/>
            <w:vAlign w:val="bottom"/>
          </w:tcPr>
          <w:p w14:paraId="781B2C46" w14:textId="77777777" w:rsidR="004713D9" w:rsidRPr="007B6175" w:rsidRDefault="004713D9" w:rsidP="00F75DE5">
            <w:pPr>
              <w:pStyle w:val="TableText"/>
            </w:pPr>
            <w:r w:rsidRPr="007B6175">
              <w:t>Number of patients initiating treatment (cumulative)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57E7A3B" w14:textId="6AFC1D57"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00"/>
                <w14:textFill>
                  <w14:solidFill>
                    <w14:srgbClr w14:val="000000">
                      <w14:alpha w14:val="100000"/>
                    </w14:srgbClr>
                  </w14:solidFill>
                </w14:textFill>
              </w:rPr>
              <w:t xml:space="preserve">　</w:t>
            </w:r>
            <w:r w:rsidRPr="004C3CC2">
              <w:rPr>
                <w:color w:val="000000"/>
                <w:w w:val="15"/>
                <w:shd w:val="solid" w:color="000000" w:fill="000000"/>
                <w:fitText w:val="70" w:id="-1504954100"/>
                <w14:textFill>
                  <w14:solidFill>
                    <w14:srgbClr w14:val="000000">
                      <w14:alpha w14:val="100000"/>
                    </w14:srgbClr>
                  </w14:solidFill>
                </w14:textFill>
              </w:rPr>
              <w:t>|</w:t>
            </w:r>
            <w:r w:rsidRPr="004C3CC2">
              <w:rPr>
                <w:rFonts w:hint="eastAsia"/>
                <w:color w:val="000000"/>
                <w:spacing w:val="4"/>
                <w:w w:val="15"/>
                <w:shd w:val="solid" w:color="000000" w:fill="000000"/>
                <w:fitText w:val="70" w:id="-1504954100"/>
                <w14:textFill>
                  <w14:solidFill>
                    <w14:srgbClr w14:val="000000">
                      <w14:alpha w14:val="100000"/>
                    </w14:srgbClr>
                  </w14:solidFill>
                </w14:textFill>
              </w:rPr>
              <w:t xml:space="preserve">　</w:t>
            </w:r>
            <w:r w:rsidR="009672AF">
              <w:rPr>
                <w:vertAlign w:val="superscript"/>
              </w:rPr>
              <w:t>7</w:t>
            </w:r>
          </w:p>
        </w:tc>
        <w:tc>
          <w:tcPr>
            <w:tcW w:w="629" w:type="pct"/>
            <w:tcBorders>
              <w:top w:val="single" w:sz="4" w:space="0" w:color="auto"/>
              <w:left w:val="nil"/>
              <w:bottom w:val="single" w:sz="4" w:space="0" w:color="auto"/>
              <w:right w:val="single" w:sz="4" w:space="0" w:color="auto"/>
            </w:tcBorders>
            <w:shd w:val="clear" w:color="auto" w:fill="auto"/>
            <w:vAlign w:val="center"/>
          </w:tcPr>
          <w:p w14:paraId="20240C91" w14:textId="2FD12CA3" w:rsidR="004713D9" w:rsidRPr="00DE3985" w:rsidRDefault="004C3CC2" w:rsidP="00F75DE5">
            <w:pPr>
              <w:pStyle w:val="TableText"/>
              <w:jc w:val="center"/>
              <w:rPr>
                <w:highlight w:val="yellow"/>
              </w:rPr>
            </w:pPr>
            <w:r w:rsidRPr="004C3CC2">
              <w:rPr>
                <w:rFonts w:hint="eastAsia"/>
                <w:color w:val="000000"/>
                <w:w w:val="22"/>
                <w:shd w:val="solid" w:color="000000" w:fill="000000"/>
                <w:fitText w:val="100" w:id="-1504954099"/>
                <w14:textFill>
                  <w14:solidFill>
                    <w14:srgbClr w14:val="000000">
                      <w14:alpha w14:val="100000"/>
                    </w14:srgbClr>
                  </w14:solidFill>
                </w14:textFill>
              </w:rPr>
              <w:t xml:space="preserve">　</w:t>
            </w:r>
            <w:r w:rsidRPr="004C3CC2">
              <w:rPr>
                <w:color w:val="000000"/>
                <w:w w:val="22"/>
                <w:shd w:val="solid" w:color="000000" w:fill="000000"/>
                <w:fitText w:val="100" w:id="-1504954099"/>
                <w14:textFill>
                  <w14:solidFill>
                    <w14:srgbClr w14:val="000000">
                      <w14:alpha w14:val="100000"/>
                    </w14:srgbClr>
                  </w14:solidFill>
                </w14:textFill>
              </w:rPr>
              <w:t>|</w:t>
            </w:r>
            <w:r w:rsidRPr="004C3CC2">
              <w:rPr>
                <w:rFonts w:hint="eastAsia"/>
                <w:color w:val="000000"/>
                <w:spacing w:val="3"/>
                <w:w w:val="22"/>
                <w:shd w:val="solid" w:color="000000" w:fill="000000"/>
                <w:fitText w:val="100" w:id="-1504954099"/>
                <w14:textFill>
                  <w14:solidFill>
                    <w14:srgbClr w14:val="000000">
                      <w14:alpha w14:val="100000"/>
                    </w14:srgbClr>
                  </w14:solidFill>
                </w14:textFill>
              </w:rPr>
              <w:t xml:space="preserve">　</w:t>
            </w:r>
            <w:r w:rsidR="00E424EC">
              <w:rPr>
                <w:vertAlign w:val="superscript"/>
              </w:rPr>
              <w:t>13</w:t>
            </w:r>
          </w:p>
        </w:tc>
        <w:tc>
          <w:tcPr>
            <w:tcW w:w="629" w:type="pct"/>
            <w:tcBorders>
              <w:top w:val="single" w:sz="4" w:space="0" w:color="auto"/>
              <w:left w:val="nil"/>
              <w:bottom w:val="single" w:sz="4" w:space="0" w:color="auto"/>
              <w:right w:val="single" w:sz="4" w:space="0" w:color="auto"/>
            </w:tcBorders>
            <w:shd w:val="clear" w:color="auto" w:fill="auto"/>
            <w:vAlign w:val="center"/>
          </w:tcPr>
          <w:p w14:paraId="2202D611" w14:textId="211B65B5" w:rsidR="004713D9" w:rsidRPr="00DE3985" w:rsidRDefault="004C3CC2" w:rsidP="00F75DE5">
            <w:pPr>
              <w:pStyle w:val="TableText"/>
              <w:jc w:val="center"/>
              <w:rPr>
                <w:highlight w:val="yellow"/>
              </w:rPr>
            </w:pPr>
            <w:r w:rsidRPr="004C3CC2">
              <w:rPr>
                <w:rFonts w:hint="eastAsia"/>
                <w:color w:val="000000"/>
                <w:w w:val="22"/>
                <w:shd w:val="solid" w:color="000000" w:fill="000000"/>
                <w:fitText w:val="100" w:id="-1504954098"/>
                <w14:textFill>
                  <w14:solidFill>
                    <w14:srgbClr w14:val="000000">
                      <w14:alpha w14:val="100000"/>
                    </w14:srgbClr>
                  </w14:solidFill>
                </w14:textFill>
              </w:rPr>
              <w:t xml:space="preserve">　</w:t>
            </w:r>
            <w:r w:rsidRPr="004C3CC2">
              <w:rPr>
                <w:color w:val="000000"/>
                <w:w w:val="22"/>
                <w:shd w:val="solid" w:color="000000" w:fill="000000"/>
                <w:fitText w:val="100" w:id="-1504954098"/>
                <w14:textFill>
                  <w14:solidFill>
                    <w14:srgbClr w14:val="000000">
                      <w14:alpha w14:val="100000"/>
                    </w14:srgbClr>
                  </w14:solidFill>
                </w14:textFill>
              </w:rPr>
              <w:t>|</w:t>
            </w:r>
            <w:r w:rsidRPr="004C3CC2">
              <w:rPr>
                <w:rFonts w:hint="eastAsia"/>
                <w:color w:val="000000"/>
                <w:spacing w:val="3"/>
                <w:w w:val="22"/>
                <w:shd w:val="solid" w:color="000000" w:fill="000000"/>
                <w:fitText w:val="100" w:id="-1504954098"/>
                <w14:textFill>
                  <w14:solidFill>
                    <w14:srgbClr w14:val="000000">
                      <w14:alpha w14:val="100000"/>
                    </w14:srgbClr>
                  </w14:solidFill>
                </w14:textFill>
              </w:rPr>
              <w:t xml:space="preserve">　</w:t>
            </w:r>
            <w:r w:rsidR="00E424EC">
              <w:rPr>
                <w:vertAlign w:val="superscript"/>
              </w:rPr>
              <w:t>13</w:t>
            </w:r>
          </w:p>
        </w:tc>
        <w:tc>
          <w:tcPr>
            <w:tcW w:w="629" w:type="pct"/>
            <w:tcBorders>
              <w:top w:val="single" w:sz="4" w:space="0" w:color="auto"/>
              <w:left w:val="nil"/>
              <w:bottom w:val="single" w:sz="4" w:space="0" w:color="auto"/>
              <w:right w:val="single" w:sz="4" w:space="0" w:color="auto"/>
            </w:tcBorders>
            <w:shd w:val="clear" w:color="auto" w:fill="auto"/>
            <w:vAlign w:val="center"/>
          </w:tcPr>
          <w:p w14:paraId="61DB1746" w14:textId="5D7A429F" w:rsidR="004713D9" w:rsidRPr="00DE3985" w:rsidRDefault="004C3CC2" w:rsidP="00F75DE5">
            <w:pPr>
              <w:pStyle w:val="TableText"/>
              <w:jc w:val="center"/>
              <w:rPr>
                <w:highlight w:val="yellow"/>
              </w:rPr>
            </w:pPr>
            <w:r w:rsidRPr="004C3CC2">
              <w:rPr>
                <w:rFonts w:hint="eastAsia"/>
                <w:color w:val="000000"/>
                <w:w w:val="22"/>
                <w:shd w:val="solid" w:color="000000" w:fill="000000"/>
                <w:fitText w:val="100" w:id="-1504954097"/>
                <w14:textFill>
                  <w14:solidFill>
                    <w14:srgbClr w14:val="000000">
                      <w14:alpha w14:val="100000"/>
                    </w14:srgbClr>
                  </w14:solidFill>
                </w14:textFill>
              </w:rPr>
              <w:t xml:space="preserve">　</w:t>
            </w:r>
            <w:r w:rsidRPr="004C3CC2">
              <w:rPr>
                <w:color w:val="000000"/>
                <w:w w:val="22"/>
                <w:shd w:val="solid" w:color="000000" w:fill="000000"/>
                <w:fitText w:val="100" w:id="-1504954097"/>
                <w14:textFill>
                  <w14:solidFill>
                    <w14:srgbClr w14:val="000000">
                      <w14:alpha w14:val="100000"/>
                    </w14:srgbClr>
                  </w14:solidFill>
                </w14:textFill>
              </w:rPr>
              <w:t>|</w:t>
            </w:r>
            <w:r w:rsidRPr="004C3CC2">
              <w:rPr>
                <w:rFonts w:hint="eastAsia"/>
                <w:color w:val="000000"/>
                <w:spacing w:val="3"/>
                <w:w w:val="22"/>
                <w:shd w:val="solid" w:color="000000" w:fill="000000"/>
                <w:fitText w:val="100" w:id="-1504954097"/>
                <w14:textFill>
                  <w14:solidFill>
                    <w14:srgbClr w14:val="000000">
                      <w14:alpha w14:val="100000"/>
                    </w14:srgbClr>
                  </w14:solidFill>
                </w14:textFill>
              </w:rPr>
              <w:t xml:space="preserve">　</w:t>
            </w:r>
            <w:r w:rsidR="00E424EC">
              <w:rPr>
                <w:vertAlign w:val="superscript"/>
              </w:rPr>
              <w:t>10</w:t>
            </w:r>
          </w:p>
        </w:tc>
        <w:tc>
          <w:tcPr>
            <w:tcW w:w="629" w:type="pct"/>
            <w:tcBorders>
              <w:top w:val="single" w:sz="4" w:space="0" w:color="auto"/>
              <w:left w:val="nil"/>
              <w:bottom w:val="single" w:sz="4" w:space="0" w:color="auto"/>
              <w:right w:val="single" w:sz="4" w:space="0" w:color="auto"/>
            </w:tcBorders>
            <w:shd w:val="clear" w:color="auto" w:fill="auto"/>
            <w:vAlign w:val="center"/>
          </w:tcPr>
          <w:p w14:paraId="2D18D51D" w14:textId="36A87263" w:rsidR="004713D9" w:rsidRPr="00DE3985" w:rsidRDefault="004C3CC2" w:rsidP="00F75DE5">
            <w:pPr>
              <w:pStyle w:val="TableText"/>
              <w:jc w:val="center"/>
              <w:rPr>
                <w:highlight w:val="yellow"/>
              </w:rPr>
            </w:pPr>
            <w:r w:rsidRPr="004C3CC2">
              <w:rPr>
                <w:rFonts w:hint="eastAsia"/>
                <w:color w:val="000000"/>
                <w:w w:val="22"/>
                <w:shd w:val="solid" w:color="000000" w:fill="000000"/>
                <w:fitText w:val="100" w:id="-1504954096"/>
                <w14:textFill>
                  <w14:solidFill>
                    <w14:srgbClr w14:val="000000">
                      <w14:alpha w14:val="100000"/>
                    </w14:srgbClr>
                  </w14:solidFill>
                </w14:textFill>
              </w:rPr>
              <w:t xml:space="preserve">　</w:t>
            </w:r>
            <w:r w:rsidRPr="004C3CC2">
              <w:rPr>
                <w:color w:val="000000"/>
                <w:w w:val="22"/>
                <w:shd w:val="solid" w:color="000000" w:fill="000000"/>
                <w:fitText w:val="100" w:id="-1504954096"/>
                <w14:textFill>
                  <w14:solidFill>
                    <w14:srgbClr w14:val="000000">
                      <w14:alpha w14:val="100000"/>
                    </w14:srgbClr>
                  </w14:solidFill>
                </w14:textFill>
              </w:rPr>
              <w:t>|</w:t>
            </w:r>
            <w:r w:rsidRPr="004C3CC2">
              <w:rPr>
                <w:rFonts w:hint="eastAsia"/>
                <w:color w:val="000000"/>
                <w:spacing w:val="3"/>
                <w:w w:val="22"/>
                <w:shd w:val="solid" w:color="000000" w:fill="000000"/>
                <w:fitText w:val="100" w:id="-1504954096"/>
                <w14:textFill>
                  <w14:solidFill>
                    <w14:srgbClr w14:val="000000">
                      <w14:alpha w14:val="100000"/>
                    </w14:srgbClr>
                  </w14:solidFill>
                </w14:textFill>
              </w:rPr>
              <w:t xml:space="preserve">　</w:t>
            </w:r>
            <w:r w:rsidR="00E424EC">
              <w:rPr>
                <w:vertAlign w:val="superscript"/>
              </w:rPr>
              <w:t>10</w:t>
            </w:r>
          </w:p>
        </w:tc>
        <w:tc>
          <w:tcPr>
            <w:tcW w:w="601" w:type="pct"/>
            <w:tcBorders>
              <w:top w:val="single" w:sz="4" w:space="0" w:color="auto"/>
              <w:left w:val="nil"/>
              <w:bottom w:val="single" w:sz="4" w:space="0" w:color="auto"/>
              <w:right w:val="single" w:sz="4" w:space="0" w:color="auto"/>
            </w:tcBorders>
            <w:shd w:val="clear" w:color="auto" w:fill="auto"/>
            <w:vAlign w:val="center"/>
          </w:tcPr>
          <w:p w14:paraId="2CB4769A" w14:textId="4071524E" w:rsidR="004713D9" w:rsidRPr="00DE3985" w:rsidRDefault="004C3CC2" w:rsidP="00F75DE5">
            <w:pPr>
              <w:pStyle w:val="TableText"/>
              <w:jc w:val="center"/>
              <w:rPr>
                <w:highlight w:val="yellow"/>
              </w:rPr>
            </w:pPr>
            <w:r w:rsidRPr="004C3CC2">
              <w:rPr>
                <w:rFonts w:hint="eastAsia"/>
                <w:color w:val="000000"/>
                <w:w w:val="24"/>
                <w:shd w:val="solid" w:color="000000" w:fill="000000"/>
                <w:fitText w:val="110" w:id="-1504954112"/>
                <w14:textFill>
                  <w14:solidFill>
                    <w14:srgbClr w14:val="000000">
                      <w14:alpha w14:val="100000"/>
                    </w14:srgbClr>
                  </w14:solidFill>
                </w14:textFill>
              </w:rPr>
              <w:t xml:space="preserve">　</w:t>
            </w:r>
            <w:r w:rsidRPr="004C3CC2">
              <w:rPr>
                <w:color w:val="000000"/>
                <w:w w:val="24"/>
                <w:shd w:val="solid" w:color="000000" w:fill="000000"/>
                <w:fitText w:val="110" w:id="-1504954112"/>
                <w14:textFill>
                  <w14:solidFill>
                    <w14:srgbClr w14:val="000000">
                      <w14:alpha w14:val="100000"/>
                    </w14:srgbClr>
                  </w14:solidFill>
                </w14:textFill>
              </w:rPr>
              <w:t>|</w:t>
            </w:r>
            <w:r w:rsidRPr="004C3CC2">
              <w:rPr>
                <w:rFonts w:hint="eastAsia"/>
                <w:color w:val="000000"/>
                <w:spacing w:val="6"/>
                <w:w w:val="24"/>
                <w:shd w:val="solid" w:color="000000" w:fill="000000"/>
                <w:fitText w:val="110" w:id="-1504954112"/>
                <w14:textFill>
                  <w14:solidFill>
                    <w14:srgbClr w14:val="000000">
                      <w14:alpha w14:val="100000"/>
                    </w14:srgbClr>
                  </w14:solidFill>
                </w14:textFill>
              </w:rPr>
              <w:t xml:space="preserve">　</w:t>
            </w:r>
            <w:r w:rsidR="00E424EC">
              <w:rPr>
                <w:vertAlign w:val="superscript"/>
              </w:rPr>
              <w:t>10</w:t>
            </w:r>
          </w:p>
        </w:tc>
      </w:tr>
      <w:tr w:rsidR="004713D9" w:rsidRPr="007B6175" w14:paraId="33D13466" w14:textId="77777777" w:rsidTr="00845E08">
        <w:tc>
          <w:tcPr>
            <w:tcW w:w="1255" w:type="pct"/>
            <w:tcBorders>
              <w:top w:val="nil"/>
              <w:left w:val="single" w:sz="4" w:space="0" w:color="auto"/>
              <w:bottom w:val="single" w:sz="4" w:space="0" w:color="auto"/>
              <w:right w:val="single" w:sz="4" w:space="0" w:color="auto"/>
            </w:tcBorders>
            <w:shd w:val="clear" w:color="auto" w:fill="FFFFFF" w:themeFill="background1"/>
            <w:vAlign w:val="center"/>
          </w:tcPr>
          <w:p w14:paraId="2B6B4D3C" w14:textId="77777777" w:rsidR="004713D9" w:rsidRPr="007B6175" w:rsidRDefault="004713D9" w:rsidP="00F75DE5">
            <w:pPr>
              <w:pStyle w:val="TableText"/>
            </w:pPr>
            <w:r w:rsidRPr="007B6175">
              <w:t>Number of new patients per year (estimated by subtracting patients from previous years)</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CE9D" w14:textId="35C0854E"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11"/>
                <w14:textFill>
                  <w14:solidFill>
                    <w14:srgbClr w14:val="000000">
                      <w14:alpha w14:val="100000"/>
                    </w14:srgbClr>
                  </w14:solidFill>
                </w14:textFill>
              </w:rPr>
              <w:t xml:space="preserve">　</w:t>
            </w:r>
            <w:r w:rsidRPr="004C3CC2">
              <w:rPr>
                <w:color w:val="000000"/>
                <w:w w:val="15"/>
                <w:shd w:val="solid" w:color="000000" w:fill="000000"/>
                <w:fitText w:val="70" w:id="-1504954111"/>
                <w14:textFill>
                  <w14:solidFill>
                    <w14:srgbClr w14:val="000000">
                      <w14:alpha w14:val="100000"/>
                    </w14:srgbClr>
                  </w14:solidFill>
                </w14:textFill>
              </w:rPr>
              <w:t>|</w:t>
            </w:r>
            <w:r w:rsidRPr="004C3CC2">
              <w:rPr>
                <w:rFonts w:hint="eastAsia"/>
                <w:color w:val="000000"/>
                <w:spacing w:val="4"/>
                <w:w w:val="15"/>
                <w:shd w:val="solid" w:color="000000" w:fill="000000"/>
                <w:fitText w:val="70" w:id="-1504954111"/>
                <w14:textFill>
                  <w14:solidFill>
                    <w14:srgbClr w14:val="000000">
                      <w14:alpha w14:val="100000"/>
                    </w14:srgbClr>
                  </w14:solidFill>
                </w14:textFill>
              </w:rPr>
              <w:t xml:space="preserve">　</w:t>
            </w:r>
            <w:r w:rsidR="009672AF">
              <w:rPr>
                <w:vertAlign w:val="superscript"/>
              </w:rPr>
              <w:t>7</w:t>
            </w:r>
          </w:p>
        </w:tc>
        <w:tc>
          <w:tcPr>
            <w:tcW w:w="629" w:type="pct"/>
            <w:tcBorders>
              <w:top w:val="nil"/>
              <w:left w:val="nil"/>
              <w:bottom w:val="single" w:sz="4" w:space="0" w:color="auto"/>
              <w:right w:val="single" w:sz="4" w:space="0" w:color="auto"/>
            </w:tcBorders>
            <w:shd w:val="clear" w:color="auto" w:fill="FFFFFF" w:themeFill="background1"/>
            <w:vAlign w:val="center"/>
          </w:tcPr>
          <w:p w14:paraId="71C93260" w14:textId="1E2470A4"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10"/>
                <w14:textFill>
                  <w14:solidFill>
                    <w14:srgbClr w14:val="000000">
                      <w14:alpha w14:val="100000"/>
                    </w14:srgbClr>
                  </w14:solidFill>
                </w14:textFill>
              </w:rPr>
              <w:t xml:space="preserve">　</w:t>
            </w:r>
            <w:r w:rsidRPr="004C3CC2">
              <w:rPr>
                <w:color w:val="000000"/>
                <w:w w:val="15"/>
                <w:shd w:val="solid" w:color="000000" w:fill="000000"/>
                <w:fitText w:val="70" w:id="-1504954110"/>
                <w14:textFill>
                  <w14:solidFill>
                    <w14:srgbClr w14:val="000000">
                      <w14:alpha w14:val="100000"/>
                    </w14:srgbClr>
                  </w14:solidFill>
                </w14:textFill>
              </w:rPr>
              <w:t>|</w:t>
            </w:r>
            <w:r w:rsidRPr="004C3CC2">
              <w:rPr>
                <w:rFonts w:hint="eastAsia"/>
                <w:color w:val="000000"/>
                <w:spacing w:val="4"/>
                <w:w w:val="15"/>
                <w:shd w:val="solid" w:color="000000" w:fill="000000"/>
                <w:fitText w:val="70" w:id="-1504954110"/>
                <w14:textFill>
                  <w14:solidFill>
                    <w14:srgbClr w14:val="000000">
                      <w14:alpha w14:val="100000"/>
                    </w14:srgbClr>
                  </w14:solidFill>
                </w14:textFill>
              </w:rPr>
              <w:t xml:space="preserve">　</w:t>
            </w:r>
            <w:r w:rsidR="009672AF">
              <w:rPr>
                <w:vertAlign w:val="superscript"/>
              </w:rPr>
              <w:t>7</w:t>
            </w:r>
          </w:p>
        </w:tc>
        <w:tc>
          <w:tcPr>
            <w:tcW w:w="629" w:type="pct"/>
            <w:tcBorders>
              <w:top w:val="nil"/>
              <w:left w:val="nil"/>
              <w:bottom w:val="single" w:sz="4" w:space="0" w:color="auto"/>
              <w:right w:val="single" w:sz="4" w:space="0" w:color="auto"/>
            </w:tcBorders>
            <w:shd w:val="clear" w:color="auto" w:fill="FFFFFF" w:themeFill="background1"/>
            <w:vAlign w:val="center"/>
          </w:tcPr>
          <w:p w14:paraId="4E9E88CE" w14:textId="6E0635D8"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09"/>
                <w14:textFill>
                  <w14:solidFill>
                    <w14:srgbClr w14:val="000000">
                      <w14:alpha w14:val="100000"/>
                    </w14:srgbClr>
                  </w14:solidFill>
                </w14:textFill>
              </w:rPr>
              <w:t xml:space="preserve">　</w:t>
            </w:r>
            <w:r w:rsidRPr="004C3CC2">
              <w:rPr>
                <w:color w:val="000000"/>
                <w:w w:val="15"/>
                <w:shd w:val="solid" w:color="000000" w:fill="000000"/>
                <w:fitText w:val="70" w:id="-1504954109"/>
                <w14:textFill>
                  <w14:solidFill>
                    <w14:srgbClr w14:val="000000">
                      <w14:alpha w14:val="100000"/>
                    </w14:srgbClr>
                  </w14:solidFill>
                </w14:textFill>
              </w:rPr>
              <w:t>|</w:t>
            </w:r>
            <w:r w:rsidRPr="004C3CC2">
              <w:rPr>
                <w:rFonts w:hint="eastAsia"/>
                <w:color w:val="000000"/>
                <w:spacing w:val="4"/>
                <w:w w:val="15"/>
                <w:shd w:val="solid" w:color="000000" w:fill="000000"/>
                <w:fitText w:val="70" w:id="-1504954109"/>
                <w14:textFill>
                  <w14:solidFill>
                    <w14:srgbClr w14:val="000000">
                      <w14:alpha w14:val="100000"/>
                    </w14:srgbClr>
                  </w14:solidFill>
                </w14:textFill>
              </w:rPr>
              <w:t xml:space="preserve">　</w:t>
            </w:r>
            <w:r w:rsidR="009672AF">
              <w:rPr>
                <w:vertAlign w:val="superscript"/>
              </w:rPr>
              <w:t>8</w:t>
            </w:r>
          </w:p>
        </w:tc>
        <w:tc>
          <w:tcPr>
            <w:tcW w:w="629" w:type="pct"/>
            <w:tcBorders>
              <w:top w:val="nil"/>
              <w:left w:val="nil"/>
              <w:bottom w:val="single" w:sz="4" w:space="0" w:color="auto"/>
              <w:right w:val="single" w:sz="4" w:space="0" w:color="auto"/>
            </w:tcBorders>
            <w:shd w:val="clear" w:color="auto" w:fill="FFFFFF" w:themeFill="background1"/>
            <w:vAlign w:val="center"/>
          </w:tcPr>
          <w:p w14:paraId="32F33176" w14:textId="79A64D91"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08"/>
                <w14:textFill>
                  <w14:solidFill>
                    <w14:srgbClr w14:val="000000">
                      <w14:alpha w14:val="100000"/>
                    </w14:srgbClr>
                  </w14:solidFill>
                </w14:textFill>
              </w:rPr>
              <w:t xml:space="preserve">　</w:t>
            </w:r>
            <w:r w:rsidRPr="004C3CC2">
              <w:rPr>
                <w:color w:val="000000"/>
                <w:w w:val="15"/>
                <w:shd w:val="solid" w:color="000000" w:fill="000000"/>
                <w:fitText w:val="70" w:id="-1504954108"/>
                <w14:textFill>
                  <w14:solidFill>
                    <w14:srgbClr w14:val="000000">
                      <w14:alpha w14:val="100000"/>
                    </w14:srgbClr>
                  </w14:solidFill>
                </w14:textFill>
              </w:rPr>
              <w:t>|</w:t>
            </w:r>
            <w:r w:rsidRPr="004C3CC2">
              <w:rPr>
                <w:rFonts w:hint="eastAsia"/>
                <w:color w:val="000000"/>
                <w:spacing w:val="4"/>
                <w:w w:val="15"/>
                <w:shd w:val="solid" w:color="000000" w:fill="000000"/>
                <w:fitText w:val="70" w:id="-1504954108"/>
                <w14:textFill>
                  <w14:solidFill>
                    <w14:srgbClr w14:val="000000">
                      <w14:alpha w14:val="100000"/>
                    </w14:srgbClr>
                  </w14:solidFill>
                </w14:textFill>
              </w:rPr>
              <w:t xml:space="preserve">　</w:t>
            </w:r>
            <w:r w:rsidR="009672AF">
              <w:rPr>
                <w:vertAlign w:val="superscript"/>
              </w:rPr>
              <w:t>8</w:t>
            </w:r>
          </w:p>
        </w:tc>
        <w:tc>
          <w:tcPr>
            <w:tcW w:w="629" w:type="pct"/>
            <w:tcBorders>
              <w:top w:val="nil"/>
              <w:left w:val="nil"/>
              <w:bottom w:val="single" w:sz="4" w:space="0" w:color="auto"/>
              <w:right w:val="single" w:sz="4" w:space="0" w:color="auto"/>
            </w:tcBorders>
            <w:shd w:val="clear" w:color="auto" w:fill="FFFFFF" w:themeFill="background1"/>
            <w:vAlign w:val="center"/>
          </w:tcPr>
          <w:p w14:paraId="36BD418D" w14:textId="6767E167"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07"/>
                <w14:textFill>
                  <w14:solidFill>
                    <w14:srgbClr w14:val="000000">
                      <w14:alpha w14:val="100000"/>
                    </w14:srgbClr>
                  </w14:solidFill>
                </w14:textFill>
              </w:rPr>
              <w:t xml:space="preserve">　</w:t>
            </w:r>
            <w:r w:rsidRPr="004C3CC2">
              <w:rPr>
                <w:color w:val="000000"/>
                <w:w w:val="15"/>
                <w:shd w:val="solid" w:color="000000" w:fill="000000"/>
                <w:fitText w:val="70" w:id="-1504954107"/>
                <w14:textFill>
                  <w14:solidFill>
                    <w14:srgbClr w14:val="000000">
                      <w14:alpha w14:val="100000"/>
                    </w14:srgbClr>
                  </w14:solidFill>
                </w14:textFill>
              </w:rPr>
              <w:t>|</w:t>
            </w:r>
            <w:r w:rsidRPr="004C3CC2">
              <w:rPr>
                <w:rFonts w:hint="eastAsia"/>
                <w:color w:val="000000"/>
                <w:spacing w:val="4"/>
                <w:w w:val="15"/>
                <w:shd w:val="solid" w:color="000000" w:fill="000000"/>
                <w:fitText w:val="70" w:id="-1504954107"/>
                <w14:textFill>
                  <w14:solidFill>
                    <w14:srgbClr w14:val="000000">
                      <w14:alpha w14:val="100000"/>
                    </w14:srgbClr>
                  </w14:solidFill>
                </w14:textFill>
              </w:rPr>
              <w:t xml:space="preserve">　</w:t>
            </w:r>
            <w:r w:rsidR="009672AF">
              <w:rPr>
                <w:vertAlign w:val="superscript"/>
              </w:rPr>
              <w:t>8</w:t>
            </w:r>
          </w:p>
        </w:tc>
        <w:tc>
          <w:tcPr>
            <w:tcW w:w="601" w:type="pct"/>
            <w:tcBorders>
              <w:top w:val="nil"/>
              <w:left w:val="nil"/>
              <w:bottom w:val="single" w:sz="4" w:space="0" w:color="auto"/>
              <w:right w:val="single" w:sz="4" w:space="0" w:color="auto"/>
            </w:tcBorders>
            <w:shd w:val="clear" w:color="auto" w:fill="FFFFFF" w:themeFill="background1"/>
            <w:vAlign w:val="center"/>
          </w:tcPr>
          <w:p w14:paraId="15889538" w14:textId="7704F6D2" w:rsidR="004713D9" w:rsidRPr="00DE3985" w:rsidRDefault="004C3CC2" w:rsidP="00F75DE5">
            <w:pPr>
              <w:pStyle w:val="TableText"/>
              <w:jc w:val="center"/>
              <w:rPr>
                <w:highlight w:val="yellow"/>
              </w:rPr>
            </w:pPr>
            <w:r w:rsidRPr="004C3CC2">
              <w:rPr>
                <w:rFonts w:hint="eastAsia"/>
                <w:color w:val="000000"/>
                <w:w w:val="18"/>
                <w:shd w:val="solid" w:color="000000" w:fill="000000"/>
                <w:fitText w:val="80" w:id="-1504954106"/>
                <w14:textFill>
                  <w14:solidFill>
                    <w14:srgbClr w14:val="000000">
                      <w14:alpha w14:val="100000"/>
                    </w14:srgbClr>
                  </w14:solidFill>
                </w14:textFill>
              </w:rPr>
              <w:t xml:space="preserve">　</w:t>
            </w:r>
            <w:r w:rsidRPr="004C3CC2">
              <w:rPr>
                <w:color w:val="000000"/>
                <w:w w:val="18"/>
                <w:shd w:val="solid" w:color="000000" w:fill="000000"/>
                <w:fitText w:val="80" w:id="-1504954106"/>
                <w14:textFill>
                  <w14:solidFill>
                    <w14:srgbClr w14:val="000000">
                      <w14:alpha w14:val="100000"/>
                    </w14:srgbClr>
                  </w14:solidFill>
                </w14:textFill>
              </w:rPr>
              <w:t>|</w:t>
            </w:r>
            <w:r w:rsidRPr="004C3CC2">
              <w:rPr>
                <w:rFonts w:hint="eastAsia"/>
                <w:color w:val="000000"/>
                <w:w w:val="18"/>
                <w:shd w:val="solid" w:color="000000" w:fill="000000"/>
                <w:fitText w:val="80" w:id="-1504954106"/>
                <w14:textFill>
                  <w14:solidFill>
                    <w14:srgbClr w14:val="000000">
                      <w14:alpha w14:val="100000"/>
                    </w14:srgbClr>
                  </w14:solidFill>
                </w14:textFill>
              </w:rPr>
              <w:t xml:space="preserve">　</w:t>
            </w:r>
            <w:r w:rsidR="009672AF">
              <w:rPr>
                <w:vertAlign w:val="superscript"/>
              </w:rPr>
              <w:t>8</w:t>
            </w:r>
          </w:p>
        </w:tc>
      </w:tr>
      <w:tr w:rsidR="004713D9" w:rsidRPr="007B6175" w14:paraId="2EF6403D" w14:textId="77777777" w:rsidTr="00845E08">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BD40996" w14:textId="77777777" w:rsidR="004713D9" w:rsidRPr="007B6175" w:rsidRDefault="004713D9" w:rsidP="00F75DE5">
            <w:pPr>
              <w:pStyle w:val="TableText"/>
            </w:pPr>
            <w:r w:rsidRPr="007B6175">
              <w:t>Patients continuing treatment (responders; 40%)</w:t>
            </w:r>
          </w:p>
        </w:tc>
        <w:tc>
          <w:tcPr>
            <w:tcW w:w="628" w:type="pct"/>
            <w:tcBorders>
              <w:top w:val="nil"/>
              <w:left w:val="single" w:sz="4" w:space="0" w:color="auto"/>
              <w:bottom w:val="single" w:sz="4" w:space="0" w:color="auto"/>
              <w:right w:val="single" w:sz="4" w:space="0" w:color="auto"/>
            </w:tcBorders>
            <w:shd w:val="clear" w:color="000000" w:fill="FFFFFF"/>
            <w:vAlign w:val="center"/>
          </w:tcPr>
          <w:p w14:paraId="1080CC36" w14:textId="3875D6FD"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05"/>
                <w14:textFill>
                  <w14:solidFill>
                    <w14:srgbClr w14:val="000000">
                      <w14:alpha w14:val="100000"/>
                    </w14:srgbClr>
                  </w14:solidFill>
                </w14:textFill>
              </w:rPr>
              <w:t xml:space="preserve">　</w:t>
            </w:r>
            <w:r w:rsidRPr="004C3CC2">
              <w:rPr>
                <w:color w:val="000000"/>
                <w:w w:val="15"/>
                <w:shd w:val="solid" w:color="000000" w:fill="000000"/>
                <w:fitText w:val="70" w:id="-1504954105"/>
                <w14:textFill>
                  <w14:solidFill>
                    <w14:srgbClr w14:val="000000">
                      <w14:alpha w14:val="100000"/>
                    </w14:srgbClr>
                  </w14:solidFill>
                </w14:textFill>
              </w:rPr>
              <w:t>|</w:t>
            </w:r>
            <w:r w:rsidRPr="004C3CC2">
              <w:rPr>
                <w:rFonts w:hint="eastAsia"/>
                <w:color w:val="000000"/>
                <w:spacing w:val="4"/>
                <w:w w:val="15"/>
                <w:shd w:val="solid" w:color="000000" w:fill="000000"/>
                <w:fitText w:val="70" w:id="-1504954105"/>
                <w14:textFill>
                  <w14:solidFill>
                    <w14:srgbClr w14:val="000000">
                      <w14:alpha w14:val="100000"/>
                    </w14:srgbClr>
                  </w14:solidFill>
                </w14:textFill>
              </w:rPr>
              <w:t xml:space="preserve">　</w:t>
            </w:r>
            <w:r w:rsidR="009672AF">
              <w:rPr>
                <w:vertAlign w:val="superscript"/>
              </w:rPr>
              <w:t>8</w:t>
            </w:r>
          </w:p>
        </w:tc>
        <w:tc>
          <w:tcPr>
            <w:tcW w:w="629" w:type="pct"/>
            <w:tcBorders>
              <w:top w:val="nil"/>
              <w:left w:val="nil"/>
              <w:bottom w:val="single" w:sz="4" w:space="0" w:color="auto"/>
              <w:right w:val="single" w:sz="4" w:space="0" w:color="auto"/>
            </w:tcBorders>
            <w:shd w:val="clear" w:color="000000" w:fill="FFFFFF"/>
            <w:vAlign w:val="center"/>
          </w:tcPr>
          <w:p w14:paraId="3826EBE4" w14:textId="045E9555"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04"/>
                <w14:textFill>
                  <w14:solidFill>
                    <w14:srgbClr w14:val="000000">
                      <w14:alpha w14:val="100000"/>
                    </w14:srgbClr>
                  </w14:solidFill>
                </w14:textFill>
              </w:rPr>
              <w:t xml:space="preserve">　</w:t>
            </w:r>
            <w:r w:rsidRPr="004C3CC2">
              <w:rPr>
                <w:color w:val="000000"/>
                <w:w w:val="15"/>
                <w:shd w:val="solid" w:color="000000" w:fill="000000"/>
                <w:fitText w:val="70" w:id="-1504954104"/>
                <w14:textFill>
                  <w14:solidFill>
                    <w14:srgbClr w14:val="000000">
                      <w14:alpha w14:val="100000"/>
                    </w14:srgbClr>
                  </w14:solidFill>
                </w14:textFill>
              </w:rPr>
              <w:t>|</w:t>
            </w:r>
            <w:r w:rsidRPr="004C3CC2">
              <w:rPr>
                <w:rFonts w:hint="eastAsia"/>
                <w:color w:val="000000"/>
                <w:spacing w:val="4"/>
                <w:w w:val="15"/>
                <w:shd w:val="solid" w:color="000000" w:fill="000000"/>
                <w:fitText w:val="70" w:id="-1504954104"/>
                <w14:textFill>
                  <w14:solidFill>
                    <w14:srgbClr w14:val="000000">
                      <w14:alpha w14:val="100000"/>
                    </w14:srgbClr>
                  </w14:solidFill>
                </w14:textFill>
              </w:rPr>
              <w:t xml:space="preserve">　</w:t>
            </w:r>
            <w:r w:rsidR="009672AF">
              <w:rPr>
                <w:vertAlign w:val="superscript"/>
              </w:rPr>
              <w:t>8</w:t>
            </w:r>
          </w:p>
        </w:tc>
        <w:tc>
          <w:tcPr>
            <w:tcW w:w="629" w:type="pct"/>
            <w:tcBorders>
              <w:top w:val="nil"/>
              <w:left w:val="nil"/>
              <w:bottom w:val="single" w:sz="4" w:space="0" w:color="auto"/>
              <w:right w:val="single" w:sz="4" w:space="0" w:color="auto"/>
            </w:tcBorders>
            <w:shd w:val="clear" w:color="000000" w:fill="FFFFFF"/>
            <w:vAlign w:val="center"/>
          </w:tcPr>
          <w:p w14:paraId="48344D1D" w14:textId="76DE1954"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03"/>
                <w14:textFill>
                  <w14:solidFill>
                    <w14:srgbClr w14:val="000000">
                      <w14:alpha w14:val="100000"/>
                    </w14:srgbClr>
                  </w14:solidFill>
                </w14:textFill>
              </w:rPr>
              <w:t xml:space="preserve">　</w:t>
            </w:r>
            <w:r w:rsidRPr="004C3CC2">
              <w:rPr>
                <w:color w:val="000000"/>
                <w:w w:val="15"/>
                <w:shd w:val="solid" w:color="000000" w:fill="000000"/>
                <w:fitText w:val="70" w:id="-1504954103"/>
                <w14:textFill>
                  <w14:solidFill>
                    <w14:srgbClr w14:val="000000">
                      <w14:alpha w14:val="100000"/>
                    </w14:srgbClr>
                  </w14:solidFill>
                </w14:textFill>
              </w:rPr>
              <w:t>|</w:t>
            </w:r>
            <w:r w:rsidRPr="004C3CC2">
              <w:rPr>
                <w:rFonts w:hint="eastAsia"/>
                <w:color w:val="000000"/>
                <w:spacing w:val="4"/>
                <w:w w:val="15"/>
                <w:shd w:val="solid" w:color="000000" w:fill="000000"/>
                <w:fitText w:val="70" w:id="-1504954103"/>
                <w14:textFill>
                  <w14:solidFill>
                    <w14:srgbClr w14:val="000000">
                      <w14:alpha w14:val="100000"/>
                    </w14:srgbClr>
                  </w14:solidFill>
                </w14:textFill>
              </w:rPr>
              <w:t xml:space="preserve">　</w:t>
            </w:r>
            <w:r w:rsidR="009672AF">
              <w:rPr>
                <w:vertAlign w:val="superscript"/>
              </w:rPr>
              <w:t>8</w:t>
            </w:r>
          </w:p>
        </w:tc>
        <w:tc>
          <w:tcPr>
            <w:tcW w:w="629" w:type="pct"/>
            <w:tcBorders>
              <w:top w:val="nil"/>
              <w:left w:val="nil"/>
              <w:bottom w:val="single" w:sz="4" w:space="0" w:color="auto"/>
              <w:right w:val="single" w:sz="4" w:space="0" w:color="auto"/>
            </w:tcBorders>
            <w:shd w:val="clear" w:color="000000" w:fill="FFFFFF"/>
            <w:vAlign w:val="center"/>
          </w:tcPr>
          <w:p w14:paraId="197F2FB9" w14:textId="2EA4C0A9"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02"/>
                <w14:textFill>
                  <w14:solidFill>
                    <w14:srgbClr w14:val="000000">
                      <w14:alpha w14:val="100000"/>
                    </w14:srgbClr>
                  </w14:solidFill>
                </w14:textFill>
              </w:rPr>
              <w:t xml:space="preserve">　</w:t>
            </w:r>
            <w:r w:rsidRPr="004C3CC2">
              <w:rPr>
                <w:color w:val="000000"/>
                <w:w w:val="15"/>
                <w:shd w:val="solid" w:color="000000" w:fill="000000"/>
                <w:fitText w:val="70" w:id="-1504954102"/>
                <w14:textFill>
                  <w14:solidFill>
                    <w14:srgbClr w14:val="000000">
                      <w14:alpha w14:val="100000"/>
                    </w14:srgbClr>
                  </w14:solidFill>
                </w14:textFill>
              </w:rPr>
              <w:t>|</w:t>
            </w:r>
            <w:r w:rsidRPr="004C3CC2">
              <w:rPr>
                <w:rFonts w:hint="eastAsia"/>
                <w:color w:val="000000"/>
                <w:spacing w:val="4"/>
                <w:w w:val="15"/>
                <w:shd w:val="solid" w:color="000000" w:fill="000000"/>
                <w:fitText w:val="70" w:id="-1504954102"/>
                <w14:textFill>
                  <w14:solidFill>
                    <w14:srgbClr w14:val="000000">
                      <w14:alpha w14:val="100000"/>
                    </w14:srgbClr>
                  </w14:solidFill>
                </w14:textFill>
              </w:rPr>
              <w:t xml:space="preserve">　</w:t>
            </w:r>
            <w:r w:rsidR="009672AF">
              <w:rPr>
                <w:vertAlign w:val="superscript"/>
              </w:rPr>
              <w:t>8</w:t>
            </w:r>
          </w:p>
        </w:tc>
        <w:tc>
          <w:tcPr>
            <w:tcW w:w="629" w:type="pct"/>
            <w:tcBorders>
              <w:top w:val="nil"/>
              <w:left w:val="nil"/>
              <w:bottom w:val="single" w:sz="4" w:space="0" w:color="auto"/>
              <w:right w:val="single" w:sz="4" w:space="0" w:color="auto"/>
            </w:tcBorders>
            <w:shd w:val="clear" w:color="000000" w:fill="FFFFFF"/>
            <w:vAlign w:val="center"/>
          </w:tcPr>
          <w:p w14:paraId="3F568C0C" w14:textId="12A661F5"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101"/>
                <w14:textFill>
                  <w14:solidFill>
                    <w14:srgbClr w14:val="000000">
                      <w14:alpha w14:val="100000"/>
                    </w14:srgbClr>
                  </w14:solidFill>
                </w14:textFill>
              </w:rPr>
              <w:t xml:space="preserve">　</w:t>
            </w:r>
            <w:r w:rsidRPr="004C3CC2">
              <w:rPr>
                <w:color w:val="000000"/>
                <w:w w:val="15"/>
                <w:shd w:val="solid" w:color="000000" w:fill="000000"/>
                <w:fitText w:val="70" w:id="-1504954101"/>
                <w14:textFill>
                  <w14:solidFill>
                    <w14:srgbClr w14:val="000000">
                      <w14:alpha w14:val="100000"/>
                    </w14:srgbClr>
                  </w14:solidFill>
                </w14:textFill>
              </w:rPr>
              <w:t>|</w:t>
            </w:r>
            <w:r w:rsidRPr="004C3CC2">
              <w:rPr>
                <w:rFonts w:hint="eastAsia"/>
                <w:color w:val="000000"/>
                <w:spacing w:val="4"/>
                <w:w w:val="15"/>
                <w:shd w:val="solid" w:color="000000" w:fill="000000"/>
                <w:fitText w:val="70" w:id="-1504954101"/>
                <w14:textFill>
                  <w14:solidFill>
                    <w14:srgbClr w14:val="000000">
                      <w14:alpha w14:val="100000"/>
                    </w14:srgbClr>
                  </w14:solidFill>
                </w14:textFill>
              </w:rPr>
              <w:t xml:space="preserve">　</w:t>
            </w:r>
            <w:r w:rsidR="009672AF">
              <w:rPr>
                <w:vertAlign w:val="superscript"/>
              </w:rPr>
              <w:t>8</w:t>
            </w:r>
          </w:p>
        </w:tc>
        <w:tc>
          <w:tcPr>
            <w:tcW w:w="601" w:type="pct"/>
            <w:tcBorders>
              <w:top w:val="nil"/>
              <w:left w:val="nil"/>
              <w:bottom w:val="single" w:sz="4" w:space="0" w:color="auto"/>
              <w:right w:val="single" w:sz="4" w:space="0" w:color="auto"/>
            </w:tcBorders>
            <w:shd w:val="clear" w:color="000000" w:fill="FFFFFF"/>
            <w:vAlign w:val="center"/>
          </w:tcPr>
          <w:p w14:paraId="764778E8" w14:textId="59191202" w:rsidR="004713D9" w:rsidRPr="00DE3985" w:rsidRDefault="004C3CC2" w:rsidP="00F75DE5">
            <w:pPr>
              <w:pStyle w:val="TableText"/>
              <w:jc w:val="center"/>
              <w:rPr>
                <w:highlight w:val="yellow"/>
              </w:rPr>
            </w:pPr>
            <w:r w:rsidRPr="004C3CC2">
              <w:rPr>
                <w:rFonts w:hint="eastAsia"/>
                <w:color w:val="000000"/>
                <w:w w:val="18"/>
                <w:shd w:val="solid" w:color="000000" w:fill="000000"/>
                <w:fitText w:val="80" w:id="-1504954100"/>
                <w14:textFill>
                  <w14:solidFill>
                    <w14:srgbClr w14:val="000000">
                      <w14:alpha w14:val="100000"/>
                    </w14:srgbClr>
                  </w14:solidFill>
                </w14:textFill>
              </w:rPr>
              <w:t xml:space="preserve">　</w:t>
            </w:r>
            <w:r w:rsidRPr="004C3CC2">
              <w:rPr>
                <w:color w:val="000000"/>
                <w:w w:val="18"/>
                <w:shd w:val="solid" w:color="000000" w:fill="000000"/>
                <w:fitText w:val="80" w:id="-1504954100"/>
                <w14:textFill>
                  <w14:solidFill>
                    <w14:srgbClr w14:val="000000">
                      <w14:alpha w14:val="100000"/>
                    </w14:srgbClr>
                  </w14:solidFill>
                </w14:textFill>
              </w:rPr>
              <w:t>|</w:t>
            </w:r>
            <w:r w:rsidRPr="004C3CC2">
              <w:rPr>
                <w:rFonts w:hint="eastAsia"/>
                <w:color w:val="000000"/>
                <w:w w:val="18"/>
                <w:shd w:val="solid" w:color="000000" w:fill="000000"/>
                <w:fitText w:val="80" w:id="-1504954100"/>
                <w14:textFill>
                  <w14:solidFill>
                    <w14:srgbClr w14:val="000000">
                      <w14:alpha w14:val="100000"/>
                    </w14:srgbClr>
                  </w14:solidFill>
                </w14:textFill>
              </w:rPr>
              <w:t xml:space="preserve">　</w:t>
            </w:r>
            <w:r w:rsidR="009672AF">
              <w:rPr>
                <w:vertAlign w:val="superscript"/>
              </w:rPr>
              <w:t>8</w:t>
            </w:r>
          </w:p>
        </w:tc>
      </w:tr>
      <w:tr w:rsidR="004713D9" w:rsidRPr="007B6175" w14:paraId="35707E79" w14:textId="77777777" w:rsidTr="00845E08">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80B23A0" w14:textId="3DB1FA47" w:rsidR="004713D9" w:rsidRPr="007B6175" w:rsidRDefault="004713D9" w:rsidP="00F75DE5">
            <w:pPr>
              <w:pStyle w:val="TableText"/>
            </w:pPr>
            <w:r w:rsidRPr="007B6175">
              <w:t>Continuing patients (subsequent years</w:t>
            </w:r>
            <w:r w:rsidR="00A6520A">
              <w:t>; 95%</w:t>
            </w:r>
            <w:r w:rsidRPr="007B6175">
              <w:t>)</w:t>
            </w:r>
          </w:p>
        </w:tc>
        <w:tc>
          <w:tcPr>
            <w:tcW w:w="628" w:type="pct"/>
            <w:tcBorders>
              <w:top w:val="nil"/>
              <w:left w:val="single" w:sz="4" w:space="0" w:color="auto"/>
              <w:bottom w:val="single" w:sz="4" w:space="0" w:color="auto"/>
              <w:right w:val="single" w:sz="4" w:space="0" w:color="auto"/>
            </w:tcBorders>
            <w:shd w:val="clear" w:color="000000" w:fill="FFFFFF"/>
            <w:vAlign w:val="center"/>
          </w:tcPr>
          <w:p w14:paraId="1E628532" w14:textId="7377D127"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099"/>
                <w14:textFill>
                  <w14:solidFill>
                    <w14:srgbClr w14:val="000000">
                      <w14:alpha w14:val="100000"/>
                    </w14:srgbClr>
                  </w14:solidFill>
                </w14:textFill>
              </w:rPr>
              <w:t xml:space="preserve">　</w:t>
            </w:r>
            <w:r w:rsidRPr="004C3CC2">
              <w:rPr>
                <w:color w:val="000000"/>
                <w:w w:val="15"/>
                <w:shd w:val="solid" w:color="000000" w:fill="000000"/>
                <w:fitText w:val="70" w:id="-1504954099"/>
                <w14:textFill>
                  <w14:solidFill>
                    <w14:srgbClr w14:val="000000">
                      <w14:alpha w14:val="100000"/>
                    </w14:srgbClr>
                  </w14:solidFill>
                </w14:textFill>
              </w:rPr>
              <w:t>|</w:t>
            </w:r>
            <w:r w:rsidRPr="004C3CC2">
              <w:rPr>
                <w:rFonts w:hint="eastAsia"/>
                <w:color w:val="000000"/>
                <w:spacing w:val="4"/>
                <w:w w:val="15"/>
                <w:shd w:val="solid" w:color="000000" w:fill="000000"/>
                <w:fitText w:val="70" w:id="-1504954099"/>
                <w14:textFill>
                  <w14:solidFill>
                    <w14:srgbClr w14:val="000000">
                      <w14:alpha w14:val="100000"/>
                    </w14:srgbClr>
                  </w14:solidFill>
                </w14:textFill>
              </w:rPr>
              <w:t xml:space="preserve">　</w:t>
            </w:r>
            <w:r w:rsidR="00E424EC">
              <w:rPr>
                <w:vertAlign w:val="superscript"/>
              </w:rPr>
              <w:t>9</w:t>
            </w:r>
          </w:p>
        </w:tc>
        <w:tc>
          <w:tcPr>
            <w:tcW w:w="629" w:type="pct"/>
            <w:tcBorders>
              <w:top w:val="nil"/>
              <w:left w:val="nil"/>
              <w:bottom w:val="single" w:sz="4" w:space="0" w:color="auto"/>
              <w:right w:val="single" w:sz="4" w:space="0" w:color="auto"/>
            </w:tcBorders>
            <w:shd w:val="clear" w:color="000000" w:fill="FFFFFF"/>
            <w:vAlign w:val="center"/>
          </w:tcPr>
          <w:p w14:paraId="449CA15C" w14:textId="22E6AF5C"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098"/>
                <w14:textFill>
                  <w14:solidFill>
                    <w14:srgbClr w14:val="000000">
                      <w14:alpha w14:val="100000"/>
                    </w14:srgbClr>
                  </w14:solidFill>
                </w14:textFill>
              </w:rPr>
              <w:t xml:space="preserve">　</w:t>
            </w:r>
            <w:r w:rsidRPr="004C3CC2">
              <w:rPr>
                <w:color w:val="000000"/>
                <w:w w:val="15"/>
                <w:shd w:val="solid" w:color="000000" w:fill="000000"/>
                <w:fitText w:val="70" w:id="-1504954098"/>
                <w14:textFill>
                  <w14:solidFill>
                    <w14:srgbClr w14:val="000000">
                      <w14:alpha w14:val="100000"/>
                    </w14:srgbClr>
                  </w14:solidFill>
                </w14:textFill>
              </w:rPr>
              <w:t>|</w:t>
            </w:r>
            <w:r w:rsidRPr="004C3CC2">
              <w:rPr>
                <w:rFonts w:hint="eastAsia"/>
                <w:color w:val="000000"/>
                <w:spacing w:val="4"/>
                <w:w w:val="15"/>
                <w:shd w:val="solid" w:color="000000" w:fill="000000"/>
                <w:fitText w:val="70" w:id="-1504954098"/>
                <w14:textFill>
                  <w14:solidFill>
                    <w14:srgbClr w14:val="000000">
                      <w14:alpha w14:val="100000"/>
                    </w14:srgbClr>
                  </w14:solidFill>
                </w14:textFill>
              </w:rPr>
              <w:t xml:space="preserve">　</w:t>
            </w:r>
            <w:r w:rsidR="009672AF">
              <w:rPr>
                <w:vertAlign w:val="superscript"/>
              </w:rPr>
              <w:t>8</w:t>
            </w:r>
          </w:p>
        </w:tc>
        <w:tc>
          <w:tcPr>
            <w:tcW w:w="629" w:type="pct"/>
            <w:tcBorders>
              <w:top w:val="nil"/>
              <w:left w:val="nil"/>
              <w:bottom w:val="single" w:sz="4" w:space="0" w:color="auto"/>
              <w:right w:val="single" w:sz="4" w:space="0" w:color="auto"/>
            </w:tcBorders>
            <w:shd w:val="clear" w:color="000000" w:fill="FFFFFF"/>
            <w:vAlign w:val="center"/>
          </w:tcPr>
          <w:p w14:paraId="47E72A3A" w14:textId="7CACD4E4"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4097"/>
                <w14:textFill>
                  <w14:solidFill>
                    <w14:srgbClr w14:val="000000">
                      <w14:alpha w14:val="100000"/>
                    </w14:srgbClr>
                  </w14:solidFill>
                </w14:textFill>
              </w:rPr>
              <w:t xml:space="preserve">　</w:t>
            </w:r>
            <w:r w:rsidRPr="004C3CC2">
              <w:rPr>
                <w:color w:val="000000"/>
                <w:w w:val="15"/>
                <w:shd w:val="solid" w:color="000000" w:fill="000000"/>
                <w:fitText w:val="70" w:id="-1504954097"/>
                <w14:textFill>
                  <w14:solidFill>
                    <w14:srgbClr w14:val="000000">
                      <w14:alpha w14:val="100000"/>
                    </w14:srgbClr>
                  </w14:solidFill>
                </w14:textFill>
              </w:rPr>
              <w:t>|</w:t>
            </w:r>
            <w:r w:rsidRPr="004C3CC2">
              <w:rPr>
                <w:rFonts w:hint="eastAsia"/>
                <w:color w:val="000000"/>
                <w:spacing w:val="4"/>
                <w:w w:val="15"/>
                <w:shd w:val="solid" w:color="000000" w:fill="000000"/>
                <w:fitText w:val="70" w:id="-1504954097"/>
                <w14:textFill>
                  <w14:solidFill>
                    <w14:srgbClr w14:val="000000">
                      <w14:alpha w14:val="100000"/>
                    </w14:srgbClr>
                  </w14:solidFill>
                </w14:textFill>
              </w:rPr>
              <w:t xml:space="preserve">　</w:t>
            </w:r>
            <w:r w:rsidR="009672AF">
              <w:rPr>
                <w:vertAlign w:val="superscript"/>
              </w:rPr>
              <w:t>8</w:t>
            </w:r>
          </w:p>
        </w:tc>
        <w:tc>
          <w:tcPr>
            <w:tcW w:w="629" w:type="pct"/>
            <w:tcBorders>
              <w:top w:val="nil"/>
              <w:left w:val="nil"/>
              <w:bottom w:val="single" w:sz="4" w:space="0" w:color="auto"/>
              <w:right w:val="single" w:sz="4" w:space="0" w:color="auto"/>
            </w:tcBorders>
            <w:shd w:val="clear" w:color="000000" w:fill="FFFFFF"/>
            <w:vAlign w:val="center"/>
          </w:tcPr>
          <w:p w14:paraId="0A4BCAD1" w14:textId="3B31DF15"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3856"/>
                <w14:textFill>
                  <w14:solidFill>
                    <w14:srgbClr w14:val="000000">
                      <w14:alpha w14:val="100000"/>
                    </w14:srgbClr>
                  </w14:solidFill>
                </w14:textFill>
              </w:rPr>
              <w:t xml:space="preserve">　</w:t>
            </w:r>
            <w:r w:rsidRPr="004C3CC2">
              <w:rPr>
                <w:color w:val="000000"/>
                <w:w w:val="15"/>
                <w:shd w:val="solid" w:color="000000" w:fill="000000"/>
                <w:fitText w:val="70" w:id="-1504953856"/>
                <w14:textFill>
                  <w14:solidFill>
                    <w14:srgbClr w14:val="000000">
                      <w14:alpha w14:val="100000"/>
                    </w14:srgbClr>
                  </w14:solidFill>
                </w14:textFill>
              </w:rPr>
              <w:t>|</w:t>
            </w:r>
            <w:r w:rsidRPr="004C3CC2">
              <w:rPr>
                <w:rFonts w:hint="eastAsia"/>
                <w:color w:val="000000"/>
                <w:spacing w:val="4"/>
                <w:w w:val="15"/>
                <w:shd w:val="solid" w:color="000000" w:fill="000000"/>
                <w:fitText w:val="70" w:id="-1504953856"/>
                <w14:textFill>
                  <w14:solidFill>
                    <w14:srgbClr w14:val="000000">
                      <w14:alpha w14:val="100000"/>
                    </w14:srgbClr>
                  </w14:solidFill>
                </w14:textFill>
              </w:rPr>
              <w:t xml:space="preserve">　</w:t>
            </w:r>
            <w:r w:rsidR="00E424EC">
              <w:rPr>
                <w:vertAlign w:val="superscript"/>
              </w:rPr>
              <w:t>7</w:t>
            </w:r>
          </w:p>
        </w:tc>
        <w:tc>
          <w:tcPr>
            <w:tcW w:w="629" w:type="pct"/>
            <w:tcBorders>
              <w:top w:val="nil"/>
              <w:left w:val="nil"/>
              <w:bottom w:val="single" w:sz="4" w:space="0" w:color="auto"/>
              <w:right w:val="single" w:sz="4" w:space="0" w:color="auto"/>
            </w:tcBorders>
            <w:shd w:val="clear" w:color="000000" w:fill="FFFFFF"/>
            <w:vAlign w:val="center"/>
          </w:tcPr>
          <w:p w14:paraId="18B05BF1" w14:textId="00DBBD13"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3855"/>
                <w14:textFill>
                  <w14:solidFill>
                    <w14:srgbClr w14:val="000000">
                      <w14:alpha w14:val="100000"/>
                    </w14:srgbClr>
                  </w14:solidFill>
                </w14:textFill>
              </w:rPr>
              <w:t xml:space="preserve">　</w:t>
            </w:r>
            <w:r w:rsidRPr="004C3CC2">
              <w:rPr>
                <w:color w:val="000000"/>
                <w:w w:val="15"/>
                <w:shd w:val="solid" w:color="000000" w:fill="000000"/>
                <w:fitText w:val="70" w:id="-1504953855"/>
                <w14:textFill>
                  <w14:solidFill>
                    <w14:srgbClr w14:val="000000">
                      <w14:alpha w14:val="100000"/>
                    </w14:srgbClr>
                  </w14:solidFill>
                </w14:textFill>
              </w:rPr>
              <w:t>|</w:t>
            </w:r>
            <w:r w:rsidRPr="004C3CC2">
              <w:rPr>
                <w:rFonts w:hint="eastAsia"/>
                <w:color w:val="000000"/>
                <w:spacing w:val="4"/>
                <w:w w:val="15"/>
                <w:shd w:val="solid" w:color="000000" w:fill="000000"/>
                <w:fitText w:val="70" w:id="-1504953855"/>
                <w14:textFill>
                  <w14:solidFill>
                    <w14:srgbClr w14:val="000000">
                      <w14:alpha w14:val="100000"/>
                    </w14:srgbClr>
                  </w14:solidFill>
                </w14:textFill>
              </w:rPr>
              <w:t xml:space="preserve">　</w:t>
            </w:r>
            <w:r w:rsidR="00E424EC">
              <w:rPr>
                <w:vertAlign w:val="superscript"/>
              </w:rPr>
              <w:t>7</w:t>
            </w:r>
          </w:p>
        </w:tc>
        <w:tc>
          <w:tcPr>
            <w:tcW w:w="601" w:type="pct"/>
            <w:tcBorders>
              <w:top w:val="nil"/>
              <w:left w:val="nil"/>
              <w:bottom w:val="single" w:sz="4" w:space="0" w:color="auto"/>
              <w:right w:val="single" w:sz="4" w:space="0" w:color="auto"/>
            </w:tcBorders>
            <w:shd w:val="clear" w:color="000000" w:fill="FFFFFF"/>
            <w:vAlign w:val="center"/>
          </w:tcPr>
          <w:p w14:paraId="40C3DFE0" w14:textId="1D0CE924" w:rsidR="004713D9" w:rsidRPr="00DE3985" w:rsidRDefault="004C3CC2" w:rsidP="00F75DE5">
            <w:pPr>
              <w:pStyle w:val="TableText"/>
              <w:jc w:val="center"/>
              <w:rPr>
                <w:highlight w:val="yellow"/>
              </w:rPr>
            </w:pPr>
            <w:r w:rsidRPr="004C3CC2">
              <w:rPr>
                <w:rFonts w:hint="eastAsia"/>
                <w:color w:val="000000"/>
                <w:w w:val="18"/>
                <w:shd w:val="solid" w:color="000000" w:fill="000000"/>
                <w:fitText w:val="80" w:id="-1504953854"/>
                <w14:textFill>
                  <w14:solidFill>
                    <w14:srgbClr w14:val="000000">
                      <w14:alpha w14:val="100000"/>
                    </w14:srgbClr>
                  </w14:solidFill>
                </w14:textFill>
              </w:rPr>
              <w:t xml:space="preserve">　</w:t>
            </w:r>
            <w:r w:rsidRPr="004C3CC2">
              <w:rPr>
                <w:color w:val="000000"/>
                <w:w w:val="18"/>
                <w:shd w:val="solid" w:color="000000" w:fill="000000"/>
                <w:fitText w:val="80" w:id="-1504953854"/>
                <w14:textFill>
                  <w14:solidFill>
                    <w14:srgbClr w14:val="000000">
                      <w14:alpha w14:val="100000"/>
                    </w14:srgbClr>
                  </w14:solidFill>
                </w14:textFill>
              </w:rPr>
              <w:t>|</w:t>
            </w:r>
            <w:r w:rsidRPr="004C3CC2">
              <w:rPr>
                <w:rFonts w:hint="eastAsia"/>
                <w:color w:val="000000"/>
                <w:w w:val="18"/>
                <w:shd w:val="solid" w:color="000000" w:fill="000000"/>
                <w:fitText w:val="80" w:id="-1504953854"/>
                <w14:textFill>
                  <w14:solidFill>
                    <w14:srgbClr w14:val="000000">
                      <w14:alpha w14:val="100000"/>
                    </w14:srgbClr>
                  </w14:solidFill>
                </w14:textFill>
              </w:rPr>
              <w:t xml:space="preserve">　</w:t>
            </w:r>
            <w:r w:rsidR="00E424EC">
              <w:rPr>
                <w:vertAlign w:val="superscript"/>
              </w:rPr>
              <w:t>7</w:t>
            </w:r>
          </w:p>
        </w:tc>
      </w:tr>
      <w:tr w:rsidR="004713D9" w:rsidRPr="007B6175" w14:paraId="079C4726" w14:textId="77777777" w:rsidTr="00845E08">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7B0C997" w14:textId="77777777" w:rsidR="004713D9" w:rsidRPr="007B6175" w:rsidRDefault="004713D9" w:rsidP="00F75DE5">
            <w:pPr>
              <w:pStyle w:val="TableText"/>
            </w:pPr>
            <w:r w:rsidRPr="007B6175">
              <w:t>Grandfathered patients</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14327356" w14:textId="0163C412"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3853"/>
                <w14:textFill>
                  <w14:solidFill>
                    <w14:srgbClr w14:val="000000">
                      <w14:alpha w14:val="100000"/>
                    </w14:srgbClr>
                  </w14:solidFill>
                </w14:textFill>
              </w:rPr>
              <w:t xml:space="preserve">　</w:t>
            </w:r>
            <w:r w:rsidRPr="004C3CC2">
              <w:rPr>
                <w:color w:val="000000"/>
                <w:w w:val="15"/>
                <w:shd w:val="solid" w:color="000000" w:fill="000000"/>
                <w:fitText w:val="70" w:id="-1504953853"/>
                <w14:textFill>
                  <w14:solidFill>
                    <w14:srgbClr w14:val="000000">
                      <w14:alpha w14:val="100000"/>
                    </w14:srgbClr>
                  </w14:solidFill>
                </w14:textFill>
              </w:rPr>
              <w:t>|</w:t>
            </w:r>
            <w:r w:rsidRPr="004C3CC2">
              <w:rPr>
                <w:rFonts w:hint="eastAsia"/>
                <w:color w:val="000000"/>
                <w:spacing w:val="4"/>
                <w:w w:val="15"/>
                <w:shd w:val="solid" w:color="000000" w:fill="000000"/>
                <w:fitText w:val="70" w:id="-1504953853"/>
                <w14:textFill>
                  <w14:solidFill>
                    <w14:srgbClr w14:val="000000">
                      <w14:alpha w14:val="100000"/>
                    </w14:srgbClr>
                  </w14:solidFill>
                </w14:textFill>
              </w:rPr>
              <w:t xml:space="preserve">　</w:t>
            </w:r>
            <w:r w:rsidR="00E424EC">
              <w:rPr>
                <w:vertAlign w:val="superscript"/>
              </w:rPr>
              <w:t>9</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6E7F56AC" w14:textId="3CA77C62"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3852"/>
                <w14:textFill>
                  <w14:solidFill>
                    <w14:srgbClr w14:val="000000">
                      <w14:alpha w14:val="100000"/>
                    </w14:srgbClr>
                  </w14:solidFill>
                </w14:textFill>
              </w:rPr>
              <w:t xml:space="preserve">　</w:t>
            </w:r>
            <w:r w:rsidRPr="004C3CC2">
              <w:rPr>
                <w:color w:val="000000"/>
                <w:w w:val="15"/>
                <w:shd w:val="solid" w:color="000000" w:fill="000000"/>
                <w:fitText w:val="70" w:id="-1504953852"/>
                <w14:textFill>
                  <w14:solidFill>
                    <w14:srgbClr w14:val="000000">
                      <w14:alpha w14:val="100000"/>
                    </w14:srgbClr>
                  </w14:solidFill>
                </w14:textFill>
              </w:rPr>
              <w:t>|</w:t>
            </w:r>
            <w:r w:rsidRPr="004C3CC2">
              <w:rPr>
                <w:rFonts w:hint="eastAsia"/>
                <w:color w:val="000000"/>
                <w:spacing w:val="4"/>
                <w:w w:val="15"/>
                <w:shd w:val="solid" w:color="000000" w:fill="000000"/>
                <w:fitText w:val="70" w:id="-1504953852"/>
                <w14:textFill>
                  <w14:solidFill>
                    <w14:srgbClr w14:val="000000">
                      <w14:alpha w14:val="100000"/>
                    </w14:srgbClr>
                  </w14:solidFill>
                </w14:textFill>
              </w:rPr>
              <w:t xml:space="preserve">　</w:t>
            </w:r>
            <w:r w:rsidR="00E424EC">
              <w:rPr>
                <w:vertAlign w:val="superscript"/>
              </w:rPr>
              <w:t>9</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262CF9AD" w14:textId="2163F6C0"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3851"/>
                <w14:textFill>
                  <w14:solidFill>
                    <w14:srgbClr w14:val="000000">
                      <w14:alpha w14:val="100000"/>
                    </w14:srgbClr>
                  </w14:solidFill>
                </w14:textFill>
              </w:rPr>
              <w:t xml:space="preserve">　</w:t>
            </w:r>
            <w:r w:rsidRPr="004C3CC2">
              <w:rPr>
                <w:color w:val="000000"/>
                <w:w w:val="15"/>
                <w:shd w:val="solid" w:color="000000" w:fill="000000"/>
                <w:fitText w:val="70" w:id="-1504953851"/>
                <w14:textFill>
                  <w14:solidFill>
                    <w14:srgbClr w14:val="000000">
                      <w14:alpha w14:val="100000"/>
                    </w14:srgbClr>
                  </w14:solidFill>
                </w14:textFill>
              </w:rPr>
              <w:t>|</w:t>
            </w:r>
            <w:r w:rsidRPr="004C3CC2">
              <w:rPr>
                <w:rFonts w:hint="eastAsia"/>
                <w:color w:val="000000"/>
                <w:spacing w:val="4"/>
                <w:w w:val="15"/>
                <w:shd w:val="solid" w:color="000000" w:fill="000000"/>
                <w:fitText w:val="70" w:id="-1504953851"/>
                <w14:textFill>
                  <w14:solidFill>
                    <w14:srgbClr w14:val="000000">
                      <w14:alpha w14:val="100000"/>
                    </w14:srgbClr>
                  </w14:solidFill>
                </w14:textFill>
              </w:rPr>
              <w:t xml:space="preserve">　</w:t>
            </w:r>
            <w:r w:rsidR="00E424EC">
              <w:rPr>
                <w:vertAlign w:val="superscript"/>
              </w:rPr>
              <w:t>9</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2673189F" w14:textId="0A8D0BA6"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3850"/>
                <w14:textFill>
                  <w14:solidFill>
                    <w14:srgbClr w14:val="000000">
                      <w14:alpha w14:val="100000"/>
                    </w14:srgbClr>
                  </w14:solidFill>
                </w14:textFill>
              </w:rPr>
              <w:t xml:space="preserve">　</w:t>
            </w:r>
            <w:r w:rsidRPr="004C3CC2">
              <w:rPr>
                <w:color w:val="000000"/>
                <w:w w:val="15"/>
                <w:shd w:val="solid" w:color="000000" w:fill="000000"/>
                <w:fitText w:val="70" w:id="-1504953850"/>
                <w14:textFill>
                  <w14:solidFill>
                    <w14:srgbClr w14:val="000000">
                      <w14:alpha w14:val="100000"/>
                    </w14:srgbClr>
                  </w14:solidFill>
                </w14:textFill>
              </w:rPr>
              <w:t>|</w:t>
            </w:r>
            <w:r w:rsidRPr="004C3CC2">
              <w:rPr>
                <w:rFonts w:hint="eastAsia"/>
                <w:color w:val="000000"/>
                <w:spacing w:val="4"/>
                <w:w w:val="15"/>
                <w:shd w:val="solid" w:color="000000" w:fill="000000"/>
                <w:fitText w:val="70" w:id="-1504953850"/>
                <w14:textFill>
                  <w14:solidFill>
                    <w14:srgbClr w14:val="000000">
                      <w14:alpha w14:val="100000"/>
                    </w14:srgbClr>
                  </w14:solidFill>
                </w14:textFill>
              </w:rPr>
              <w:t xml:space="preserve">　</w:t>
            </w:r>
            <w:r w:rsidR="00E424EC">
              <w:rPr>
                <w:vertAlign w:val="superscript"/>
              </w:rPr>
              <w:t>9</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28845D23" w14:textId="03A6D070" w:rsidR="004713D9" w:rsidRPr="00DE3985" w:rsidRDefault="004C3CC2" w:rsidP="00F75DE5">
            <w:pPr>
              <w:pStyle w:val="TableText"/>
              <w:jc w:val="center"/>
              <w:rPr>
                <w:highlight w:val="yellow"/>
              </w:rPr>
            </w:pPr>
            <w:r w:rsidRPr="004C3CC2">
              <w:rPr>
                <w:rFonts w:hint="eastAsia"/>
                <w:color w:val="000000"/>
                <w:w w:val="15"/>
                <w:shd w:val="solid" w:color="000000" w:fill="000000"/>
                <w:fitText w:val="70" w:id="-1504953849"/>
                <w14:textFill>
                  <w14:solidFill>
                    <w14:srgbClr w14:val="000000">
                      <w14:alpha w14:val="100000"/>
                    </w14:srgbClr>
                  </w14:solidFill>
                </w14:textFill>
              </w:rPr>
              <w:t xml:space="preserve">　</w:t>
            </w:r>
            <w:r w:rsidRPr="004C3CC2">
              <w:rPr>
                <w:color w:val="000000"/>
                <w:w w:val="15"/>
                <w:shd w:val="solid" w:color="000000" w:fill="000000"/>
                <w:fitText w:val="70" w:id="-1504953849"/>
                <w14:textFill>
                  <w14:solidFill>
                    <w14:srgbClr w14:val="000000">
                      <w14:alpha w14:val="100000"/>
                    </w14:srgbClr>
                  </w14:solidFill>
                </w14:textFill>
              </w:rPr>
              <w:t>|</w:t>
            </w:r>
            <w:r w:rsidRPr="004C3CC2">
              <w:rPr>
                <w:rFonts w:hint="eastAsia"/>
                <w:color w:val="000000"/>
                <w:spacing w:val="4"/>
                <w:w w:val="15"/>
                <w:shd w:val="solid" w:color="000000" w:fill="000000"/>
                <w:fitText w:val="70" w:id="-1504953849"/>
                <w14:textFill>
                  <w14:solidFill>
                    <w14:srgbClr w14:val="000000">
                      <w14:alpha w14:val="100000"/>
                    </w14:srgbClr>
                  </w14:solidFill>
                </w14:textFill>
              </w:rPr>
              <w:t xml:space="preserve">　</w:t>
            </w:r>
            <w:r w:rsidR="00E424EC">
              <w:rPr>
                <w:vertAlign w:val="superscript"/>
              </w:rPr>
              <w:t>9</w:t>
            </w:r>
          </w:p>
        </w:tc>
        <w:tc>
          <w:tcPr>
            <w:tcW w:w="601" w:type="pct"/>
            <w:tcBorders>
              <w:top w:val="single" w:sz="4" w:space="0" w:color="auto"/>
              <w:left w:val="nil"/>
              <w:bottom w:val="single" w:sz="4" w:space="0" w:color="auto"/>
              <w:right w:val="single" w:sz="4" w:space="0" w:color="auto"/>
            </w:tcBorders>
            <w:shd w:val="clear" w:color="000000" w:fill="FFFFFF"/>
            <w:vAlign w:val="center"/>
          </w:tcPr>
          <w:p w14:paraId="78F5C53A" w14:textId="31FAE101" w:rsidR="004713D9" w:rsidRPr="00DE3985" w:rsidRDefault="004C3CC2" w:rsidP="00F75DE5">
            <w:pPr>
              <w:pStyle w:val="TableText"/>
              <w:jc w:val="center"/>
              <w:rPr>
                <w:highlight w:val="yellow"/>
              </w:rPr>
            </w:pPr>
            <w:r w:rsidRPr="004C3CC2">
              <w:rPr>
                <w:rFonts w:hint="eastAsia"/>
                <w:color w:val="000000"/>
                <w:w w:val="18"/>
                <w:shd w:val="solid" w:color="000000" w:fill="000000"/>
                <w:fitText w:val="80" w:id="-1504953848"/>
                <w14:textFill>
                  <w14:solidFill>
                    <w14:srgbClr w14:val="000000">
                      <w14:alpha w14:val="100000"/>
                    </w14:srgbClr>
                  </w14:solidFill>
                </w14:textFill>
              </w:rPr>
              <w:t xml:space="preserve">　</w:t>
            </w:r>
            <w:r w:rsidRPr="004C3CC2">
              <w:rPr>
                <w:color w:val="000000"/>
                <w:w w:val="18"/>
                <w:shd w:val="solid" w:color="000000" w:fill="000000"/>
                <w:fitText w:val="80" w:id="-1504953848"/>
                <w14:textFill>
                  <w14:solidFill>
                    <w14:srgbClr w14:val="000000">
                      <w14:alpha w14:val="100000"/>
                    </w14:srgbClr>
                  </w14:solidFill>
                </w14:textFill>
              </w:rPr>
              <w:t>|</w:t>
            </w:r>
            <w:r w:rsidRPr="004C3CC2">
              <w:rPr>
                <w:rFonts w:hint="eastAsia"/>
                <w:color w:val="000000"/>
                <w:w w:val="18"/>
                <w:shd w:val="solid" w:color="000000" w:fill="000000"/>
                <w:fitText w:val="80" w:id="-1504953848"/>
                <w14:textFill>
                  <w14:solidFill>
                    <w14:srgbClr w14:val="000000">
                      <w14:alpha w14:val="100000"/>
                    </w14:srgbClr>
                  </w14:solidFill>
                </w14:textFill>
              </w:rPr>
              <w:t xml:space="preserve">　</w:t>
            </w:r>
            <w:r w:rsidR="00E424EC">
              <w:rPr>
                <w:vertAlign w:val="superscript"/>
              </w:rPr>
              <w:t>9</w:t>
            </w:r>
          </w:p>
        </w:tc>
      </w:tr>
      <w:tr w:rsidR="004713D9" w:rsidRPr="007B6175" w14:paraId="49C8B2AD" w14:textId="77777777" w:rsidTr="00845E08">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116220B3" w14:textId="77777777" w:rsidR="004713D9" w:rsidRPr="007B6175" w:rsidRDefault="004713D9" w:rsidP="00F75DE5">
            <w:pPr>
              <w:pStyle w:val="TableText"/>
            </w:pPr>
            <w:r w:rsidRPr="007B6175">
              <w:t>Scripts dispensed (initial 3 months)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C8D26B9" w14:textId="6C6C34DD" w:rsidR="004713D9" w:rsidRPr="00DE3985" w:rsidRDefault="004C3CC2" w:rsidP="00F75DE5">
            <w:pPr>
              <w:pStyle w:val="TableText"/>
              <w:jc w:val="center"/>
              <w:rPr>
                <w:highlight w:val="yellow"/>
              </w:rPr>
            </w:pPr>
            <w:r w:rsidRPr="004C3CC2">
              <w:rPr>
                <w:rFonts w:hint="eastAsia"/>
                <w:color w:val="000000"/>
                <w:w w:val="22"/>
                <w:shd w:val="solid" w:color="000000" w:fill="000000"/>
                <w:fitText w:val="100" w:id="-1504953847"/>
                <w14:textFill>
                  <w14:solidFill>
                    <w14:srgbClr w14:val="000000">
                      <w14:alpha w14:val="100000"/>
                    </w14:srgbClr>
                  </w14:solidFill>
                </w14:textFill>
              </w:rPr>
              <w:t xml:space="preserve">　</w:t>
            </w:r>
            <w:r w:rsidRPr="004C3CC2">
              <w:rPr>
                <w:color w:val="000000"/>
                <w:w w:val="22"/>
                <w:shd w:val="solid" w:color="000000" w:fill="000000"/>
                <w:fitText w:val="100" w:id="-1504953847"/>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7"/>
                <w14:textFill>
                  <w14:solidFill>
                    <w14:srgbClr w14:val="000000">
                      <w14:alpha w14:val="100000"/>
                    </w14:srgbClr>
                  </w14:solidFill>
                </w14:textFill>
              </w:rPr>
              <w:t xml:space="preserve">　</w:t>
            </w:r>
            <w:r w:rsidR="00E424EC">
              <w:rPr>
                <w:vertAlign w:val="superscript"/>
              </w:rPr>
              <w:t>10</w:t>
            </w:r>
          </w:p>
        </w:tc>
        <w:tc>
          <w:tcPr>
            <w:tcW w:w="629" w:type="pct"/>
            <w:tcBorders>
              <w:top w:val="single" w:sz="4" w:space="0" w:color="auto"/>
              <w:left w:val="nil"/>
              <w:bottom w:val="single" w:sz="4" w:space="0" w:color="auto"/>
              <w:right w:val="single" w:sz="4" w:space="0" w:color="auto"/>
            </w:tcBorders>
            <w:shd w:val="clear" w:color="auto" w:fill="auto"/>
            <w:vAlign w:val="center"/>
          </w:tcPr>
          <w:p w14:paraId="4E139426" w14:textId="2B72FD6C" w:rsidR="004713D9" w:rsidRPr="00DE3985" w:rsidRDefault="004C3CC2" w:rsidP="00F75DE5">
            <w:pPr>
              <w:pStyle w:val="TableText"/>
              <w:jc w:val="center"/>
              <w:rPr>
                <w:highlight w:val="yellow"/>
              </w:rPr>
            </w:pPr>
            <w:r w:rsidRPr="004C3CC2">
              <w:rPr>
                <w:rFonts w:hint="eastAsia"/>
                <w:color w:val="000000"/>
                <w:w w:val="22"/>
                <w:shd w:val="solid" w:color="000000" w:fill="000000"/>
                <w:fitText w:val="100" w:id="-1504953846"/>
                <w14:textFill>
                  <w14:solidFill>
                    <w14:srgbClr w14:val="000000">
                      <w14:alpha w14:val="100000"/>
                    </w14:srgbClr>
                  </w14:solidFill>
                </w14:textFill>
              </w:rPr>
              <w:t xml:space="preserve">　</w:t>
            </w:r>
            <w:r w:rsidRPr="004C3CC2">
              <w:rPr>
                <w:color w:val="000000"/>
                <w:w w:val="22"/>
                <w:shd w:val="solid" w:color="000000" w:fill="000000"/>
                <w:fitText w:val="100" w:id="-1504953846"/>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6"/>
                <w14:textFill>
                  <w14:solidFill>
                    <w14:srgbClr w14:val="000000">
                      <w14:alpha w14:val="100000"/>
                    </w14:srgbClr>
                  </w14:solidFill>
                </w14:textFill>
              </w:rPr>
              <w:t xml:space="preserve">　</w:t>
            </w:r>
            <w:r w:rsidR="00E424EC">
              <w:rPr>
                <w:vertAlign w:val="superscript"/>
              </w:rPr>
              <w:t>10</w:t>
            </w:r>
          </w:p>
        </w:tc>
        <w:tc>
          <w:tcPr>
            <w:tcW w:w="629" w:type="pct"/>
            <w:tcBorders>
              <w:top w:val="single" w:sz="4" w:space="0" w:color="auto"/>
              <w:left w:val="nil"/>
              <w:bottom w:val="single" w:sz="4" w:space="0" w:color="auto"/>
              <w:right w:val="single" w:sz="4" w:space="0" w:color="auto"/>
            </w:tcBorders>
            <w:shd w:val="clear" w:color="auto" w:fill="auto"/>
            <w:vAlign w:val="center"/>
          </w:tcPr>
          <w:p w14:paraId="602742E7" w14:textId="634A0EA3" w:rsidR="004713D9" w:rsidRPr="00DE3985" w:rsidRDefault="004C3CC2" w:rsidP="00F75DE5">
            <w:pPr>
              <w:pStyle w:val="TableText"/>
              <w:jc w:val="center"/>
              <w:rPr>
                <w:highlight w:val="yellow"/>
              </w:rPr>
            </w:pPr>
            <w:r w:rsidRPr="004C3CC2">
              <w:rPr>
                <w:rFonts w:hint="eastAsia"/>
                <w:color w:val="000000"/>
                <w:w w:val="22"/>
                <w:shd w:val="solid" w:color="000000" w:fill="000000"/>
                <w:fitText w:val="100" w:id="-1504953845"/>
                <w14:textFill>
                  <w14:solidFill>
                    <w14:srgbClr w14:val="000000">
                      <w14:alpha w14:val="100000"/>
                    </w14:srgbClr>
                  </w14:solidFill>
                </w14:textFill>
              </w:rPr>
              <w:t xml:space="preserve">　</w:t>
            </w:r>
            <w:r w:rsidRPr="004C3CC2">
              <w:rPr>
                <w:color w:val="000000"/>
                <w:w w:val="22"/>
                <w:shd w:val="solid" w:color="000000" w:fill="000000"/>
                <w:fitText w:val="100" w:id="-1504953845"/>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5"/>
                <w14:textFill>
                  <w14:solidFill>
                    <w14:srgbClr w14:val="000000">
                      <w14:alpha w14:val="100000"/>
                    </w14:srgbClr>
                  </w14:solidFill>
                </w14:textFill>
              </w:rPr>
              <w:t xml:space="preserve">　</w:t>
            </w:r>
            <w:r w:rsidR="00E424EC">
              <w:rPr>
                <w:vertAlign w:val="superscript"/>
              </w:rPr>
              <w:t>13</w:t>
            </w:r>
          </w:p>
        </w:tc>
        <w:tc>
          <w:tcPr>
            <w:tcW w:w="629" w:type="pct"/>
            <w:tcBorders>
              <w:top w:val="single" w:sz="4" w:space="0" w:color="auto"/>
              <w:left w:val="nil"/>
              <w:bottom w:val="single" w:sz="4" w:space="0" w:color="auto"/>
              <w:right w:val="single" w:sz="4" w:space="0" w:color="auto"/>
            </w:tcBorders>
            <w:shd w:val="clear" w:color="auto" w:fill="auto"/>
            <w:vAlign w:val="center"/>
          </w:tcPr>
          <w:p w14:paraId="5D3E9499" w14:textId="5AE2A63A" w:rsidR="004713D9" w:rsidRPr="00DE3985" w:rsidRDefault="004C3CC2" w:rsidP="00F75DE5">
            <w:pPr>
              <w:pStyle w:val="TableText"/>
              <w:jc w:val="center"/>
              <w:rPr>
                <w:highlight w:val="yellow"/>
              </w:rPr>
            </w:pPr>
            <w:r w:rsidRPr="004C3CC2">
              <w:rPr>
                <w:rFonts w:hint="eastAsia"/>
                <w:color w:val="000000"/>
                <w:w w:val="22"/>
                <w:shd w:val="solid" w:color="000000" w:fill="000000"/>
                <w:fitText w:val="100" w:id="-1504953844"/>
                <w14:textFill>
                  <w14:solidFill>
                    <w14:srgbClr w14:val="000000">
                      <w14:alpha w14:val="100000"/>
                    </w14:srgbClr>
                  </w14:solidFill>
                </w14:textFill>
              </w:rPr>
              <w:t xml:space="preserve">　</w:t>
            </w:r>
            <w:r w:rsidRPr="004C3CC2">
              <w:rPr>
                <w:color w:val="000000"/>
                <w:w w:val="22"/>
                <w:shd w:val="solid" w:color="000000" w:fill="000000"/>
                <w:fitText w:val="100" w:id="-1504953844"/>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4"/>
                <w14:textFill>
                  <w14:solidFill>
                    <w14:srgbClr w14:val="000000">
                      <w14:alpha w14:val="100000"/>
                    </w14:srgbClr>
                  </w14:solidFill>
                </w14:textFill>
              </w:rPr>
              <w:t xml:space="preserve">　</w:t>
            </w:r>
            <w:r w:rsidR="00E424EC">
              <w:rPr>
                <w:vertAlign w:val="superscript"/>
              </w:rPr>
              <w:t>13</w:t>
            </w:r>
          </w:p>
        </w:tc>
        <w:tc>
          <w:tcPr>
            <w:tcW w:w="629" w:type="pct"/>
            <w:tcBorders>
              <w:top w:val="single" w:sz="4" w:space="0" w:color="auto"/>
              <w:left w:val="nil"/>
              <w:bottom w:val="single" w:sz="4" w:space="0" w:color="auto"/>
              <w:right w:val="single" w:sz="4" w:space="0" w:color="auto"/>
            </w:tcBorders>
            <w:shd w:val="clear" w:color="auto" w:fill="auto"/>
            <w:vAlign w:val="center"/>
          </w:tcPr>
          <w:p w14:paraId="44D79503" w14:textId="28A923A0" w:rsidR="004713D9" w:rsidRPr="00DE3985" w:rsidRDefault="004C3CC2" w:rsidP="00F75DE5">
            <w:pPr>
              <w:pStyle w:val="TableText"/>
              <w:jc w:val="center"/>
              <w:rPr>
                <w:highlight w:val="yellow"/>
              </w:rPr>
            </w:pPr>
            <w:r w:rsidRPr="004C3CC2">
              <w:rPr>
                <w:rFonts w:hint="eastAsia"/>
                <w:color w:val="000000"/>
                <w:w w:val="22"/>
                <w:shd w:val="solid" w:color="000000" w:fill="000000"/>
                <w:fitText w:val="100" w:id="-1504953843"/>
                <w14:textFill>
                  <w14:solidFill>
                    <w14:srgbClr w14:val="000000">
                      <w14:alpha w14:val="100000"/>
                    </w14:srgbClr>
                  </w14:solidFill>
                </w14:textFill>
              </w:rPr>
              <w:t xml:space="preserve">　</w:t>
            </w:r>
            <w:r w:rsidRPr="004C3CC2">
              <w:rPr>
                <w:color w:val="000000"/>
                <w:w w:val="22"/>
                <w:shd w:val="solid" w:color="000000" w:fill="000000"/>
                <w:fitText w:val="100" w:id="-1504953843"/>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3"/>
                <w14:textFill>
                  <w14:solidFill>
                    <w14:srgbClr w14:val="000000">
                      <w14:alpha w14:val="100000"/>
                    </w14:srgbClr>
                  </w14:solidFill>
                </w14:textFill>
              </w:rPr>
              <w:t xml:space="preserve">　</w:t>
            </w:r>
            <w:r w:rsidR="00E424EC">
              <w:rPr>
                <w:vertAlign w:val="superscript"/>
              </w:rPr>
              <w:t>13</w:t>
            </w:r>
          </w:p>
        </w:tc>
        <w:tc>
          <w:tcPr>
            <w:tcW w:w="601" w:type="pct"/>
            <w:tcBorders>
              <w:top w:val="single" w:sz="4" w:space="0" w:color="auto"/>
              <w:left w:val="nil"/>
              <w:bottom w:val="single" w:sz="4" w:space="0" w:color="auto"/>
              <w:right w:val="single" w:sz="4" w:space="0" w:color="auto"/>
            </w:tcBorders>
            <w:shd w:val="clear" w:color="auto" w:fill="auto"/>
            <w:vAlign w:val="center"/>
          </w:tcPr>
          <w:p w14:paraId="1D7C6F5B" w14:textId="3258062A" w:rsidR="004713D9" w:rsidRPr="00DE3985" w:rsidRDefault="004C3CC2" w:rsidP="00F75DE5">
            <w:pPr>
              <w:pStyle w:val="TableText"/>
              <w:jc w:val="center"/>
              <w:rPr>
                <w:highlight w:val="yellow"/>
              </w:rPr>
            </w:pPr>
            <w:r w:rsidRPr="004C3CC2">
              <w:rPr>
                <w:rFonts w:hint="eastAsia"/>
                <w:color w:val="000000"/>
                <w:w w:val="18"/>
                <w:shd w:val="solid" w:color="000000" w:fill="000000"/>
                <w:fitText w:val="80" w:id="-1504953842"/>
                <w14:textFill>
                  <w14:solidFill>
                    <w14:srgbClr w14:val="000000">
                      <w14:alpha w14:val="100000"/>
                    </w14:srgbClr>
                  </w14:solidFill>
                </w14:textFill>
              </w:rPr>
              <w:t xml:space="preserve">　</w:t>
            </w:r>
            <w:r w:rsidRPr="004C3CC2">
              <w:rPr>
                <w:color w:val="000000"/>
                <w:w w:val="18"/>
                <w:shd w:val="solid" w:color="000000" w:fill="000000"/>
                <w:fitText w:val="80" w:id="-1504953842"/>
                <w14:textFill>
                  <w14:solidFill>
                    <w14:srgbClr w14:val="000000">
                      <w14:alpha w14:val="100000"/>
                    </w14:srgbClr>
                  </w14:solidFill>
                </w14:textFill>
              </w:rPr>
              <w:t>|</w:t>
            </w:r>
            <w:r w:rsidRPr="004C3CC2">
              <w:rPr>
                <w:rFonts w:hint="eastAsia"/>
                <w:color w:val="000000"/>
                <w:w w:val="18"/>
                <w:shd w:val="solid" w:color="000000" w:fill="000000"/>
                <w:fitText w:val="80" w:id="-1504953842"/>
                <w14:textFill>
                  <w14:solidFill>
                    <w14:srgbClr w14:val="000000">
                      <w14:alpha w14:val="100000"/>
                    </w14:srgbClr>
                  </w14:solidFill>
                </w14:textFill>
              </w:rPr>
              <w:t xml:space="preserve">　</w:t>
            </w:r>
            <w:r w:rsidR="00E424EC">
              <w:rPr>
                <w:vertAlign w:val="superscript"/>
              </w:rPr>
              <w:t>7</w:t>
            </w:r>
          </w:p>
        </w:tc>
      </w:tr>
      <w:tr w:rsidR="004713D9" w:rsidRPr="007B6175" w14:paraId="482F7EEB" w14:textId="77777777" w:rsidTr="00845E08">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37B6EAA" w14:textId="77777777" w:rsidR="004713D9" w:rsidRPr="007B6175" w:rsidRDefault="004713D9" w:rsidP="00F75DE5">
            <w:pPr>
              <w:pStyle w:val="TableText"/>
            </w:pPr>
            <w:r w:rsidRPr="007B6175">
              <w:t>Scripts dispensed (continuing, including grandfathered patients)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2151451A" w14:textId="051ED1C3" w:rsidR="004713D9" w:rsidRPr="00DE3985" w:rsidRDefault="004C3CC2" w:rsidP="00F75DE5">
            <w:pPr>
              <w:pStyle w:val="TableText"/>
              <w:jc w:val="center"/>
              <w:rPr>
                <w:b/>
                <w:highlight w:val="yellow"/>
              </w:rPr>
            </w:pPr>
            <w:r w:rsidRPr="004C3CC2">
              <w:rPr>
                <w:rFonts w:hint="eastAsia"/>
                <w:color w:val="000000"/>
                <w:w w:val="22"/>
                <w:shd w:val="solid" w:color="000000" w:fill="000000"/>
                <w:fitText w:val="100" w:id="-1504953841"/>
                <w14:textFill>
                  <w14:solidFill>
                    <w14:srgbClr w14:val="000000">
                      <w14:alpha w14:val="100000"/>
                    </w14:srgbClr>
                  </w14:solidFill>
                </w14:textFill>
              </w:rPr>
              <w:t xml:space="preserve">　</w:t>
            </w:r>
            <w:r w:rsidRPr="004C3CC2">
              <w:rPr>
                <w:color w:val="000000"/>
                <w:w w:val="22"/>
                <w:shd w:val="solid" w:color="000000" w:fill="000000"/>
                <w:fitText w:val="100" w:id="-1504953841"/>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1"/>
                <w14:textFill>
                  <w14:solidFill>
                    <w14:srgbClr w14:val="000000">
                      <w14:alpha w14:val="100000"/>
                    </w14:srgbClr>
                  </w14:solidFill>
                </w14:textFill>
              </w:rPr>
              <w:t xml:space="preserve">　</w:t>
            </w:r>
            <w:r w:rsidR="00E424EC">
              <w:rPr>
                <w:vertAlign w:val="superscript"/>
              </w:rPr>
              <w:t>10</w:t>
            </w:r>
          </w:p>
        </w:tc>
        <w:tc>
          <w:tcPr>
            <w:tcW w:w="629" w:type="pct"/>
            <w:tcBorders>
              <w:top w:val="single" w:sz="4" w:space="0" w:color="auto"/>
              <w:left w:val="nil"/>
              <w:bottom w:val="single" w:sz="4" w:space="0" w:color="auto"/>
              <w:right w:val="single" w:sz="4" w:space="0" w:color="auto"/>
            </w:tcBorders>
            <w:shd w:val="clear" w:color="auto" w:fill="auto"/>
            <w:vAlign w:val="center"/>
          </w:tcPr>
          <w:p w14:paraId="45D4CC03" w14:textId="64819D80" w:rsidR="004713D9" w:rsidRPr="00DE3985" w:rsidRDefault="004C3CC2" w:rsidP="00F75DE5">
            <w:pPr>
              <w:pStyle w:val="TableText"/>
              <w:jc w:val="center"/>
              <w:rPr>
                <w:b/>
                <w:highlight w:val="yellow"/>
              </w:rPr>
            </w:pPr>
            <w:r w:rsidRPr="004C3CC2">
              <w:rPr>
                <w:rFonts w:hint="eastAsia"/>
                <w:color w:val="000000"/>
                <w:w w:val="22"/>
                <w:shd w:val="solid" w:color="000000" w:fill="000000"/>
                <w:fitText w:val="100" w:id="-1504953840"/>
                <w14:textFill>
                  <w14:solidFill>
                    <w14:srgbClr w14:val="000000">
                      <w14:alpha w14:val="100000"/>
                    </w14:srgbClr>
                  </w14:solidFill>
                </w14:textFill>
              </w:rPr>
              <w:t xml:space="preserve">　</w:t>
            </w:r>
            <w:r w:rsidRPr="004C3CC2">
              <w:rPr>
                <w:color w:val="000000"/>
                <w:w w:val="22"/>
                <w:shd w:val="solid" w:color="000000" w:fill="000000"/>
                <w:fitText w:val="100" w:id="-1504953840"/>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0"/>
                <w14:textFill>
                  <w14:solidFill>
                    <w14:srgbClr w14:val="000000">
                      <w14:alpha w14:val="100000"/>
                    </w14:srgbClr>
                  </w14:solidFill>
                </w14:textFill>
              </w:rPr>
              <w:t xml:space="preserve">　</w:t>
            </w:r>
            <w:r w:rsidR="00E424EC">
              <w:rPr>
                <w:vertAlign w:val="superscript"/>
              </w:rPr>
              <w:t>14</w:t>
            </w:r>
          </w:p>
        </w:tc>
        <w:tc>
          <w:tcPr>
            <w:tcW w:w="629" w:type="pct"/>
            <w:tcBorders>
              <w:top w:val="single" w:sz="4" w:space="0" w:color="auto"/>
              <w:left w:val="nil"/>
              <w:bottom w:val="single" w:sz="4" w:space="0" w:color="auto"/>
              <w:right w:val="single" w:sz="4" w:space="0" w:color="auto"/>
            </w:tcBorders>
            <w:shd w:val="clear" w:color="auto" w:fill="auto"/>
            <w:vAlign w:val="center"/>
          </w:tcPr>
          <w:p w14:paraId="0FA37991" w14:textId="2B730003" w:rsidR="004713D9" w:rsidRPr="00DE3985" w:rsidRDefault="004C3CC2" w:rsidP="00F75DE5">
            <w:pPr>
              <w:pStyle w:val="TableText"/>
              <w:jc w:val="center"/>
              <w:rPr>
                <w:b/>
                <w:highlight w:val="yellow"/>
              </w:rPr>
            </w:pPr>
            <w:r w:rsidRPr="004C3CC2">
              <w:rPr>
                <w:rFonts w:hint="eastAsia"/>
                <w:color w:val="000000"/>
                <w:w w:val="22"/>
                <w:shd w:val="solid" w:color="000000" w:fill="000000"/>
                <w:fitText w:val="100" w:id="-1504953856"/>
                <w14:textFill>
                  <w14:solidFill>
                    <w14:srgbClr w14:val="000000">
                      <w14:alpha w14:val="100000"/>
                    </w14:srgbClr>
                  </w14:solidFill>
                </w14:textFill>
              </w:rPr>
              <w:t xml:space="preserve">　</w:t>
            </w:r>
            <w:r w:rsidRPr="004C3CC2">
              <w:rPr>
                <w:color w:val="000000"/>
                <w:w w:val="22"/>
                <w:shd w:val="solid" w:color="000000" w:fill="000000"/>
                <w:fitText w:val="100" w:id="-1504953856"/>
                <w14:textFill>
                  <w14:solidFill>
                    <w14:srgbClr w14:val="000000">
                      <w14:alpha w14:val="100000"/>
                    </w14:srgbClr>
                  </w14:solidFill>
                </w14:textFill>
              </w:rPr>
              <w:t>|</w:t>
            </w:r>
            <w:r w:rsidRPr="004C3CC2">
              <w:rPr>
                <w:rFonts w:hint="eastAsia"/>
                <w:color w:val="000000"/>
                <w:spacing w:val="3"/>
                <w:w w:val="22"/>
                <w:shd w:val="solid" w:color="000000" w:fill="000000"/>
                <w:fitText w:val="100" w:id="-1504953856"/>
                <w14:textFill>
                  <w14:solidFill>
                    <w14:srgbClr w14:val="000000">
                      <w14:alpha w14:val="100000"/>
                    </w14:srgbClr>
                  </w14:solidFill>
                </w14:textFill>
              </w:rPr>
              <w:t xml:space="preserve">　</w:t>
            </w:r>
            <w:r w:rsidR="00E424EC">
              <w:rPr>
                <w:vertAlign w:val="superscript"/>
              </w:rPr>
              <w:t>16</w:t>
            </w:r>
          </w:p>
        </w:tc>
        <w:tc>
          <w:tcPr>
            <w:tcW w:w="629" w:type="pct"/>
            <w:tcBorders>
              <w:top w:val="single" w:sz="4" w:space="0" w:color="auto"/>
              <w:left w:val="nil"/>
              <w:bottom w:val="single" w:sz="4" w:space="0" w:color="auto"/>
              <w:right w:val="single" w:sz="4" w:space="0" w:color="auto"/>
            </w:tcBorders>
            <w:shd w:val="clear" w:color="auto" w:fill="auto"/>
            <w:vAlign w:val="center"/>
          </w:tcPr>
          <w:p w14:paraId="0D7B676D" w14:textId="3CD8A3D8" w:rsidR="004713D9" w:rsidRPr="00DE3985" w:rsidRDefault="004C3CC2" w:rsidP="00F75DE5">
            <w:pPr>
              <w:pStyle w:val="TableText"/>
              <w:jc w:val="center"/>
              <w:rPr>
                <w:b/>
                <w:highlight w:val="yellow"/>
              </w:rPr>
            </w:pPr>
            <w:r w:rsidRPr="004C3CC2">
              <w:rPr>
                <w:rFonts w:hint="eastAsia"/>
                <w:color w:val="000000"/>
                <w:w w:val="22"/>
                <w:shd w:val="solid" w:color="000000" w:fill="000000"/>
                <w:fitText w:val="100" w:id="-1504953855"/>
                <w14:textFill>
                  <w14:solidFill>
                    <w14:srgbClr w14:val="000000">
                      <w14:alpha w14:val="100000"/>
                    </w14:srgbClr>
                  </w14:solidFill>
                </w14:textFill>
              </w:rPr>
              <w:t xml:space="preserve">　</w:t>
            </w:r>
            <w:r w:rsidRPr="004C3CC2">
              <w:rPr>
                <w:color w:val="000000"/>
                <w:w w:val="22"/>
                <w:shd w:val="solid" w:color="000000" w:fill="000000"/>
                <w:fitText w:val="100" w:id="-1504953855"/>
                <w14:textFill>
                  <w14:solidFill>
                    <w14:srgbClr w14:val="000000">
                      <w14:alpha w14:val="100000"/>
                    </w14:srgbClr>
                  </w14:solidFill>
                </w14:textFill>
              </w:rPr>
              <w:t>|</w:t>
            </w:r>
            <w:r w:rsidRPr="004C3CC2">
              <w:rPr>
                <w:rFonts w:hint="eastAsia"/>
                <w:color w:val="000000"/>
                <w:spacing w:val="3"/>
                <w:w w:val="22"/>
                <w:shd w:val="solid" w:color="000000" w:fill="000000"/>
                <w:fitText w:val="100" w:id="-1504953855"/>
                <w14:textFill>
                  <w14:solidFill>
                    <w14:srgbClr w14:val="000000">
                      <w14:alpha w14:val="100000"/>
                    </w14:srgbClr>
                  </w14:solidFill>
                </w14:textFill>
              </w:rPr>
              <w:t xml:space="preserve">　</w:t>
            </w:r>
            <w:r w:rsidR="00E424EC">
              <w:rPr>
                <w:vertAlign w:val="superscript"/>
              </w:rPr>
              <w:t>17</w:t>
            </w:r>
          </w:p>
        </w:tc>
        <w:tc>
          <w:tcPr>
            <w:tcW w:w="629" w:type="pct"/>
            <w:tcBorders>
              <w:top w:val="single" w:sz="4" w:space="0" w:color="auto"/>
              <w:left w:val="nil"/>
              <w:bottom w:val="single" w:sz="4" w:space="0" w:color="auto"/>
              <w:right w:val="single" w:sz="4" w:space="0" w:color="auto"/>
            </w:tcBorders>
            <w:shd w:val="clear" w:color="auto" w:fill="auto"/>
            <w:vAlign w:val="center"/>
          </w:tcPr>
          <w:p w14:paraId="523B7978" w14:textId="200E2EA9" w:rsidR="004713D9" w:rsidRPr="00DE3985" w:rsidRDefault="004C3CC2" w:rsidP="00F75DE5">
            <w:pPr>
              <w:pStyle w:val="TableText"/>
              <w:jc w:val="center"/>
              <w:rPr>
                <w:b/>
                <w:highlight w:val="yellow"/>
              </w:rPr>
            </w:pPr>
            <w:r w:rsidRPr="004C3CC2">
              <w:rPr>
                <w:rFonts w:hint="eastAsia"/>
                <w:color w:val="000000"/>
                <w:w w:val="22"/>
                <w:shd w:val="solid" w:color="000000" w:fill="000000"/>
                <w:fitText w:val="100" w:id="-1504953854"/>
                <w14:textFill>
                  <w14:solidFill>
                    <w14:srgbClr w14:val="000000">
                      <w14:alpha w14:val="100000"/>
                    </w14:srgbClr>
                  </w14:solidFill>
                </w14:textFill>
              </w:rPr>
              <w:t xml:space="preserve">　</w:t>
            </w:r>
            <w:r w:rsidRPr="004C3CC2">
              <w:rPr>
                <w:color w:val="000000"/>
                <w:w w:val="22"/>
                <w:shd w:val="solid" w:color="000000" w:fill="000000"/>
                <w:fitText w:val="100" w:id="-1504953854"/>
                <w14:textFill>
                  <w14:solidFill>
                    <w14:srgbClr w14:val="000000">
                      <w14:alpha w14:val="100000"/>
                    </w14:srgbClr>
                  </w14:solidFill>
                </w14:textFill>
              </w:rPr>
              <w:t>|</w:t>
            </w:r>
            <w:r w:rsidRPr="004C3CC2">
              <w:rPr>
                <w:rFonts w:hint="eastAsia"/>
                <w:color w:val="000000"/>
                <w:spacing w:val="3"/>
                <w:w w:val="22"/>
                <w:shd w:val="solid" w:color="000000" w:fill="000000"/>
                <w:fitText w:val="100" w:id="-1504953854"/>
                <w14:textFill>
                  <w14:solidFill>
                    <w14:srgbClr w14:val="000000">
                      <w14:alpha w14:val="100000"/>
                    </w14:srgbClr>
                  </w14:solidFill>
                </w14:textFill>
              </w:rPr>
              <w:t xml:space="preserve">　</w:t>
            </w:r>
            <w:r w:rsidR="00E424EC">
              <w:rPr>
                <w:vertAlign w:val="superscript"/>
              </w:rPr>
              <w:t>19</w:t>
            </w:r>
          </w:p>
        </w:tc>
        <w:tc>
          <w:tcPr>
            <w:tcW w:w="601" w:type="pct"/>
            <w:tcBorders>
              <w:top w:val="single" w:sz="4" w:space="0" w:color="auto"/>
              <w:left w:val="nil"/>
              <w:bottom w:val="single" w:sz="4" w:space="0" w:color="auto"/>
              <w:right w:val="single" w:sz="4" w:space="0" w:color="auto"/>
            </w:tcBorders>
            <w:shd w:val="clear" w:color="auto" w:fill="auto"/>
            <w:vAlign w:val="center"/>
          </w:tcPr>
          <w:p w14:paraId="4EAFC543" w14:textId="047DD904" w:rsidR="004713D9" w:rsidRPr="00DE3985" w:rsidRDefault="004C3CC2" w:rsidP="00F75DE5">
            <w:pPr>
              <w:pStyle w:val="TableText"/>
              <w:jc w:val="center"/>
              <w:rPr>
                <w:b/>
                <w:highlight w:val="yellow"/>
              </w:rPr>
            </w:pPr>
            <w:r w:rsidRPr="004C3CC2">
              <w:rPr>
                <w:rFonts w:hint="eastAsia"/>
                <w:color w:val="000000"/>
                <w:w w:val="24"/>
                <w:shd w:val="solid" w:color="000000" w:fill="000000"/>
                <w:fitText w:val="110" w:id="-1504953853"/>
                <w14:textFill>
                  <w14:solidFill>
                    <w14:srgbClr w14:val="000000">
                      <w14:alpha w14:val="100000"/>
                    </w14:srgbClr>
                  </w14:solidFill>
                </w14:textFill>
              </w:rPr>
              <w:t xml:space="preserve">　</w:t>
            </w:r>
            <w:r w:rsidRPr="004C3CC2">
              <w:rPr>
                <w:color w:val="000000"/>
                <w:w w:val="24"/>
                <w:shd w:val="solid" w:color="000000" w:fill="000000"/>
                <w:fitText w:val="110" w:id="-1504953853"/>
                <w14:textFill>
                  <w14:solidFill>
                    <w14:srgbClr w14:val="000000">
                      <w14:alpha w14:val="100000"/>
                    </w14:srgbClr>
                  </w14:solidFill>
                </w14:textFill>
              </w:rPr>
              <w:t>|</w:t>
            </w:r>
            <w:r w:rsidRPr="004C3CC2">
              <w:rPr>
                <w:rFonts w:hint="eastAsia"/>
                <w:color w:val="000000"/>
                <w:spacing w:val="6"/>
                <w:w w:val="24"/>
                <w:shd w:val="solid" w:color="000000" w:fill="000000"/>
                <w:fitText w:val="110" w:id="-1504953853"/>
                <w14:textFill>
                  <w14:solidFill>
                    <w14:srgbClr w14:val="000000">
                      <w14:alpha w14:val="100000"/>
                    </w14:srgbClr>
                  </w14:solidFill>
                </w14:textFill>
              </w:rPr>
              <w:t xml:space="preserve">　</w:t>
            </w:r>
            <w:r w:rsidR="00E424EC">
              <w:rPr>
                <w:vertAlign w:val="superscript"/>
              </w:rPr>
              <w:t>22</w:t>
            </w:r>
          </w:p>
        </w:tc>
      </w:tr>
      <w:tr w:rsidR="004713D9" w:rsidRPr="007B6175" w14:paraId="318EA0FF" w14:textId="77777777" w:rsidTr="00845E08">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A3A2AA8" w14:textId="06EF5E25" w:rsidR="004713D9" w:rsidRPr="007B6175" w:rsidRDefault="004713D9" w:rsidP="00F75DE5">
            <w:pPr>
              <w:pStyle w:val="TableText"/>
              <w:rPr>
                <w:b/>
                <w:bCs w:val="0"/>
                <w:highlight w:val="yellow"/>
              </w:rPr>
            </w:pPr>
            <w:r w:rsidRPr="007B6175">
              <w:rPr>
                <w:b/>
                <w:bCs w:val="0"/>
              </w:rPr>
              <w:t xml:space="preserve">Net cost to PBS/RPBS (less </w:t>
            </w:r>
            <w:proofErr w:type="spellStart"/>
            <w:proofErr w:type="gramStart"/>
            <w:r w:rsidRPr="007B6175">
              <w:rPr>
                <w:b/>
                <w:bCs w:val="0"/>
              </w:rPr>
              <w:t>copayments</w:t>
            </w:r>
            <w:proofErr w:type="spellEnd"/>
            <w:r w:rsidRPr="007B6175">
              <w:rPr>
                <w:b/>
                <w:bCs w:val="0"/>
              </w:rPr>
              <w:t>)</w:t>
            </w:r>
            <w:r w:rsidR="009672AF">
              <w:rPr>
                <w:b/>
                <w:bCs w:val="0"/>
                <w:vertAlign w:val="superscript"/>
              </w:rPr>
              <w:t>a</w:t>
            </w:r>
            <w:proofErr w:type="gramEnd"/>
            <w:r w:rsidR="009672AF">
              <w:rPr>
                <w:b/>
                <w:bCs w:val="0"/>
              </w:rPr>
              <w:t xml:space="preserve"> ($)</w:t>
            </w:r>
          </w:p>
        </w:tc>
        <w:tc>
          <w:tcPr>
            <w:tcW w:w="628" w:type="pct"/>
            <w:tcBorders>
              <w:top w:val="nil"/>
              <w:left w:val="single" w:sz="4" w:space="0" w:color="auto"/>
              <w:bottom w:val="single" w:sz="4" w:space="0" w:color="auto"/>
              <w:right w:val="single" w:sz="4" w:space="0" w:color="auto"/>
            </w:tcBorders>
            <w:shd w:val="clear" w:color="auto" w:fill="FFFFFF" w:themeFill="background1"/>
            <w:vAlign w:val="center"/>
          </w:tcPr>
          <w:p w14:paraId="64834486" w14:textId="75BEB58B" w:rsidR="004713D9" w:rsidRPr="00DE3985" w:rsidRDefault="004C3CC2" w:rsidP="00F75DE5">
            <w:pPr>
              <w:pStyle w:val="TableText"/>
              <w:jc w:val="center"/>
              <w:rPr>
                <w:b/>
                <w:bCs w:val="0"/>
                <w:highlight w:val="yellow"/>
              </w:rPr>
            </w:pPr>
            <w:r w:rsidRPr="004C3CC2">
              <w:rPr>
                <w:rFonts w:hint="eastAsia"/>
                <w:b/>
                <w:bCs w:val="0"/>
                <w:color w:val="000000"/>
                <w:w w:val="33"/>
                <w:shd w:val="solid" w:color="000000" w:fill="000000"/>
                <w:fitText w:val="150" w:id="-1504953852"/>
                <w14:textFill>
                  <w14:solidFill>
                    <w14:srgbClr w14:val="000000">
                      <w14:alpha w14:val="100000"/>
                    </w14:srgbClr>
                  </w14:solidFill>
                </w14:textFill>
              </w:rPr>
              <w:t xml:space="preserve">　</w:t>
            </w:r>
            <w:r w:rsidRPr="004C3CC2">
              <w:rPr>
                <w:b/>
                <w:bCs w:val="0"/>
                <w:color w:val="000000"/>
                <w:w w:val="33"/>
                <w:shd w:val="solid" w:color="000000" w:fill="000000"/>
                <w:fitText w:val="150" w:id="-1504953852"/>
                <w14:textFill>
                  <w14:solidFill>
                    <w14:srgbClr w14:val="000000">
                      <w14:alpha w14:val="100000"/>
                    </w14:srgbClr>
                  </w14:solidFill>
                </w14:textFill>
              </w:rPr>
              <w:t>|</w:t>
            </w:r>
            <w:r w:rsidRPr="004C3CC2">
              <w:rPr>
                <w:rFonts w:hint="eastAsia"/>
                <w:b/>
                <w:bCs w:val="0"/>
                <w:color w:val="000000"/>
                <w:spacing w:val="3"/>
                <w:w w:val="33"/>
                <w:shd w:val="solid" w:color="000000" w:fill="000000"/>
                <w:fitText w:val="150" w:id="-1504953852"/>
                <w14:textFill>
                  <w14:solidFill>
                    <w14:srgbClr w14:val="000000">
                      <w14:alpha w14:val="100000"/>
                    </w14:srgbClr>
                  </w14:solidFill>
                </w14:textFill>
              </w:rPr>
              <w:t xml:space="preserve">　</w:t>
            </w:r>
            <w:r w:rsidR="00E424EC">
              <w:rPr>
                <w:vertAlign w:val="superscript"/>
              </w:rPr>
              <w:t>11</w:t>
            </w:r>
          </w:p>
        </w:tc>
        <w:tc>
          <w:tcPr>
            <w:tcW w:w="629" w:type="pct"/>
            <w:tcBorders>
              <w:top w:val="nil"/>
              <w:left w:val="nil"/>
              <w:bottom w:val="single" w:sz="4" w:space="0" w:color="auto"/>
              <w:right w:val="single" w:sz="4" w:space="0" w:color="auto"/>
            </w:tcBorders>
            <w:shd w:val="clear" w:color="auto" w:fill="FFFFFF" w:themeFill="background1"/>
            <w:vAlign w:val="center"/>
          </w:tcPr>
          <w:p w14:paraId="1AE8AC30" w14:textId="281356DA" w:rsidR="004713D9" w:rsidRPr="00DE3985" w:rsidRDefault="004C3CC2" w:rsidP="00F75DE5">
            <w:pPr>
              <w:pStyle w:val="TableText"/>
              <w:jc w:val="center"/>
              <w:rPr>
                <w:b/>
                <w:bCs w:val="0"/>
                <w:highlight w:val="yellow"/>
              </w:rPr>
            </w:pPr>
            <w:r w:rsidRPr="004C3CC2">
              <w:rPr>
                <w:rFonts w:hint="eastAsia"/>
                <w:b/>
                <w:bCs w:val="0"/>
                <w:color w:val="000000"/>
                <w:w w:val="33"/>
                <w:shd w:val="solid" w:color="000000" w:fill="000000"/>
                <w:fitText w:val="150" w:id="-1504953851"/>
                <w14:textFill>
                  <w14:solidFill>
                    <w14:srgbClr w14:val="000000">
                      <w14:alpha w14:val="100000"/>
                    </w14:srgbClr>
                  </w14:solidFill>
                </w14:textFill>
              </w:rPr>
              <w:t xml:space="preserve">　</w:t>
            </w:r>
            <w:r w:rsidRPr="004C3CC2">
              <w:rPr>
                <w:b/>
                <w:bCs w:val="0"/>
                <w:color w:val="000000"/>
                <w:w w:val="33"/>
                <w:shd w:val="solid" w:color="000000" w:fill="000000"/>
                <w:fitText w:val="150" w:id="-1504953851"/>
                <w14:textFill>
                  <w14:solidFill>
                    <w14:srgbClr w14:val="000000">
                      <w14:alpha w14:val="100000"/>
                    </w14:srgbClr>
                  </w14:solidFill>
                </w14:textFill>
              </w:rPr>
              <w:t>|</w:t>
            </w:r>
            <w:r w:rsidRPr="004C3CC2">
              <w:rPr>
                <w:rFonts w:hint="eastAsia"/>
                <w:b/>
                <w:bCs w:val="0"/>
                <w:color w:val="000000"/>
                <w:spacing w:val="3"/>
                <w:w w:val="33"/>
                <w:shd w:val="solid" w:color="000000" w:fill="000000"/>
                <w:fitText w:val="150" w:id="-1504953851"/>
                <w14:textFill>
                  <w14:solidFill>
                    <w14:srgbClr w14:val="000000">
                      <w14:alpha w14:val="100000"/>
                    </w14:srgbClr>
                  </w14:solidFill>
                </w14:textFill>
              </w:rPr>
              <w:t xml:space="preserve">　</w:t>
            </w:r>
            <w:r w:rsidR="00E424EC">
              <w:rPr>
                <w:vertAlign w:val="superscript"/>
              </w:rPr>
              <w:t>15</w:t>
            </w:r>
          </w:p>
        </w:tc>
        <w:tc>
          <w:tcPr>
            <w:tcW w:w="629" w:type="pct"/>
            <w:tcBorders>
              <w:top w:val="nil"/>
              <w:left w:val="nil"/>
              <w:bottom w:val="single" w:sz="4" w:space="0" w:color="auto"/>
              <w:right w:val="single" w:sz="4" w:space="0" w:color="auto"/>
            </w:tcBorders>
            <w:shd w:val="clear" w:color="auto" w:fill="FFFFFF" w:themeFill="background1"/>
            <w:vAlign w:val="center"/>
          </w:tcPr>
          <w:p w14:paraId="6B22694E" w14:textId="53EDA9AE" w:rsidR="004713D9" w:rsidRPr="00DE3985" w:rsidRDefault="004C3CC2" w:rsidP="00F75DE5">
            <w:pPr>
              <w:pStyle w:val="TableText"/>
              <w:jc w:val="center"/>
              <w:rPr>
                <w:b/>
                <w:bCs w:val="0"/>
                <w:highlight w:val="yellow"/>
              </w:rPr>
            </w:pPr>
            <w:r w:rsidRPr="004C3CC2">
              <w:rPr>
                <w:rFonts w:hint="eastAsia"/>
                <w:b/>
                <w:bCs w:val="0"/>
                <w:color w:val="000000"/>
                <w:w w:val="33"/>
                <w:shd w:val="solid" w:color="000000" w:fill="000000"/>
                <w:fitText w:val="150" w:id="-1504953850"/>
                <w14:textFill>
                  <w14:solidFill>
                    <w14:srgbClr w14:val="000000">
                      <w14:alpha w14:val="100000"/>
                    </w14:srgbClr>
                  </w14:solidFill>
                </w14:textFill>
              </w:rPr>
              <w:t xml:space="preserve">　</w:t>
            </w:r>
            <w:r w:rsidRPr="004C3CC2">
              <w:rPr>
                <w:b/>
                <w:bCs w:val="0"/>
                <w:color w:val="000000"/>
                <w:w w:val="33"/>
                <w:shd w:val="solid" w:color="000000" w:fill="000000"/>
                <w:fitText w:val="150" w:id="-1504953850"/>
                <w14:textFill>
                  <w14:solidFill>
                    <w14:srgbClr w14:val="000000">
                      <w14:alpha w14:val="100000"/>
                    </w14:srgbClr>
                  </w14:solidFill>
                </w14:textFill>
              </w:rPr>
              <w:t>|</w:t>
            </w:r>
            <w:r w:rsidRPr="004C3CC2">
              <w:rPr>
                <w:rFonts w:hint="eastAsia"/>
                <w:b/>
                <w:bCs w:val="0"/>
                <w:color w:val="000000"/>
                <w:spacing w:val="3"/>
                <w:w w:val="33"/>
                <w:shd w:val="solid" w:color="000000" w:fill="000000"/>
                <w:fitText w:val="150" w:id="-1504953850"/>
                <w14:textFill>
                  <w14:solidFill>
                    <w14:srgbClr w14:val="000000">
                      <w14:alpha w14:val="100000"/>
                    </w14:srgbClr>
                  </w14:solidFill>
                </w14:textFill>
              </w:rPr>
              <w:t xml:space="preserve">　</w:t>
            </w:r>
            <w:r w:rsidR="00E424EC">
              <w:rPr>
                <w:vertAlign w:val="superscript"/>
              </w:rPr>
              <w:t>15</w:t>
            </w:r>
          </w:p>
        </w:tc>
        <w:tc>
          <w:tcPr>
            <w:tcW w:w="629" w:type="pct"/>
            <w:tcBorders>
              <w:top w:val="nil"/>
              <w:left w:val="nil"/>
              <w:bottom w:val="single" w:sz="4" w:space="0" w:color="auto"/>
              <w:right w:val="single" w:sz="4" w:space="0" w:color="auto"/>
            </w:tcBorders>
            <w:shd w:val="clear" w:color="auto" w:fill="FFFFFF" w:themeFill="background1"/>
            <w:vAlign w:val="center"/>
          </w:tcPr>
          <w:p w14:paraId="222EB433" w14:textId="1948A911" w:rsidR="004713D9" w:rsidRPr="00DE3985" w:rsidRDefault="004C3CC2" w:rsidP="00F75DE5">
            <w:pPr>
              <w:pStyle w:val="TableText"/>
              <w:jc w:val="center"/>
              <w:rPr>
                <w:b/>
                <w:bCs w:val="0"/>
                <w:highlight w:val="yellow"/>
              </w:rPr>
            </w:pPr>
            <w:r w:rsidRPr="004C3CC2">
              <w:rPr>
                <w:rFonts w:hint="eastAsia"/>
                <w:b/>
                <w:bCs w:val="0"/>
                <w:color w:val="000000"/>
                <w:w w:val="33"/>
                <w:shd w:val="solid" w:color="000000" w:fill="000000"/>
                <w:fitText w:val="150" w:id="-1504953849"/>
                <w14:textFill>
                  <w14:solidFill>
                    <w14:srgbClr w14:val="000000">
                      <w14:alpha w14:val="100000"/>
                    </w14:srgbClr>
                  </w14:solidFill>
                </w14:textFill>
              </w:rPr>
              <w:t xml:space="preserve">　</w:t>
            </w:r>
            <w:r w:rsidRPr="004C3CC2">
              <w:rPr>
                <w:b/>
                <w:bCs w:val="0"/>
                <w:color w:val="000000"/>
                <w:w w:val="33"/>
                <w:shd w:val="solid" w:color="000000" w:fill="000000"/>
                <w:fitText w:val="150" w:id="-1504953849"/>
                <w14:textFill>
                  <w14:solidFill>
                    <w14:srgbClr w14:val="000000">
                      <w14:alpha w14:val="100000"/>
                    </w14:srgbClr>
                  </w14:solidFill>
                </w14:textFill>
              </w:rPr>
              <w:t>|</w:t>
            </w:r>
            <w:r w:rsidRPr="004C3CC2">
              <w:rPr>
                <w:rFonts w:hint="eastAsia"/>
                <w:b/>
                <w:bCs w:val="0"/>
                <w:color w:val="000000"/>
                <w:spacing w:val="3"/>
                <w:w w:val="33"/>
                <w:shd w:val="solid" w:color="000000" w:fill="000000"/>
                <w:fitText w:val="150" w:id="-1504953849"/>
                <w14:textFill>
                  <w14:solidFill>
                    <w14:srgbClr w14:val="000000">
                      <w14:alpha w14:val="100000"/>
                    </w14:srgbClr>
                  </w14:solidFill>
                </w14:textFill>
              </w:rPr>
              <w:t xml:space="preserve">　</w:t>
            </w:r>
            <w:r w:rsidR="00E424EC">
              <w:rPr>
                <w:vertAlign w:val="superscript"/>
              </w:rPr>
              <w:t>18</w:t>
            </w:r>
          </w:p>
        </w:tc>
        <w:tc>
          <w:tcPr>
            <w:tcW w:w="629" w:type="pct"/>
            <w:tcBorders>
              <w:top w:val="nil"/>
              <w:left w:val="nil"/>
              <w:bottom w:val="single" w:sz="4" w:space="0" w:color="auto"/>
              <w:right w:val="single" w:sz="4" w:space="0" w:color="auto"/>
            </w:tcBorders>
            <w:shd w:val="clear" w:color="auto" w:fill="FFFFFF" w:themeFill="background1"/>
            <w:vAlign w:val="center"/>
          </w:tcPr>
          <w:p w14:paraId="74C3BA80" w14:textId="33FD2C90" w:rsidR="004713D9" w:rsidRPr="00DE3985" w:rsidRDefault="004C3CC2" w:rsidP="00F75DE5">
            <w:pPr>
              <w:pStyle w:val="TableText"/>
              <w:jc w:val="center"/>
              <w:rPr>
                <w:b/>
                <w:bCs w:val="0"/>
                <w:highlight w:val="yellow"/>
              </w:rPr>
            </w:pPr>
            <w:r w:rsidRPr="004C3CC2">
              <w:rPr>
                <w:rFonts w:hint="eastAsia"/>
                <w:b/>
                <w:bCs w:val="0"/>
                <w:color w:val="000000"/>
                <w:w w:val="33"/>
                <w:shd w:val="solid" w:color="000000" w:fill="000000"/>
                <w:fitText w:val="150" w:id="-1504953848"/>
                <w14:textFill>
                  <w14:solidFill>
                    <w14:srgbClr w14:val="000000">
                      <w14:alpha w14:val="100000"/>
                    </w14:srgbClr>
                  </w14:solidFill>
                </w14:textFill>
              </w:rPr>
              <w:t xml:space="preserve">　</w:t>
            </w:r>
            <w:r w:rsidRPr="004C3CC2">
              <w:rPr>
                <w:b/>
                <w:bCs w:val="0"/>
                <w:color w:val="000000"/>
                <w:w w:val="33"/>
                <w:shd w:val="solid" w:color="000000" w:fill="000000"/>
                <w:fitText w:val="150" w:id="-1504953848"/>
                <w14:textFill>
                  <w14:solidFill>
                    <w14:srgbClr w14:val="000000">
                      <w14:alpha w14:val="100000"/>
                    </w14:srgbClr>
                  </w14:solidFill>
                </w14:textFill>
              </w:rPr>
              <w:t>|</w:t>
            </w:r>
            <w:r w:rsidRPr="004C3CC2">
              <w:rPr>
                <w:rFonts w:hint="eastAsia"/>
                <w:b/>
                <w:bCs w:val="0"/>
                <w:color w:val="000000"/>
                <w:spacing w:val="3"/>
                <w:w w:val="33"/>
                <w:shd w:val="solid" w:color="000000" w:fill="000000"/>
                <w:fitText w:val="150" w:id="-1504953848"/>
                <w14:textFill>
                  <w14:solidFill>
                    <w14:srgbClr w14:val="000000">
                      <w14:alpha w14:val="100000"/>
                    </w14:srgbClr>
                  </w14:solidFill>
                </w14:textFill>
              </w:rPr>
              <w:t xml:space="preserve">　</w:t>
            </w:r>
            <w:r w:rsidR="00E424EC">
              <w:rPr>
                <w:vertAlign w:val="superscript"/>
              </w:rPr>
              <w:t>18</w:t>
            </w:r>
          </w:p>
        </w:tc>
        <w:tc>
          <w:tcPr>
            <w:tcW w:w="601" w:type="pct"/>
            <w:tcBorders>
              <w:top w:val="nil"/>
              <w:left w:val="nil"/>
              <w:bottom w:val="single" w:sz="4" w:space="0" w:color="auto"/>
              <w:right w:val="single" w:sz="4" w:space="0" w:color="auto"/>
            </w:tcBorders>
            <w:shd w:val="clear" w:color="auto" w:fill="FFFFFF" w:themeFill="background1"/>
            <w:vAlign w:val="center"/>
          </w:tcPr>
          <w:p w14:paraId="13D6C6A0" w14:textId="6F621113" w:rsidR="004713D9" w:rsidRPr="00DE3985" w:rsidRDefault="004C3CC2" w:rsidP="00F75DE5">
            <w:pPr>
              <w:pStyle w:val="TableText"/>
              <w:jc w:val="center"/>
              <w:rPr>
                <w:b/>
                <w:bCs w:val="0"/>
                <w:highlight w:val="yellow"/>
              </w:rPr>
            </w:pPr>
            <w:r w:rsidRPr="004C3CC2">
              <w:rPr>
                <w:b/>
                <w:bCs w:val="0"/>
                <w:color w:val="000000"/>
                <w:spacing w:val="68"/>
                <w:shd w:val="solid" w:color="000000" w:fill="000000"/>
                <w:fitText w:val="160" w:id="-1504953847"/>
                <w14:textFill>
                  <w14:solidFill>
                    <w14:srgbClr w14:val="000000">
                      <w14:alpha w14:val="100000"/>
                    </w14:srgbClr>
                  </w14:solidFill>
                </w14:textFill>
              </w:rPr>
              <w:t>|</w:t>
            </w:r>
            <w:r w:rsidRPr="004C3CC2">
              <w:rPr>
                <w:b/>
                <w:bCs w:val="0"/>
                <w:color w:val="000000"/>
                <w:spacing w:val="1"/>
                <w:shd w:val="solid" w:color="000000" w:fill="000000"/>
                <w:fitText w:val="160" w:id="-1504953847"/>
                <w14:textFill>
                  <w14:solidFill>
                    <w14:srgbClr w14:val="000000">
                      <w14:alpha w14:val="100000"/>
                    </w14:srgbClr>
                  </w14:solidFill>
                </w14:textFill>
              </w:rPr>
              <w:t>|</w:t>
            </w:r>
            <w:r w:rsidR="00E424EC">
              <w:rPr>
                <w:vertAlign w:val="superscript"/>
              </w:rPr>
              <w:t>18</w:t>
            </w:r>
          </w:p>
        </w:tc>
      </w:tr>
      <w:tr w:rsidR="00C805E3" w:rsidRPr="007B6175" w14:paraId="31228455" w14:textId="77777777" w:rsidTr="00845E08">
        <w:tc>
          <w:tcPr>
            <w:tcW w:w="1255" w:type="pct"/>
            <w:tcBorders>
              <w:top w:val="single" w:sz="4" w:space="0" w:color="auto"/>
              <w:left w:val="single" w:sz="4" w:space="0" w:color="auto"/>
              <w:bottom w:val="single" w:sz="4" w:space="0" w:color="auto"/>
              <w:right w:val="single" w:sz="4" w:space="0" w:color="auto"/>
            </w:tcBorders>
            <w:shd w:val="clear" w:color="auto" w:fill="auto"/>
          </w:tcPr>
          <w:p w14:paraId="567E4E7A" w14:textId="0DB69550" w:rsidR="00C805E3" w:rsidRPr="007B6175" w:rsidRDefault="00C805E3" w:rsidP="00C805E3">
            <w:pPr>
              <w:pStyle w:val="TableText"/>
            </w:pPr>
            <w:r w:rsidRPr="007B6175">
              <w:t>Net cost to MBS</w:t>
            </w:r>
            <w:r w:rsidR="009672AF">
              <w:t xml:space="preserve"> </w:t>
            </w:r>
            <w:r w:rsidR="009672AF" w:rsidRPr="009672AF">
              <w:t>($)</w:t>
            </w:r>
          </w:p>
        </w:tc>
        <w:tc>
          <w:tcPr>
            <w:tcW w:w="628" w:type="pct"/>
            <w:tcBorders>
              <w:top w:val="nil"/>
              <w:left w:val="single" w:sz="4" w:space="0" w:color="auto"/>
              <w:bottom w:val="single" w:sz="4" w:space="0" w:color="auto"/>
              <w:right w:val="single" w:sz="4" w:space="0" w:color="auto"/>
            </w:tcBorders>
            <w:shd w:val="clear" w:color="auto" w:fill="FFFFFF" w:themeFill="background1"/>
          </w:tcPr>
          <w:p w14:paraId="46957FBA" w14:textId="1972338C" w:rsidR="00C805E3" w:rsidRPr="00DE3985" w:rsidRDefault="004C3CC2" w:rsidP="00C805E3">
            <w:pPr>
              <w:pStyle w:val="TableText"/>
              <w:jc w:val="center"/>
              <w:rPr>
                <w:highlight w:val="yellow"/>
              </w:rPr>
            </w:pPr>
            <w:r w:rsidRPr="004C3CC2">
              <w:rPr>
                <w:rFonts w:hint="eastAsia"/>
                <w:color w:val="000000"/>
                <w:w w:val="22"/>
                <w:shd w:val="solid" w:color="000000" w:fill="000000"/>
                <w:fitText w:val="100" w:id="-1504953846"/>
                <w14:textFill>
                  <w14:solidFill>
                    <w14:srgbClr w14:val="000000">
                      <w14:alpha w14:val="100000"/>
                    </w14:srgbClr>
                  </w14:solidFill>
                </w14:textFill>
              </w:rPr>
              <w:t xml:space="preserve">　</w:t>
            </w:r>
            <w:r w:rsidRPr="004C3CC2">
              <w:rPr>
                <w:color w:val="000000"/>
                <w:w w:val="22"/>
                <w:shd w:val="solid" w:color="000000" w:fill="000000"/>
                <w:fitText w:val="100" w:id="-1504953846"/>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6"/>
                <w14:textFill>
                  <w14:solidFill>
                    <w14:srgbClr w14:val="000000">
                      <w14:alpha w14:val="100000"/>
                    </w14:srgbClr>
                  </w14:solidFill>
                </w14:textFill>
              </w:rPr>
              <w:t xml:space="preserve">　</w:t>
            </w:r>
            <w:r w:rsidR="00E424EC">
              <w:rPr>
                <w:vertAlign w:val="superscript"/>
              </w:rPr>
              <w:t>12</w:t>
            </w:r>
          </w:p>
        </w:tc>
        <w:tc>
          <w:tcPr>
            <w:tcW w:w="629" w:type="pct"/>
            <w:tcBorders>
              <w:top w:val="nil"/>
              <w:left w:val="nil"/>
              <w:bottom w:val="single" w:sz="4" w:space="0" w:color="auto"/>
              <w:right w:val="single" w:sz="4" w:space="0" w:color="auto"/>
            </w:tcBorders>
            <w:shd w:val="clear" w:color="auto" w:fill="FFFFFF" w:themeFill="background1"/>
          </w:tcPr>
          <w:p w14:paraId="7051E180" w14:textId="23E72BC5" w:rsidR="00C805E3" w:rsidRPr="00DE3985" w:rsidRDefault="004C3CC2" w:rsidP="00C805E3">
            <w:pPr>
              <w:pStyle w:val="TableText"/>
              <w:jc w:val="center"/>
              <w:rPr>
                <w:highlight w:val="yellow"/>
              </w:rPr>
            </w:pPr>
            <w:r w:rsidRPr="004C3CC2">
              <w:rPr>
                <w:rFonts w:hint="eastAsia"/>
                <w:color w:val="000000"/>
                <w:w w:val="22"/>
                <w:shd w:val="solid" w:color="000000" w:fill="000000"/>
                <w:fitText w:val="100" w:id="-1504953845"/>
                <w14:textFill>
                  <w14:solidFill>
                    <w14:srgbClr w14:val="000000">
                      <w14:alpha w14:val="100000"/>
                    </w14:srgbClr>
                  </w14:solidFill>
                </w14:textFill>
              </w:rPr>
              <w:t xml:space="preserve">　</w:t>
            </w:r>
            <w:r w:rsidRPr="004C3CC2">
              <w:rPr>
                <w:color w:val="000000"/>
                <w:w w:val="22"/>
                <w:shd w:val="solid" w:color="000000" w:fill="000000"/>
                <w:fitText w:val="100" w:id="-1504953845"/>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5"/>
                <w14:textFill>
                  <w14:solidFill>
                    <w14:srgbClr w14:val="000000">
                      <w14:alpha w14:val="100000"/>
                    </w14:srgbClr>
                  </w14:solidFill>
                </w14:textFill>
              </w:rPr>
              <w:t xml:space="preserve">　</w:t>
            </w:r>
            <w:r w:rsidR="00E424EC">
              <w:rPr>
                <w:vertAlign w:val="superscript"/>
              </w:rPr>
              <w:t>12</w:t>
            </w:r>
          </w:p>
        </w:tc>
        <w:tc>
          <w:tcPr>
            <w:tcW w:w="629" w:type="pct"/>
            <w:tcBorders>
              <w:top w:val="nil"/>
              <w:left w:val="nil"/>
              <w:bottom w:val="single" w:sz="4" w:space="0" w:color="auto"/>
              <w:right w:val="single" w:sz="4" w:space="0" w:color="auto"/>
            </w:tcBorders>
            <w:shd w:val="clear" w:color="auto" w:fill="FFFFFF" w:themeFill="background1"/>
          </w:tcPr>
          <w:p w14:paraId="1044F107" w14:textId="74D338DA" w:rsidR="00C805E3" w:rsidRPr="00DE3985" w:rsidRDefault="004C3CC2" w:rsidP="00C805E3">
            <w:pPr>
              <w:pStyle w:val="TableText"/>
              <w:jc w:val="center"/>
              <w:rPr>
                <w:highlight w:val="yellow"/>
              </w:rPr>
            </w:pPr>
            <w:r w:rsidRPr="004C3CC2">
              <w:rPr>
                <w:rFonts w:hint="eastAsia"/>
                <w:color w:val="000000"/>
                <w:w w:val="22"/>
                <w:shd w:val="solid" w:color="000000" w:fill="000000"/>
                <w:fitText w:val="100" w:id="-1504953844"/>
                <w14:textFill>
                  <w14:solidFill>
                    <w14:srgbClr w14:val="000000">
                      <w14:alpha w14:val="100000"/>
                    </w14:srgbClr>
                  </w14:solidFill>
                </w14:textFill>
              </w:rPr>
              <w:t xml:space="preserve">　</w:t>
            </w:r>
            <w:r w:rsidRPr="004C3CC2">
              <w:rPr>
                <w:color w:val="000000"/>
                <w:w w:val="22"/>
                <w:shd w:val="solid" w:color="000000" w:fill="000000"/>
                <w:fitText w:val="100" w:id="-1504953844"/>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4"/>
                <w14:textFill>
                  <w14:solidFill>
                    <w14:srgbClr w14:val="000000">
                      <w14:alpha w14:val="100000"/>
                    </w14:srgbClr>
                  </w14:solidFill>
                </w14:textFill>
              </w:rPr>
              <w:t xml:space="preserve">　</w:t>
            </w:r>
            <w:r w:rsidR="00E424EC">
              <w:rPr>
                <w:vertAlign w:val="superscript"/>
              </w:rPr>
              <w:t>12</w:t>
            </w:r>
          </w:p>
        </w:tc>
        <w:tc>
          <w:tcPr>
            <w:tcW w:w="629" w:type="pct"/>
            <w:tcBorders>
              <w:top w:val="nil"/>
              <w:left w:val="nil"/>
              <w:bottom w:val="single" w:sz="4" w:space="0" w:color="auto"/>
              <w:right w:val="single" w:sz="4" w:space="0" w:color="auto"/>
            </w:tcBorders>
            <w:shd w:val="clear" w:color="auto" w:fill="FFFFFF" w:themeFill="background1"/>
          </w:tcPr>
          <w:p w14:paraId="3FDF4108" w14:textId="7AC3EB53" w:rsidR="00C805E3" w:rsidRPr="00DE3985" w:rsidRDefault="004C3CC2" w:rsidP="00C805E3">
            <w:pPr>
              <w:pStyle w:val="TableText"/>
              <w:jc w:val="center"/>
              <w:rPr>
                <w:highlight w:val="yellow"/>
              </w:rPr>
            </w:pPr>
            <w:r w:rsidRPr="004C3CC2">
              <w:rPr>
                <w:rFonts w:hint="eastAsia"/>
                <w:color w:val="000000"/>
                <w:w w:val="22"/>
                <w:shd w:val="solid" w:color="000000" w:fill="000000"/>
                <w:fitText w:val="100" w:id="-1504953843"/>
                <w14:textFill>
                  <w14:solidFill>
                    <w14:srgbClr w14:val="000000">
                      <w14:alpha w14:val="100000"/>
                    </w14:srgbClr>
                  </w14:solidFill>
                </w14:textFill>
              </w:rPr>
              <w:t xml:space="preserve">　</w:t>
            </w:r>
            <w:r w:rsidRPr="004C3CC2">
              <w:rPr>
                <w:color w:val="000000"/>
                <w:w w:val="22"/>
                <w:shd w:val="solid" w:color="000000" w:fill="000000"/>
                <w:fitText w:val="100" w:id="-1504953843"/>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3"/>
                <w14:textFill>
                  <w14:solidFill>
                    <w14:srgbClr w14:val="000000">
                      <w14:alpha w14:val="100000"/>
                    </w14:srgbClr>
                  </w14:solidFill>
                </w14:textFill>
              </w:rPr>
              <w:t xml:space="preserve">　</w:t>
            </w:r>
            <w:r w:rsidR="00E424EC">
              <w:rPr>
                <w:vertAlign w:val="superscript"/>
              </w:rPr>
              <w:t>12</w:t>
            </w:r>
          </w:p>
        </w:tc>
        <w:tc>
          <w:tcPr>
            <w:tcW w:w="629" w:type="pct"/>
            <w:tcBorders>
              <w:top w:val="nil"/>
              <w:left w:val="nil"/>
              <w:bottom w:val="single" w:sz="4" w:space="0" w:color="auto"/>
              <w:right w:val="single" w:sz="4" w:space="0" w:color="auto"/>
            </w:tcBorders>
            <w:shd w:val="clear" w:color="auto" w:fill="FFFFFF" w:themeFill="background1"/>
          </w:tcPr>
          <w:p w14:paraId="72CE9F2D" w14:textId="4F048641" w:rsidR="00C805E3" w:rsidRPr="00DE3985" w:rsidRDefault="004C3CC2" w:rsidP="00C805E3">
            <w:pPr>
              <w:pStyle w:val="TableText"/>
              <w:jc w:val="center"/>
              <w:rPr>
                <w:highlight w:val="yellow"/>
              </w:rPr>
            </w:pPr>
            <w:r w:rsidRPr="004C3CC2">
              <w:rPr>
                <w:rFonts w:hint="eastAsia"/>
                <w:color w:val="000000"/>
                <w:w w:val="22"/>
                <w:shd w:val="solid" w:color="000000" w:fill="000000"/>
                <w:fitText w:val="100" w:id="-1504953842"/>
                <w14:textFill>
                  <w14:solidFill>
                    <w14:srgbClr w14:val="000000">
                      <w14:alpha w14:val="100000"/>
                    </w14:srgbClr>
                  </w14:solidFill>
                </w14:textFill>
              </w:rPr>
              <w:t xml:space="preserve">　</w:t>
            </w:r>
            <w:r w:rsidRPr="004C3CC2">
              <w:rPr>
                <w:color w:val="000000"/>
                <w:w w:val="22"/>
                <w:shd w:val="solid" w:color="000000" w:fill="000000"/>
                <w:fitText w:val="100" w:id="-1504953842"/>
                <w14:textFill>
                  <w14:solidFill>
                    <w14:srgbClr w14:val="000000">
                      <w14:alpha w14:val="100000"/>
                    </w14:srgbClr>
                  </w14:solidFill>
                </w14:textFill>
              </w:rPr>
              <w:t>|</w:t>
            </w:r>
            <w:r w:rsidRPr="004C3CC2">
              <w:rPr>
                <w:rFonts w:hint="eastAsia"/>
                <w:color w:val="000000"/>
                <w:spacing w:val="3"/>
                <w:w w:val="22"/>
                <w:shd w:val="solid" w:color="000000" w:fill="000000"/>
                <w:fitText w:val="100" w:id="-1504953842"/>
                <w14:textFill>
                  <w14:solidFill>
                    <w14:srgbClr w14:val="000000">
                      <w14:alpha w14:val="100000"/>
                    </w14:srgbClr>
                  </w14:solidFill>
                </w14:textFill>
              </w:rPr>
              <w:t xml:space="preserve">　</w:t>
            </w:r>
            <w:r w:rsidR="00E424EC">
              <w:rPr>
                <w:vertAlign w:val="superscript"/>
              </w:rPr>
              <w:t>12</w:t>
            </w:r>
          </w:p>
        </w:tc>
        <w:tc>
          <w:tcPr>
            <w:tcW w:w="601" w:type="pct"/>
            <w:tcBorders>
              <w:top w:val="nil"/>
              <w:left w:val="nil"/>
              <w:bottom w:val="single" w:sz="4" w:space="0" w:color="auto"/>
              <w:right w:val="single" w:sz="4" w:space="0" w:color="auto"/>
            </w:tcBorders>
            <w:shd w:val="clear" w:color="auto" w:fill="FFFFFF" w:themeFill="background1"/>
          </w:tcPr>
          <w:p w14:paraId="7BBD884A" w14:textId="6657F05F" w:rsidR="00C805E3" w:rsidRPr="00DE3985" w:rsidRDefault="004C3CC2" w:rsidP="00C805E3">
            <w:pPr>
              <w:pStyle w:val="TableText"/>
              <w:jc w:val="center"/>
              <w:rPr>
                <w:highlight w:val="yellow"/>
              </w:rPr>
            </w:pPr>
            <w:r w:rsidRPr="004C3CC2">
              <w:rPr>
                <w:rFonts w:hint="eastAsia"/>
                <w:color w:val="000000"/>
                <w:w w:val="24"/>
                <w:shd w:val="solid" w:color="000000" w:fill="000000"/>
                <w:fitText w:val="110" w:id="-1504953841"/>
                <w14:textFill>
                  <w14:solidFill>
                    <w14:srgbClr w14:val="000000">
                      <w14:alpha w14:val="100000"/>
                    </w14:srgbClr>
                  </w14:solidFill>
                </w14:textFill>
              </w:rPr>
              <w:t xml:space="preserve">　</w:t>
            </w:r>
            <w:r w:rsidRPr="004C3CC2">
              <w:rPr>
                <w:color w:val="000000"/>
                <w:w w:val="24"/>
                <w:shd w:val="solid" w:color="000000" w:fill="000000"/>
                <w:fitText w:val="110" w:id="-1504953841"/>
                <w14:textFill>
                  <w14:solidFill>
                    <w14:srgbClr w14:val="000000">
                      <w14:alpha w14:val="100000"/>
                    </w14:srgbClr>
                  </w14:solidFill>
                </w14:textFill>
              </w:rPr>
              <w:t>|</w:t>
            </w:r>
            <w:r w:rsidRPr="004C3CC2">
              <w:rPr>
                <w:rFonts w:hint="eastAsia"/>
                <w:color w:val="000000"/>
                <w:spacing w:val="6"/>
                <w:w w:val="24"/>
                <w:shd w:val="solid" w:color="000000" w:fill="000000"/>
                <w:fitText w:val="110" w:id="-1504953841"/>
                <w14:textFill>
                  <w14:solidFill>
                    <w14:srgbClr w14:val="000000">
                      <w14:alpha w14:val="100000"/>
                    </w14:srgbClr>
                  </w14:solidFill>
                </w14:textFill>
              </w:rPr>
              <w:t xml:space="preserve">　</w:t>
            </w:r>
            <w:r w:rsidR="00E424EC">
              <w:rPr>
                <w:vertAlign w:val="superscript"/>
              </w:rPr>
              <w:t>12</w:t>
            </w:r>
          </w:p>
        </w:tc>
      </w:tr>
      <w:tr w:rsidR="00C805E3" w:rsidRPr="007B6175" w14:paraId="68BCEB02" w14:textId="77777777" w:rsidTr="00845E08">
        <w:tc>
          <w:tcPr>
            <w:tcW w:w="1255" w:type="pct"/>
            <w:tcBorders>
              <w:top w:val="single" w:sz="4" w:space="0" w:color="auto"/>
              <w:left w:val="single" w:sz="4" w:space="0" w:color="auto"/>
              <w:bottom w:val="single" w:sz="4" w:space="0" w:color="auto"/>
              <w:right w:val="single" w:sz="4" w:space="0" w:color="auto"/>
            </w:tcBorders>
            <w:shd w:val="clear" w:color="auto" w:fill="auto"/>
          </w:tcPr>
          <w:p w14:paraId="508B37AF" w14:textId="6E4923CD" w:rsidR="00C805E3" w:rsidRPr="007B6175" w:rsidRDefault="00C805E3" w:rsidP="00C805E3">
            <w:pPr>
              <w:pStyle w:val="TableText"/>
              <w:rPr>
                <w:b/>
                <w:bCs w:val="0"/>
              </w:rPr>
            </w:pPr>
            <w:r w:rsidRPr="007B6175">
              <w:rPr>
                <w:b/>
                <w:bCs w:val="0"/>
              </w:rPr>
              <w:t>Net cost to Government</w:t>
            </w:r>
            <w:r w:rsidR="009672AF">
              <w:rPr>
                <w:b/>
                <w:bCs w:val="0"/>
              </w:rPr>
              <w:t xml:space="preserve"> </w:t>
            </w:r>
            <w:r w:rsidR="009672AF" w:rsidRPr="009672AF">
              <w:t>($)</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tcPr>
          <w:p w14:paraId="07E41B3B" w14:textId="300EC2B0" w:rsidR="00C805E3" w:rsidRPr="00DE3985" w:rsidRDefault="004C3CC2" w:rsidP="00C805E3">
            <w:pPr>
              <w:pStyle w:val="TableText"/>
              <w:jc w:val="center"/>
              <w:rPr>
                <w:b/>
                <w:bCs w:val="0"/>
                <w:highlight w:val="yellow"/>
              </w:rPr>
            </w:pPr>
            <w:r w:rsidRPr="004C3CC2">
              <w:rPr>
                <w:rFonts w:hint="eastAsia"/>
                <w:b/>
                <w:bCs w:val="0"/>
                <w:color w:val="000000"/>
                <w:w w:val="33"/>
                <w:shd w:val="solid" w:color="000000" w:fill="000000"/>
                <w:fitText w:val="150" w:id="-1504953840"/>
                <w14:textFill>
                  <w14:solidFill>
                    <w14:srgbClr w14:val="000000">
                      <w14:alpha w14:val="100000"/>
                    </w14:srgbClr>
                  </w14:solidFill>
                </w14:textFill>
              </w:rPr>
              <w:t xml:space="preserve">　</w:t>
            </w:r>
            <w:r w:rsidRPr="004C3CC2">
              <w:rPr>
                <w:b/>
                <w:bCs w:val="0"/>
                <w:color w:val="000000"/>
                <w:w w:val="33"/>
                <w:shd w:val="solid" w:color="000000" w:fill="000000"/>
                <w:fitText w:val="150" w:id="-1504953840"/>
                <w14:textFill>
                  <w14:solidFill>
                    <w14:srgbClr w14:val="000000">
                      <w14:alpha w14:val="100000"/>
                    </w14:srgbClr>
                  </w14:solidFill>
                </w14:textFill>
              </w:rPr>
              <w:t>|</w:t>
            </w:r>
            <w:r w:rsidRPr="004C3CC2">
              <w:rPr>
                <w:rFonts w:hint="eastAsia"/>
                <w:b/>
                <w:bCs w:val="0"/>
                <w:color w:val="000000"/>
                <w:spacing w:val="3"/>
                <w:w w:val="33"/>
                <w:shd w:val="solid" w:color="000000" w:fill="000000"/>
                <w:fitText w:val="150" w:id="-1504953840"/>
                <w14:textFill>
                  <w14:solidFill>
                    <w14:srgbClr w14:val="000000">
                      <w14:alpha w14:val="100000"/>
                    </w14:srgbClr>
                  </w14:solidFill>
                </w14:textFill>
              </w:rPr>
              <w:t xml:space="preserve">　</w:t>
            </w:r>
            <w:r w:rsidR="00E424EC">
              <w:rPr>
                <w:vertAlign w:val="superscript"/>
              </w:rPr>
              <w:t>11</w:t>
            </w:r>
          </w:p>
        </w:tc>
        <w:tc>
          <w:tcPr>
            <w:tcW w:w="629" w:type="pct"/>
            <w:tcBorders>
              <w:top w:val="single" w:sz="4" w:space="0" w:color="auto"/>
              <w:left w:val="nil"/>
              <w:bottom w:val="single" w:sz="4" w:space="0" w:color="auto"/>
              <w:right w:val="single" w:sz="4" w:space="0" w:color="auto"/>
            </w:tcBorders>
            <w:shd w:val="clear" w:color="auto" w:fill="FFFFFF" w:themeFill="background1"/>
          </w:tcPr>
          <w:p w14:paraId="54F55410" w14:textId="40BD2E8E" w:rsidR="00C805E3" w:rsidRPr="00DE3985" w:rsidRDefault="004C3CC2" w:rsidP="00C805E3">
            <w:pPr>
              <w:pStyle w:val="TableText"/>
              <w:jc w:val="center"/>
              <w:rPr>
                <w:b/>
                <w:bCs w:val="0"/>
                <w:highlight w:val="yellow"/>
              </w:rPr>
            </w:pPr>
            <w:r w:rsidRPr="004C3CC2">
              <w:rPr>
                <w:rFonts w:hint="eastAsia"/>
                <w:b/>
                <w:bCs w:val="0"/>
                <w:color w:val="000000"/>
                <w:w w:val="33"/>
                <w:shd w:val="solid" w:color="000000" w:fill="000000"/>
                <w:fitText w:val="150" w:id="-1504953856"/>
                <w14:textFill>
                  <w14:solidFill>
                    <w14:srgbClr w14:val="000000">
                      <w14:alpha w14:val="100000"/>
                    </w14:srgbClr>
                  </w14:solidFill>
                </w14:textFill>
              </w:rPr>
              <w:t xml:space="preserve">　</w:t>
            </w:r>
            <w:r w:rsidRPr="004C3CC2">
              <w:rPr>
                <w:b/>
                <w:bCs w:val="0"/>
                <w:color w:val="000000"/>
                <w:w w:val="33"/>
                <w:shd w:val="solid" w:color="000000" w:fill="000000"/>
                <w:fitText w:val="150" w:id="-1504953856"/>
                <w14:textFill>
                  <w14:solidFill>
                    <w14:srgbClr w14:val="000000">
                      <w14:alpha w14:val="100000"/>
                    </w14:srgbClr>
                  </w14:solidFill>
                </w14:textFill>
              </w:rPr>
              <w:t>|</w:t>
            </w:r>
            <w:r w:rsidRPr="004C3CC2">
              <w:rPr>
                <w:rFonts w:hint="eastAsia"/>
                <w:b/>
                <w:bCs w:val="0"/>
                <w:color w:val="000000"/>
                <w:spacing w:val="3"/>
                <w:w w:val="33"/>
                <w:shd w:val="solid" w:color="000000" w:fill="000000"/>
                <w:fitText w:val="150" w:id="-1504953856"/>
                <w14:textFill>
                  <w14:solidFill>
                    <w14:srgbClr w14:val="000000">
                      <w14:alpha w14:val="100000"/>
                    </w14:srgbClr>
                  </w14:solidFill>
                </w14:textFill>
              </w:rPr>
              <w:t xml:space="preserve">　</w:t>
            </w:r>
            <w:r w:rsidR="00E424EC">
              <w:rPr>
                <w:vertAlign w:val="superscript"/>
              </w:rPr>
              <w:t>15</w:t>
            </w:r>
          </w:p>
        </w:tc>
        <w:tc>
          <w:tcPr>
            <w:tcW w:w="629" w:type="pct"/>
            <w:tcBorders>
              <w:top w:val="single" w:sz="4" w:space="0" w:color="auto"/>
              <w:left w:val="nil"/>
              <w:bottom w:val="single" w:sz="4" w:space="0" w:color="auto"/>
              <w:right w:val="single" w:sz="4" w:space="0" w:color="auto"/>
            </w:tcBorders>
            <w:shd w:val="clear" w:color="auto" w:fill="FFFFFF" w:themeFill="background1"/>
          </w:tcPr>
          <w:p w14:paraId="62A6DB67" w14:textId="561F98CD" w:rsidR="00C805E3" w:rsidRPr="00DE3985" w:rsidRDefault="004C3CC2" w:rsidP="00C805E3">
            <w:pPr>
              <w:pStyle w:val="TableText"/>
              <w:jc w:val="center"/>
              <w:rPr>
                <w:b/>
                <w:bCs w:val="0"/>
                <w:highlight w:val="yellow"/>
              </w:rPr>
            </w:pPr>
            <w:r w:rsidRPr="004C3CC2">
              <w:rPr>
                <w:rFonts w:hint="eastAsia"/>
                <w:b/>
                <w:bCs w:val="0"/>
                <w:color w:val="000000"/>
                <w:w w:val="33"/>
                <w:shd w:val="solid" w:color="000000" w:fill="000000"/>
                <w:fitText w:val="150" w:id="-1504953855"/>
                <w14:textFill>
                  <w14:solidFill>
                    <w14:srgbClr w14:val="000000">
                      <w14:alpha w14:val="100000"/>
                    </w14:srgbClr>
                  </w14:solidFill>
                </w14:textFill>
              </w:rPr>
              <w:t xml:space="preserve">　</w:t>
            </w:r>
            <w:r w:rsidRPr="004C3CC2">
              <w:rPr>
                <w:b/>
                <w:bCs w:val="0"/>
                <w:color w:val="000000"/>
                <w:w w:val="33"/>
                <w:shd w:val="solid" w:color="000000" w:fill="000000"/>
                <w:fitText w:val="150" w:id="-1504953855"/>
                <w14:textFill>
                  <w14:solidFill>
                    <w14:srgbClr w14:val="000000">
                      <w14:alpha w14:val="100000"/>
                    </w14:srgbClr>
                  </w14:solidFill>
                </w14:textFill>
              </w:rPr>
              <w:t>|</w:t>
            </w:r>
            <w:r w:rsidRPr="004C3CC2">
              <w:rPr>
                <w:rFonts w:hint="eastAsia"/>
                <w:b/>
                <w:bCs w:val="0"/>
                <w:color w:val="000000"/>
                <w:spacing w:val="3"/>
                <w:w w:val="33"/>
                <w:shd w:val="solid" w:color="000000" w:fill="000000"/>
                <w:fitText w:val="150" w:id="-1504953855"/>
                <w14:textFill>
                  <w14:solidFill>
                    <w14:srgbClr w14:val="000000">
                      <w14:alpha w14:val="100000"/>
                    </w14:srgbClr>
                  </w14:solidFill>
                </w14:textFill>
              </w:rPr>
              <w:t xml:space="preserve">　</w:t>
            </w:r>
            <w:r w:rsidR="00E424EC">
              <w:rPr>
                <w:vertAlign w:val="superscript"/>
              </w:rPr>
              <w:t>15</w:t>
            </w:r>
          </w:p>
        </w:tc>
        <w:tc>
          <w:tcPr>
            <w:tcW w:w="629" w:type="pct"/>
            <w:tcBorders>
              <w:top w:val="single" w:sz="4" w:space="0" w:color="auto"/>
              <w:left w:val="nil"/>
              <w:bottom w:val="single" w:sz="4" w:space="0" w:color="auto"/>
              <w:right w:val="single" w:sz="4" w:space="0" w:color="auto"/>
            </w:tcBorders>
            <w:shd w:val="clear" w:color="auto" w:fill="FFFFFF" w:themeFill="background1"/>
          </w:tcPr>
          <w:p w14:paraId="363BE658" w14:textId="749EB9A9" w:rsidR="00C805E3" w:rsidRPr="00DE3985" w:rsidRDefault="004C3CC2" w:rsidP="00C805E3">
            <w:pPr>
              <w:pStyle w:val="TableText"/>
              <w:jc w:val="center"/>
              <w:rPr>
                <w:b/>
                <w:bCs w:val="0"/>
                <w:highlight w:val="yellow"/>
              </w:rPr>
            </w:pPr>
            <w:r w:rsidRPr="004C3CC2">
              <w:rPr>
                <w:rFonts w:hint="eastAsia"/>
                <w:b/>
                <w:bCs w:val="0"/>
                <w:color w:val="000000"/>
                <w:w w:val="33"/>
                <w:shd w:val="solid" w:color="000000" w:fill="000000"/>
                <w:fitText w:val="150" w:id="-1504953600"/>
                <w14:textFill>
                  <w14:solidFill>
                    <w14:srgbClr w14:val="000000">
                      <w14:alpha w14:val="100000"/>
                    </w14:srgbClr>
                  </w14:solidFill>
                </w14:textFill>
              </w:rPr>
              <w:t xml:space="preserve">　</w:t>
            </w:r>
            <w:r w:rsidRPr="004C3CC2">
              <w:rPr>
                <w:b/>
                <w:bCs w:val="0"/>
                <w:color w:val="000000"/>
                <w:w w:val="33"/>
                <w:shd w:val="solid" w:color="000000" w:fill="000000"/>
                <w:fitText w:val="150" w:id="-1504953600"/>
                <w14:textFill>
                  <w14:solidFill>
                    <w14:srgbClr w14:val="000000">
                      <w14:alpha w14:val="100000"/>
                    </w14:srgbClr>
                  </w14:solidFill>
                </w14:textFill>
              </w:rPr>
              <w:t>|</w:t>
            </w:r>
            <w:r w:rsidRPr="004C3CC2">
              <w:rPr>
                <w:rFonts w:hint="eastAsia"/>
                <w:b/>
                <w:bCs w:val="0"/>
                <w:color w:val="000000"/>
                <w:spacing w:val="3"/>
                <w:w w:val="33"/>
                <w:shd w:val="solid" w:color="000000" w:fill="000000"/>
                <w:fitText w:val="150" w:id="-1504953600"/>
                <w14:textFill>
                  <w14:solidFill>
                    <w14:srgbClr w14:val="000000">
                      <w14:alpha w14:val="100000"/>
                    </w14:srgbClr>
                  </w14:solidFill>
                </w14:textFill>
              </w:rPr>
              <w:t xml:space="preserve">　</w:t>
            </w:r>
            <w:r w:rsidR="00E424EC">
              <w:rPr>
                <w:vertAlign w:val="superscript"/>
              </w:rPr>
              <w:t>18</w:t>
            </w:r>
          </w:p>
        </w:tc>
        <w:tc>
          <w:tcPr>
            <w:tcW w:w="629" w:type="pct"/>
            <w:tcBorders>
              <w:top w:val="single" w:sz="4" w:space="0" w:color="auto"/>
              <w:left w:val="nil"/>
              <w:bottom w:val="single" w:sz="4" w:space="0" w:color="auto"/>
              <w:right w:val="single" w:sz="4" w:space="0" w:color="auto"/>
            </w:tcBorders>
            <w:shd w:val="clear" w:color="auto" w:fill="FFFFFF" w:themeFill="background1"/>
          </w:tcPr>
          <w:p w14:paraId="33009556" w14:textId="5230A1B7" w:rsidR="00C805E3" w:rsidRPr="00DE3985" w:rsidRDefault="004C3CC2" w:rsidP="00C805E3">
            <w:pPr>
              <w:pStyle w:val="TableText"/>
              <w:jc w:val="center"/>
              <w:rPr>
                <w:b/>
                <w:bCs w:val="0"/>
                <w:highlight w:val="yellow"/>
              </w:rPr>
            </w:pPr>
            <w:r w:rsidRPr="004C3CC2">
              <w:rPr>
                <w:rFonts w:hint="eastAsia"/>
                <w:b/>
                <w:bCs w:val="0"/>
                <w:color w:val="000000"/>
                <w:w w:val="33"/>
                <w:shd w:val="solid" w:color="000000" w:fill="000000"/>
                <w:fitText w:val="150" w:id="-1504953599"/>
                <w14:textFill>
                  <w14:solidFill>
                    <w14:srgbClr w14:val="000000">
                      <w14:alpha w14:val="100000"/>
                    </w14:srgbClr>
                  </w14:solidFill>
                </w14:textFill>
              </w:rPr>
              <w:t xml:space="preserve">　</w:t>
            </w:r>
            <w:r w:rsidRPr="004C3CC2">
              <w:rPr>
                <w:b/>
                <w:bCs w:val="0"/>
                <w:color w:val="000000"/>
                <w:w w:val="33"/>
                <w:shd w:val="solid" w:color="000000" w:fill="000000"/>
                <w:fitText w:val="150" w:id="-1504953599"/>
                <w14:textFill>
                  <w14:solidFill>
                    <w14:srgbClr w14:val="000000">
                      <w14:alpha w14:val="100000"/>
                    </w14:srgbClr>
                  </w14:solidFill>
                </w14:textFill>
              </w:rPr>
              <w:t>|</w:t>
            </w:r>
            <w:r w:rsidRPr="004C3CC2">
              <w:rPr>
                <w:rFonts w:hint="eastAsia"/>
                <w:b/>
                <w:bCs w:val="0"/>
                <w:color w:val="000000"/>
                <w:spacing w:val="3"/>
                <w:w w:val="33"/>
                <w:shd w:val="solid" w:color="000000" w:fill="000000"/>
                <w:fitText w:val="150" w:id="-1504953599"/>
                <w14:textFill>
                  <w14:solidFill>
                    <w14:srgbClr w14:val="000000">
                      <w14:alpha w14:val="100000"/>
                    </w14:srgbClr>
                  </w14:solidFill>
                </w14:textFill>
              </w:rPr>
              <w:t xml:space="preserve">　</w:t>
            </w:r>
            <w:r w:rsidR="00E424EC">
              <w:rPr>
                <w:vertAlign w:val="superscript"/>
              </w:rPr>
              <w:t>18</w:t>
            </w:r>
          </w:p>
        </w:tc>
        <w:tc>
          <w:tcPr>
            <w:tcW w:w="601" w:type="pct"/>
            <w:tcBorders>
              <w:top w:val="single" w:sz="4" w:space="0" w:color="auto"/>
              <w:left w:val="nil"/>
              <w:bottom w:val="single" w:sz="4" w:space="0" w:color="auto"/>
              <w:right w:val="single" w:sz="4" w:space="0" w:color="auto"/>
            </w:tcBorders>
            <w:shd w:val="clear" w:color="auto" w:fill="FFFFFF" w:themeFill="background1"/>
          </w:tcPr>
          <w:p w14:paraId="386DD624" w14:textId="3A9B6AB3" w:rsidR="00C805E3" w:rsidRPr="00DE3985" w:rsidRDefault="004C3CC2" w:rsidP="00C805E3">
            <w:pPr>
              <w:pStyle w:val="TableText"/>
              <w:jc w:val="center"/>
              <w:rPr>
                <w:b/>
                <w:bCs w:val="0"/>
                <w:highlight w:val="yellow"/>
              </w:rPr>
            </w:pPr>
            <w:r w:rsidRPr="004C3CC2">
              <w:rPr>
                <w:b/>
                <w:bCs w:val="0"/>
                <w:color w:val="000000"/>
                <w:spacing w:val="68"/>
                <w:shd w:val="solid" w:color="000000" w:fill="000000"/>
                <w:fitText w:val="160" w:id="-1504953598"/>
                <w14:textFill>
                  <w14:solidFill>
                    <w14:srgbClr w14:val="000000">
                      <w14:alpha w14:val="100000"/>
                    </w14:srgbClr>
                  </w14:solidFill>
                </w14:textFill>
              </w:rPr>
              <w:t>|</w:t>
            </w:r>
            <w:r w:rsidRPr="004C3CC2">
              <w:rPr>
                <w:b/>
                <w:bCs w:val="0"/>
                <w:color w:val="000000"/>
                <w:spacing w:val="1"/>
                <w:shd w:val="solid" w:color="000000" w:fill="000000"/>
                <w:fitText w:val="160" w:id="-1504953598"/>
                <w14:textFill>
                  <w14:solidFill>
                    <w14:srgbClr w14:val="000000">
                      <w14:alpha w14:val="100000"/>
                    </w14:srgbClr>
                  </w14:solidFill>
                </w14:textFill>
              </w:rPr>
              <w:t>|</w:t>
            </w:r>
            <w:r w:rsidR="00E424EC">
              <w:rPr>
                <w:vertAlign w:val="superscript"/>
              </w:rPr>
              <w:t>18</w:t>
            </w:r>
          </w:p>
        </w:tc>
      </w:tr>
    </w:tbl>
    <w:p w14:paraId="69CFD0B1" w14:textId="6A2D2414" w:rsidR="004713D9" w:rsidRPr="007B6175" w:rsidRDefault="004713D9" w:rsidP="004713D9">
      <w:pPr>
        <w:pStyle w:val="TableFigureFooter"/>
      </w:pPr>
      <w:r w:rsidRPr="007B6175">
        <w:t>Source: Table 4.2.2, p154; Table 4.2.3, p156; Table 4.2.4, p157; Table</w:t>
      </w:r>
      <w:r w:rsidR="00C805E3" w:rsidRPr="007B6175">
        <w:t xml:space="preserve"> </w:t>
      </w:r>
      <w:r w:rsidRPr="007B6175">
        <w:t>4.2.5, p158; Table</w:t>
      </w:r>
      <w:r w:rsidR="00C805E3" w:rsidRPr="007B6175">
        <w:t xml:space="preserve"> </w:t>
      </w:r>
      <w:r w:rsidRPr="007B6175">
        <w:t>4.2.6, p159; Table</w:t>
      </w:r>
      <w:r w:rsidR="00C805E3" w:rsidRPr="007B6175">
        <w:t xml:space="preserve"> </w:t>
      </w:r>
      <w:r w:rsidRPr="007B6175">
        <w:t>4.2.7, pp159-160; Table 4.2.9, p161; Table 4.2.10, p161</w:t>
      </w:r>
      <w:r w:rsidR="00311D3A" w:rsidRPr="007B6175">
        <w:t>; Table 4.5.4, p164 of the resubmission.</w:t>
      </w:r>
    </w:p>
    <w:p w14:paraId="648602B8" w14:textId="1BB52EA9" w:rsidR="004713D9" w:rsidRDefault="004713D9" w:rsidP="004713D9">
      <w:pPr>
        <w:pStyle w:val="TableFigureFooter"/>
      </w:pPr>
      <w:r w:rsidRPr="007B6175">
        <w:t>Abbreviations: EM, episodic migraine</w:t>
      </w:r>
      <w:r w:rsidR="00311D3A" w:rsidRPr="007B6175">
        <w:t>; MBS, Medicare Benefits Scheme.</w:t>
      </w:r>
    </w:p>
    <w:p w14:paraId="10CBBF45" w14:textId="1457ADE3" w:rsidR="005310AB" w:rsidRDefault="009672AF" w:rsidP="004C3CC2">
      <w:pPr>
        <w:pStyle w:val="TableFigureFooter"/>
        <w:spacing w:after="0"/>
      </w:pPr>
      <w:r>
        <w:rPr>
          <w:vertAlign w:val="superscript"/>
        </w:rPr>
        <w:t>a</w:t>
      </w:r>
      <w:r w:rsidR="005310AB">
        <w:t xml:space="preserve"> Based on </w:t>
      </w:r>
      <w:r w:rsidR="00974F8B">
        <w:t xml:space="preserve">proposed </w:t>
      </w:r>
      <w:r w:rsidR="005310AB">
        <w:t>DPMQ of $</w:t>
      </w:r>
      <w:proofErr w:type="gramStart"/>
      <w:r w:rsidR="004C3CC2" w:rsidRPr="004C3CC2">
        <w:rPr>
          <w:color w:val="000000"/>
          <w:spacing w:val="37"/>
          <w:shd w:val="solid" w:color="000000" w:fill="000000"/>
          <w:fitText w:val="270" w:id="-1504953597"/>
          <w14:textFill>
            <w14:solidFill>
              <w14:srgbClr w14:val="000000">
                <w14:alpha w14:val="100000"/>
              </w14:srgbClr>
            </w14:solidFill>
          </w14:textFill>
        </w:rPr>
        <w:t xml:space="preserve">|  </w:t>
      </w:r>
      <w:r w:rsidR="004C3CC2" w:rsidRPr="004C3CC2">
        <w:rPr>
          <w:color w:val="000000"/>
          <w:spacing w:val="1"/>
          <w:shd w:val="solid" w:color="000000" w:fill="000000"/>
          <w:fitText w:val="270" w:id="-1504953597"/>
          <w14:textFill>
            <w14:solidFill>
              <w14:srgbClr w14:val="000000">
                <w14:alpha w14:val="100000"/>
              </w14:srgbClr>
            </w14:solidFill>
          </w14:textFill>
        </w:rPr>
        <w:t>|</w:t>
      </w:r>
      <w:proofErr w:type="gramEnd"/>
      <w:r w:rsidR="005310AB">
        <w:t xml:space="preserve">, PBS </w:t>
      </w:r>
      <w:proofErr w:type="spellStart"/>
      <w:r w:rsidR="005310AB">
        <w:t>copayment</w:t>
      </w:r>
      <w:proofErr w:type="spellEnd"/>
      <w:r w:rsidR="005310AB">
        <w:t xml:space="preserve"> of $28.49</w:t>
      </w:r>
      <w:r w:rsidR="00974F8B">
        <w:t xml:space="preserve">, and RPBS </w:t>
      </w:r>
      <w:proofErr w:type="spellStart"/>
      <w:r w:rsidR="00974F8B">
        <w:t>copayment</w:t>
      </w:r>
      <w:proofErr w:type="spellEnd"/>
      <w:r w:rsidR="00974F8B">
        <w:t xml:space="preserve"> of $5.19.</w:t>
      </w:r>
    </w:p>
    <w:p w14:paraId="5EFAB574" w14:textId="77777777" w:rsidR="009672AF" w:rsidRPr="009A6D58" w:rsidRDefault="009672AF" w:rsidP="009672A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31008E4" w14:textId="5B6B0BE7" w:rsidR="009672AF" w:rsidRPr="009A6D58" w:rsidRDefault="009672AF" w:rsidP="009672AF">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DE3985" w:rsidRPr="00DE3985">
        <w:rPr>
          <w:rFonts w:ascii="Arial Narrow" w:hAnsi="Arial Narrow"/>
          <w:i/>
          <w:sz w:val="18"/>
          <w:szCs w:val="18"/>
        </w:rPr>
        <w:t>&gt; 10,000,000</w:t>
      </w:r>
    </w:p>
    <w:p w14:paraId="2932064B" w14:textId="7B887808" w:rsidR="009672AF" w:rsidRPr="009A6D58" w:rsidRDefault="009672AF" w:rsidP="009672AF">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E3985" w:rsidRPr="00DE3985">
        <w:rPr>
          <w:rFonts w:ascii="Arial Narrow" w:hAnsi="Arial Narrow"/>
          <w:i/>
          <w:sz w:val="18"/>
          <w:szCs w:val="18"/>
        </w:rPr>
        <w:t>4,000,000 to &lt; 5,000,000</w:t>
      </w:r>
    </w:p>
    <w:p w14:paraId="7F28418F" w14:textId="4E7DEB7A" w:rsidR="009672AF" w:rsidRDefault="009672AF" w:rsidP="009672AF">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DE3985" w:rsidRPr="00DE3985">
        <w:rPr>
          <w:rFonts w:ascii="Arial Narrow" w:hAnsi="Arial Narrow"/>
          <w:i/>
          <w:sz w:val="18"/>
          <w:szCs w:val="18"/>
        </w:rPr>
        <w:t>800,000 to &lt; 900,000</w:t>
      </w:r>
    </w:p>
    <w:p w14:paraId="466814BE" w14:textId="6758D498" w:rsidR="009672AF" w:rsidRDefault="009672AF" w:rsidP="009672AF">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DE3985" w:rsidRPr="00DE3985">
        <w:rPr>
          <w:rFonts w:ascii="Arial Narrow" w:hAnsi="Arial Narrow"/>
          <w:i/>
          <w:sz w:val="18"/>
          <w:szCs w:val="18"/>
        </w:rPr>
        <w:t>600,000 to &lt; 700,000</w:t>
      </w:r>
    </w:p>
    <w:p w14:paraId="21F0985D" w14:textId="70A58260" w:rsidR="009672AF" w:rsidRDefault="009672AF" w:rsidP="009672AF">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DE3985" w:rsidRPr="00DE3985">
        <w:rPr>
          <w:rFonts w:ascii="Arial Narrow" w:hAnsi="Arial Narrow"/>
          <w:i/>
          <w:sz w:val="18"/>
          <w:szCs w:val="18"/>
        </w:rPr>
        <w:t>60,000 to &lt; 70,000</w:t>
      </w:r>
    </w:p>
    <w:p w14:paraId="2611EB5F" w14:textId="140F09F3" w:rsidR="009672AF" w:rsidRDefault="009672AF" w:rsidP="009672AF">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DE3985" w:rsidRPr="00DE3985">
        <w:rPr>
          <w:rFonts w:ascii="Arial Narrow" w:hAnsi="Arial Narrow"/>
          <w:i/>
          <w:sz w:val="18"/>
          <w:szCs w:val="18"/>
        </w:rPr>
        <w:t>30,000 to &lt; 40,000</w:t>
      </w:r>
    </w:p>
    <w:p w14:paraId="151EF070" w14:textId="31DCE9A2" w:rsidR="009672AF" w:rsidRPr="004C3CC2" w:rsidRDefault="00E424EC" w:rsidP="004713D9">
      <w:pPr>
        <w:pStyle w:val="TableFigureFooter"/>
        <w:rPr>
          <w:i/>
          <w:iCs/>
        </w:rPr>
      </w:pPr>
      <w:r w:rsidRPr="004C3CC2">
        <w:rPr>
          <w:i/>
          <w:iCs/>
          <w:vertAlign w:val="superscript"/>
        </w:rPr>
        <w:t>7</w:t>
      </w:r>
      <w:r w:rsidR="00DE3985" w:rsidRPr="004C3CC2">
        <w:rPr>
          <w:i/>
          <w:iCs/>
        </w:rPr>
        <w:t xml:space="preserve"> 5,000 to &lt; 10,000</w:t>
      </w:r>
    </w:p>
    <w:p w14:paraId="37D9A59C" w14:textId="665E3D47" w:rsidR="00E424EC" w:rsidRPr="004C3CC2" w:rsidRDefault="00E424EC" w:rsidP="004713D9">
      <w:pPr>
        <w:pStyle w:val="TableFigureFooter"/>
        <w:rPr>
          <w:i/>
          <w:iCs/>
        </w:rPr>
      </w:pPr>
      <w:r w:rsidRPr="004C3CC2">
        <w:rPr>
          <w:i/>
          <w:iCs/>
          <w:vertAlign w:val="superscript"/>
        </w:rPr>
        <w:t>8</w:t>
      </w:r>
      <w:r w:rsidR="00DE3985" w:rsidRPr="004C3CC2">
        <w:rPr>
          <w:i/>
          <w:iCs/>
        </w:rPr>
        <w:t xml:space="preserve"> 500 to &lt; 5,000</w:t>
      </w:r>
    </w:p>
    <w:p w14:paraId="137AD0B5" w14:textId="1FAEF858" w:rsidR="00E424EC" w:rsidRPr="004C3CC2" w:rsidRDefault="00E424EC" w:rsidP="004713D9">
      <w:pPr>
        <w:pStyle w:val="TableFigureFooter"/>
        <w:rPr>
          <w:i/>
          <w:iCs/>
        </w:rPr>
      </w:pPr>
      <w:r w:rsidRPr="004C3CC2">
        <w:rPr>
          <w:i/>
          <w:iCs/>
          <w:vertAlign w:val="superscript"/>
        </w:rPr>
        <w:t>9</w:t>
      </w:r>
      <w:r w:rsidR="00DE3985" w:rsidRPr="004C3CC2">
        <w:rPr>
          <w:i/>
          <w:iCs/>
        </w:rPr>
        <w:t xml:space="preserve"> &lt; 500</w:t>
      </w:r>
    </w:p>
    <w:p w14:paraId="325E2F14" w14:textId="7450795E" w:rsidR="00E424EC" w:rsidRPr="004C3CC2" w:rsidRDefault="00E424EC" w:rsidP="004713D9">
      <w:pPr>
        <w:pStyle w:val="TableFigureFooter"/>
        <w:rPr>
          <w:i/>
          <w:iCs/>
        </w:rPr>
      </w:pPr>
      <w:r w:rsidRPr="004C3CC2">
        <w:rPr>
          <w:i/>
          <w:iCs/>
          <w:vertAlign w:val="superscript"/>
        </w:rPr>
        <w:t>10</w:t>
      </w:r>
      <w:r w:rsidR="00DE3985" w:rsidRPr="004C3CC2">
        <w:rPr>
          <w:i/>
          <w:iCs/>
        </w:rPr>
        <w:t xml:space="preserve"> 20,000 to &lt; 30,000</w:t>
      </w:r>
    </w:p>
    <w:p w14:paraId="5BCAB1CE" w14:textId="25389610" w:rsidR="00E424EC" w:rsidRPr="004C3CC2" w:rsidRDefault="00E424EC" w:rsidP="004713D9">
      <w:pPr>
        <w:pStyle w:val="TableFigureFooter"/>
        <w:rPr>
          <w:i/>
          <w:iCs/>
        </w:rPr>
      </w:pPr>
      <w:r w:rsidRPr="004C3CC2">
        <w:rPr>
          <w:i/>
          <w:iCs/>
          <w:vertAlign w:val="superscript"/>
        </w:rPr>
        <w:t>11</w:t>
      </w:r>
      <w:r w:rsidR="00DE3985" w:rsidRPr="004C3CC2">
        <w:rPr>
          <w:i/>
          <w:iCs/>
        </w:rPr>
        <w:t xml:space="preserve"> $10 million to &lt; $20 million</w:t>
      </w:r>
    </w:p>
    <w:p w14:paraId="672F261E" w14:textId="74B9DF90" w:rsidR="00E424EC" w:rsidRPr="004C3CC2" w:rsidRDefault="00E424EC" w:rsidP="004713D9">
      <w:pPr>
        <w:pStyle w:val="TableFigureFooter"/>
        <w:rPr>
          <w:i/>
          <w:iCs/>
        </w:rPr>
      </w:pPr>
      <w:r w:rsidRPr="004C3CC2">
        <w:rPr>
          <w:i/>
          <w:iCs/>
          <w:vertAlign w:val="superscript"/>
        </w:rPr>
        <w:t>12</w:t>
      </w:r>
      <w:r w:rsidR="00DE3985" w:rsidRPr="004C3CC2">
        <w:rPr>
          <w:i/>
          <w:iCs/>
        </w:rPr>
        <w:t xml:space="preserve"> $0 to &lt; $10 million</w:t>
      </w:r>
    </w:p>
    <w:p w14:paraId="302E6211" w14:textId="60AD00C5" w:rsidR="00E424EC" w:rsidRPr="004C3CC2" w:rsidRDefault="00E424EC" w:rsidP="004713D9">
      <w:pPr>
        <w:pStyle w:val="TableFigureFooter"/>
        <w:rPr>
          <w:i/>
          <w:iCs/>
        </w:rPr>
      </w:pPr>
      <w:r w:rsidRPr="004C3CC2">
        <w:rPr>
          <w:i/>
          <w:iCs/>
          <w:vertAlign w:val="superscript"/>
        </w:rPr>
        <w:t>13</w:t>
      </w:r>
      <w:r w:rsidR="00DE3985" w:rsidRPr="004C3CC2">
        <w:rPr>
          <w:i/>
          <w:iCs/>
        </w:rPr>
        <w:t xml:space="preserve"> 10,000 to &lt; 20,000</w:t>
      </w:r>
    </w:p>
    <w:p w14:paraId="6BD41BEF" w14:textId="5E16E83A" w:rsidR="00E424EC" w:rsidRPr="004C3CC2" w:rsidRDefault="00E424EC" w:rsidP="004713D9">
      <w:pPr>
        <w:pStyle w:val="TableFigureFooter"/>
        <w:rPr>
          <w:i/>
          <w:iCs/>
        </w:rPr>
      </w:pPr>
      <w:r w:rsidRPr="004C3CC2">
        <w:rPr>
          <w:i/>
          <w:iCs/>
          <w:vertAlign w:val="superscript"/>
        </w:rPr>
        <w:t>14</w:t>
      </w:r>
      <w:r w:rsidR="00DE3985" w:rsidRPr="004C3CC2">
        <w:rPr>
          <w:i/>
          <w:iCs/>
        </w:rPr>
        <w:t xml:space="preserve"> 50,000 to &lt; 60,000</w:t>
      </w:r>
    </w:p>
    <w:p w14:paraId="25E0B6A4" w14:textId="77777777" w:rsidR="00DE3985" w:rsidRPr="004C3CC2" w:rsidRDefault="00E424EC" w:rsidP="004713D9">
      <w:pPr>
        <w:pStyle w:val="TableFigureFooter"/>
        <w:rPr>
          <w:i/>
          <w:iCs/>
        </w:rPr>
      </w:pPr>
      <w:r w:rsidRPr="004C3CC2">
        <w:rPr>
          <w:i/>
          <w:iCs/>
          <w:vertAlign w:val="superscript"/>
        </w:rPr>
        <w:t>15</w:t>
      </w:r>
      <w:r w:rsidR="00DE3985" w:rsidRPr="004C3CC2">
        <w:rPr>
          <w:i/>
          <w:iCs/>
        </w:rPr>
        <w:t xml:space="preserve"> $20 million to &lt; $30 million </w:t>
      </w:r>
    </w:p>
    <w:p w14:paraId="7077B720" w14:textId="4F8FAD0F" w:rsidR="00E424EC" w:rsidRPr="004C3CC2" w:rsidRDefault="00E424EC" w:rsidP="004713D9">
      <w:pPr>
        <w:pStyle w:val="TableFigureFooter"/>
        <w:rPr>
          <w:i/>
          <w:iCs/>
        </w:rPr>
      </w:pPr>
      <w:r w:rsidRPr="004C3CC2">
        <w:rPr>
          <w:i/>
          <w:iCs/>
          <w:vertAlign w:val="superscript"/>
        </w:rPr>
        <w:t>16</w:t>
      </w:r>
      <w:r w:rsidR="00DE3985" w:rsidRPr="004C3CC2">
        <w:rPr>
          <w:i/>
          <w:iCs/>
        </w:rPr>
        <w:t xml:space="preserve"> 70,000 to &lt; 80,000</w:t>
      </w:r>
    </w:p>
    <w:p w14:paraId="3BBD5061" w14:textId="76767FC7" w:rsidR="00E424EC" w:rsidRPr="004C3CC2" w:rsidRDefault="00E424EC" w:rsidP="004713D9">
      <w:pPr>
        <w:pStyle w:val="TableFigureFooter"/>
        <w:rPr>
          <w:i/>
          <w:iCs/>
        </w:rPr>
      </w:pPr>
      <w:r w:rsidRPr="004C3CC2">
        <w:rPr>
          <w:i/>
          <w:iCs/>
          <w:vertAlign w:val="superscript"/>
        </w:rPr>
        <w:t>17</w:t>
      </w:r>
      <w:r w:rsidR="00DE3985" w:rsidRPr="004C3CC2">
        <w:rPr>
          <w:i/>
          <w:iCs/>
        </w:rPr>
        <w:t xml:space="preserve"> 80,000 to &lt; 90,000</w:t>
      </w:r>
    </w:p>
    <w:p w14:paraId="1ACA30CD" w14:textId="71E87861" w:rsidR="00E424EC" w:rsidRPr="004C3CC2" w:rsidRDefault="00E424EC" w:rsidP="004713D9">
      <w:pPr>
        <w:pStyle w:val="TableFigureFooter"/>
        <w:rPr>
          <w:i/>
          <w:iCs/>
        </w:rPr>
      </w:pPr>
      <w:r w:rsidRPr="004C3CC2">
        <w:rPr>
          <w:i/>
          <w:iCs/>
          <w:vertAlign w:val="superscript"/>
        </w:rPr>
        <w:t>18</w:t>
      </w:r>
      <w:r w:rsidR="00DE3985" w:rsidRPr="004C3CC2">
        <w:rPr>
          <w:i/>
          <w:iCs/>
        </w:rPr>
        <w:t xml:space="preserve"> $30 million to &lt; $40 million</w:t>
      </w:r>
    </w:p>
    <w:p w14:paraId="3BBEED1E" w14:textId="09C2993E" w:rsidR="00E424EC" w:rsidRPr="004C3CC2" w:rsidRDefault="00E424EC" w:rsidP="004713D9">
      <w:pPr>
        <w:pStyle w:val="TableFigureFooter"/>
        <w:rPr>
          <w:i/>
          <w:iCs/>
        </w:rPr>
      </w:pPr>
      <w:r w:rsidRPr="004C3CC2">
        <w:rPr>
          <w:i/>
          <w:iCs/>
          <w:vertAlign w:val="superscript"/>
        </w:rPr>
        <w:t>19</w:t>
      </w:r>
      <w:r w:rsidR="00DE3985" w:rsidRPr="004C3CC2">
        <w:rPr>
          <w:i/>
          <w:iCs/>
        </w:rPr>
        <w:t xml:space="preserve"> 90,000 to &lt; 100,000</w:t>
      </w:r>
    </w:p>
    <w:p w14:paraId="2186B147" w14:textId="15EBCA0A" w:rsidR="00E424EC" w:rsidRPr="004C3CC2" w:rsidRDefault="00E424EC" w:rsidP="004713D9">
      <w:pPr>
        <w:pStyle w:val="TableFigureFooter"/>
        <w:rPr>
          <w:i/>
          <w:iCs/>
        </w:rPr>
      </w:pPr>
      <w:r w:rsidRPr="004C3CC2">
        <w:rPr>
          <w:i/>
          <w:iCs/>
          <w:vertAlign w:val="superscript"/>
        </w:rPr>
        <w:t>20</w:t>
      </w:r>
      <w:r w:rsidR="00DE3985" w:rsidRPr="004C3CC2">
        <w:rPr>
          <w:i/>
          <w:iCs/>
        </w:rPr>
        <w:t xml:space="preserve"> 5,000,000 to &lt; 6,000,000</w:t>
      </w:r>
    </w:p>
    <w:p w14:paraId="781537FB" w14:textId="5BD20389" w:rsidR="00E424EC" w:rsidRPr="004C3CC2" w:rsidRDefault="00E424EC" w:rsidP="004713D9">
      <w:pPr>
        <w:pStyle w:val="TableFigureFooter"/>
        <w:rPr>
          <w:i/>
          <w:iCs/>
        </w:rPr>
      </w:pPr>
      <w:r w:rsidRPr="004C3CC2">
        <w:rPr>
          <w:i/>
          <w:iCs/>
          <w:vertAlign w:val="superscript"/>
        </w:rPr>
        <w:t>21</w:t>
      </w:r>
      <w:r w:rsidR="00DE3985" w:rsidRPr="004C3CC2">
        <w:rPr>
          <w:i/>
          <w:iCs/>
        </w:rPr>
        <w:t xml:space="preserve"> 900,000 to &lt; 1,000,000</w:t>
      </w:r>
    </w:p>
    <w:p w14:paraId="6E0E4946" w14:textId="5D9C130D" w:rsidR="00E424EC" w:rsidRPr="004C3CC2" w:rsidRDefault="00E424EC" w:rsidP="004713D9">
      <w:pPr>
        <w:pStyle w:val="TableFigureFooter"/>
        <w:rPr>
          <w:i/>
          <w:iCs/>
        </w:rPr>
      </w:pPr>
      <w:r w:rsidRPr="004C3CC2">
        <w:rPr>
          <w:i/>
          <w:iCs/>
          <w:vertAlign w:val="superscript"/>
        </w:rPr>
        <w:t>22</w:t>
      </w:r>
      <w:r w:rsidR="00DE3985" w:rsidRPr="004C3CC2">
        <w:rPr>
          <w:i/>
          <w:iCs/>
        </w:rPr>
        <w:t xml:space="preserve"> 100,000 to &lt; 200,000</w:t>
      </w:r>
    </w:p>
    <w:p w14:paraId="79EE3485" w14:textId="03921E59" w:rsidR="00311D3A" w:rsidRPr="007B6175" w:rsidRDefault="00311D3A" w:rsidP="00340E3E">
      <w:pPr>
        <w:pStyle w:val="ExecSumBodyText"/>
      </w:pPr>
      <w:bookmarkStart w:id="51" w:name="_Hlk90305641"/>
      <w:r w:rsidRPr="007B6175">
        <w:t xml:space="preserve">The estimated net cost of listing </w:t>
      </w:r>
      <w:proofErr w:type="spellStart"/>
      <w:r w:rsidRPr="007B6175">
        <w:t>galcanezumab</w:t>
      </w:r>
      <w:proofErr w:type="spellEnd"/>
      <w:r w:rsidRPr="007B6175">
        <w:t xml:space="preserve"> on the PBS/RPBS for high frequency episodic migraine was </w:t>
      </w:r>
      <w:bookmarkStart w:id="52" w:name="_Hlk103259219"/>
      <w:r w:rsidR="00DE3985" w:rsidRPr="00DE3985">
        <w:t>$10 million to &lt; $20 million</w:t>
      </w:r>
      <w:bookmarkEnd w:id="52"/>
      <w:r w:rsidR="00DE3985" w:rsidRPr="00DE3985" w:rsidDel="00DE3985">
        <w:t xml:space="preserve"> </w:t>
      </w:r>
      <w:r w:rsidRPr="007B6175">
        <w:t xml:space="preserve">in Year 1, increasing to </w:t>
      </w:r>
      <w:bookmarkStart w:id="53" w:name="_Hlk103259380"/>
      <w:r w:rsidR="00DE3985" w:rsidRPr="00DE3985">
        <w:t>$30 million to &lt; $40 million</w:t>
      </w:r>
      <w:bookmarkEnd w:id="53"/>
      <w:r w:rsidR="00DE3985" w:rsidRPr="00DE3985" w:rsidDel="00DE3985">
        <w:t xml:space="preserve"> </w:t>
      </w:r>
      <w:r w:rsidRPr="007B6175">
        <w:t xml:space="preserve">in Year 6 of listing, an estimated net cost of </w:t>
      </w:r>
      <w:r w:rsidR="001111CE" w:rsidRPr="001111CE">
        <w:t>$100 million to &lt; $200 million</w:t>
      </w:r>
      <w:r w:rsidR="001111CE" w:rsidRPr="001111CE" w:rsidDel="001111CE">
        <w:t xml:space="preserve"> </w:t>
      </w:r>
      <w:r w:rsidRPr="007B6175">
        <w:t xml:space="preserve">over the first six years of listing. </w:t>
      </w:r>
    </w:p>
    <w:p w14:paraId="1FB44020" w14:textId="17A5FB0C" w:rsidR="00BD3AC8" w:rsidRPr="00746551" w:rsidRDefault="00311D3A" w:rsidP="00340E3E">
      <w:pPr>
        <w:pStyle w:val="ExecSumBodyText"/>
      </w:pPr>
      <w:r w:rsidRPr="007B6175">
        <w:t xml:space="preserve">The resubmission estimated a total net cost to the health budget of </w:t>
      </w:r>
      <w:r w:rsidR="001111CE" w:rsidRPr="00DE3985">
        <w:t>$10 million to &lt; $20 million</w:t>
      </w:r>
      <w:r w:rsidR="001111CE" w:rsidRPr="007B6175" w:rsidDel="001111CE">
        <w:t xml:space="preserve"> </w:t>
      </w:r>
      <w:r w:rsidRPr="007B6175">
        <w:t xml:space="preserve">in Year 1, increasing </w:t>
      </w:r>
      <w:bookmarkEnd w:id="51"/>
      <w:r w:rsidRPr="007B6175">
        <w:t xml:space="preserve">to </w:t>
      </w:r>
      <w:r w:rsidR="001111CE" w:rsidRPr="00DE3985">
        <w:t>$30 million to &lt; $40 million</w:t>
      </w:r>
      <w:r w:rsidR="001111CE" w:rsidRPr="00DE3985" w:rsidDel="00DE3985">
        <w:t xml:space="preserve"> </w:t>
      </w:r>
      <w:r w:rsidRPr="007B6175">
        <w:t xml:space="preserve">in Year 6, an estimated net cost of </w:t>
      </w:r>
      <w:r w:rsidR="001111CE" w:rsidRPr="001111CE">
        <w:t>$100 million to &lt; $200 million</w:t>
      </w:r>
      <w:r w:rsidR="001111CE" w:rsidRPr="001111CE" w:rsidDel="001111CE">
        <w:t xml:space="preserve"> </w:t>
      </w:r>
      <w:r w:rsidRPr="007B6175">
        <w:t xml:space="preserve">over the first six years of listing. </w:t>
      </w:r>
      <w:r w:rsidRPr="00B663F3">
        <w:rPr>
          <w:iCs/>
        </w:rPr>
        <w:t xml:space="preserve">The November 2020 submission (based on a broader requested patient population) estimated a net cost </w:t>
      </w:r>
      <w:r w:rsidR="00BD3AC8" w:rsidRPr="00B663F3">
        <w:rPr>
          <w:iCs/>
        </w:rPr>
        <w:t xml:space="preserve">to the health budget </w:t>
      </w:r>
      <w:r w:rsidRPr="00B663F3">
        <w:rPr>
          <w:iCs/>
        </w:rPr>
        <w:t xml:space="preserve">of </w:t>
      </w:r>
      <w:r w:rsidR="001111CE" w:rsidRPr="001111CE">
        <w:rPr>
          <w:iCs/>
        </w:rPr>
        <w:t>$400 million to &lt; $500 million</w:t>
      </w:r>
      <w:r w:rsidR="001111CE" w:rsidRPr="001111CE" w:rsidDel="001111CE">
        <w:rPr>
          <w:iCs/>
        </w:rPr>
        <w:t xml:space="preserve"> </w:t>
      </w:r>
      <w:r w:rsidRPr="00B663F3">
        <w:rPr>
          <w:iCs/>
        </w:rPr>
        <w:t>over the first six years of listing.</w:t>
      </w:r>
    </w:p>
    <w:p w14:paraId="599EC49B" w14:textId="393BF60C" w:rsidR="00746551" w:rsidRPr="00B663F3" w:rsidRDefault="00746551" w:rsidP="005E6E94">
      <w:pPr>
        <w:pStyle w:val="ExecSumBodyText"/>
      </w:pPr>
      <w:r w:rsidRPr="00B663F3">
        <w:t>Some patients who achieve less than a 50% reduction in migraine headache days may continue treatment (i.e., outside of the proposed restriction) if a clinically meaningful reduction in migraine headache days has been achieved.</w:t>
      </w:r>
    </w:p>
    <w:p w14:paraId="1E311A93" w14:textId="26CDE287" w:rsidR="00CD1242" w:rsidRPr="00962E43" w:rsidRDefault="00746551" w:rsidP="000538CD">
      <w:pPr>
        <w:pStyle w:val="ExecSumBodyText"/>
      </w:pPr>
      <w:bookmarkStart w:id="54" w:name="_Ref98754272"/>
      <w:r w:rsidRPr="00B663F3">
        <w:t xml:space="preserve">The resubmission inappropriately added the grandfathered patients to the epidemiological estimates. </w:t>
      </w:r>
      <w:r w:rsidR="00297643" w:rsidRPr="000538CD">
        <w:t>The</w:t>
      </w:r>
      <w:r w:rsidR="00297643" w:rsidRPr="00546934">
        <w:rPr>
          <w:i/>
        </w:rPr>
        <w:t xml:space="preserve"> </w:t>
      </w:r>
      <w:r w:rsidR="00297643" w:rsidRPr="00962E43">
        <w:t>evaluation considered</w:t>
      </w:r>
      <w:r w:rsidR="00297643">
        <w:t xml:space="preserve"> t</w:t>
      </w:r>
      <w:r w:rsidRPr="00B663F3">
        <w:t>hese patients would already be captured in the resubmission’s estimates of prevalent patients.</w:t>
      </w:r>
      <w:r w:rsidR="00CD1242" w:rsidRPr="00CD1242">
        <w:t xml:space="preserve"> </w:t>
      </w:r>
      <w:r w:rsidR="00CD1242" w:rsidRPr="00962E43">
        <w:t xml:space="preserve">The PSCR stated grandfathered patients within the financial estimates represent the number of patients that are continuing treatment only and are not added to the initiation eligible patient pool. The PSCR stated the consideration of grandfathered continuation patients to the financial estimates correctly determines the net financial impact of all patients continuing treatment with </w:t>
      </w:r>
      <w:proofErr w:type="spellStart"/>
      <w:r w:rsidR="00CD1242" w:rsidRPr="00962E43">
        <w:t>galcanezumab</w:t>
      </w:r>
      <w:proofErr w:type="spellEnd"/>
      <w:r w:rsidR="00CD1242" w:rsidRPr="00962E43">
        <w:t>.</w:t>
      </w:r>
      <w:r w:rsidR="00297413" w:rsidRPr="00962E43">
        <w:t xml:space="preserve"> </w:t>
      </w:r>
      <w:r w:rsidR="00297643" w:rsidRPr="00962E43">
        <w:t xml:space="preserve">The </w:t>
      </w:r>
      <w:r w:rsidR="001D0E12" w:rsidRPr="00962E43">
        <w:t>ESC agreed with the</w:t>
      </w:r>
      <w:r w:rsidR="00297643" w:rsidRPr="00962E43">
        <w:t xml:space="preserve"> evaluation</w:t>
      </w:r>
      <w:r w:rsidR="001D0E12" w:rsidRPr="00962E43">
        <w:t xml:space="preserve"> that a</w:t>
      </w:r>
      <w:r w:rsidR="00297413" w:rsidRPr="00962E43">
        <w:t>s advised in the ‘</w:t>
      </w:r>
      <w:hyperlink r:id="rId10" w:anchor="content" w:history="1">
        <w:r w:rsidR="00297413" w:rsidRPr="00962E43">
          <w:rPr>
            <w:rStyle w:val="Hyperlink"/>
          </w:rPr>
          <w:t>User Manual and Cost Model Workbook’</w:t>
        </w:r>
      </w:hyperlink>
      <w:r w:rsidR="00297413" w:rsidRPr="00962E43">
        <w:t xml:space="preserve"> version 1.4 page 21, it would be expected that grandfathered patients, including those continuing on treatment, would be already captured in estimates for prevalent patients. </w:t>
      </w:r>
      <w:r w:rsidR="00B3015E">
        <w:t xml:space="preserve">The PBAC </w:t>
      </w:r>
      <w:r w:rsidR="00AB2ABF">
        <w:t xml:space="preserve">advised that </w:t>
      </w:r>
      <w:r w:rsidR="00B3015E">
        <w:t>separate consideration of grandfathered patients was not appropriate.</w:t>
      </w:r>
      <w:bookmarkEnd w:id="54"/>
      <w:r w:rsidR="00B3015E">
        <w:t xml:space="preserve"> </w:t>
      </w:r>
    </w:p>
    <w:p w14:paraId="3BAAE5FD" w14:textId="559CC0AB" w:rsidR="00297643" w:rsidRPr="00962E43" w:rsidRDefault="00297643" w:rsidP="00570D1A">
      <w:pPr>
        <w:pStyle w:val="ExecSumBodyText"/>
      </w:pPr>
      <w:bookmarkStart w:id="55" w:name="_Ref98328799"/>
      <w:bookmarkStart w:id="56" w:name="_Ref99032508"/>
      <w:bookmarkStart w:id="57" w:name="_Ref93420115"/>
      <w:r w:rsidRPr="00297643">
        <w:t xml:space="preserve">The </w:t>
      </w:r>
      <w:r>
        <w:t xml:space="preserve">resubmission </w:t>
      </w:r>
      <w:r w:rsidRPr="00297643">
        <w:t xml:space="preserve">estimated </w:t>
      </w:r>
      <w:r>
        <w:t xml:space="preserve">a </w:t>
      </w:r>
      <w:r w:rsidRPr="00297643">
        <w:t>migraine prevalence of 22.8%</w:t>
      </w:r>
      <w:r>
        <w:t xml:space="preserve">, </w:t>
      </w:r>
      <w:r w:rsidRPr="00297643">
        <w:t xml:space="preserve">based on the prevalence reported in the Global Burden of Disease study, which has subsequently been updated. Updated prevalence estimates for the Global Burden of Disease Study now suggest a lower Australian migraine prevalence (14.86%; 2019 all-ages estimate), which is more consistent with the 2019 GBD global estimate of 15.16% and the Stark et al. (2007) estimate of 14.5% included in the 2020 </w:t>
      </w:r>
      <w:proofErr w:type="spellStart"/>
      <w:r w:rsidRPr="00297643">
        <w:t>galcanezumab</w:t>
      </w:r>
      <w:proofErr w:type="spellEnd"/>
      <w:r w:rsidRPr="00297643">
        <w:t xml:space="preserve"> episodic migraine submission. </w:t>
      </w:r>
      <w:r w:rsidRPr="00962E43">
        <w:t xml:space="preserve">The </w:t>
      </w:r>
      <w:r w:rsidR="00B3015E">
        <w:t xml:space="preserve">PBAC agreed with the </w:t>
      </w:r>
      <w:r w:rsidRPr="00962E43">
        <w:t xml:space="preserve">ESC </w:t>
      </w:r>
      <w:r w:rsidR="00B3015E">
        <w:t xml:space="preserve">that </w:t>
      </w:r>
      <w:r w:rsidRPr="00962E43">
        <w:t>a migraine prevalence as reported in the Stark publication w</w:t>
      </w:r>
      <w:r w:rsidR="00B3015E">
        <w:t xml:space="preserve">ould be </w:t>
      </w:r>
      <w:r w:rsidRPr="00962E43">
        <w:t>appropriate, consistent with previous considerations of migraine.</w:t>
      </w:r>
      <w:bookmarkEnd w:id="55"/>
      <w:r w:rsidRPr="00962E43">
        <w:t xml:space="preserve"> </w:t>
      </w:r>
      <w:r w:rsidR="00AB2ABF">
        <w:t>The PBAC also considered it was appropriate to assume 90% of patients with migraine had episodic migraine for consistency with previous considerations.</w:t>
      </w:r>
      <w:bookmarkEnd w:id="56"/>
      <w:r w:rsidR="00AB2ABF">
        <w:t xml:space="preserve"> </w:t>
      </w:r>
    </w:p>
    <w:p w14:paraId="2B32588A" w14:textId="39FA2DF5" w:rsidR="00BD3AC8" w:rsidRPr="00B663F3" w:rsidRDefault="00BD3AC8" w:rsidP="001A48E1">
      <w:pPr>
        <w:pStyle w:val="ExecSumBodyText"/>
      </w:pPr>
      <w:bookmarkStart w:id="58" w:name="_Ref96347091"/>
      <w:r w:rsidRPr="00B663F3">
        <w:t xml:space="preserve">The </w:t>
      </w:r>
      <w:r w:rsidR="004A7E9E" w:rsidRPr="00962E43">
        <w:t>ESC considered</w:t>
      </w:r>
      <w:r w:rsidR="004A7E9E">
        <w:t xml:space="preserve"> the </w:t>
      </w:r>
      <w:r w:rsidRPr="00B663F3">
        <w:t xml:space="preserve">resubmission’s </w:t>
      </w:r>
      <w:r w:rsidR="00A709C3">
        <w:t xml:space="preserve">financial </w:t>
      </w:r>
      <w:r w:rsidRPr="00B663F3">
        <w:t xml:space="preserve">estimates were highly uncertain </w:t>
      </w:r>
      <w:r w:rsidR="00A709C3">
        <w:t xml:space="preserve">for the reasons outlined in </w:t>
      </w:r>
      <w:r w:rsidR="005F51F4">
        <w:fldChar w:fldCharType="begin"/>
      </w:r>
      <w:r w:rsidR="005F51F4">
        <w:instrText xml:space="preserve"> REF _Ref99102274 \h </w:instrText>
      </w:r>
      <w:r w:rsidR="005F51F4">
        <w:fldChar w:fldCharType="separate"/>
      </w:r>
      <w:r w:rsidR="00046698" w:rsidRPr="007B6175">
        <w:t xml:space="preserve">Table </w:t>
      </w:r>
      <w:r w:rsidR="00046698">
        <w:rPr>
          <w:noProof/>
        </w:rPr>
        <w:t>16</w:t>
      </w:r>
      <w:r w:rsidR="005F51F4">
        <w:fldChar w:fldCharType="end"/>
      </w:r>
      <w:r w:rsidR="00A709C3">
        <w:t>.</w:t>
      </w:r>
      <w:bookmarkEnd w:id="57"/>
      <w:bookmarkEnd w:id="58"/>
    </w:p>
    <w:p w14:paraId="6E82DF55" w14:textId="0C625966" w:rsidR="00760C26" w:rsidRDefault="00D11D50" w:rsidP="00340E3E">
      <w:pPr>
        <w:pStyle w:val="ExecSumBodyText"/>
      </w:pPr>
      <w:r>
        <w:t xml:space="preserve">The PBAC considered that with some amendments </w:t>
      </w:r>
      <w:r w:rsidR="00A709C3">
        <w:t>(as outlined in paragraph</w:t>
      </w:r>
      <w:r>
        <w:t xml:space="preserve"> </w:t>
      </w:r>
      <w:r>
        <w:fldChar w:fldCharType="begin"/>
      </w:r>
      <w:r>
        <w:instrText xml:space="preserve"> REF _Ref99032508 \r \h </w:instrText>
      </w:r>
      <w:r>
        <w:fldChar w:fldCharType="separate"/>
      </w:r>
      <w:r w:rsidR="00046698">
        <w:t>6.64</w:t>
      </w:r>
      <w:r>
        <w:fldChar w:fldCharType="end"/>
      </w:r>
      <w:r>
        <w:t xml:space="preserve">), the </w:t>
      </w:r>
      <w:r w:rsidR="00A709C3">
        <w:t xml:space="preserve">estimated </w:t>
      </w:r>
      <w:r>
        <w:t xml:space="preserve">number of patients with high frequency episodic migraine was reasonable. </w:t>
      </w:r>
      <w:r w:rsidR="00760C26">
        <w:t xml:space="preserve">The PBAC </w:t>
      </w:r>
      <w:r>
        <w:t xml:space="preserve">considered </w:t>
      </w:r>
      <w:r w:rsidR="00760C26">
        <w:t>that</w:t>
      </w:r>
      <w:r w:rsidR="00071398">
        <w:t xml:space="preserve"> only a small proportion of patients with </w:t>
      </w:r>
      <w:r w:rsidR="00A709C3">
        <w:t xml:space="preserve">high frequency </w:t>
      </w:r>
      <w:r w:rsidR="00071398">
        <w:t xml:space="preserve">episodic migraine would be eligible for treatment with </w:t>
      </w:r>
      <w:proofErr w:type="spellStart"/>
      <w:r w:rsidR="00071398">
        <w:t>galcanezumab</w:t>
      </w:r>
      <w:proofErr w:type="spellEnd"/>
      <w:r w:rsidR="00071398">
        <w:t xml:space="preserve"> and </w:t>
      </w:r>
      <w:r w:rsidR="00760C26">
        <w:t>overall,</w:t>
      </w:r>
      <w:r w:rsidR="00B3015E">
        <w:t xml:space="preserve"> </w:t>
      </w:r>
      <w:r w:rsidR="00760C26">
        <w:t xml:space="preserve">the </w:t>
      </w:r>
      <w:r w:rsidR="00A709C3">
        <w:t xml:space="preserve">approach to </w:t>
      </w:r>
      <w:r w:rsidR="00760C26">
        <w:t>estima</w:t>
      </w:r>
      <w:r w:rsidR="00A709C3">
        <w:t xml:space="preserve">ting the </w:t>
      </w:r>
      <w:r>
        <w:t xml:space="preserve">proportion </w:t>
      </w:r>
      <w:r w:rsidR="00760C26">
        <w:t>of patients</w:t>
      </w:r>
      <w:r w:rsidR="00A709C3">
        <w:t xml:space="preserve"> that </w:t>
      </w:r>
      <w:proofErr w:type="gramStart"/>
      <w:r w:rsidR="00A709C3">
        <w:t>would</w:t>
      </w:r>
      <w:proofErr w:type="gramEnd"/>
      <w:r w:rsidR="00A709C3">
        <w:t xml:space="preserve"> eligible for treatment </w:t>
      </w:r>
      <w:r>
        <w:t xml:space="preserve">in the resubmission </w:t>
      </w:r>
      <w:r w:rsidR="00071398">
        <w:t xml:space="preserve">was </w:t>
      </w:r>
      <w:r w:rsidR="00760C26">
        <w:t>reasonable.</w:t>
      </w:r>
    </w:p>
    <w:p w14:paraId="46C4F4A1" w14:textId="77777777" w:rsidR="00760C26" w:rsidRPr="007B6175" w:rsidRDefault="00760C26" w:rsidP="00760C26">
      <w:pPr>
        <w:pStyle w:val="3-SubsectionHeading"/>
      </w:pPr>
      <w:r w:rsidRPr="007B6175">
        <w:t>Quality Use of Medicines</w:t>
      </w:r>
    </w:p>
    <w:p w14:paraId="38BD0AEF" w14:textId="513EBA6E" w:rsidR="00576972" w:rsidRPr="007B6175" w:rsidRDefault="00BD3AC8" w:rsidP="00340E3E">
      <w:pPr>
        <w:pStyle w:val="ExecSumBodyText"/>
      </w:pPr>
      <w:r w:rsidRPr="007B6175">
        <w:t>The resubmission listed the following planned activities to support the quality use of medicines: routine pharmacovigilance activities, online medical education modules, scientific meetings, and the development of additional educational activities for clinicians.</w:t>
      </w:r>
    </w:p>
    <w:p w14:paraId="6015A395" w14:textId="74C307AA" w:rsidR="00576972" w:rsidRPr="007B6175" w:rsidRDefault="00576972" w:rsidP="00606FBA">
      <w:pPr>
        <w:pStyle w:val="3-SubsectionHeading"/>
      </w:pPr>
      <w:bookmarkStart w:id="59" w:name="_Toc22897649"/>
      <w:bookmarkStart w:id="60" w:name="_Toc93419748"/>
      <w:bookmarkStart w:id="61" w:name="_Toc93484682"/>
      <w:r w:rsidRPr="007B6175">
        <w:t>Financial Management – Risk Sharing Arrangements</w:t>
      </w:r>
      <w:bookmarkEnd w:id="59"/>
      <w:bookmarkEnd w:id="60"/>
      <w:bookmarkEnd w:id="61"/>
    </w:p>
    <w:p w14:paraId="0890231D" w14:textId="6523E823" w:rsidR="00265DF0" w:rsidRPr="007B6175" w:rsidRDefault="00B813E5" w:rsidP="00340E3E">
      <w:pPr>
        <w:pStyle w:val="ExecSumBodyText"/>
      </w:pPr>
      <w:r w:rsidRPr="007B6175">
        <w:t xml:space="preserve">The sponsor proposed a risk-sharing arrangement </w:t>
      </w:r>
      <w:r w:rsidR="004527D8" w:rsidRPr="007B6175">
        <w:t xml:space="preserve">(RSA) </w:t>
      </w:r>
      <w:r w:rsidRPr="007B6175">
        <w:t>consisting of an overall CGRP inhibitor cap for patients with treatment-resistant migraine (i.e., patients with high frequency episodic migraine and chronic migraine). The resubmission stated that a separate high-frequency episodic migraine cap (in addition to the current chronic migraine RSA cap) could also be considered.</w:t>
      </w:r>
    </w:p>
    <w:p w14:paraId="2D8D7D07" w14:textId="1BE46AF0" w:rsidR="007926B9" w:rsidRPr="00D74A88" w:rsidRDefault="002D4B99" w:rsidP="00340E3E">
      <w:pPr>
        <w:pStyle w:val="ExecSumBodyText"/>
        <w:rPr>
          <w:i/>
        </w:rPr>
      </w:pPr>
      <w:r w:rsidRPr="002D4B99">
        <w:t xml:space="preserve">The high frequency episodic migraine Tier 1 cap was derived based on the submission’s ‘maximum eligible population’ scenario, with </w:t>
      </w:r>
      <w:proofErr w:type="spellStart"/>
      <w:r w:rsidRPr="002D4B99">
        <w:t>galcanezumab</w:t>
      </w:r>
      <w:proofErr w:type="spellEnd"/>
      <w:r w:rsidRPr="002D4B99">
        <w:t xml:space="preserve"> uptake rates of </w:t>
      </w:r>
      <w:proofErr w:type="gramStart"/>
      <w:r w:rsidR="004C3CC2" w:rsidRPr="00046698">
        <w:rPr>
          <w:color w:val="000000"/>
          <w:w w:val="15"/>
          <w:shd w:val="solid" w:color="000000" w:fill="000000"/>
          <w:fitText w:val="-20" w:id="-1504953596"/>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3596"/>
          <w14:textFill>
            <w14:solidFill>
              <w14:srgbClr w14:val="000000">
                <w14:alpha w14:val="100000"/>
              </w14:srgbClr>
            </w14:solidFill>
          </w14:textFill>
        </w:rPr>
        <w:t>|</w:t>
      </w:r>
      <w:proofErr w:type="gramEnd"/>
      <w:r w:rsidRPr="002D4B99">
        <w:t xml:space="preserve">%, </w:t>
      </w:r>
      <w:r w:rsidR="004C3CC2" w:rsidRPr="00046698">
        <w:rPr>
          <w:color w:val="000000"/>
          <w:w w:val="15"/>
          <w:shd w:val="solid" w:color="000000" w:fill="000000"/>
          <w:fitText w:val="-20" w:id="-1504953595"/>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3595"/>
          <w14:textFill>
            <w14:solidFill>
              <w14:srgbClr w14:val="000000">
                <w14:alpha w14:val="100000"/>
              </w14:srgbClr>
            </w14:solidFill>
          </w14:textFill>
        </w:rPr>
        <w:t>|</w:t>
      </w:r>
      <w:r w:rsidRPr="002D4B99">
        <w:t xml:space="preserve">%, </w:t>
      </w:r>
      <w:r w:rsidR="004C3CC2" w:rsidRPr="00046698">
        <w:rPr>
          <w:color w:val="000000"/>
          <w:w w:val="15"/>
          <w:shd w:val="solid" w:color="000000" w:fill="000000"/>
          <w:fitText w:val="-20" w:id="-1504953594"/>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3594"/>
          <w14:textFill>
            <w14:solidFill>
              <w14:srgbClr w14:val="000000">
                <w14:alpha w14:val="100000"/>
              </w14:srgbClr>
            </w14:solidFill>
          </w14:textFill>
        </w:rPr>
        <w:t>|</w:t>
      </w:r>
      <w:r w:rsidRPr="002D4B99">
        <w:t xml:space="preserve">%, </w:t>
      </w:r>
      <w:r w:rsidR="004C3CC2" w:rsidRPr="00046698">
        <w:rPr>
          <w:color w:val="000000"/>
          <w:w w:val="15"/>
          <w:shd w:val="solid" w:color="000000" w:fill="000000"/>
          <w:fitText w:val="-20" w:id="-1504953593"/>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3593"/>
          <w14:textFill>
            <w14:solidFill>
              <w14:srgbClr w14:val="000000">
                <w14:alpha w14:val="100000"/>
              </w14:srgbClr>
            </w14:solidFill>
          </w14:textFill>
        </w:rPr>
        <w:t>|</w:t>
      </w:r>
      <w:r w:rsidRPr="002D4B99">
        <w:t xml:space="preserve">% and </w:t>
      </w:r>
      <w:r w:rsidR="004C3CC2" w:rsidRPr="00046698">
        <w:rPr>
          <w:color w:val="000000"/>
          <w:w w:val="15"/>
          <w:shd w:val="solid" w:color="000000" w:fill="000000"/>
          <w:fitText w:val="-20" w:id="-1504953592"/>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3592"/>
          <w14:textFill>
            <w14:solidFill>
              <w14:srgbClr w14:val="000000">
                <w14:alpha w14:val="100000"/>
              </w14:srgbClr>
            </w14:solidFill>
          </w14:textFill>
        </w:rPr>
        <w:t>|</w:t>
      </w:r>
      <w:r w:rsidRPr="002D4B99">
        <w:t>% in Years 2 to 6 of the RSA, respectively. The proposed Tier 2 cap was also based on the ‘maximum eligible population’ scenario uptake rate</w:t>
      </w:r>
      <w:r w:rsidR="00845E08">
        <w:t>s</w:t>
      </w:r>
      <w:r w:rsidRPr="002D4B99">
        <w:t xml:space="preserve"> but assumed that a higher proportion of patients continue treatment with </w:t>
      </w:r>
      <w:proofErr w:type="spellStart"/>
      <w:r w:rsidRPr="002D4B99">
        <w:t>galcanezumab</w:t>
      </w:r>
      <w:proofErr w:type="spellEnd"/>
      <w:r w:rsidRPr="002D4B99">
        <w:t xml:space="preserve"> at 3 months (</w:t>
      </w:r>
      <w:proofErr w:type="gramStart"/>
      <w:r w:rsidR="004C3CC2" w:rsidRPr="00046698">
        <w:rPr>
          <w:color w:val="000000"/>
          <w:w w:val="15"/>
          <w:shd w:val="solid" w:color="000000" w:fill="000000"/>
          <w:fitText w:val="-20" w:id="-1504953591"/>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3591"/>
          <w14:textFill>
            <w14:solidFill>
              <w14:srgbClr w14:val="000000">
                <w14:alpha w14:val="100000"/>
              </w14:srgbClr>
            </w14:solidFill>
          </w14:textFill>
        </w:rPr>
        <w:t>|</w:t>
      </w:r>
      <w:proofErr w:type="gramEnd"/>
      <w:r w:rsidRPr="00A55640">
        <w:t>%;</w:t>
      </w:r>
      <w:r w:rsidRPr="002D4B99">
        <w:t xml:space="preserve"> based on the proportion of patients achieving a ≥30% reduction in monthly migraine headache days). The Tier 1 and 2 caps were obtained by multiplying the estimated script volumes by the proposed </w:t>
      </w:r>
      <w:proofErr w:type="spellStart"/>
      <w:r w:rsidRPr="002D4B99">
        <w:t>galcanezumab</w:t>
      </w:r>
      <w:proofErr w:type="spellEnd"/>
      <w:r w:rsidRPr="002D4B99">
        <w:t xml:space="preserve"> AEMP of $</w:t>
      </w:r>
      <w:proofErr w:type="gramStart"/>
      <w:r w:rsidR="004C3CC2" w:rsidRPr="00046698">
        <w:rPr>
          <w:color w:val="000000"/>
          <w:w w:val="15"/>
          <w:shd w:val="solid" w:color="000000" w:fill="000000"/>
          <w:fitText w:val="-20" w:id="-1504953590"/>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3590"/>
          <w14:textFill>
            <w14:solidFill>
              <w14:srgbClr w14:val="000000">
                <w14:alpha w14:val="100000"/>
              </w14:srgbClr>
            </w14:solidFill>
          </w14:textFill>
        </w:rPr>
        <w:t>|</w:t>
      </w:r>
      <w:proofErr w:type="gramEnd"/>
      <w:r w:rsidRPr="002D4B99">
        <w:t xml:space="preserve">, with no adjustment for patient </w:t>
      </w:r>
      <w:proofErr w:type="spellStart"/>
      <w:r w:rsidRPr="002D4B99">
        <w:t>copayments</w:t>
      </w:r>
      <w:proofErr w:type="spellEnd"/>
      <w:r w:rsidRPr="002D4B99">
        <w:t xml:space="preserve"> or MBS costs. For both Tier 1 and Tier 2, </w:t>
      </w:r>
      <w:proofErr w:type="gramStart"/>
      <w:r w:rsidR="004C3CC2" w:rsidRPr="00046698">
        <w:rPr>
          <w:color w:val="000000"/>
          <w:w w:val="15"/>
          <w:shd w:val="solid" w:color="000000" w:fill="000000"/>
          <w:fitText w:val="-20" w:id="-1504953589"/>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3589"/>
          <w14:textFill>
            <w14:solidFill>
              <w14:srgbClr w14:val="000000">
                <w14:alpha w14:val="100000"/>
              </w14:srgbClr>
            </w14:solidFill>
          </w14:textFill>
        </w:rPr>
        <w:t>|</w:t>
      </w:r>
      <w:proofErr w:type="gramEnd"/>
      <w:r w:rsidRPr="002D4B99">
        <w:t>% of responding patients were assumed to continue treatment in each subsequent year.</w:t>
      </w:r>
      <w:r w:rsidR="00D74A88">
        <w:t xml:space="preserve"> </w:t>
      </w:r>
      <w:r w:rsidR="00D74A88" w:rsidRPr="00962E43">
        <w:t xml:space="preserve">The ESC </w:t>
      </w:r>
      <w:r w:rsidR="00D91056">
        <w:t xml:space="preserve">considered </w:t>
      </w:r>
      <w:r w:rsidR="0044327D">
        <w:t xml:space="preserve">that </w:t>
      </w:r>
      <w:r w:rsidR="00D74A88" w:rsidRPr="00962E43">
        <w:t>any expenditure cap should be based on the financial estimates as presented above, rather than a ‘maximum eligible population’</w:t>
      </w:r>
      <w:r w:rsidR="00D74A88" w:rsidRPr="00D74A88">
        <w:rPr>
          <w:i/>
        </w:rPr>
        <w:t xml:space="preserve">. </w:t>
      </w:r>
      <w:r w:rsidR="00A254BA">
        <w:t xml:space="preserve">The pre-PBAC response maintained the expenditure caps should be based on the ‘maximum eligible population’ but stated it was willing to negotiate with the Department should the PBAC recommended the RSA population should sit somewhere between the base and high cases. </w:t>
      </w:r>
      <w:r w:rsidR="00D91056">
        <w:t xml:space="preserve">The PBAC agreed with the ESC that is appropriate for expenditure caps to be based on the financial estimates. </w:t>
      </w:r>
    </w:p>
    <w:p w14:paraId="3B5D844D" w14:textId="2AAFB0C9" w:rsidR="00B813E5" w:rsidRPr="007B6175" w:rsidRDefault="00265DF0" w:rsidP="005E6E94">
      <w:pPr>
        <w:pStyle w:val="ExecSumBodyText"/>
      </w:pPr>
      <w:r w:rsidRPr="007B6175">
        <w:t>C</w:t>
      </w:r>
      <w:r w:rsidR="00B813E5" w:rsidRPr="007B6175">
        <w:t>omponents of the current chronic migraine CGRP cap, the proposed high frequency episodic migraine cap, and the proposed combined treatment-resistant migraine cap</w:t>
      </w:r>
      <w:r w:rsidRPr="007B6175">
        <w:t>, are summarised in the table below.</w:t>
      </w:r>
    </w:p>
    <w:p w14:paraId="45BC6CCB" w14:textId="2F456C70" w:rsidR="0015163D" w:rsidRPr="007B6175" w:rsidRDefault="0015163D" w:rsidP="00D91056">
      <w:pPr>
        <w:pStyle w:val="TableHeading"/>
        <w:keepLines/>
      </w:pPr>
      <w:r w:rsidRPr="007B6175">
        <w:t xml:space="preserve">Table </w:t>
      </w:r>
      <w:r>
        <w:fldChar w:fldCharType="begin"/>
      </w:r>
      <w:r>
        <w:instrText>SEQ Table \* ARABIC</w:instrText>
      </w:r>
      <w:r>
        <w:fldChar w:fldCharType="separate"/>
      </w:r>
      <w:r w:rsidR="00046698">
        <w:rPr>
          <w:noProof/>
        </w:rPr>
        <w:t>18</w:t>
      </w:r>
      <w:r>
        <w:fldChar w:fldCharType="end"/>
      </w:r>
      <w:r w:rsidR="008250DB" w:rsidRPr="007B6175">
        <w:t>: Proposed risk-sharing arrangement parameters</w:t>
      </w:r>
    </w:p>
    <w:tbl>
      <w:tblPr>
        <w:tblStyle w:val="TableGrid"/>
        <w:tblpPr w:leftFromText="180" w:rightFromText="180" w:vertAnchor="text" w:tblpY="1"/>
        <w:tblOverlap w:val="never"/>
        <w:tblW w:w="5000" w:type="pct"/>
        <w:tblCellMar>
          <w:left w:w="28" w:type="dxa"/>
          <w:right w:w="28" w:type="dxa"/>
        </w:tblCellMar>
        <w:tblLook w:val="04A0" w:firstRow="1" w:lastRow="0" w:firstColumn="1" w:lastColumn="0" w:noHBand="0" w:noVBand="1"/>
      </w:tblPr>
      <w:tblGrid>
        <w:gridCol w:w="1981"/>
        <w:gridCol w:w="1277"/>
        <w:gridCol w:w="1136"/>
        <w:gridCol w:w="1134"/>
        <w:gridCol w:w="1120"/>
        <w:gridCol w:w="1197"/>
        <w:gridCol w:w="1172"/>
      </w:tblGrid>
      <w:tr w:rsidR="00845E08" w:rsidRPr="007B6175" w14:paraId="47DF2D42" w14:textId="77777777" w:rsidTr="00845E08">
        <w:trPr>
          <w:cantSplit/>
          <w:tblHeader/>
        </w:trPr>
        <w:tc>
          <w:tcPr>
            <w:tcW w:w="1098" w:type="pct"/>
          </w:tcPr>
          <w:p w14:paraId="32446B31" w14:textId="77777777" w:rsidR="00B813E5" w:rsidRPr="007B6175" w:rsidRDefault="00B813E5" w:rsidP="00D91056">
            <w:pPr>
              <w:keepNext/>
              <w:keepLines/>
              <w:rPr>
                <w:rFonts w:ascii="Arial Narrow" w:hAnsi="Arial Narrow"/>
                <w:color w:val="3366FF"/>
                <w:sz w:val="20"/>
                <w:szCs w:val="20"/>
              </w:rPr>
            </w:pPr>
          </w:p>
        </w:tc>
        <w:tc>
          <w:tcPr>
            <w:tcW w:w="708" w:type="pct"/>
            <w:shd w:val="clear" w:color="auto" w:fill="FFFFFF" w:themeFill="background1"/>
          </w:tcPr>
          <w:p w14:paraId="05D1039B" w14:textId="77777777" w:rsidR="00B813E5" w:rsidRPr="007B6175" w:rsidRDefault="00B813E5" w:rsidP="0063185B">
            <w:pPr>
              <w:pStyle w:val="TableFigureCaption"/>
              <w:keepLines/>
              <w:jc w:val="center"/>
            </w:pPr>
            <w:r w:rsidRPr="007B6175">
              <w:t>Year 1</w:t>
            </w:r>
          </w:p>
        </w:tc>
        <w:tc>
          <w:tcPr>
            <w:tcW w:w="630" w:type="pct"/>
            <w:shd w:val="clear" w:color="auto" w:fill="FFFFFF" w:themeFill="background1"/>
          </w:tcPr>
          <w:p w14:paraId="3E840BC1" w14:textId="77777777" w:rsidR="00B813E5" w:rsidRPr="007B6175" w:rsidRDefault="00B813E5" w:rsidP="00164B5C">
            <w:pPr>
              <w:pStyle w:val="TableFigureCaption"/>
              <w:keepLines/>
              <w:jc w:val="center"/>
            </w:pPr>
            <w:r w:rsidRPr="007B6175">
              <w:t>Year 2</w:t>
            </w:r>
          </w:p>
        </w:tc>
        <w:tc>
          <w:tcPr>
            <w:tcW w:w="629" w:type="pct"/>
            <w:shd w:val="clear" w:color="auto" w:fill="FFFFFF" w:themeFill="background1"/>
          </w:tcPr>
          <w:p w14:paraId="6AC3B8A9" w14:textId="77777777" w:rsidR="00B813E5" w:rsidRPr="007B6175" w:rsidRDefault="00B813E5" w:rsidP="00164B5C">
            <w:pPr>
              <w:pStyle w:val="TableFigureCaption"/>
              <w:keepLines/>
              <w:jc w:val="center"/>
            </w:pPr>
            <w:r w:rsidRPr="007B6175">
              <w:t>Year 3</w:t>
            </w:r>
          </w:p>
        </w:tc>
        <w:tc>
          <w:tcPr>
            <w:tcW w:w="621" w:type="pct"/>
            <w:shd w:val="clear" w:color="auto" w:fill="FFFFFF" w:themeFill="background1"/>
          </w:tcPr>
          <w:p w14:paraId="71902B85" w14:textId="77777777" w:rsidR="00B813E5" w:rsidRPr="007B6175" w:rsidRDefault="00B813E5" w:rsidP="00164B5C">
            <w:pPr>
              <w:pStyle w:val="TableFigureCaption"/>
              <w:keepLines/>
              <w:jc w:val="center"/>
            </w:pPr>
            <w:r w:rsidRPr="007B6175">
              <w:t>Year 4</w:t>
            </w:r>
          </w:p>
        </w:tc>
        <w:tc>
          <w:tcPr>
            <w:tcW w:w="664" w:type="pct"/>
            <w:shd w:val="clear" w:color="auto" w:fill="FFFFFF" w:themeFill="background1"/>
          </w:tcPr>
          <w:p w14:paraId="42E27E62" w14:textId="77777777" w:rsidR="00B813E5" w:rsidRPr="007B6175" w:rsidRDefault="00B813E5" w:rsidP="00164B5C">
            <w:pPr>
              <w:pStyle w:val="TableFigureCaption"/>
              <w:keepLines/>
              <w:jc w:val="center"/>
            </w:pPr>
            <w:r w:rsidRPr="007B6175">
              <w:t>Year 5</w:t>
            </w:r>
          </w:p>
        </w:tc>
        <w:tc>
          <w:tcPr>
            <w:tcW w:w="651" w:type="pct"/>
            <w:shd w:val="clear" w:color="auto" w:fill="FFFFFF" w:themeFill="background1"/>
          </w:tcPr>
          <w:p w14:paraId="06175331" w14:textId="77777777" w:rsidR="00B813E5" w:rsidRPr="007B6175" w:rsidRDefault="00B813E5" w:rsidP="00164B5C">
            <w:pPr>
              <w:pStyle w:val="TableFigureCaption"/>
              <w:keepLines/>
              <w:jc w:val="center"/>
            </w:pPr>
            <w:r w:rsidRPr="007B6175">
              <w:t>Year 6</w:t>
            </w:r>
          </w:p>
        </w:tc>
      </w:tr>
      <w:tr w:rsidR="00D613D7" w:rsidRPr="007B6175" w14:paraId="045CB168" w14:textId="77777777" w:rsidTr="00D613D7">
        <w:tc>
          <w:tcPr>
            <w:tcW w:w="5000" w:type="pct"/>
            <w:gridSpan w:val="7"/>
            <w:tcBorders>
              <w:right w:val="single" w:sz="4" w:space="0" w:color="auto"/>
            </w:tcBorders>
          </w:tcPr>
          <w:p w14:paraId="15BCBAF3" w14:textId="60200359" w:rsidR="00D613D7" w:rsidRPr="007B6175" w:rsidRDefault="00D613D7" w:rsidP="00D91056">
            <w:pPr>
              <w:pStyle w:val="TableText"/>
              <w:keepLines/>
              <w:jc w:val="both"/>
              <w:rPr>
                <w:b/>
                <w:bCs w:val="0"/>
              </w:rPr>
            </w:pPr>
            <w:r w:rsidRPr="007B6175">
              <w:rPr>
                <w:b/>
                <w:bCs w:val="0"/>
              </w:rPr>
              <w:t>Current chronic migraine CGRP inhibitor cap parameters</w:t>
            </w:r>
          </w:p>
        </w:tc>
      </w:tr>
      <w:tr w:rsidR="00845E08" w:rsidRPr="007B6175" w14:paraId="354764DB" w14:textId="77777777" w:rsidTr="00845E08">
        <w:tc>
          <w:tcPr>
            <w:tcW w:w="1098" w:type="pct"/>
            <w:vAlign w:val="center"/>
          </w:tcPr>
          <w:p w14:paraId="730E8DF0" w14:textId="77777777" w:rsidR="00B813E5" w:rsidRPr="007B6175" w:rsidRDefault="00B813E5" w:rsidP="00D91056">
            <w:pPr>
              <w:pStyle w:val="TableText"/>
              <w:keepLines/>
            </w:pPr>
            <w:r w:rsidRPr="007B6175">
              <w:t>Specified months</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tcPr>
          <w:p w14:paraId="10682202" w14:textId="77777777" w:rsidR="00B813E5" w:rsidRPr="007B6175" w:rsidRDefault="00B813E5" w:rsidP="00D91056">
            <w:pPr>
              <w:pStyle w:val="TableText"/>
              <w:keepLines/>
              <w:jc w:val="center"/>
            </w:pPr>
            <w:r w:rsidRPr="007B6175">
              <w:t>Jun 21 -</w:t>
            </w:r>
          </w:p>
          <w:p w14:paraId="05ED56E9" w14:textId="77777777" w:rsidR="00B813E5" w:rsidRPr="007B6175" w:rsidRDefault="00B813E5" w:rsidP="0063185B">
            <w:pPr>
              <w:pStyle w:val="TableText"/>
              <w:keepLines/>
              <w:jc w:val="center"/>
            </w:pPr>
            <w:r w:rsidRPr="007B6175">
              <w:t>May 22</w:t>
            </w:r>
          </w:p>
        </w:tc>
        <w:tc>
          <w:tcPr>
            <w:tcW w:w="630" w:type="pct"/>
            <w:tcBorders>
              <w:top w:val="single" w:sz="4" w:space="0" w:color="auto"/>
              <w:left w:val="nil"/>
              <w:bottom w:val="single" w:sz="4" w:space="0" w:color="auto"/>
              <w:right w:val="single" w:sz="4" w:space="0" w:color="auto"/>
            </w:tcBorders>
            <w:shd w:val="clear" w:color="000000" w:fill="FFFFFF"/>
            <w:vAlign w:val="center"/>
          </w:tcPr>
          <w:p w14:paraId="7D2BD440" w14:textId="77777777" w:rsidR="00B813E5" w:rsidRPr="007B6175" w:rsidRDefault="00B813E5" w:rsidP="00164B5C">
            <w:pPr>
              <w:pStyle w:val="TableText"/>
              <w:keepLines/>
              <w:jc w:val="center"/>
            </w:pPr>
            <w:r w:rsidRPr="007B6175">
              <w:t>Jun 22 -</w:t>
            </w:r>
          </w:p>
          <w:p w14:paraId="157A9084" w14:textId="77777777" w:rsidR="00B813E5" w:rsidRPr="007B6175" w:rsidRDefault="00B813E5" w:rsidP="00164B5C">
            <w:pPr>
              <w:pStyle w:val="TableText"/>
              <w:keepLines/>
              <w:jc w:val="center"/>
            </w:pPr>
            <w:r w:rsidRPr="007B6175">
              <w:t>May 23</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1A06D5C6" w14:textId="77777777" w:rsidR="00B813E5" w:rsidRPr="007B6175" w:rsidRDefault="00B813E5" w:rsidP="00164B5C">
            <w:pPr>
              <w:pStyle w:val="TableText"/>
              <w:keepLines/>
              <w:jc w:val="center"/>
            </w:pPr>
            <w:r w:rsidRPr="007B6175">
              <w:t>Jun 23 -</w:t>
            </w:r>
          </w:p>
          <w:p w14:paraId="1343BACA" w14:textId="77777777" w:rsidR="00B813E5" w:rsidRPr="007B6175" w:rsidRDefault="00B813E5" w:rsidP="00164B5C">
            <w:pPr>
              <w:pStyle w:val="TableText"/>
              <w:keepLines/>
              <w:jc w:val="center"/>
            </w:pPr>
            <w:r w:rsidRPr="007B6175">
              <w:t>May 24</w:t>
            </w:r>
          </w:p>
        </w:tc>
        <w:tc>
          <w:tcPr>
            <w:tcW w:w="621" w:type="pct"/>
            <w:tcBorders>
              <w:top w:val="single" w:sz="4" w:space="0" w:color="auto"/>
              <w:left w:val="nil"/>
              <w:bottom w:val="single" w:sz="4" w:space="0" w:color="auto"/>
              <w:right w:val="single" w:sz="4" w:space="0" w:color="auto"/>
            </w:tcBorders>
            <w:shd w:val="clear" w:color="000000" w:fill="FFFFFF"/>
            <w:vAlign w:val="center"/>
          </w:tcPr>
          <w:p w14:paraId="28619127" w14:textId="77777777" w:rsidR="00B813E5" w:rsidRPr="007B6175" w:rsidRDefault="00B813E5" w:rsidP="00164B5C">
            <w:pPr>
              <w:pStyle w:val="TableText"/>
              <w:keepLines/>
              <w:jc w:val="center"/>
            </w:pPr>
            <w:r w:rsidRPr="007B6175">
              <w:t>Jun 24 -</w:t>
            </w:r>
          </w:p>
          <w:p w14:paraId="420A60BB" w14:textId="77777777" w:rsidR="00B813E5" w:rsidRPr="007B6175" w:rsidRDefault="00B813E5" w:rsidP="00164B5C">
            <w:pPr>
              <w:pStyle w:val="TableText"/>
              <w:keepLines/>
              <w:jc w:val="center"/>
            </w:pPr>
            <w:r w:rsidRPr="007B6175">
              <w:t>May 25</w:t>
            </w:r>
          </w:p>
        </w:tc>
        <w:tc>
          <w:tcPr>
            <w:tcW w:w="664" w:type="pct"/>
            <w:tcBorders>
              <w:top w:val="single" w:sz="4" w:space="0" w:color="auto"/>
              <w:left w:val="nil"/>
              <w:bottom w:val="single" w:sz="4" w:space="0" w:color="auto"/>
              <w:right w:val="single" w:sz="4" w:space="0" w:color="auto"/>
            </w:tcBorders>
            <w:shd w:val="clear" w:color="000000" w:fill="FFFFFF"/>
            <w:vAlign w:val="center"/>
          </w:tcPr>
          <w:p w14:paraId="232DBE6D" w14:textId="77777777" w:rsidR="00B813E5" w:rsidRPr="007B6175" w:rsidRDefault="00B813E5" w:rsidP="00164B5C">
            <w:pPr>
              <w:pStyle w:val="TableText"/>
              <w:keepLines/>
              <w:jc w:val="center"/>
            </w:pPr>
            <w:r w:rsidRPr="007B6175">
              <w:t>Jun 25 -</w:t>
            </w:r>
          </w:p>
          <w:p w14:paraId="2CEF22EE" w14:textId="77777777" w:rsidR="00B813E5" w:rsidRPr="007B6175" w:rsidRDefault="00B813E5" w:rsidP="00164B5C">
            <w:pPr>
              <w:pStyle w:val="TableText"/>
              <w:keepLines/>
              <w:jc w:val="center"/>
            </w:pPr>
            <w:r w:rsidRPr="007B6175">
              <w:t>May 26</w:t>
            </w:r>
          </w:p>
        </w:tc>
        <w:tc>
          <w:tcPr>
            <w:tcW w:w="651" w:type="pct"/>
            <w:tcBorders>
              <w:top w:val="single" w:sz="4" w:space="0" w:color="auto"/>
              <w:left w:val="nil"/>
              <w:bottom w:val="single" w:sz="4" w:space="0" w:color="auto"/>
              <w:right w:val="single" w:sz="4" w:space="0" w:color="auto"/>
            </w:tcBorders>
            <w:shd w:val="clear" w:color="000000" w:fill="FFFFFF"/>
            <w:vAlign w:val="center"/>
          </w:tcPr>
          <w:p w14:paraId="6D1BDB4D" w14:textId="49D5D9CC" w:rsidR="00B813E5" w:rsidRPr="007B6175" w:rsidRDefault="00B813E5" w:rsidP="00164B5C">
            <w:pPr>
              <w:pStyle w:val="TableText"/>
              <w:keepLines/>
              <w:jc w:val="center"/>
            </w:pPr>
            <w:r w:rsidRPr="007B6175">
              <w:t>Jun 26 -</w:t>
            </w:r>
            <w:r w:rsidR="00845E08">
              <w:t xml:space="preserve"> </w:t>
            </w:r>
          </w:p>
          <w:p w14:paraId="60B906D1" w14:textId="77777777" w:rsidR="00B813E5" w:rsidRPr="007B6175" w:rsidRDefault="00B813E5" w:rsidP="00164B5C">
            <w:pPr>
              <w:pStyle w:val="TableText"/>
              <w:keepLines/>
              <w:jc w:val="center"/>
            </w:pPr>
            <w:r w:rsidRPr="007B6175">
              <w:t>May 27</w:t>
            </w:r>
          </w:p>
        </w:tc>
      </w:tr>
      <w:tr w:rsidR="00845E08" w:rsidRPr="007B6175" w14:paraId="0F732958" w14:textId="77777777" w:rsidTr="00845E08">
        <w:tc>
          <w:tcPr>
            <w:tcW w:w="1098" w:type="pct"/>
          </w:tcPr>
          <w:p w14:paraId="211EF966" w14:textId="77777777" w:rsidR="00B813E5" w:rsidRPr="007B6175" w:rsidRDefault="00B813E5" w:rsidP="00D91056">
            <w:pPr>
              <w:pStyle w:val="TableText"/>
              <w:keepLines/>
            </w:pPr>
            <w:r w:rsidRPr="007B6175">
              <w:t xml:space="preserve">Script volumes totals </w:t>
            </w:r>
          </w:p>
        </w:tc>
        <w:tc>
          <w:tcPr>
            <w:tcW w:w="708" w:type="pct"/>
            <w:tcBorders>
              <w:top w:val="single" w:sz="4" w:space="0" w:color="auto"/>
              <w:left w:val="single" w:sz="4" w:space="0" w:color="auto"/>
              <w:bottom w:val="single" w:sz="4" w:space="0" w:color="auto"/>
              <w:right w:val="single" w:sz="4" w:space="0" w:color="auto"/>
            </w:tcBorders>
            <w:shd w:val="clear" w:color="000000" w:fill="FFFFFF"/>
          </w:tcPr>
          <w:p w14:paraId="3C5276C7" w14:textId="7399F455" w:rsidR="00B813E5" w:rsidRPr="004C3CC2" w:rsidRDefault="004C3CC2" w:rsidP="00D91056">
            <w:pPr>
              <w:pStyle w:val="TableText"/>
              <w:keepLines/>
              <w:jc w:val="center"/>
              <w:rPr>
                <w:highlight w:val="yellow"/>
                <w:vertAlign w:val="superscript"/>
              </w:rPr>
            </w:pPr>
            <w:r w:rsidRPr="004C3CC2">
              <w:rPr>
                <w:color w:val="000000"/>
                <w:shd w:val="solid" w:color="000000" w:fill="000000"/>
                <w14:textFill>
                  <w14:solidFill>
                    <w14:srgbClr w14:val="000000">
                      <w14:alpha w14:val="100000"/>
                    </w14:srgbClr>
                  </w14:solidFill>
                </w14:textFill>
              </w:rPr>
              <w:t>|</w:t>
            </w:r>
            <w:r w:rsidR="00620543" w:rsidRPr="004C3CC2">
              <w:rPr>
                <w:vertAlign w:val="superscript"/>
              </w:rPr>
              <w:t>1</w:t>
            </w:r>
          </w:p>
        </w:tc>
        <w:tc>
          <w:tcPr>
            <w:tcW w:w="630" w:type="pct"/>
            <w:tcBorders>
              <w:top w:val="single" w:sz="4" w:space="0" w:color="auto"/>
              <w:left w:val="nil"/>
              <w:bottom w:val="single" w:sz="4" w:space="0" w:color="auto"/>
              <w:right w:val="single" w:sz="4" w:space="0" w:color="auto"/>
            </w:tcBorders>
            <w:shd w:val="clear" w:color="000000" w:fill="FFFFFF"/>
          </w:tcPr>
          <w:p w14:paraId="42A37707" w14:textId="6A77136C" w:rsidR="00B813E5" w:rsidRPr="004C3CC2" w:rsidRDefault="004C3CC2" w:rsidP="0063185B">
            <w:pPr>
              <w:pStyle w:val="TableText"/>
              <w:keepLines/>
              <w:jc w:val="center"/>
              <w:rPr>
                <w:highlight w:val="yellow"/>
              </w:rPr>
            </w:pPr>
            <w:r w:rsidRPr="004C3CC2">
              <w:rPr>
                <w:rFonts w:hint="eastAsia"/>
                <w:color w:val="000000"/>
                <w:w w:val="15"/>
                <w:shd w:val="solid" w:color="000000" w:fill="000000"/>
                <w:fitText w:val="40" w:id="-1504953588"/>
                <w14:textFill>
                  <w14:solidFill>
                    <w14:srgbClr w14:val="000000">
                      <w14:alpha w14:val="100000"/>
                    </w14:srgbClr>
                  </w14:solidFill>
                </w14:textFill>
              </w:rPr>
              <w:t xml:space="preserve">　</w:t>
            </w:r>
            <w:r w:rsidRPr="004C3CC2">
              <w:rPr>
                <w:color w:val="000000"/>
                <w:w w:val="15"/>
                <w:shd w:val="solid" w:color="000000" w:fill="000000"/>
                <w:fitText w:val="40" w:id="-1504953588"/>
                <w14:textFill>
                  <w14:solidFill>
                    <w14:srgbClr w14:val="000000">
                      <w14:alpha w14:val="100000"/>
                    </w14:srgbClr>
                  </w14:solidFill>
                </w14:textFill>
              </w:rPr>
              <w:t>|</w:t>
            </w:r>
            <w:r w:rsidRPr="004C3CC2">
              <w:rPr>
                <w:rFonts w:hint="eastAsia"/>
                <w:color w:val="000000"/>
                <w:spacing w:val="-25"/>
                <w:w w:val="15"/>
                <w:shd w:val="solid" w:color="000000" w:fill="000000"/>
                <w:fitText w:val="40" w:id="-1504953588"/>
                <w14:textFill>
                  <w14:solidFill>
                    <w14:srgbClr w14:val="000000">
                      <w14:alpha w14:val="100000"/>
                    </w14:srgbClr>
                  </w14:solidFill>
                </w14:textFill>
              </w:rPr>
              <w:t xml:space="preserve">　</w:t>
            </w:r>
            <w:r w:rsidR="00620543">
              <w:rPr>
                <w:vertAlign w:val="superscript"/>
              </w:rPr>
              <w:t>3</w:t>
            </w:r>
          </w:p>
        </w:tc>
        <w:tc>
          <w:tcPr>
            <w:tcW w:w="629" w:type="pct"/>
            <w:tcBorders>
              <w:top w:val="single" w:sz="4" w:space="0" w:color="auto"/>
              <w:left w:val="nil"/>
              <w:bottom w:val="single" w:sz="4" w:space="0" w:color="auto"/>
              <w:right w:val="single" w:sz="4" w:space="0" w:color="auto"/>
            </w:tcBorders>
            <w:shd w:val="clear" w:color="000000" w:fill="FFFFFF"/>
          </w:tcPr>
          <w:p w14:paraId="141A0D01" w14:textId="0AF14357" w:rsidR="00B813E5" w:rsidRPr="004C3CC2" w:rsidRDefault="004C3CC2" w:rsidP="00164B5C">
            <w:pPr>
              <w:pStyle w:val="TableText"/>
              <w:keepLines/>
              <w:jc w:val="center"/>
              <w:rPr>
                <w:highlight w:val="yellow"/>
              </w:rPr>
            </w:pPr>
            <w:r w:rsidRPr="004C3CC2">
              <w:rPr>
                <w:rFonts w:hint="eastAsia"/>
                <w:color w:val="000000"/>
                <w:w w:val="15"/>
                <w:shd w:val="solid" w:color="000000" w:fill="000000"/>
                <w:fitText w:val="40" w:id="-1504953587"/>
                <w14:textFill>
                  <w14:solidFill>
                    <w14:srgbClr w14:val="000000">
                      <w14:alpha w14:val="100000"/>
                    </w14:srgbClr>
                  </w14:solidFill>
                </w14:textFill>
              </w:rPr>
              <w:t xml:space="preserve">　</w:t>
            </w:r>
            <w:r w:rsidRPr="004C3CC2">
              <w:rPr>
                <w:color w:val="000000"/>
                <w:w w:val="15"/>
                <w:shd w:val="solid" w:color="000000" w:fill="000000"/>
                <w:fitText w:val="40" w:id="-1504953587"/>
                <w14:textFill>
                  <w14:solidFill>
                    <w14:srgbClr w14:val="000000">
                      <w14:alpha w14:val="100000"/>
                    </w14:srgbClr>
                  </w14:solidFill>
                </w14:textFill>
              </w:rPr>
              <w:t>|</w:t>
            </w:r>
            <w:r w:rsidRPr="004C3CC2">
              <w:rPr>
                <w:rFonts w:hint="eastAsia"/>
                <w:color w:val="000000"/>
                <w:spacing w:val="-25"/>
                <w:w w:val="15"/>
                <w:shd w:val="solid" w:color="000000" w:fill="000000"/>
                <w:fitText w:val="40" w:id="-1504953587"/>
                <w14:textFill>
                  <w14:solidFill>
                    <w14:srgbClr w14:val="000000">
                      <w14:alpha w14:val="100000"/>
                    </w14:srgbClr>
                  </w14:solidFill>
                </w14:textFill>
              </w:rPr>
              <w:t xml:space="preserve">　</w:t>
            </w:r>
            <w:r w:rsidR="00D31934">
              <w:rPr>
                <w:vertAlign w:val="superscript"/>
              </w:rPr>
              <w:t>9</w:t>
            </w:r>
          </w:p>
        </w:tc>
        <w:tc>
          <w:tcPr>
            <w:tcW w:w="621" w:type="pct"/>
            <w:tcBorders>
              <w:top w:val="single" w:sz="4" w:space="0" w:color="auto"/>
              <w:left w:val="nil"/>
              <w:bottom w:val="single" w:sz="4" w:space="0" w:color="auto"/>
              <w:right w:val="single" w:sz="4" w:space="0" w:color="auto"/>
            </w:tcBorders>
            <w:shd w:val="clear" w:color="000000" w:fill="FFFFFF"/>
          </w:tcPr>
          <w:p w14:paraId="4671A173" w14:textId="466D19D2" w:rsidR="00B813E5" w:rsidRPr="004C3CC2" w:rsidRDefault="004C3CC2" w:rsidP="00164B5C">
            <w:pPr>
              <w:pStyle w:val="TableText"/>
              <w:keepLines/>
              <w:jc w:val="center"/>
              <w:rPr>
                <w:highlight w:val="yellow"/>
              </w:rPr>
            </w:pPr>
            <w:r w:rsidRPr="004C3CC2">
              <w:rPr>
                <w:rFonts w:hint="eastAsia"/>
                <w:color w:val="000000"/>
                <w:w w:val="15"/>
                <w:shd w:val="solid" w:color="000000" w:fill="000000"/>
                <w:fitText w:val="50" w:id="-1504953586"/>
                <w14:textFill>
                  <w14:solidFill>
                    <w14:srgbClr w14:val="000000">
                      <w14:alpha w14:val="100000"/>
                    </w14:srgbClr>
                  </w14:solidFill>
                </w14:textFill>
              </w:rPr>
              <w:t xml:space="preserve">　</w:t>
            </w:r>
            <w:r w:rsidRPr="004C3CC2">
              <w:rPr>
                <w:color w:val="000000"/>
                <w:w w:val="15"/>
                <w:shd w:val="solid" w:color="000000" w:fill="000000"/>
                <w:fitText w:val="50" w:id="-1504953586"/>
                <w14:textFill>
                  <w14:solidFill>
                    <w14:srgbClr w14:val="000000">
                      <w14:alpha w14:val="100000"/>
                    </w14:srgbClr>
                  </w14:solidFill>
                </w14:textFill>
              </w:rPr>
              <w:t>|</w:t>
            </w:r>
            <w:r w:rsidRPr="004C3CC2">
              <w:rPr>
                <w:rFonts w:hint="eastAsia"/>
                <w:color w:val="000000"/>
                <w:spacing w:val="-15"/>
                <w:w w:val="15"/>
                <w:shd w:val="solid" w:color="000000" w:fill="000000"/>
                <w:fitText w:val="50" w:id="-1504953586"/>
                <w14:textFill>
                  <w14:solidFill>
                    <w14:srgbClr w14:val="000000">
                      <w14:alpha w14:val="100000"/>
                    </w14:srgbClr>
                  </w14:solidFill>
                </w14:textFill>
              </w:rPr>
              <w:t xml:space="preserve">　</w:t>
            </w:r>
            <w:r w:rsidR="00D31934">
              <w:rPr>
                <w:vertAlign w:val="superscript"/>
              </w:rPr>
              <w:t>9</w:t>
            </w:r>
          </w:p>
        </w:tc>
        <w:tc>
          <w:tcPr>
            <w:tcW w:w="664" w:type="pct"/>
            <w:tcBorders>
              <w:top w:val="single" w:sz="4" w:space="0" w:color="auto"/>
              <w:left w:val="nil"/>
              <w:bottom w:val="single" w:sz="4" w:space="0" w:color="auto"/>
              <w:right w:val="single" w:sz="4" w:space="0" w:color="auto"/>
            </w:tcBorders>
            <w:shd w:val="clear" w:color="000000" w:fill="FFFFFF"/>
          </w:tcPr>
          <w:p w14:paraId="104B9A90" w14:textId="74002C91" w:rsidR="00B813E5" w:rsidRPr="004C3CC2" w:rsidRDefault="004C3CC2" w:rsidP="00164B5C">
            <w:pPr>
              <w:pStyle w:val="TableText"/>
              <w:keepLines/>
              <w:jc w:val="center"/>
              <w:rPr>
                <w:highlight w:val="yellow"/>
              </w:rPr>
            </w:pPr>
            <w:r w:rsidRPr="00046698">
              <w:rPr>
                <w:rFonts w:hint="eastAsia"/>
                <w:color w:val="000000"/>
                <w:w w:val="15"/>
                <w:shd w:val="solid" w:color="000000" w:fill="000000"/>
                <w:fitText w:val="10" w:id="-1504953585"/>
                <w14:textFill>
                  <w14:solidFill>
                    <w14:srgbClr w14:val="000000">
                      <w14:alpha w14:val="100000"/>
                    </w14:srgbClr>
                  </w14:solidFill>
                </w14:textFill>
              </w:rPr>
              <w:t xml:space="preserve">　</w:t>
            </w:r>
            <w:r w:rsidRPr="00046698">
              <w:rPr>
                <w:color w:val="000000"/>
                <w:w w:val="15"/>
                <w:shd w:val="solid" w:color="000000" w:fill="000000"/>
                <w:fitText w:val="10" w:id="-1504953585"/>
                <w14:textFill>
                  <w14:solidFill>
                    <w14:srgbClr w14:val="000000">
                      <w14:alpha w14:val="100000"/>
                    </w14:srgbClr>
                  </w14:solidFill>
                </w14:textFill>
              </w:rPr>
              <w:t>|</w:t>
            </w:r>
            <w:r w:rsidRPr="00046698">
              <w:rPr>
                <w:rFonts w:hint="eastAsia"/>
                <w:color w:val="000000"/>
                <w:spacing w:val="-55"/>
                <w:w w:val="15"/>
                <w:shd w:val="solid" w:color="000000" w:fill="000000"/>
                <w:fitText w:val="10" w:id="-1504953585"/>
                <w14:textFill>
                  <w14:solidFill>
                    <w14:srgbClr w14:val="000000">
                      <w14:alpha w14:val="100000"/>
                    </w14:srgbClr>
                  </w14:solidFill>
                </w14:textFill>
              </w:rPr>
              <w:t xml:space="preserve">　</w:t>
            </w:r>
            <w:r w:rsidR="00D31934">
              <w:rPr>
                <w:vertAlign w:val="superscript"/>
              </w:rPr>
              <w:t>9</w:t>
            </w:r>
          </w:p>
        </w:tc>
        <w:tc>
          <w:tcPr>
            <w:tcW w:w="651" w:type="pct"/>
            <w:tcBorders>
              <w:top w:val="single" w:sz="4" w:space="0" w:color="auto"/>
              <w:left w:val="nil"/>
              <w:bottom w:val="single" w:sz="4" w:space="0" w:color="auto"/>
              <w:right w:val="single" w:sz="4" w:space="0" w:color="auto"/>
            </w:tcBorders>
            <w:shd w:val="clear" w:color="000000" w:fill="FFFFFF"/>
          </w:tcPr>
          <w:p w14:paraId="3F753B5D" w14:textId="2416ACCE" w:rsidR="00B813E5" w:rsidRPr="004C3CC2" w:rsidRDefault="004C3CC2" w:rsidP="00164B5C">
            <w:pPr>
              <w:pStyle w:val="TableText"/>
              <w:keepLines/>
              <w:jc w:val="center"/>
              <w:rPr>
                <w:highlight w:val="yellow"/>
              </w:rPr>
            </w:pPr>
            <w:r w:rsidRPr="00046698">
              <w:rPr>
                <w:rFonts w:hint="eastAsia"/>
                <w:color w:val="000000"/>
                <w:w w:val="15"/>
                <w:shd w:val="solid" w:color="000000" w:fill="000000"/>
                <w:fitText w:val="20" w:id="-1504953584"/>
                <w14:textFill>
                  <w14:solidFill>
                    <w14:srgbClr w14:val="000000">
                      <w14:alpha w14:val="100000"/>
                    </w14:srgbClr>
                  </w14:solidFill>
                </w14:textFill>
              </w:rPr>
              <w:t xml:space="preserve">　</w:t>
            </w:r>
            <w:r w:rsidRPr="00046698">
              <w:rPr>
                <w:color w:val="000000"/>
                <w:w w:val="15"/>
                <w:shd w:val="solid" w:color="000000" w:fill="000000"/>
                <w:fitText w:val="20" w:id="-1504953584"/>
                <w14:textFill>
                  <w14:solidFill>
                    <w14:srgbClr w14:val="000000">
                      <w14:alpha w14:val="100000"/>
                    </w14:srgbClr>
                  </w14:solidFill>
                </w14:textFill>
              </w:rPr>
              <w:t>|</w:t>
            </w:r>
            <w:r w:rsidRPr="00046698">
              <w:rPr>
                <w:rFonts w:hint="eastAsia"/>
                <w:color w:val="000000"/>
                <w:spacing w:val="-45"/>
                <w:w w:val="15"/>
                <w:shd w:val="solid" w:color="000000" w:fill="000000"/>
                <w:fitText w:val="20" w:id="-1504953584"/>
                <w14:textFill>
                  <w14:solidFill>
                    <w14:srgbClr w14:val="000000">
                      <w14:alpha w14:val="100000"/>
                    </w14:srgbClr>
                  </w14:solidFill>
                </w14:textFill>
              </w:rPr>
              <w:t xml:space="preserve">　</w:t>
            </w:r>
            <w:r w:rsidR="00D31934">
              <w:rPr>
                <w:vertAlign w:val="superscript"/>
              </w:rPr>
              <w:t>9</w:t>
            </w:r>
          </w:p>
        </w:tc>
      </w:tr>
      <w:tr w:rsidR="00845E08" w:rsidRPr="007B6175" w14:paraId="02E1424C" w14:textId="77777777" w:rsidTr="00845E08">
        <w:tc>
          <w:tcPr>
            <w:tcW w:w="1098" w:type="pct"/>
          </w:tcPr>
          <w:p w14:paraId="5005BE2E" w14:textId="5D71BC9E" w:rsidR="00B813E5" w:rsidRPr="007B6175" w:rsidRDefault="00B813E5" w:rsidP="00D91056">
            <w:pPr>
              <w:pStyle w:val="TableText"/>
              <w:keepLines/>
            </w:pPr>
            <w:r w:rsidRPr="007B6175">
              <w:t xml:space="preserve">Tier 1 </w:t>
            </w:r>
            <w:r w:rsidR="004C3CC2" w:rsidRPr="004C3CC2">
              <w:rPr>
                <w:color w:val="000000"/>
                <w:spacing w:val="53"/>
                <w:shd w:val="solid" w:color="000000" w:fill="000000"/>
                <w:fitText w:val="330" w:id="-1504953600"/>
                <w14:textFill>
                  <w14:solidFill>
                    <w14:srgbClr w14:val="000000">
                      <w14:alpha w14:val="100000"/>
                    </w14:srgbClr>
                  </w14:solidFill>
                </w14:textFill>
              </w:rPr>
              <w:t>|||</w:t>
            </w:r>
            <w:r w:rsidR="004C3CC2" w:rsidRPr="004C3CC2">
              <w:rPr>
                <w:color w:val="000000"/>
                <w:spacing w:val="1"/>
                <w:shd w:val="solid" w:color="000000" w:fill="000000"/>
                <w:fitText w:val="330" w:id="-1504953600"/>
                <w14:textFill>
                  <w14:solidFill>
                    <w14:srgbClr w14:val="000000">
                      <w14:alpha w14:val="100000"/>
                    </w14:srgbClr>
                  </w14:solidFill>
                </w14:textFill>
              </w:rPr>
              <w:t>|</w:t>
            </w:r>
            <w:r w:rsidRPr="007B6175">
              <w:t>% rebate</w:t>
            </w:r>
            <w:r w:rsidR="00620543">
              <w:t xml:space="preserve"> ($)</w:t>
            </w:r>
          </w:p>
        </w:tc>
        <w:tc>
          <w:tcPr>
            <w:tcW w:w="708" w:type="pct"/>
            <w:tcBorders>
              <w:top w:val="single" w:sz="4" w:space="0" w:color="auto"/>
              <w:left w:val="single" w:sz="4" w:space="0" w:color="auto"/>
              <w:bottom w:val="single" w:sz="4" w:space="0" w:color="auto"/>
              <w:right w:val="single" w:sz="4" w:space="0" w:color="auto"/>
            </w:tcBorders>
            <w:shd w:val="clear" w:color="000000" w:fill="FFFFFF"/>
          </w:tcPr>
          <w:p w14:paraId="075DC0CF" w14:textId="6423F4D5" w:rsidR="00B813E5" w:rsidRPr="004C3CC2" w:rsidRDefault="004C3CC2" w:rsidP="00D91056">
            <w:pPr>
              <w:pStyle w:val="TableText"/>
              <w:keepLines/>
              <w:jc w:val="center"/>
              <w:rPr>
                <w:highlight w:val="yellow"/>
              </w:rPr>
            </w:pPr>
            <w:r w:rsidRPr="004C3CC2">
              <w:rPr>
                <w:color w:val="000000"/>
                <w:shd w:val="solid" w:color="000000" w:fill="000000"/>
                <w14:textFill>
                  <w14:solidFill>
                    <w14:srgbClr w14:val="000000">
                      <w14:alpha w14:val="100000"/>
                    </w14:srgbClr>
                  </w14:solidFill>
                </w14:textFill>
              </w:rPr>
              <w:t>|</w:t>
            </w:r>
            <w:r w:rsidR="00620543">
              <w:rPr>
                <w:vertAlign w:val="superscript"/>
              </w:rPr>
              <w:t>2</w:t>
            </w:r>
          </w:p>
        </w:tc>
        <w:tc>
          <w:tcPr>
            <w:tcW w:w="630" w:type="pct"/>
            <w:tcBorders>
              <w:top w:val="single" w:sz="4" w:space="0" w:color="auto"/>
              <w:left w:val="nil"/>
              <w:bottom w:val="single" w:sz="4" w:space="0" w:color="auto"/>
              <w:right w:val="single" w:sz="4" w:space="0" w:color="auto"/>
            </w:tcBorders>
            <w:shd w:val="clear" w:color="000000" w:fill="FFFFFF"/>
          </w:tcPr>
          <w:p w14:paraId="32BA6D5D" w14:textId="3D78148B" w:rsidR="00B813E5" w:rsidRPr="004C3CC2" w:rsidRDefault="004C3CC2" w:rsidP="0063185B">
            <w:pPr>
              <w:pStyle w:val="TableText"/>
              <w:keepLines/>
              <w:jc w:val="center"/>
              <w:rPr>
                <w:highlight w:val="yellow"/>
              </w:rPr>
            </w:pPr>
            <w:r w:rsidRPr="004C3CC2">
              <w:rPr>
                <w:rFonts w:hint="eastAsia"/>
                <w:color w:val="000000"/>
                <w:w w:val="15"/>
                <w:shd w:val="solid" w:color="000000" w:fill="000000"/>
                <w:fitText w:val="40" w:id="-1504953599"/>
                <w14:textFill>
                  <w14:solidFill>
                    <w14:srgbClr w14:val="000000">
                      <w14:alpha w14:val="100000"/>
                    </w14:srgbClr>
                  </w14:solidFill>
                </w14:textFill>
              </w:rPr>
              <w:t xml:space="preserve">　</w:t>
            </w:r>
            <w:r w:rsidRPr="004C3CC2">
              <w:rPr>
                <w:color w:val="000000"/>
                <w:w w:val="15"/>
                <w:shd w:val="solid" w:color="000000" w:fill="000000"/>
                <w:fitText w:val="40" w:id="-1504953599"/>
                <w14:textFill>
                  <w14:solidFill>
                    <w14:srgbClr w14:val="000000">
                      <w14:alpha w14:val="100000"/>
                    </w14:srgbClr>
                  </w14:solidFill>
                </w14:textFill>
              </w:rPr>
              <w:t>|</w:t>
            </w:r>
            <w:r w:rsidRPr="004C3CC2">
              <w:rPr>
                <w:rFonts w:hint="eastAsia"/>
                <w:color w:val="000000"/>
                <w:spacing w:val="-25"/>
                <w:w w:val="15"/>
                <w:shd w:val="solid" w:color="000000" w:fill="000000"/>
                <w:fitText w:val="40" w:id="-1504953599"/>
                <w14:textFill>
                  <w14:solidFill>
                    <w14:srgbClr w14:val="000000">
                      <w14:alpha w14:val="100000"/>
                    </w14:srgbClr>
                  </w14:solidFill>
                </w14:textFill>
              </w:rPr>
              <w:t xml:space="preserve">　</w:t>
            </w:r>
            <w:r w:rsidR="00620543">
              <w:rPr>
                <w:vertAlign w:val="superscript"/>
              </w:rPr>
              <w:t>2</w:t>
            </w:r>
          </w:p>
        </w:tc>
        <w:tc>
          <w:tcPr>
            <w:tcW w:w="629" w:type="pct"/>
            <w:tcBorders>
              <w:top w:val="single" w:sz="4" w:space="0" w:color="auto"/>
              <w:left w:val="nil"/>
              <w:bottom w:val="single" w:sz="4" w:space="0" w:color="auto"/>
              <w:right w:val="single" w:sz="4" w:space="0" w:color="auto"/>
            </w:tcBorders>
            <w:shd w:val="clear" w:color="000000" w:fill="FFFFFF"/>
          </w:tcPr>
          <w:p w14:paraId="35024A0C" w14:textId="7169B60A" w:rsidR="00B813E5" w:rsidRPr="004C3CC2" w:rsidRDefault="004C3CC2" w:rsidP="00164B5C">
            <w:pPr>
              <w:pStyle w:val="TableText"/>
              <w:keepLines/>
              <w:jc w:val="center"/>
              <w:rPr>
                <w:highlight w:val="yellow"/>
              </w:rPr>
            </w:pPr>
            <w:r w:rsidRPr="004C3CC2">
              <w:rPr>
                <w:rFonts w:hint="eastAsia"/>
                <w:color w:val="000000"/>
                <w:w w:val="15"/>
                <w:shd w:val="solid" w:color="000000" w:fill="000000"/>
                <w:fitText w:val="40" w:id="-1504953598"/>
                <w14:textFill>
                  <w14:solidFill>
                    <w14:srgbClr w14:val="000000">
                      <w14:alpha w14:val="100000"/>
                    </w14:srgbClr>
                  </w14:solidFill>
                </w14:textFill>
              </w:rPr>
              <w:t xml:space="preserve">　</w:t>
            </w:r>
            <w:r w:rsidRPr="004C3CC2">
              <w:rPr>
                <w:color w:val="000000"/>
                <w:w w:val="15"/>
                <w:shd w:val="solid" w:color="000000" w:fill="000000"/>
                <w:fitText w:val="40" w:id="-1504953598"/>
                <w14:textFill>
                  <w14:solidFill>
                    <w14:srgbClr w14:val="000000">
                      <w14:alpha w14:val="100000"/>
                    </w14:srgbClr>
                  </w14:solidFill>
                </w14:textFill>
              </w:rPr>
              <w:t>|</w:t>
            </w:r>
            <w:r w:rsidRPr="004C3CC2">
              <w:rPr>
                <w:rFonts w:hint="eastAsia"/>
                <w:color w:val="000000"/>
                <w:spacing w:val="-25"/>
                <w:w w:val="15"/>
                <w:shd w:val="solid" w:color="000000" w:fill="000000"/>
                <w:fitText w:val="40" w:id="-1504953598"/>
                <w14:textFill>
                  <w14:solidFill>
                    <w14:srgbClr w14:val="000000">
                      <w14:alpha w14:val="100000"/>
                    </w14:srgbClr>
                  </w14:solidFill>
                </w14:textFill>
              </w:rPr>
              <w:t xml:space="preserve">　</w:t>
            </w:r>
            <w:r w:rsidR="00620543">
              <w:rPr>
                <w:vertAlign w:val="superscript"/>
              </w:rPr>
              <w:t>4</w:t>
            </w:r>
          </w:p>
        </w:tc>
        <w:tc>
          <w:tcPr>
            <w:tcW w:w="621" w:type="pct"/>
            <w:tcBorders>
              <w:top w:val="single" w:sz="4" w:space="0" w:color="auto"/>
              <w:left w:val="nil"/>
              <w:bottom w:val="single" w:sz="4" w:space="0" w:color="auto"/>
              <w:right w:val="single" w:sz="4" w:space="0" w:color="auto"/>
            </w:tcBorders>
            <w:shd w:val="clear" w:color="000000" w:fill="FFFFFF"/>
          </w:tcPr>
          <w:p w14:paraId="33DF9037" w14:textId="1853C739" w:rsidR="00B813E5" w:rsidRPr="004C3CC2" w:rsidRDefault="004C3CC2" w:rsidP="00164B5C">
            <w:pPr>
              <w:pStyle w:val="TableText"/>
              <w:keepLines/>
              <w:jc w:val="center"/>
              <w:rPr>
                <w:highlight w:val="yellow"/>
              </w:rPr>
            </w:pPr>
            <w:r w:rsidRPr="004C3CC2">
              <w:rPr>
                <w:rFonts w:hint="eastAsia"/>
                <w:color w:val="000000"/>
                <w:w w:val="15"/>
                <w:shd w:val="solid" w:color="000000" w:fill="000000"/>
                <w:fitText w:val="50" w:id="-1504953597"/>
                <w14:textFill>
                  <w14:solidFill>
                    <w14:srgbClr w14:val="000000">
                      <w14:alpha w14:val="100000"/>
                    </w14:srgbClr>
                  </w14:solidFill>
                </w14:textFill>
              </w:rPr>
              <w:t xml:space="preserve">　</w:t>
            </w:r>
            <w:r w:rsidRPr="004C3CC2">
              <w:rPr>
                <w:color w:val="000000"/>
                <w:w w:val="15"/>
                <w:shd w:val="solid" w:color="000000" w:fill="000000"/>
                <w:fitText w:val="50" w:id="-1504953597"/>
                <w14:textFill>
                  <w14:solidFill>
                    <w14:srgbClr w14:val="000000">
                      <w14:alpha w14:val="100000"/>
                    </w14:srgbClr>
                  </w14:solidFill>
                </w14:textFill>
              </w:rPr>
              <w:t>|</w:t>
            </w:r>
            <w:r w:rsidRPr="004C3CC2">
              <w:rPr>
                <w:rFonts w:hint="eastAsia"/>
                <w:color w:val="000000"/>
                <w:spacing w:val="-15"/>
                <w:w w:val="15"/>
                <w:shd w:val="solid" w:color="000000" w:fill="000000"/>
                <w:fitText w:val="50" w:id="-1504953597"/>
                <w14:textFill>
                  <w14:solidFill>
                    <w14:srgbClr w14:val="000000">
                      <w14:alpha w14:val="100000"/>
                    </w14:srgbClr>
                  </w14:solidFill>
                </w14:textFill>
              </w:rPr>
              <w:t xml:space="preserve">　</w:t>
            </w:r>
            <w:r w:rsidR="00620543">
              <w:rPr>
                <w:vertAlign w:val="superscript"/>
              </w:rPr>
              <w:t>4</w:t>
            </w:r>
          </w:p>
        </w:tc>
        <w:tc>
          <w:tcPr>
            <w:tcW w:w="664" w:type="pct"/>
            <w:tcBorders>
              <w:top w:val="single" w:sz="4" w:space="0" w:color="auto"/>
              <w:left w:val="nil"/>
              <w:bottom w:val="single" w:sz="4" w:space="0" w:color="auto"/>
              <w:right w:val="single" w:sz="4" w:space="0" w:color="auto"/>
            </w:tcBorders>
            <w:shd w:val="clear" w:color="000000" w:fill="FFFFFF"/>
          </w:tcPr>
          <w:p w14:paraId="22AC705D" w14:textId="18AE3E1D" w:rsidR="00B813E5" w:rsidRPr="004C3CC2" w:rsidRDefault="004C3CC2" w:rsidP="00164B5C">
            <w:pPr>
              <w:pStyle w:val="TableText"/>
              <w:keepLines/>
              <w:jc w:val="center"/>
              <w:rPr>
                <w:highlight w:val="yellow"/>
              </w:rPr>
            </w:pPr>
            <w:r w:rsidRPr="00046698">
              <w:rPr>
                <w:rFonts w:hint="eastAsia"/>
                <w:color w:val="000000"/>
                <w:w w:val="15"/>
                <w:shd w:val="solid" w:color="000000" w:fill="000000"/>
                <w:fitText w:val="10" w:id="-1504953596"/>
                <w14:textFill>
                  <w14:solidFill>
                    <w14:srgbClr w14:val="000000">
                      <w14:alpha w14:val="100000"/>
                    </w14:srgbClr>
                  </w14:solidFill>
                </w14:textFill>
              </w:rPr>
              <w:t xml:space="preserve">　</w:t>
            </w:r>
            <w:r w:rsidRPr="00046698">
              <w:rPr>
                <w:color w:val="000000"/>
                <w:w w:val="15"/>
                <w:shd w:val="solid" w:color="000000" w:fill="000000"/>
                <w:fitText w:val="10" w:id="-1504953596"/>
                <w14:textFill>
                  <w14:solidFill>
                    <w14:srgbClr w14:val="000000">
                      <w14:alpha w14:val="100000"/>
                    </w14:srgbClr>
                  </w14:solidFill>
                </w14:textFill>
              </w:rPr>
              <w:t>|</w:t>
            </w:r>
            <w:r w:rsidRPr="00046698">
              <w:rPr>
                <w:rFonts w:hint="eastAsia"/>
                <w:color w:val="000000"/>
                <w:spacing w:val="-55"/>
                <w:w w:val="15"/>
                <w:shd w:val="solid" w:color="000000" w:fill="000000"/>
                <w:fitText w:val="10" w:id="-1504953596"/>
                <w14:textFill>
                  <w14:solidFill>
                    <w14:srgbClr w14:val="000000">
                      <w14:alpha w14:val="100000"/>
                    </w14:srgbClr>
                  </w14:solidFill>
                </w14:textFill>
              </w:rPr>
              <w:t xml:space="preserve">　</w:t>
            </w:r>
            <w:r w:rsidR="00620543">
              <w:rPr>
                <w:vertAlign w:val="superscript"/>
              </w:rPr>
              <w:t>4</w:t>
            </w:r>
          </w:p>
        </w:tc>
        <w:tc>
          <w:tcPr>
            <w:tcW w:w="651" w:type="pct"/>
            <w:tcBorders>
              <w:top w:val="single" w:sz="4" w:space="0" w:color="auto"/>
              <w:left w:val="nil"/>
              <w:bottom w:val="single" w:sz="4" w:space="0" w:color="auto"/>
              <w:right w:val="single" w:sz="4" w:space="0" w:color="auto"/>
            </w:tcBorders>
            <w:shd w:val="clear" w:color="000000" w:fill="FFFFFF"/>
          </w:tcPr>
          <w:p w14:paraId="4C5F6638" w14:textId="3EB5261D" w:rsidR="00B813E5" w:rsidRPr="004C3CC2" w:rsidRDefault="004C3CC2" w:rsidP="00164B5C">
            <w:pPr>
              <w:pStyle w:val="TableText"/>
              <w:keepLines/>
              <w:jc w:val="center"/>
              <w:rPr>
                <w:highlight w:val="yellow"/>
              </w:rPr>
            </w:pPr>
            <w:r w:rsidRPr="004C3CC2">
              <w:rPr>
                <w:color w:val="000000"/>
                <w:spacing w:val="154"/>
                <w:shd w:val="solid" w:color="000000" w:fill="000000"/>
                <w:fitText w:val="240" w:id="-1504953595"/>
                <w14:textFill>
                  <w14:solidFill>
                    <w14:srgbClr w14:val="000000">
                      <w14:alpha w14:val="100000"/>
                    </w14:srgbClr>
                  </w14:solidFill>
                </w14:textFill>
              </w:rPr>
              <w:t>|</w:t>
            </w:r>
            <w:r w:rsidRPr="004C3CC2">
              <w:rPr>
                <w:color w:val="000000"/>
                <w:spacing w:val="1"/>
                <w:shd w:val="solid" w:color="000000" w:fill="000000"/>
                <w:fitText w:val="240" w:id="-1504953595"/>
                <w14:textFill>
                  <w14:solidFill>
                    <w14:srgbClr w14:val="000000">
                      <w14:alpha w14:val="100000"/>
                    </w14:srgbClr>
                  </w14:solidFill>
                </w14:textFill>
              </w:rPr>
              <w:t>|</w:t>
            </w:r>
            <w:r w:rsidR="00620543">
              <w:rPr>
                <w:vertAlign w:val="superscript"/>
              </w:rPr>
              <w:t>4</w:t>
            </w:r>
            <w:r w:rsidRPr="004C3CC2">
              <w:rPr>
                <w:rFonts w:hint="eastAsia"/>
                <w:color w:val="000000"/>
                <w:w w:val="38"/>
                <w:shd w:val="solid" w:color="000000" w:fill="000000"/>
                <w:fitText w:val="140" w:id="-1504953594"/>
                <w:vertAlign w:val="superscript"/>
                <w14:textFill>
                  <w14:solidFill>
                    <w14:srgbClr w14:val="000000">
                      <w14:alpha w14:val="100000"/>
                    </w14:srgbClr>
                  </w14:solidFill>
                </w14:textFill>
              </w:rPr>
              <w:t xml:space="preserve">　</w:t>
            </w:r>
            <w:r w:rsidRPr="004C3CC2">
              <w:rPr>
                <w:color w:val="000000"/>
                <w:w w:val="38"/>
                <w:shd w:val="solid" w:color="000000" w:fill="000000"/>
                <w:fitText w:val="140" w:id="-1504953594"/>
                <w14:textFill>
                  <w14:solidFill>
                    <w14:srgbClr w14:val="000000">
                      <w14:alpha w14:val="100000"/>
                    </w14:srgbClr>
                  </w14:solidFill>
                </w14:textFill>
              </w:rPr>
              <w:t>|</w:t>
            </w:r>
            <w:r w:rsidRPr="004C3CC2">
              <w:rPr>
                <w:rFonts w:hint="eastAsia"/>
                <w:color w:val="000000"/>
                <w:spacing w:val="3"/>
                <w:w w:val="38"/>
                <w:shd w:val="solid" w:color="000000" w:fill="000000"/>
                <w:fitText w:val="140" w:id="-1504953594"/>
                <w14:textFill>
                  <w14:solidFill>
                    <w14:srgbClr w14:val="000000">
                      <w14:alpha w14:val="100000"/>
                    </w14:srgbClr>
                  </w14:solidFill>
                </w14:textFill>
              </w:rPr>
              <w:t xml:space="preserve">　</w:t>
            </w:r>
          </w:p>
        </w:tc>
      </w:tr>
      <w:tr w:rsidR="00845E08" w:rsidRPr="007B6175" w14:paraId="461614F2" w14:textId="77777777" w:rsidTr="00845E08">
        <w:tc>
          <w:tcPr>
            <w:tcW w:w="1098" w:type="pct"/>
          </w:tcPr>
          <w:p w14:paraId="16B909D2" w14:textId="36CF0B8F" w:rsidR="00B813E5" w:rsidRPr="007B6175" w:rsidRDefault="00B813E5" w:rsidP="00D91056">
            <w:pPr>
              <w:pStyle w:val="TableText"/>
              <w:keepLines/>
            </w:pPr>
            <w:r w:rsidRPr="007B6175">
              <w:t xml:space="preserve">Tier 2 </w:t>
            </w:r>
            <w:r w:rsidR="004C3CC2" w:rsidRPr="004C3CC2">
              <w:rPr>
                <w:color w:val="000000"/>
                <w:spacing w:val="53"/>
                <w:shd w:val="solid" w:color="000000" w:fill="000000"/>
                <w:fitText w:val="330" w:id="-1504953593"/>
                <w14:textFill>
                  <w14:solidFill>
                    <w14:srgbClr w14:val="000000">
                      <w14:alpha w14:val="100000"/>
                    </w14:srgbClr>
                  </w14:solidFill>
                </w14:textFill>
              </w:rPr>
              <w:t>|||</w:t>
            </w:r>
            <w:r w:rsidR="004C3CC2" w:rsidRPr="004C3CC2">
              <w:rPr>
                <w:color w:val="000000"/>
                <w:spacing w:val="1"/>
                <w:shd w:val="solid" w:color="000000" w:fill="000000"/>
                <w:fitText w:val="330" w:id="-1504953593"/>
                <w14:textFill>
                  <w14:solidFill>
                    <w14:srgbClr w14:val="000000">
                      <w14:alpha w14:val="100000"/>
                    </w14:srgbClr>
                  </w14:solidFill>
                </w14:textFill>
              </w:rPr>
              <w:t>|</w:t>
            </w:r>
            <w:r w:rsidRPr="007B6175">
              <w:t>% rebate</w:t>
            </w:r>
            <w:r w:rsidR="00620543">
              <w:t xml:space="preserve"> ($)</w:t>
            </w:r>
          </w:p>
        </w:tc>
        <w:tc>
          <w:tcPr>
            <w:tcW w:w="708" w:type="pct"/>
            <w:tcBorders>
              <w:top w:val="single" w:sz="4" w:space="0" w:color="auto"/>
              <w:left w:val="single" w:sz="4" w:space="0" w:color="auto"/>
              <w:bottom w:val="single" w:sz="4" w:space="0" w:color="auto"/>
              <w:right w:val="single" w:sz="4" w:space="0" w:color="auto"/>
            </w:tcBorders>
            <w:shd w:val="clear" w:color="000000" w:fill="FFFFFF"/>
          </w:tcPr>
          <w:p w14:paraId="53BA7736" w14:textId="14098E1D" w:rsidR="00B813E5" w:rsidRPr="004C3CC2" w:rsidRDefault="004C3CC2" w:rsidP="00D91056">
            <w:pPr>
              <w:pStyle w:val="TableText"/>
              <w:keepLines/>
              <w:jc w:val="center"/>
              <w:rPr>
                <w:highlight w:val="yellow"/>
              </w:rPr>
            </w:pPr>
            <w:r w:rsidRPr="004C3CC2">
              <w:rPr>
                <w:color w:val="000000"/>
                <w:shd w:val="solid" w:color="000000" w:fill="000000"/>
                <w14:textFill>
                  <w14:solidFill>
                    <w14:srgbClr w14:val="000000">
                      <w14:alpha w14:val="100000"/>
                    </w14:srgbClr>
                  </w14:solidFill>
                </w14:textFill>
              </w:rPr>
              <w:t>|</w:t>
            </w:r>
            <w:r w:rsidR="00620543">
              <w:rPr>
                <w:vertAlign w:val="superscript"/>
              </w:rPr>
              <w:t>2</w:t>
            </w:r>
          </w:p>
        </w:tc>
        <w:tc>
          <w:tcPr>
            <w:tcW w:w="630" w:type="pct"/>
            <w:tcBorders>
              <w:top w:val="single" w:sz="4" w:space="0" w:color="auto"/>
              <w:left w:val="nil"/>
              <w:bottom w:val="single" w:sz="4" w:space="0" w:color="auto"/>
              <w:right w:val="single" w:sz="4" w:space="0" w:color="auto"/>
            </w:tcBorders>
            <w:shd w:val="clear" w:color="000000" w:fill="FFFFFF"/>
          </w:tcPr>
          <w:p w14:paraId="337C2CC2" w14:textId="0E50979A" w:rsidR="00B813E5" w:rsidRPr="004C3CC2" w:rsidRDefault="004C3CC2" w:rsidP="0063185B">
            <w:pPr>
              <w:pStyle w:val="TableText"/>
              <w:keepLines/>
              <w:jc w:val="center"/>
              <w:rPr>
                <w:highlight w:val="yellow"/>
              </w:rPr>
            </w:pPr>
            <w:r w:rsidRPr="004C3CC2">
              <w:rPr>
                <w:rFonts w:hint="eastAsia"/>
                <w:color w:val="000000"/>
                <w:w w:val="15"/>
                <w:shd w:val="solid" w:color="000000" w:fill="000000"/>
                <w:fitText w:val="40" w:id="-1504953592"/>
                <w14:textFill>
                  <w14:solidFill>
                    <w14:srgbClr w14:val="000000">
                      <w14:alpha w14:val="100000"/>
                    </w14:srgbClr>
                  </w14:solidFill>
                </w14:textFill>
              </w:rPr>
              <w:t xml:space="preserve">　</w:t>
            </w:r>
            <w:r w:rsidRPr="004C3CC2">
              <w:rPr>
                <w:color w:val="000000"/>
                <w:w w:val="15"/>
                <w:shd w:val="solid" w:color="000000" w:fill="000000"/>
                <w:fitText w:val="40" w:id="-1504953592"/>
                <w14:textFill>
                  <w14:solidFill>
                    <w14:srgbClr w14:val="000000">
                      <w14:alpha w14:val="100000"/>
                    </w14:srgbClr>
                  </w14:solidFill>
                </w14:textFill>
              </w:rPr>
              <w:t>|</w:t>
            </w:r>
            <w:r w:rsidRPr="004C3CC2">
              <w:rPr>
                <w:rFonts w:hint="eastAsia"/>
                <w:color w:val="000000"/>
                <w:spacing w:val="-25"/>
                <w:w w:val="15"/>
                <w:shd w:val="solid" w:color="000000" w:fill="000000"/>
                <w:fitText w:val="40" w:id="-1504953592"/>
                <w14:textFill>
                  <w14:solidFill>
                    <w14:srgbClr w14:val="000000">
                      <w14:alpha w14:val="100000"/>
                    </w14:srgbClr>
                  </w14:solidFill>
                </w14:textFill>
              </w:rPr>
              <w:t xml:space="preserve">　</w:t>
            </w:r>
            <w:r w:rsidR="00620543">
              <w:rPr>
                <w:vertAlign w:val="superscript"/>
              </w:rPr>
              <w:t>4</w:t>
            </w:r>
          </w:p>
        </w:tc>
        <w:tc>
          <w:tcPr>
            <w:tcW w:w="629" w:type="pct"/>
            <w:tcBorders>
              <w:top w:val="single" w:sz="4" w:space="0" w:color="auto"/>
              <w:left w:val="nil"/>
              <w:bottom w:val="single" w:sz="4" w:space="0" w:color="auto"/>
              <w:right w:val="single" w:sz="4" w:space="0" w:color="auto"/>
            </w:tcBorders>
            <w:shd w:val="clear" w:color="000000" w:fill="FFFFFF"/>
          </w:tcPr>
          <w:p w14:paraId="3DCDD5A9" w14:textId="7E32F1E2" w:rsidR="00B813E5" w:rsidRPr="004C3CC2" w:rsidRDefault="004C3CC2" w:rsidP="00164B5C">
            <w:pPr>
              <w:pStyle w:val="TableText"/>
              <w:keepLines/>
              <w:jc w:val="center"/>
              <w:rPr>
                <w:highlight w:val="yellow"/>
              </w:rPr>
            </w:pPr>
            <w:r w:rsidRPr="004C3CC2">
              <w:rPr>
                <w:rFonts w:hint="eastAsia"/>
                <w:color w:val="000000"/>
                <w:w w:val="15"/>
                <w:shd w:val="solid" w:color="000000" w:fill="000000"/>
                <w:fitText w:val="40" w:id="-1504953591"/>
                <w14:textFill>
                  <w14:solidFill>
                    <w14:srgbClr w14:val="000000">
                      <w14:alpha w14:val="100000"/>
                    </w14:srgbClr>
                  </w14:solidFill>
                </w14:textFill>
              </w:rPr>
              <w:t xml:space="preserve">　</w:t>
            </w:r>
            <w:r w:rsidRPr="004C3CC2">
              <w:rPr>
                <w:color w:val="000000"/>
                <w:w w:val="15"/>
                <w:shd w:val="solid" w:color="000000" w:fill="000000"/>
                <w:fitText w:val="40" w:id="-1504953591"/>
                <w14:textFill>
                  <w14:solidFill>
                    <w14:srgbClr w14:val="000000">
                      <w14:alpha w14:val="100000"/>
                    </w14:srgbClr>
                  </w14:solidFill>
                </w14:textFill>
              </w:rPr>
              <w:t>|</w:t>
            </w:r>
            <w:r w:rsidRPr="004C3CC2">
              <w:rPr>
                <w:rFonts w:hint="eastAsia"/>
                <w:color w:val="000000"/>
                <w:spacing w:val="-25"/>
                <w:w w:val="15"/>
                <w:shd w:val="solid" w:color="000000" w:fill="000000"/>
                <w:fitText w:val="40" w:id="-1504953591"/>
                <w14:textFill>
                  <w14:solidFill>
                    <w14:srgbClr w14:val="000000">
                      <w14:alpha w14:val="100000"/>
                    </w14:srgbClr>
                  </w14:solidFill>
                </w14:textFill>
              </w:rPr>
              <w:t xml:space="preserve">　</w:t>
            </w:r>
            <w:r w:rsidR="00D31934">
              <w:rPr>
                <w:vertAlign w:val="superscript"/>
              </w:rPr>
              <w:t>7</w:t>
            </w:r>
          </w:p>
        </w:tc>
        <w:tc>
          <w:tcPr>
            <w:tcW w:w="621" w:type="pct"/>
            <w:tcBorders>
              <w:top w:val="single" w:sz="4" w:space="0" w:color="auto"/>
              <w:left w:val="nil"/>
              <w:bottom w:val="single" w:sz="4" w:space="0" w:color="auto"/>
              <w:right w:val="single" w:sz="4" w:space="0" w:color="auto"/>
            </w:tcBorders>
            <w:shd w:val="clear" w:color="000000" w:fill="FFFFFF"/>
          </w:tcPr>
          <w:p w14:paraId="1C8A7D4D" w14:textId="0E14709C" w:rsidR="00B813E5" w:rsidRPr="004C3CC2" w:rsidRDefault="004C3CC2" w:rsidP="00164B5C">
            <w:pPr>
              <w:pStyle w:val="TableText"/>
              <w:keepLines/>
              <w:jc w:val="center"/>
              <w:rPr>
                <w:highlight w:val="yellow"/>
              </w:rPr>
            </w:pPr>
            <w:r w:rsidRPr="004C3CC2">
              <w:rPr>
                <w:rFonts w:hint="eastAsia"/>
                <w:color w:val="000000"/>
                <w:w w:val="15"/>
                <w:shd w:val="solid" w:color="000000" w:fill="000000"/>
                <w:fitText w:val="50" w:id="-1504953590"/>
                <w14:textFill>
                  <w14:solidFill>
                    <w14:srgbClr w14:val="000000">
                      <w14:alpha w14:val="100000"/>
                    </w14:srgbClr>
                  </w14:solidFill>
                </w14:textFill>
              </w:rPr>
              <w:t xml:space="preserve">　</w:t>
            </w:r>
            <w:r w:rsidRPr="004C3CC2">
              <w:rPr>
                <w:color w:val="000000"/>
                <w:w w:val="15"/>
                <w:shd w:val="solid" w:color="000000" w:fill="000000"/>
                <w:fitText w:val="50" w:id="-1504953590"/>
                <w14:textFill>
                  <w14:solidFill>
                    <w14:srgbClr w14:val="000000">
                      <w14:alpha w14:val="100000"/>
                    </w14:srgbClr>
                  </w14:solidFill>
                </w14:textFill>
              </w:rPr>
              <w:t>|</w:t>
            </w:r>
            <w:r w:rsidRPr="004C3CC2">
              <w:rPr>
                <w:rFonts w:hint="eastAsia"/>
                <w:color w:val="000000"/>
                <w:spacing w:val="-15"/>
                <w:w w:val="15"/>
                <w:shd w:val="solid" w:color="000000" w:fill="000000"/>
                <w:fitText w:val="50" w:id="-1504953590"/>
                <w14:textFill>
                  <w14:solidFill>
                    <w14:srgbClr w14:val="000000">
                      <w14:alpha w14:val="100000"/>
                    </w14:srgbClr>
                  </w14:solidFill>
                </w14:textFill>
              </w:rPr>
              <w:t xml:space="preserve">　</w:t>
            </w:r>
            <w:r w:rsidR="00D31934">
              <w:rPr>
                <w:vertAlign w:val="superscript"/>
              </w:rPr>
              <w:t>7</w:t>
            </w:r>
          </w:p>
        </w:tc>
        <w:tc>
          <w:tcPr>
            <w:tcW w:w="664" w:type="pct"/>
            <w:tcBorders>
              <w:top w:val="single" w:sz="4" w:space="0" w:color="auto"/>
              <w:left w:val="nil"/>
              <w:bottom w:val="single" w:sz="4" w:space="0" w:color="auto"/>
              <w:right w:val="single" w:sz="4" w:space="0" w:color="auto"/>
            </w:tcBorders>
            <w:shd w:val="clear" w:color="000000" w:fill="FFFFFF"/>
          </w:tcPr>
          <w:p w14:paraId="07F5C2B3" w14:textId="22FF95FB" w:rsidR="00B813E5" w:rsidRPr="004C3CC2" w:rsidRDefault="004C3CC2" w:rsidP="00164B5C">
            <w:pPr>
              <w:pStyle w:val="TableText"/>
              <w:keepLines/>
              <w:jc w:val="center"/>
              <w:rPr>
                <w:highlight w:val="yellow"/>
              </w:rPr>
            </w:pPr>
            <w:r w:rsidRPr="00046698">
              <w:rPr>
                <w:rFonts w:hint="eastAsia"/>
                <w:color w:val="000000"/>
                <w:w w:val="15"/>
                <w:shd w:val="solid" w:color="000000" w:fill="000000"/>
                <w:fitText w:val="10" w:id="-1504953589"/>
                <w14:textFill>
                  <w14:solidFill>
                    <w14:srgbClr w14:val="000000">
                      <w14:alpha w14:val="100000"/>
                    </w14:srgbClr>
                  </w14:solidFill>
                </w14:textFill>
              </w:rPr>
              <w:t xml:space="preserve">　</w:t>
            </w:r>
            <w:r w:rsidRPr="00046698">
              <w:rPr>
                <w:color w:val="000000"/>
                <w:w w:val="15"/>
                <w:shd w:val="solid" w:color="000000" w:fill="000000"/>
                <w:fitText w:val="10" w:id="-1504953589"/>
                <w14:textFill>
                  <w14:solidFill>
                    <w14:srgbClr w14:val="000000">
                      <w14:alpha w14:val="100000"/>
                    </w14:srgbClr>
                  </w14:solidFill>
                </w14:textFill>
              </w:rPr>
              <w:t>|</w:t>
            </w:r>
            <w:r w:rsidRPr="00046698">
              <w:rPr>
                <w:rFonts w:hint="eastAsia"/>
                <w:color w:val="000000"/>
                <w:spacing w:val="-55"/>
                <w:w w:val="15"/>
                <w:shd w:val="solid" w:color="000000" w:fill="000000"/>
                <w:fitText w:val="10" w:id="-1504953589"/>
                <w14:textFill>
                  <w14:solidFill>
                    <w14:srgbClr w14:val="000000">
                      <w14:alpha w14:val="100000"/>
                    </w14:srgbClr>
                  </w14:solidFill>
                </w14:textFill>
              </w:rPr>
              <w:t xml:space="preserve">　</w:t>
            </w:r>
            <w:r w:rsidR="00D31934">
              <w:rPr>
                <w:vertAlign w:val="superscript"/>
              </w:rPr>
              <w:t>7</w:t>
            </w:r>
          </w:p>
        </w:tc>
        <w:tc>
          <w:tcPr>
            <w:tcW w:w="651" w:type="pct"/>
            <w:tcBorders>
              <w:top w:val="single" w:sz="4" w:space="0" w:color="auto"/>
              <w:left w:val="nil"/>
              <w:bottom w:val="single" w:sz="4" w:space="0" w:color="auto"/>
              <w:right w:val="single" w:sz="4" w:space="0" w:color="auto"/>
            </w:tcBorders>
            <w:shd w:val="clear" w:color="000000" w:fill="FFFFFF"/>
          </w:tcPr>
          <w:p w14:paraId="7A3B0AB1" w14:textId="6F25BF27" w:rsidR="00B813E5" w:rsidRPr="004C3CC2" w:rsidRDefault="004C3CC2" w:rsidP="00164B5C">
            <w:pPr>
              <w:pStyle w:val="TableText"/>
              <w:keepLines/>
              <w:jc w:val="center"/>
              <w:rPr>
                <w:highlight w:val="yellow"/>
              </w:rPr>
            </w:pPr>
            <w:r w:rsidRPr="004C3CC2">
              <w:rPr>
                <w:color w:val="000000"/>
                <w:spacing w:val="154"/>
                <w:shd w:val="solid" w:color="000000" w:fill="000000"/>
                <w:fitText w:val="240" w:id="-1504953588"/>
                <w14:textFill>
                  <w14:solidFill>
                    <w14:srgbClr w14:val="000000">
                      <w14:alpha w14:val="100000"/>
                    </w14:srgbClr>
                  </w14:solidFill>
                </w14:textFill>
              </w:rPr>
              <w:t>|</w:t>
            </w:r>
            <w:r w:rsidRPr="004C3CC2">
              <w:rPr>
                <w:color w:val="000000"/>
                <w:spacing w:val="1"/>
                <w:shd w:val="solid" w:color="000000" w:fill="000000"/>
                <w:fitText w:val="240" w:id="-1504953588"/>
                <w14:textFill>
                  <w14:solidFill>
                    <w14:srgbClr w14:val="000000">
                      <w14:alpha w14:val="100000"/>
                    </w14:srgbClr>
                  </w14:solidFill>
                </w14:textFill>
              </w:rPr>
              <w:t>|</w:t>
            </w:r>
            <w:r w:rsidR="00D31934">
              <w:rPr>
                <w:vertAlign w:val="superscript"/>
              </w:rPr>
              <w:t>7</w:t>
            </w:r>
            <w:r w:rsidRPr="004C3CC2">
              <w:rPr>
                <w:rFonts w:hint="eastAsia"/>
                <w:color w:val="000000"/>
                <w:w w:val="38"/>
                <w:shd w:val="solid" w:color="000000" w:fill="000000"/>
                <w:fitText w:val="140" w:id="-1504953587"/>
                <w:vertAlign w:val="superscript"/>
                <w14:textFill>
                  <w14:solidFill>
                    <w14:srgbClr w14:val="000000">
                      <w14:alpha w14:val="100000"/>
                    </w14:srgbClr>
                  </w14:solidFill>
                </w14:textFill>
              </w:rPr>
              <w:t xml:space="preserve">　</w:t>
            </w:r>
            <w:r w:rsidRPr="004C3CC2">
              <w:rPr>
                <w:color w:val="000000"/>
                <w:w w:val="38"/>
                <w:shd w:val="solid" w:color="000000" w:fill="000000"/>
                <w:fitText w:val="140" w:id="-1504953587"/>
                <w14:textFill>
                  <w14:solidFill>
                    <w14:srgbClr w14:val="000000">
                      <w14:alpha w14:val="100000"/>
                    </w14:srgbClr>
                  </w14:solidFill>
                </w14:textFill>
              </w:rPr>
              <w:t>|</w:t>
            </w:r>
            <w:r w:rsidRPr="004C3CC2">
              <w:rPr>
                <w:rFonts w:hint="eastAsia"/>
                <w:color w:val="000000"/>
                <w:spacing w:val="3"/>
                <w:w w:val="38"/>
                <w:shd w:val="solid" w:color="000000" w:fill="000000"/>
                <w:fitText w:val="140" w:id="-1504953587"/>
                <w14:textFill>
                  <w14:solidFill>
                    <w14:srgbClr w14:val="000000">
                      <w14:alpha w14:val="100000"/>
                    </w14:srgbClr>
                  </w14:solidFill>
                </w14:textFill>
              </w:rPr>
              <w:t xml:space="preserve">　</w:t>
            </w:r>
          </w:p>
        </w:tc>
      </w:tr>
      <w:tr w:rsidR="00B813E5" w:rsidRPr="007B6175" w14:paraId="089C6171" w14:textId="77777777" w:rsidTr="00F75DE5">
        <w:tc>
          <w:tcPr>
            <w:tcW w:w="5000" w:type="pct"/>
            <w:gridSpan w:val="7"/>
            <w:tcBorders>
              <w:right w:val="single" w:sz="4" w:space="0" w:color="auto"/>
            </w:tcBorders>
          </w:tcPr>
          <w:p w14:paraId="582E7070" w14:textId="77777777" w:rsidR="00B813E5" w:rsidRPr="007B6175" w:rsidRDefault="00B813E5" w:rsidP="00D91056">
            <w:pPr>
              <w:pStyle w:val="TableText"/>
              <w:keepLines/>
              <w:rPr>
                <w:b/>
                <w:bCs w:val="0"/>
              </w:rPr>
            </w:pPr>
            <w:r w:rsidRPr="007B6175">
              <w:rPr>
                <w:b/>
                <w:bCs w:val="0"/>
              </w:rPr>
              <w:t>Proposed high frequency episodic migraine cap parameters</w:t>
            </w:r>
          </w:p>
        </w:tc>
      </w:tr>
      <w:tr w:rsidR="00845E08" w:rsidRPr="007B6175" w14:paraId="2BFC0174" w14:textId="77777777" w:rsidTr="00845E08">
        <w:tc>
          <w:tcPr>
            <w:tcW w:w="1098" w:type="pct"/>
            <w:vAlign w:val="center"/>
          </w:tcPr>
          <w:p w14:paraId="7252DCFA" w14:textId="77777777" w:rsidR="00B813E5" w:rsidRPr="007B6175" w:rsidRDefault="00B813E5" w:rsidP="00D91056">
            <w:pPr>
              <w:pStyle w:val="TableText"/>
              <w:keepLines/>
            </w:pPr>
            <w:r w:rsidRPr="007B6175">
              <w:t>Months specified</w:t>
            </w:r>
          </w:p>
        </w:tc>
        <w:tc>
          <w:tcPr>
            <w:tcW w:w="708" w:type="pct"/>
            <w:tcBorders>
              <w:top w:val="single" w:sz="4" w:space="0" w:color="auto"/>
              <w:left w:val="single" w:sz="4" w:space="0" w:color="auto"/>
              <w:bottom w:val="single" w:sz="4" w:space="0" w:color="auto"/>
              <w:right w:val="single" w:sz="4" w:space="0" w:color="auto"/>
            </w:tcBorders>
            <w:shd w:val="clear" w:color="000000" w:fill="FFFFFF"/>
          </w:tcPr>
          <w:p w14:paraId="6FF4541C" w14:textId="77777777" w:rsidR="00B813E5" w:rsidRPr="007B6175" w:rsidRDefault="00B813E5" w:rsidP="00D91056">
            <w:pPr>
              <w:pStyle w:val="TableText"/>
              <w:keepLines/>
              <w:jc w:val="center"/>
            </w:pPr>
            <w:r w:rsidRPr="007B6175">
              <w:t xml:space="preserve">Aug 21 - </w:t>
            </w:r>
          </w:p>
          <w:p w14:paraId="0B4BA897" w14:textId="77777777" w:rsidR="00B813E5" w:rsidRPr="007B6175" w:rsidRDefault="00B813E5" w:rsidP="0063185B">
            <w:pPr>
              <w:pStyle w:val="TableText"/>
              <w:keepLines/>
              <w:jc w:val="center"/>
            </w:pPr>
            <w:r w:rsidRPr="007B6175">
              <w:t>Jul 22</w:t>
            </w:r>
          </w:p>
        </w:tc>
        <w:tc>
          <w:tcPr>
            <w:tcW w:w="630" w:type="pct"/>
            <w:tcBorders>
              <w:top w:val="single" w:sz="4" w:space="0" w:color="auto"/>
              <w:left w:val="nil"/>
              <w:bottom w:val="single" w:sz="4" w:space="0" w:color="auto"/>
              <w:right w:val="single" w:sz="4" w:space="0" w:color="auto"/>
            </w:tcBorders>
            <w:shd w:val="clear" w:color="000000" w:fill="FFFFFF"/>
          </w:tcPr>
          <w:p w14:paraId="708F6A6A" w14:textId="77777777" w:rsidR="00B813E5" w:rsidRPr="007B6175" w:rsidRDefault="00B813E5" w:rsidP="00164B5C">
            <w:pPr>
              <w:pStyle w:val="TableText"/>
              <w:keepLines/>
              <w:jc w:val="center"/>
            </w:pPr>
            <w:r w:rsidRPr="007B6175">
              <w:t xml:space="preserve">Aug 22 - </w:t>
            </w:r>
          </w:p>
          <w:p w14:paraId="48F2623D" w14:textId="77777777" w:rsidR="00B813E5" w:rsidRPr="007B6175" w:rsidRDefault="00B813E5" w:rsidP="00164B5C">
            <w:pPr>
              <w:pStyle w:val="TableText"/>
              <w:keepLines/>
              <w:jc w:val="center"/>
            </w:pPr>
            <w:r w:rsidRPr="007B6175">
              <w:t>Jul 23</w:t>
            </w:r>
          </w:p>
        </w:tc>
        <w:tc>
          <w:tcPr>
            <w:tcW w:w="629" w:type="pct"/>
            <w:tcBorders>
              <w:top w:val="single" w:sz="4" w:space="0" w:color="auto"/>
              <w:left w:val="nil"/>
              <w:bottom w:val="single" w:sz="4" w:space="0" w:color="auto"/>
              <w:right w:val="single" w:sz="4" w:space="0" w:color="auto"/>
            </w:tcBorders>
            <w:shd w:val="clear" w:color="000000" w:fill="FFFFFF"/>
          </w:tcPr>
          <w:p w14:paraId="15AF9036" w14:textId="77777777" w:rsidR="00B813E5" w:rsidRPr="007B6175" w:rsidRDefault="00B813E5" w:rsidP="00164B5C">
            <w:pPr>
              <w:pStyle w:val="TableText"/>
              <w:keepLines/>
              <w:jc w:val="center"/>
            </w:pPr>
            <w:r w:rsidRPr="007B6175">
              <w:t xml:space="preserve">Aug 23 - </w:t>
            </w:r>
          </w:p>
          <w:p w14:paraId="0B3C1720" w14:textId="77777777" w:rsidR="00B813E5" w:rsidRPr="007B6175" w:rsidRDefault="00B813E5" w:rsidP="00164B5C">
            <w:pPr>
              <w:pStyle w:val="TableText"/>
              <w:keepLines/>
              <w:jc w:val="center"/>
            </w:pPr>
            <w:r w:rsidRPr="007B6175">
              <w:t>Jul 24</w:t>
            </w:r>
          </w:p>
        </w:tc>
        <w:tc>
          <w:tcPr>
            <w:tcW w:w="621" w:type="pct"/>
            <w:tcBorders>
              <w:top w:val="single" w:sz="4" w:space="0" w:color="auto"/>
              <w:left w:val="nil"/>
              <w:bottom w:val="single" w:sz="4" w:space="0" w:color="auto"/>
              <w:right w:val="single" w:sz="4" w:space="0" w:color="auto"/>
            </w:tcBorders>
            <w:shd w:val="clear" w:color="000000" w:fill="FFFFFF"/>
          </w:tcPr>
          <w:p w14:paraId="1B4FE03F" w14:textId="77777777" w:rsidR="00B813E5" w:rsidRPr="007B6175" w:rsidRDefault="00B813E5" w:rsidP="00164B5C">
            <w:pPr>
              <w:pStyle w:val="TableText"/>
              <w:keepLines/>
              <w:jc w:val="center"/>
            </w:pPr>
            <w:r w:rsidRPr="007B6175">
              <w:t xml:space="preserve">Aug 24 - </w:t>
            </w:r>
          </w:p>
          <w:p w14:paraId="625A9E83" w14:textId="77777777" w:rsidR="00B813E5" w:rsidRPr="007B6175" w:rsidRDefault="00B813E5" w:rsidP="00164B5C">
            <w:pPr>
              <w:pStyle w:val="TableText"/>
              <w:keepLines/>
              <w:jc w:val="center"/>
            </w:pPr>
            <w:r w:rsidRPr="007B6175">
              <w:t>Jul 25</w:t>
            </w:r>
          </w:p>
        </w:tc>
        <w:tc>
          <w:tcPr>
            <w:tcW w:w="664" w:type="pct"/>
            <w:tcBorders>
              <w:top w:val="single" w:sz="4" w:space="0" w:color="auto"/>
              <w:left w:val="nil"/>
              <w:bottom w:val="single" w:sz="4" w:space="0" w:color="auto"/>
              <w:right w:val="single" w:sz="4" w:space="0" w:color="auto"/>
            </w:tcBorders>
            <w:shd w:val="clear" w:color="000000" w:fill="FFFFFF"/>
          </w:tcPr>
          <w:p w14:paraId="497FE852" w14:textId="77777777" w:rsidR="00B813E5" w:rsidRPr="007B6175" w:rsidRDefault="00B813E5" w:rsidP="00164B5C">
            <w:pPr>
              <w:pStyle w:val="TableText"/>
              <w:keepLines/>
              <w:jc w:val="center"/>
            </w:pPr>
            <w:r w:rsidRPr="007B6175">
              <w:t xml:space="preserve">Aug 25 - </w:t>
            </w:r>
          </w:p>
          <w:p w14:paraId="4B007EBC" w14:textId="77777777" w:rsidR="00B813E5" w:rsidRPr="007B6175" w:rsidRDefault="00B813E5" w:rsidP="00164B5C">
            <w:pPr>
              <w:pStyle w:val="TableText"/>
              <w:keepLines/>
              <w:jc w:val="center"/>
            </w:pPr>
            <w:r w:rsidRPr="007B6175">
              <w:t>Jul 26</w:t>
            </w:r>
          </w:p>
        </w:tc>
        <w:tc>
          <w:tcPr>
            <w:tcW w:w="651" w:type="pct"/>
            <w:tcBorders>
              <w:top w:val="single" w:sz="4" w:space="0" w:color="auto"/>
              <w:left w:val="nil"/>
              <w:bottom w:val="single" w:sz="4" w:space="0" w:color="auto"/>
              <w:right w:val="single" w:sz="4" w:space="0" w:color="auto"/>
            </w:tcBorders>
            <w:shd w:val="clear" w:color="000000" w:fill="FFFFFF"/>
          </w:tcPr>
          <w:p w14:paraId="6D0AD02E" w14:textId="77777777" w:rsidR="00B813E5" w:rsidRPr="007B6175" w:rsidRDefault="00B813E5" w:rsidP="00164B5C">
            <w:pPr>
              <w:pStyle w:val="TableText"/>
              <w:keepLines/>
              <w:jc w:val="center"/>
            </w:pPr>
            <w:r w:rsidRPr="007B6175">
              <w:t xml:space="preserve">Aug 26 - </w:t>
            </w:r>
          </w:p>
          <w:p w14:paraId="52E16567" w14:textId="77777777" w:rsidR="00B813E5" w:rsidRPr="007B6175" w:rsidRDefault="00B813E5" w:rsidP="00164B5C">
            <w:pPr>
              <w:pStyle w:val="TableText"/>
              <w:keepLines/>
              <w:jc w:val="center"/>
            </w:pPr>
            <w:r w:rsidRPr="007B6175">
              <w:t>Jul 27</w:t>
            </w:r>
          </w:p>
        </w:tc>
      </w:tr>
      <w:tr w:rsidR="00845E08" w:rsidRPr="007B6175" w14:paraId="045FB621" w14:textId="77777777" w:rsidTr="00845E08">
        <w:tc>
          <w:tcPr>
            <w:tcW w:w="1098" w:type="pct"/>
          </w:tcPr>
          <w:p w14:paraId="751696AF" w14:textId="1C0880BA" w:rsidR="00B813E5" w:rsidRPr="007B6175" w:rsidRDefault="00B813E5" w:rsidP="00D91056">
            <w:pPr>
              <w:pStyle w:val="TableText"/>
              <w:keepLines/>
            </w:pPr>
            <w:r w:rsidRPr="007B6175">
              <w:t xml:space="preserve">Script volumes </w:t>
            </w:r>
            <w:proofErr w:type="spellStart"/>
            <w:r w:rsidRPr="007B6175">
              <w:t>totals</w:t>
            </w:r>
            <w:r w:rsidR="002B01FB">
              <w:rPr>
                <w:vertAlign w:val="superscript"/>
              </w:rPr>
              <w:t>a</w:t>
            </w:r>
            <w:proofErr w:type="spellEnd"/>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tcPr>
          <w:p w14:paraId="7E9FB094" w14:textId="77777777" w:rsidR="00B813E5" w:rsidRPr="007B6175" w:rsidRDefault="00B813E5" w:rsidP="00D91056">
            <w:pPr>
              <w:pStyle w:val="TableText"/>
              <w:keepLines/>
              <w:jc w:val="center"/>
            </w:pPr>
            <w:r w:rsidRPr="007B6175">
              <w:t>-</w:t>
            </w:r>
          </w:p>
        </w:tc>
        <w:tc>
          <w:tcPr>
            <w:tcW w:w="630" w:type="pct"/>
            <w:tcBorders>
              <w:top w:val="single" w:sz="4" w:space="0" w:color="auto"/>
              <w:left w:val="nil"/>
              <w:bottom w:val="single" w:sz="4" w:space="0" w:color="auto"/>
              <w:right w:val="single" w:sz="4" w:space="0" w:color="auto"/>
            </w:tcBorders>
            <w:shd w:val="clear" w:color="000000" w:fill="FFFFFF"/>
          </w:tcPr>
          <w:p w14:paraId="4F462B74" w14:textId="2A702E05" w:rsidR="00B813E5" w:rsidRPr="004C3CC2" w:rsidRDefault="004C3CC2" w:rsidP="0063185B">
            <w:pPr>
              <w:pStyle w:val="TableText"/>
              <w:keepLines/>
              <w:jc w:val="center"/>
              <w:rPr>
                <w:highlight w:val="yellow"/>
              </w:rPr>
            </w:pPr>
            <w:r w:rsidRPr="004C3CC2">
              <w:rPr>
                <w:rFonts w:hint="eastAsia"/>
                <w:color w:val="000000"/>
                <w:w w:val="15"/>
                <w:shd w:val="solid" w:color="000000" w:fill="000000"/>
                <w:fitText w:val="40" w:id="-1504953586"/>
                <w14:textFill>
                  <w14:solidFill>
                    <w14:srgbClr w14:val="000000">
                      <w14:alpha w14:val="100000"/>
                    </w14:srgbClr>
                  </w14:solidFill>
                </w14:textFill>
              </w:rPr>
              <w:t xml:space="preserve">　</w:t>
            </w:r>
            <w:r w:rsidRPr="004C3CC2">
              <w:rPr>
                <w:color w:val="000000"/>
                <w:w w:val="15"/>
                <w:shd w:val="solid" w:color="000000" w:fill="000000"/>
                <w:fitText w:val="40" w:id="-1504953586"/>
                <w14:textFill>
                  <w14:solidFill>
                    <w14:srgbClr w14:val="000000">
                      <w14:alpha w14:val="100000"/>
                    </w14:srgbClr>
                  </w14:solidFill>
                </w14:textFill>
              </w:rPr>
              <w:t>|</w:t>
            </w:r>
            <w:r w:rsidRPr="004C3CC2">
              <w:rPr>
                <w:rFonts w:hint="eastAsia"/>
                <w:color w:val="000000"/>
                <w:spacing w:val="-25"/>
                <w:w w:val="15"/>
                <w:shd w:val="solid" w:color="000000" w:fill="000000"/>
                <w:fitText w:val="40" w:id="-1504953586"/>
                <w14:textFill>
                  <w14:solidFill>
                    <w14:srgbClr w14:val="000000">
                      <w14:alpha w14:val="100000"/>
                    </w14:srgbClr>
                  </w14:solidFill>
                </w14:textFill>
              </w:rPr>
              <w:t xml:space="preserve">　</w:t>
            </w:r>
            <w:r w:rsidR="00620543">
              <w:rPr>
                <w:vertAlign w:val="superscript"/>
              </w:rPr>
              <w:t>5</w:t>
            </w:r>
          </w:p>
        </w:tc>
        <w:tc>
          <w:tcPr>
            <w:tcW w:w="629" w:type="pct"/>
            <w:tcBorders>
              <w:top w:val="single" w:sz="4" w:space="0" w:color="auto"/>
              <w:left w:val="nil"/>
              <w:bottom w:val="single" w:sz="4" w:space="0" w:color="auto"/>
              <w:right w:val="single" w:sz="4" w:space="0" w:color="auto"/>
            </w:tcBorders>
            <w:shd w:val="clear" w:color="000000" w:fill="FFFFFF"/>
          </w:tcPr>
          <w:p w14:paraId="51FDED90" w14:textId="3323A31C" w:rsidR="00B813E5" w:rsidRPr="004C3CC2" w:rsidRDefault="004C3CC2" w:rsidP="00164B5C">
            <w:pPr>
              <w:pStyle w:val="TableText"/>
              <w:keepLines/>
              <w:jc w:val="center"/>
              <w:rPr>
                <w:highlight w:val="yellow"/>
              </w:rPr>
            </w:pPr>
            <w:r w:rsidRPr="004C3CC2">
              <w:rPr>
                <w:rFonts w:hint="eastAsia"/>
                <w:color w:val="000000"/>
                <w:w w:val="15"/>
                <w:shd w:val="solid" w:color="000000" w:fill="000000"/>
                <w:fitText w:val="70" w:id="-1504953585"/>
                <w14:textFill>
                  <w14:solidFill>
                    <w14:srgbClr w14:val="000000">
                      <w14:alpha w14:val="100000"/>
                    </w14:srgbClr>
                  </w14:solidFill>
                </w14:textFill>
              </w:rPr>
              <w:t xml:space="preserve">　</w:t>
            </w:r>
            <w:r w:rsidRPr="004C3CC2">
              <w:rPr>
                <w:color w:val="000000"/>
                <w:w w:val="15"/>
                <w:shd w:val="solid" w:color="000000" w:fill="000000"/>
                <w:fitText w:val="70" w:id="-1504953585"/>
                <w14:textFill>
                  <w14:solidFill>
                    <w14:srgbClr w14:val="000000">
                      <w14:alpha w14:val="100000"/>
                    </w14:srgbClr>
                  </w14:solidFill>
                </w14:textFill>
              </w:rPr>
              <w:t>|</w:t>
            </w:r>
            <w:r w:rsidRPr="004C3CC2">
              <w:rPr>
                <w:rFonts w:hint="eastAsia"/>
                <w:color w:val="000000"/>
                <w:spacing w:val="4"/>
                <w:w w:val="15"/>
                <w:shd w:val="solid" w:color="000000" w:fill="000000"/>
                <w:fitText w:val="70" w:id="-1504953585"/>
                <w14:textFill>
                  <w14:solidFill>
                    <w14:srgbClr w14:val="000000">
                      <w14:alpha w14:val="100000"/>
                    </w14:srgbClr>
                  </w14:solidFill>
                </w14:textFill>
              </w:rPr>
              <w:t xml:space="preserve">　</w:t>
            </w:r>
            <w:r w:rsidR="00D31934">
              <w:rPr>
                <w:vertAlign w:val="superscript"/>
              </w:rPr>
              <w:t>10</w:t>
            </w:r>
          </w:p>
        </w:tc>
        <w:tc>
          <w:tcPr>
            <w:tcW w:w="621" w:type="pct"/>
            <w:tcBorders>
              <w:top w:val="single" w:sz="4" w:space="0" w:color="auto"/>
              <w:left w:val="nil"/>
              <w:bottom w:val="single" w:sz="4" w:space="0" w:color="auto"/>
              <w:right w:val="single" w:sz="4" w:space="0" w:color="auto"/>
            </w:tcBorders>
            <w:shd w:val="clear" w:color="000000" w:fill="FFFFFF"/>
          </w:tcPr>
          <w:p w14:paraId="158F80C9" w14:textId="5D9B29A4" w:rsidR="00B813E5" w:rsidRPr="004C3CC2" w:rsidRDefault="004C3CC2" w:rsidP="00164B5C">
            <w:pPr>
              <w:pStyle w:val="TableText"/>
              <w:keepLines/>
              <w:jc w:val="center"/>
              <w:rPr>
                <w:highlight w:val="yellow"/>
              </w:rPr>
            </w:pPr>
            <w:r w:rsidRPr="004C3CC2">
              <w:rPr>
                <w:rFonts w:hint="eastAsia"/>
                <w:color w:val="000000"/>
                <w:w w:val="15"/>
                <w:shd w:val="solid" w:color="000000" w:fill="000000"/>
                <w:fitText w:val="50" w:id="-1504953584"/>
                <w14:textFill>
                  <w14:solidFill>
                    <w14:srgbClr w14:val="000000">
                      <w14:alpha w14:val="100000"/>
                    </w14:srgbClr>
                  </w14:solidFill>
                </w14:textFill>
              </w:rPr>
              <w:t xml:space="preserve">　</w:t>
            </w:r>
            <w:r w:rsidRPr="004C3CC2">
              <w:rPr>
                <w:color w:val="000000"/>
                <w:w w:val="15"/>
                <w:shd w:val="solid" w:color="000000" w:fill="000000"/>
                <w:fitText w:val="50" w:id="-1504953584"/>
                <w14:textFill>
                  <w14:solidFill>
                    <w14:srgbClr w14:val="000000">
                      <w14:alpha w14:val="100000"/>
                    </w14:srgbClr>
                  </w14:solidFill>
                </w14:textFill>
              </w:rPr>
              <w:t>|</w:t>
            </w:r>
            <w:r w:rsidRPr="004C3CC2">
              <w:rPr>
                <w:rFonts w:hint="eastAsia"/>
                <w:color w:val="000000"/>
                <w:spacing w:val="-15"/>
                <w:w w:val="15"/>
                <w:shd w:val="solid" w:color="000000" w:fill="000000"/>
                <w:fitText w:val="50" w:id="-1504953584"/>
                <w14:textFill>
                  <w14:solidFill>
                    <w14:srgbClr w14:val="000000">
                      <w14:alpha w14:val="100000"/>
                    </w14:srgbClr>
                  </w14:solidFill>
                </w14:textFill>
              </w:rPr>
              <w:t xml:space="preserve">　</w:t>
            </w:r>
            <w:r w:rsidR="00D31934">
              <w:rPr>
                <w:vertAlign w:val="superscript"/>
              </w:rPr>
              <w:t>9</w:t>
            </w:r>
          </w:p>
        </w:tc>
        <w:tc>
          <w:tcPr>
            <w:tcW w:w="664" w:type="pct"/>
            <w:tcBorders>
              <w:top w:val="single" w:sz="4" w:space="0" w:color="auto"/>
              <w:left w:val="nil"/>
              <w:bottom w:val="single" w:sz="4" w:space="0" w:color="auto"/>
              <w:right w:val="single" w:sz="4" w:space="0" w:color="auto"/>
            </w:tcBorders>
            <w:shd w:val="clear" w:color="000000" w:fill="FFFFFF"/>
          </w:tcPr>
          <w:p w14:paraId="3D4C5FD5" w14:textId="25CE88ED" w:rsidR="00B813E5" w:rsidRPr="004C3CC2" w:rsidRDefault="004C3CC2" w:rsidP="00164B5C">
            <w:pPr>
              <w:pStyle w:val="TableText"/>
              <w:keepLines/>
              <w:jc w:val="center"/>
              <w:rPr>
                <w:highlight w:val="yellow"/>
              </w:rPr>
            </w:pPr>
            <w:r w:rsidRPr="00046698">
              <w:rPr>
                <w:rFonts w:hint="eastAsia"/>
                <w:color w:val="000000"/>
                <w:w w:val="15"/>
                <w:shd w:val="solid" w:color="000000" w:fill="000000"/>
                <w:fitText w:val="10" w:id="-1504953600"/>
                <w14:textFill>
                  <w14:solidFill>
                    <w14:srgbClr w14:val="000000">
                      <w14:alpha w14:val="100000"/>
                    </w14:srgbClr>
                  </w14:solidFill>
                </w14:textFill>
              </w:rPr>
              <w:t xml:space="preserve">　</w:t>
            </w:r>
            <w:r w:rsidRPr="00046698">
              <w:rPr>
                <w:color w:val="000000"/>
                <w:w w:val="15"/>
                <w:shd w:val="solid" w:color="000000" w:fill="000000"/>
                <w:fitText w:val="10" w:id="-1504953600"/>
                <w14:textFill>
                  <w14:solidFill>
                    <w14:srgbClr w14:val="000000">
                      <w14:alpha w14:val="100000"/>
                    </w14:srgbClr>
                  </w14:solidFill>
                </w14:textFill>
              </w:rPr>
              <w:t>|</w:t>
            </w:r>
            <w:r w:rsidRPr="00046698">
              <w:rPr>
                <w:rFonts w:hint="eastAsia"/>
                <w:color w:val="000000"/>
                <w:spacing w:val="-55"/>
                <w:w w:val="15"/>
                <w:shd w:val="solid" w:color="000000" w:fill="000000"/>
                <w:fitText w:val="10" w:id="-1504953600"/>
                <w14:textFill>
                  <w14:solidFill>
                    <w14:srgbClr w14:val="000000">
                      <w14:alpha w14:val="100000"/>
                    </w14:srgbClr>
                  </w14:solidFill>
                </w14:textFill>
              </w:rPr>
              <w:t xml:space="preserve">　</w:t>
            </w:r>
            <w:r w:rsidR="00D31934">
              <w:rPr>
                <w:vertAlign w:val="superscript"/>
              </w:rPr>
              <w:t>9</w:t>
            </w:r>
          </w:p>
        </w:tc>
        <w:tc>
          <w:tcPr>
            <w:tcW w:w="651" w:type="pct"/>
            <w:tcBorders>
              <w:top w:val="single" w:sz="4" w:space="0" w:color="auto"/>
              <w:left w:val="nil"/>
              <w:bottom w:val="single" w:sz="4" w:space="0" w:color="auto"/>
              <w:right w:val="single" w:sz="4" w:space="0" w:color="auto"/>
            </w:tcBorders>
            <w:shd w:val="clear" w:color="000000" w:fill="FFFFFF"/>
          </w:tcPr>
          <w:p w14:paraId="36054CCA" w14:textId="2C61114D" w:rsidR="00B813E5" w:rsidRPr="004C3CC2" w:rsidRDefault="004C3CC2" w:rsidP="00164B5C">
            <w:pPr>
              <w:pStyle w:val="TableText"/>
              <w:keepLines/>
              <w:jc w:val="center"/>
              <w:rPr>
                <w:highlight w:val="yellow"/>
              </w:rPr>
            </w:pPr>
            <w:r w:rsidRPr="00046698">
              <w:rPr>
                <w:rFonts w:hint="eastAsia"/>
                <w:color w:val="000000"/>
                <w:w w:val="15"/>
                <w:shd w:val="solid" w:color="000000" w:fill="000000"/>
                <w:fitText w:val="20" w:id="-1504953599"/>
                <w14:textFill>
                  <w14:solidFill>
                    <w14:srgbClr w14:val="000000">
                      <w14:alpha w14:val="100000"/>
                    </w14:srgbClr>
                  </w14:solidFill>
                </w14:textFill>
              </w:rPr>
              <w:t xml:space="preserve">　</w:t>
            </w:r>
            <w:r w:rsidRPr="00046698">
              <w:rPr>
                <w:color w:val="000000"/>
                <w:w w:val="15"/>
                <w:shd w:val="solid" w:color="000000" w:fill="000000"/>
                <w:fitText w:val="20" w:id="-1504953599"/>
                <w14:textFill>
                  <w14:solidFill>
                    <w14:srgbClr w14:val="000000">
                      <w14:alpha w14:val="100000"/>
                    </w14:srgbClr>
                  </w14:solidFill>
                </w14:textFill>
              </w:rPr>
              <w:t>|</w:t>
            </w:r>
            <w:r w:rsidRPr="00046698">
              <w:rPr>
                <w:rFonts w:hint="eastAsia"/>
                <w:color w:val="000000"/>
                <w:spacing w:val="-45"/>
                <w:w w:val="15"/>
                <w:shd w:val="solid" w:color="000000" w:fill="000000"/>
                <w:fitText w:val="20" w:id="-1504953599"/>
                <w14:textFill>
                  <w14:solidFill>
                    <w14:srgbClr w14:val="000000">
                      <w14:alpha w14:val="100000"/>
                    </w14:srgbClr>
                  </w14:solidFill>
                </w14:textFill>
              </w:rPr>
              <w:t xml:space="preserve">　</w:t>
            </w:r>
            <w:r w:rsidR="00D31934">
              <w:rPr>
                <w:vertAlign w:val="superscript"/>
              </w:rPr>
              <w:t>9</w:t>
            </w:r>
          </w:p>
        </w:tc>
      </w:tr>
      <w:tr w:rsidR="00845E08" w:rsidRPr="007B6175" w14:paraId="795B9104" w14:textId="77777777" w:rsidTr="00845E08">
        <w:tc>
          <w:tcPr>
            <w:tcW w:w="1098" w:type="pct"/>
          </w:tcPr>
          <w:p w14:paraId="66DAD42C" w14:textId="56664BD8" w:rsidR="00B813E5" w:rsidRPr="007B6175" w:rsidRDefault="00B813E5" w:rsidP="00D91056">
            <w:pPr>
              <w:pStyle w:val="TableText"/>
              <w:keepLines/>
            </w:pPr>
            <w:r w:rsidRPr="007B6175">
              <w:t xml:space="preserve">Tier 1 </w:t>
            </w:r>
            <w:r w:rsidR="004C3CC2" w:rsidRPr="004C3CC2">
              <w:rPr>
                <w:color w:val="000000"/>
                <w:spacing w:val="53"/>
                <w:shd w:val="solid" w:color="000000" w:fill="000000"/>
                <w:fitText w:val="330" w:id="-1504953598"/>
                <w14:textFill>
                  <w14:solidFill>
                    <w14:srgbClr w14:val="000000">
                      <w14:alpha w14:val="100000"/>
                    </w14:srgbClr>
                  </w14:solidFill>
                </w14:textFill>
              </w:rPr>
              <w:t>|||</w:t>
            </w:r>
            <w:r w:rsidR="004C3CC2" w:rsidRPr="004C3CC2">
              <w:rPr>
                <w:color w:val="000000"/>
                <w:spacing w:val="1"/>
                <w:shd w:val="solid" w:color="000000" w:fill="000000"/>
                <w:fitText w:val="330" w:id="-1504953598"/>
                <w14:textFill>
                  <w14:solidFill>
                    <w14:srgbClr w14:val="000000">
                      <w14:alpha w14:val="100000"/>
                    </w14:srgbClr>
                  </w14:solidFill>
                </w14:textFill>
              </w:rPr>
              <w:t>|</w:t>
            </w:r>
            <w:r w:rsidRPr="007B6175">
              <w:t>% rebate</w:t>
            </w:r>
            <w:r w:rsidR="00620543">
              <w:t xml:space="preserve"> ($)</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tcPr>
          <w:p w14:paraId="740A810F" w14:textId="77777777" w:rsidR="00B813E5" w:rsidRPr="007B6175" w:rsidRDefault="00B813E5" w:rsidP="00D91056">
            <w:pPr>
              <w:pStyle w:val="TableText"/>
              <w:keepLines/>
              <w:jc w:val="center"/>
            </w:pPr>
            <w:r w:rsidRPr="007B6175">
              <w:t>-</w:t>
            </w:r>
          </w:p>
        </w:tc>
        <w:tc>
          <w:tcPr>
            <w:tcW w:w="630" w:type="pct"/>
            <w:tcBorders>
              <w:top w:val="single" w:sz="4" w:space="0" w:color="auto"/>
              <w:left w:val="nil"/>
              <w:bottom w:val="single" w:sz="4" w:space="0" w:color="auto"/>
              <w:right w:val="single" w:sz="4" w:space="0" w:color="auto"/>
            </w:tcBorders>
            <w:shd w:val="clear" w:color="000000" w:fill="FFFFFF"/>
          </w:tcPr>
          <w:p w14:paraId="52061DED" w14:textId="45B11CD2" w:rsidR="00B813E5" w:rsidRPr="004C3CC2" w:rsidRDefault="004C3CC2" w:rsidP="0063185B">
            <w:pPr>
              <w:pStyle w:val="TableText"/>
              <w:keepLines/>
              <w:jc w:val="center"/>
              <w:rPr>
                <w:highlight w:val="yellow"/>
              </w:rPr>
            </w:pPr>
            <w:r w:rsidRPr="004C3CC2">
              <w:rPr>
                <w:rFonts w:hint="eastAsia"/>
                <w:color w:val="000000"/>
                <w:w w:val="15"/>
                <w:shd w:val="solid" w:color="000000" w:fill="000000"/>
                <w:fitText w:val="40" w:id="-1504953597"/>
                <w14:textFill>
                  <w14:solidFill>
                    <w14:srgbClr w14:val="000000">
                      <w14:alpha w14:val="100000"/>
                    </w14:srgbClr>
                  </w14:solidFill>
                </w14:textFill>
              </w:rPr>
              <w:t xml:space="preserve">　</w:t>
            </w:r>
            <w:r w:rsidRPr="004C3CC2">
              <w:rPr>
                <w:color w:val="000000"/>
                <w:w w:val="15"/>
                <w:shd w:val="solid" w:color="000000" w:fill="000000"/>
                <w:fitText w:val="40" w:id="-1504953597"/>
                <w14:textFill>
                  <w14:solidFill>
                    <w14:srgbClr w14:val="000000">
                      <w14:alpha w14:val="100000"/>
                    </w14:srgbClr>
                  </w14:solidFill>
                </w14:textFill>
              </w:rPr>
              <w:t>|</w:t>
            </w:r>
            <w:r w:rsidRPr="004C3CC2">
              <w:rPr>
                <w:rFonts w:hint="eastAsia"/>
                <w:color w:val="000000"/>
                <w:spacing w:val="-25"/>
                <w:w w:val="15"/>
                <w:shd w:val="solid" w:color="000000" w:fill="000000"/>
                <w:fitText w:val="40" w:id="-1504953597"/>
                <w14:textFill>
                  <w14:solidFill>
                    <w14:srgbClr w14:val="000000">
                      <w14:alpha w14:val="100000"/>
                    </w14:srgbClr>
                  </w14:solidFill>
                </w14:textFill>
              </w:rPr>
              <w:t xml:space="preserve">　</w:t>
            </w:r>
            <w:r w:rsidR="00620543">
              <w:rPr>
                <w:vertAlign w:val="superscript"/>
              </w:rPr>
              <w:t>2</w:t>
            </w:r>
          </w:p>
        </w:tc>
        <w:tc>
          <w:tcPr>
            <w:tcW w:w="629" w:type="pct"/>
            <w:tcBorders>
              <w:top w:val="single" w:sz="4" w:space="0" w:color="auto"/>
              <w:left w:val="nil"/>
              <w:bottom w:val="single" w:sz="4" w:space="0" w:color="auto"/>
              <w:right w:val="single" w:sz="4" w:space="0" w:color="auto"/>
            </w:tcBorders>
            <w:shd w:val="clear" w:color="000000" w:fill="FFFFFF"/>
          </w:tcPr>
          <w:p w14:paraId="4FB6E224" w14:textId="4633CDCC" w:rsidR="00B813E5" w:rsidRPr="004C3CC2" w:rsidRDefault="004C3CC2" w:rsidP="00164B5C">
            <w:pPr>
              <w:pStyle w:val="TableText"/>
              <w:keepLines/>
              <w:jc w:val="center"/>
              <w:rPr>
                <w:highlight w:val="yellow"/>
              </w:rPr>
            </w:pPr>
            <w:r w:rsidRPr="004C3CC2">
              <w:rPr>
                <w:rFonts w:hint="eastAsia"/>
                <w:color w:val="000000"/>
                <w:w w:val="15"/>
                <w:shd w:val="solid" w:color="000000" w:fill="000000"/>
                <w:fitText w:val="40" w:id="-1504953596"/>
                <w14:textFill>
                  <w14:solidFill>
                    <w14:srgbClr w14:val="000000">
                      <w14:alpha w14:val="100000"/>
                    </w14:srgbClr>
                  </w14:solidFill>
                </w14:textFill>
              </w:rPr>
              <w:t xml:space="preserve">　</w:t>
            </w:r>
            <w:r w:rsidRPr="004C3CC2">
              <w:rPr>
                <w:color w:val="000000"/>
                <w:w w:val="15"/>
                <w:shd w:val="solid" w:color="000000" w:fill="000000"/>
                <w:fitText w:val="40" w:id="-1504953596"/>
                <w14:textFill>
                  <w14:solidFill>
                    <w14:srgbClr w14:val="000000">
                      <w14:alpha w14:val="100000"/>
                    </w14:srgbClr>
                  </w14:solidFill>
                </w14:textFill>
              </w:rPr>
              <w:t>|</w:t>
            </w:r>
            <w:r w:rsidRPr="004C3CC2">
              <w:rPr>
                <w:rFonts w:hint="eastAsia"/>
                <w:color w:val="000000"/>
                <w:spacing w:val="-25"/>
                <w:w w:val="15"/>
                <w:shd w:val="solid" w:color="000000" w:fill="000000"/>
                <w:fitText w:val="40" w:id="-1504953596"/>
                <w14:textFill>
                  <w14:solidFill>
                    <w14:srgbClr w14:val="000000">
                      <w14:alpha w14:val="100000"/>
                    </w14:srgbClr>
                  </w14:solidFill>
                </w14:textFill>
              </w:rPr>
              <w:t xml:space="preserve">　</w:t>
            </w:r>
            <w:r w:rsidR="00620543">
              <w:rPr>
                <w:vertAlign w:val="superscript"/>
              </w:rPr>
              <w:t>4</w:t>
            </w:r>
          </w:p>
        </w:tc>
        <w:tc>
          <w:tcPr>
            <w:tcW w:w="621" w:type="pct"/>
            <w:tcBorders>
              <w:top w:val="single" w:sz="4" w:space="0" w:color="auto"/>
              <w:left w:val="nil"/>
              <w:bottom w:val="single" w:sz="4" w:space="0" w:color="auto"/>
              <w:right w:val="single" w:sz="4" w:space="0" w:color="auto"/>
            </w:tcBorders>
            <w:shd w:val="clear" w:color="000000" w:fill="FFFFFF"/>
          </w:tcPr>
          <w:p w14:paraId="360E5F23" w14:textId="0525AF84" w:rsidR="00B813E5" w:rsidRPr="004C3CC2" w:rsidRDefault="004C3CC2" w:rsidP="00164B5C">
            <w:pPr>
              <w:pStyle w:val="TableText"/>
              <w:keepLines/>
              <w:jc w:val="center"/>
              <w:rPr>
                <w:highlight w:val="yellow"/>
              </w:rPr>
            </w:pPr>
            <w:r w:rsidRPr="004C3CC2">
              <w:rPr>
                <w:rFonts w:hint="eastAsia"/>
                <w:color w:val="000000"/>
                <w:w w:val="15"/>
                <w:shd w:val="solid" w:color="000000" w:fill="000000"/>
                <w:fitText w:val="50" w:id="-1504953595"/>
                <w14:textFill>
                  <w14:solidFill>
                    <w14:srgbClr w14:val="000000">
                      <w14:alpha w14:val="100000"/>
                    </w14:srgbClr>
                  </w14:solidFill>
                </w14:textFill>
              </w:rPr>
              <w:t xml:space="preserve">　</w:t>
            </w:r>
            <w:r w:rsidRPr="004C3CC2">
              <w:rPr>
                <w:color w:val="000000"/>
                <w:w w:val="15"/>
                <w:shd w:val="solid" w:color="000000" w:fill="000000"/>
                <w:fitText w:val="50" w:id="-1504953595"/>
                <w14:textFill>
                  <w14:solidFill>
                    <w14:srgbClr w14:val="000000">
                      <w14:alpha w14:val="100000"/>
                    </w14:srgbClr>
                  </w14:solidFill>
                </w14:textFill>
              </w:rPr>
              <w:t>|</w:t>
            </w:r>
            <w:r w:rsidRPr="004C3CC2">
              <w:rPr>
                <w:rFonts w:hint="eastAsia"/>
                <w:color w:val="000000"/>
                <w:spacing w:val="-15"/>
                <w:w w:val="15"/>
                <w:shd w:val="solid" w:color="000000" w:fill="000000"/>
                <w:fitText w:val="50" w:id="-1504953595"/>
                <w14:textFill>
                  <w14:solidFill>
                    <w14:srgbClr w14:val="000000">
                      <w14:alpha w14:val="100000"/>
                    </w14:srgbClr>
                  </w14:solidFill>
                </w14:textFill>
              </w:rPr>
              <w:t xml:space="preserve">　</w:t>
            </w:r>
            <w:r w:rsidR="00D31934">
              <w:rPr>
                <w:vertAlign w:val="superscript"/>
              </w:rPr>
              <w:t>7</w:t>
            </w:r>
          </w:p>
        </w:tc>
        <w:tc>
          <w:tcPr>
            <w:tcW w:w="664" w:type="pct"/>
            <w:tcBorders>
              <w:top w:val="single" w:sz="4" w:space="0" w:color="auto"/>
              <w:left w:val="nil"/>
              <w:bottom w:val="single" w:sz="4" w:space="0" w:color="auto"/>
              <w:right w:val="single" w:sz="4" w:space="0" w:color="auto"/>
            </w:tcBorders>
            <w:shd w:val="clear" w:color="000000" w:fill="FFFFFF"/>
          </w:tcPr>
          <w:p w14:paraId="6064964F" w14:textId="07BB9C75" w:rsidR="00B813E5" w:rsidRPr="004C3CC2" w:rsidRDefault="004C3CC2" w:rsidP="00164B5C">
            <w:pPr>
              <w:pStyle w:val="TableText"/>
              <w:keepLines/>
              <w:jc w:val="center"/>
              <w:rPr>
                <w:highlight w:val="yellow"/>
              </w:rPr>
            </w:pPr>
            <w:r w:rsidRPr="00046698">
              <w:rPr>
                <w:rFonts w:hint="eastAsia"/>
                <w:color w:val="000000"/>
                <w:w w:val="15"/>
                <w:shd w:val="solid" w:color="000000" w:fill="000000"/>
                <w:fitText w:val="10" w:id="-1504953594"/>
                <w14:textFill>
                  <w14:solidFill>
                    <w14:srgbClr w14:val="000000">
                      <w14:alpha w14:val="100000"/>
                    </w14:srgbClr>
                  </w14:solidFill>
                </w14:textFill>
              </w:rPr>
              <w:t xml:space="preserve">　</w:t>
            </w:r>
            <w:r w:rsidRPr="00046698">
              <w:rPr>
                <w:color w:val="000000"/>
                <w:w w:val="15"/>
                <w:shd w:val="solid" w:color="000000" w:fill="000000"/>
                <w:fitText w:val="10" w:id="-1504953594"/>
                <w14:textFill>
                  <w14:solidFill>
                    <w14:srgbClr w14:val="000000">
                      <w14:alpha w14:val="100000"/>
                    </w14:srgbClr>
                  </w14:solidFill>
                </w14:textFill>
              </w:rPr>
              <w:t>|</w:t>
            </w:r>
            <w:r w:rsidRPr="00046698">
              <w:rPr>
                <w:rFonts w:hint="eastAsia"/>
                <w:color w:val="000000"/>
                <w:spacing w:val="-55"/>
                <w:w w:val="15"/>
                <w:shd w:val="solid" w:color="000000" w:fill="000000"/>
                <w:fitText w:val="10" w:id="-1504953594"/>
                <w14:textFill>
                  <w14:solidFill>
                    <w14:srgbClr w14:val="000000">
                      <w14:alpha w14:val="100000"/>
                    </w14:srgbClr>
                  </w14:solidFill>
                </w14:textFill>
              </w:rPr>
              <w:t xml:space="preserve">　</w:t>
            </w:r>
            <w:r w:rsidR="00D31934">
              <w:rPr>
                <w:vertAlign w:val="superscript"/>
              </w:rPr>
              <w:t>7</w:t>
            </w:r>
          </w:p>
        </w:tc>
        <w:tc>
          <w:tcPr>
            <w:tcW w:w="651" w:type="pct"/>
            <w:tcBorders>
              <w:top w:val="single" w:sz="4" w:space="0" w:color="auto"/>
              <w:left w:val="nil"/>
              <w:bottom w:val="single" w:sz="4" w:space="0" w:color="auto"/>
              <w:right w:val="single" w:sz="4" w:space="0" w:color="auto"/>
            </w:tcBorders>
            <w:shd w:val="clear" w:color="000000" w:fill="FFFFFF"/>
          </w:tcPr>
          <w:p w14:paraId="0DE73150" w14:textId="5F4343D4" w:rsidR="00B813E5" w:rsidRPr="004C3CC2" w:rsidRDefault="004C3CC2" w:rsidP="00164B5C">
            <w:pPr>
              <w:pStyle w:val="TableText"/>
              <w:keepLines/>
              <w:jc w:val="center"/>
              <w:rPr>
                <w:highlight w:val="yellow"/>
              </w:rPr>
            </w:pPr>
            <w:r w:rsidRPr="00046698">
              <w:rPr>
                <w:rFonts w:hint="eastAsia"/>
                <w:color w:val="000000"/>
                <w:w w:val="15"/>
                <w:shd w:val="solid" w:color="000000" w:fill="000000"/>
                <w:fitText w:val="20" w:id="-1504953593"/>
                <w14:textFill>
                  <w14:solidFill>
                    <w14:srgbClr w14:val="000000">
                      <w14:alpha w14:val="100000"/>
                    </w14:srgbClr>
                  </w14:solidFill>
                </w14:textFill>
              </w:rPr>
              <w:t xml:space="preserve">　</w:t>
            </w:r>
            <w:r w:rsidRPr="00046698">
              <w:rPr>
                <w:color w:val="000000"/>
                <w:w w:val="15"/>
                <w:shd w:val="solid" w:color="000000" w:fill="000000"/>
                <w:fitText w:val="20" w:id="-1504953593"/>
                <w14:textFill>
                  <w14:solidFill>
                    <w14:srgbClr w14:val="000000">
                      <w14:alpha w14:val="100000"/>
                    </w14:srgbClr>
                  </w14:solidFill>
                </w14:textFill>
              </w:rPr>
              <w:t>|</w:t>
            </w:r>
            <w:r w:rsidRPr="00046698">
              <w:rPr>
                <w:rFonts w:hint="eastAsia"/>
                <w:color w:val="000000"/>
                <w:spacing w:val="-45"/>
                <w:w w:val="15"/>
                <w:shd w:val="solid" w:color="000000" w:fill="000000"/>
                <w:fitText w:val="20" w:id="-1504953593"/>
                <w14:textFill>
                  <w14:solidFill>
                    <w14:srgbClr w14:val="000000">
                      <w14:alpha w14:val="100000"/>
                    </w14:srgbClr>
                  </w14:solidFill>
                </w14:textFill>
              </w:rPr>
              <w:t xml:space="preserve">　</w:t>
            </w:r>
            <w:r w:rsidR="00D31934">
              <w:rPr>
                <w:vertAlign w:val="superscript"/>
              </w:rPr>
              <w:t>7</w:t>
            </w:r>
          </w:p>
        </w:tc>
      </w:tr>
      <w:tr w:rsidR="00845E08" w:rsidRPr="007B6175" w14:paraId="15D57EC6" w14:textId="77777777" w:rsidTr="00845E08">
        <w:tc>
          <w:tcPr>
            <w:tcW w:w="1098" w:type="pct"/>
          </w:tcPr>
          <w:p w14:paraId="597305F1" w14:textId="39F22A07" w:rsidR="002D4B99" w:rsidRPr="007B6175" w:rsidRDefault="002D4B99" w:rsidP="00D91056">
            <w:pPr>
              <w:pStyle w:val="TableText"/>
              <w:keepLines/>
            </w:pPr>
            <w:r w:rsidRPr="007B6175">
              <w:t xml:space="preserve">Script volumes </w:t>
            </w:r>
            <w:proofErr w:type="spellStart"/>
            <w:r w:rsidRPr="007B6175">
              <w:t>totals</w:t>
            </w:r>
            <w:r w:rsidR="002701D0">
              <w:rPr>
                <w:vertAlign w:val="superscript"/>
              </w:rPr>
              <w:t>a</w:t>
            </w:r>
            <w:proofErr w:type="spellEnd"/>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tcPr>
          <w:p w14:paraId="2CB7DA39" w14:textId="146A51BB" w:rsidR="002D4B99" w:rsidRPr="007B6175" w:rsidRDefault="002D4B99" w:rsidP="00D91056">
            <w:pPr>
              <w:pStyle w:val="TableText"/>
              <w:keepLines/>
              <w:jc w:val="center"/>
            </w:pPr>
            <w:r w:rsidRPr="007B6175">
              <w:t>-</w:t>
            </w:r>
          </w:p>
        </w:tc>
        <w:tc>
          <w:tcPr>
            <w:tcW w:w="630" w:type="pct"/>
            <w:tcBorders>
              <w:top w:val="nil"/>
              <w:left w:val="nil"/>
              <w:bottom w:val="single" w:sz="8" w:space="0" w:color="auto"/>
              <w:right w:val="single" w:sz="8" w:space="0" w:color="auto"/>
            </w:tcBorders>
            <w:shd w:val="clear" w:color="auto" w:fill="FFFFFF"/>
          </w:tcPr>
          <w:p w14:paraId="243B9739" w14:textId="34CA7CC3" w:rsidR="002D4B99" w:rsidRPr="004C3CC2" w:rsidRDefault="004C3CC2" w:rsidP="0063185B">
            <w:pPr>
              <w:pStyle w:val="TableText"/>
              <w:keepLines/>
              <w:jc w:val="center"/>
              <w:rPr>
                <w:highlight w:val="yellow"/>
              </w:rPr>
            </w:pPr>
            <w:r w:rsidRPr="004C3CC2">
              <w:rPr>
                <w:rFonts w:hint="eastAsia"/>
                <w:color w:val="000000"/>
                <w:w w:val="15"/>
                <w:shd w:val="solid" w:color="000000" w:fill="000000"/>
                <w:fitText w:val="40" w:id="-1504953592"/>
                <w14:textFill>
                  <w14:solidFill>
                    <w14:srgbClr w14:val="000000">
                      <w14:alpha w14:val="100000"/>
                    </w14:srgbClr>
                  </w14:solidFill>
                </w14:textFill>
              </w:rPr>
              <w:t xml:space="preserve">　</w:t>
            </w:r>
            <w:r w:rsidRPr="004C3CC2">
              <w:rPr>
                <w:color w:val="000000"/>
                <w:w w:val="15"/>
                <w:shd w:val="solid" w:color="000000" w:fill="000000"/>
                <w:fitText w:val="40" w:id="-1504953592"/>
                <w14:textFill>
                  <w14:solidFill>
                    <w14:srgbClr w14:val="000000">
                      <w14:alpha w14:val="100000"/>
                    </w14:srgbClr>
                  </w14:solidFill>
                </w14:textFill>
              </w:rPr>
              <w:t>|</w:t>
            </w:r>
            <w:r w:rsidRPr="004C3CC2">
              <w:rPr>
                <w:rFonts w:hint="eastAsia"/>
                <w:color w:val="000000"/>
                <w:spacing w:val="-25"/>
                <w:w w:val="15"/>
                <w:shd w:val="solid" w:color="000000" w:fill="000000"/>
                <w:fitText w:val="40" w:id="-1504953592"/>
                <w14:textFill>
                  <w14:solidFill>
                    <w14:srgbClr w14:val="000000">
                      <w14:alpha w14:val="100000"/>
                    </w14:srgbClr>
                  </w14:solidFill>
                </w14:textFill>
              </w:rPr>
              <w:t xml:space="preserve">　</w:t>
            </w:r>
            <w:r w:rsidR="00620543">
              <w:rPr>
                <w:vertAlign w:val="superscript"/>
              </w:rPr>
              <w:t>6</w:t>
            </w:r>
          </w:p>
        </w:tc>
        <w:tc>
          <w:tcPr>
            <w:tcW w:w="629" w:type="pct"/>
            <w:tcBorders>
              <w:top w:val="nil"/>
              <w:left w:val="nil"/>
              <w:bottom w:val="single" w:sz="8" w:space="0" w:color="auto"/>
              <w:right w:val="single" w:sz="8" w:space="0" w:color="auto"/>
            </w:tcBorders>
            <w:shd w:val="clear" w:color="auto" w:fill="FFFFFF"/>
          </w:tcPr>
          <w:p w14:paraId="1D25295F" w14:textId="22BDD923" w:rsidR="002D4B99" w:rsidRPr="004C3CC2" w:rsidRDefault="004C3CC2" w:rsidP="00164B5C">
            <w:pPr>
              <w:pStyle w:val="TableText"/>
              <w:keepLines/>
              <w:jc w:val="center"/>
              <w:rPr>
                <w:highlight w:val="yellow"/>
              </w:rPr>
            </w:pPr>
            <w:r w:rsidRPr="004C3CC2">
              <w:rPr>
                <w:color w:val="000000"/>
                <w:spacing w:val="174"/>
                <w:shd w:val="solid" w:color="000000" w:fill="000000"/>
                <w:fitText w:val="260" w:id="-1504953591"/>
                <w14:textFill>
                  <w14:solidFill>
                    <w14:srgbClr w14:val="000000">
                      <w14:alpha w14:val="100000"/>
                    </w14:srgbClr>
                  </w14:solidFill>
                </w14:textFill>
              </w:rPr>
              <w:t>|</w:t>
            </w:r>
            <w:r w:rsidRPr="004C3CC2">
              <w:rPr>
                <w:color w:val="000000"/>
                <w:spacing w:val="1"/>
                <w:shd w:val="solid" w:color="000000" w:fill="000000"/>
                <w:fitText w:val="260" w:id="-1504953591"/>
                <w14:textFill>
                  <w14:solidFill>
                    <w14:srgbClr w14:val="000000">
                      <w14:alpha w14:val="100000"/>
                    </w14:srgbClr>
                  </w14:solidFill>
                </w14:textFill>
              </w:rPr>
              <w:t>|</w:t>
            </w:r>
            <w:r w:rsidR="00D31934">
              <w:rPr>
                <w:vertAlign w:val="superscript"/>
              </w:rPr>
              <w:t>9</w:t>
            </w:r>
            <w:r w:rsidRPr="004C3CC2">
              <w:rPr>
                <w:color w:val="000000"/>
                <w:spacing w:val="84"/>
                <w:shd w:val="solid" w:color="000000" w:fill="000000"/>
                <w:fitText w:val="170" w:id="-1504953590"/>
                <w14:textFill>
                  <w14:solidFill>
                    <w14:srgbClr w14:val="000000">
                      <w14:alpha w14:val="100000"/>
                    </w14:srgbClr>
                  </w14:solidFill>
                </w14:textFill>
              </w:rPr>
              <w:t>|</w:t>
            </w:r>
            <w:r w:rsidRPr="004C3CC2">
              <w:rPr>
                <w:color w:val="000000"/>
                <w:spacing w:val="1"/>
                <w:shd w:val="solid" w:color="000000" w:fill="000000"/>
                <w:fitText w:val="170" w:id="-1504953590"/>
                <w14:textFill>
                  <w14:solidFill>
                    <w14:srgbClr w14:val="000000">
                      <w14:alpha w14:val="100000"/>
                    </w14:srgbClr>
                  </w14:solidFill>
                </w14:textFill>
              </w:rPr>
              <w:t>|</w:t>
            </w:r>
          </w:p>
        </w:tc>
        <w:tc>
          <w:tcPr>
            <w:tcW w:w="621" w:type="pct"/>
            <w:tcBorders>
              <w:top w:val="nil"/>
              <w:left w:val="nil"/>
              <w:bottom w:val="single" w:sz="8" w:space="0" w:color="auto"/>
              <w:right w:val="single" w:sz="8" w:space="0" w:color="auto"/>
            </w:tcBorders>
            <w:shd w:val="clear" w:color="auto" w:fill="FFFFFF"/>
          </w:tcPr>
          <w:p w14:paraId="35B0D5D0" w14:textId="6312F4A4"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50" w:id="-1504953589"/>
                <w14:textFill>
                  <w14:solidFill>
                    <w14:srgbClr w14:val="000000">
                      <w14:alpha w14:val="100000"/>
                    </w14:srgbClr>
                  </w14:solidFill>
                </w14:textFill>
              </w:rPr>
              <w:t xml:space="preserve">　</w:t>
            </w:r>
            <w:r w:rsidRPr="004C3CC2">
              <w:rPr>
                <w:color w:val="000000"/>
                <w:w w:val="15"/>
                <w:shd w:val="solid" w:color="000000" w:fill="000000"/>
                <w:fitText w:val="50" w:id="-1504953589"/>
                <w14:textFill>
                  <w14:solidFill>
                    <w14:srgbClr w14:val="000000">
                      <w14:alpha w14:val="100000"/>
                    </w14:srgbClr>
                  </w14:solidFill>
                </w14:textFill>
              </w:rPr>
              <w:t>|</w:t>
            </w:r>
            <w:r w:rsidRPr="004C3CC2">
              <w:rPr>
                <w:rFonts w:hint="eastAsia"/>
                <w:color w:val="000000"/>
                <w:spacing w:val="-15"/>
                <w:w w:val="15"/>
                <w:shd w:val="solid" w:color="000000" w:fill="000000"/>
                <w:fitText w:val="50" w:id="-1504953589"/>
                <w14:textFill>
                  <w14:solidFill>
                    <w14:srgbClr w14:val="000000">
                      <w14:alpha w14:val="100000"/>
                    </w14:srgbClr>
                  </w14:solidFill>
                </w14:textFill>
              </w:rPr>
              <w:t xml:space="preserve">　</w:t>
            </w:r>
            <w:r w:rsidR="00D31934">
              <w:rPr>
                <w:vertAlign w:val="superscript"/>
              </w:rPr>
              <w:t>9</w:t>
            </w:r>
          </w:p>
        </w:tc>
        <w:tc>
          <w:tcPr>
            <w:tcW w:w="664" w:type="pct"/>
            <w:tcBorders>
              <w:top w:val="nil"/>
              <w:left w:val="nil"/>
              <w:bottom w:val="single" w:sz="8" w:space="0" w:color="auto"/>
              <w:right w:val="single" w:sz="8" w:space="0" w:color="auto"/>
            </w:tcBorders>
            <w:shd w:val="clear" w:color="auto" w:fill="FFFFFF"/>
          </w:tcPr>
          <w:p w14:paraId="5C075E28" w14:textId="3D8A2209" w:rsidR="002D4B99" w:rsidRPr="004C3CC2" w:rsidRDefault="004C3CC2" w:rsidP="00164B5C">
            <w:pPr>
              <w:pStyle w:val="TableText"/>
              <w:keepLines/>
              <w:jc w:val="center"/>
              <w:rPr>
                <w:highlight w:val="yellow"/>
              </w:rPr>
            </w:pPr>
            <w:r w:rsidRPr="00046698">
              <w:rPr>
                <w:rFonts w:hint="eastAsia"/>
                <w:color w:val="000000"/>
                <w:w w:val="15"/>
                <w:shd w:val="solid" w:color="000000" w:fill="000000"/>
                <w:fitText w:val="10" w:id="-1504953588"/>
                <w14:textFill>
                  <w14:solidFill>
                    <w14:srgbClr w14:val="000000">
                      <w14:alpha w14:val="100000"/>
                    </w14:srgbClr>
                  </w14:solidFill>
                </w14:textFill>
              </w:rPr>
              <w:t xml:space="preserve">　</w:t>
            </w:r>
            <w:r w:rsidRPr="00046698">
              <w:rPr>
                <w:color w:val="000000"/>
                <w:w w:val="15"/>
                <w:shd w:val="solid" w:color="000000" w:fill="000000"/>
                <w:fitText w:val="10" w:id="-1504953588"/>
                <w14:textFill>
                  <w14:solidFill>
                    <w14:srgbClr w14:val="000000">
                      <w14:alpha w14:val="100000"/>
                    </w14:srgbClr>
                  </w14:solidFill>
                </w14:textFill>
              </w:rPr>
              <w:t>|</w:t>
            </w:r>
            <w:r w:rsidRPr="00046698">
              <w:rPr>
                <w:rFonts w:hint="eastAsia"/>
                <w:color w:val="000000"/>
                <w:spacing w:val="-55"/>
                <w:w w:val="15"/>
                <w:shd w:val="solid" w:color="000000" w:fill="000000"/>
                <w:fitText w:val="10" w:id="-1504953588"/>
                <w14:textFill>
                  <w14:solidFill>
                    <w14:srgbClr w14:val="000000">
                      <w14:alpha w14:val="100000"/>
                    </w14:srgbClr>
                  </w14:solidFill>
                </w14:textFill>
              </w:rPr>
              <w:t xml:space="preserve">　</w:t>
            </w:r>
            <w:r w:rsidR="00D31934">
              <w:rPr>
                <w:vertAlign w:val="superscript"/>
              </w:rPr>
              <w:t>9</w:t>
            </w:r>
          </w:p>
        </w:tc>
        <w:tc>
          <w:tcPr>
            <w:tcW w:w="651" w:type="pct"/>
            <w:tcBorders>
              <w:top w:val="nil"/>
              <w:left w:val="nil"/>
              <w:bottom w:val="single" w:sz="8" w:space="0" w:color="auto"/>
              <w:right w:val="single" w:sz="8" w:space="0" w:color="auto"/>
            </w:tcBorders>
            <w:shd w:val="clear" w:color="auto" w:fill="FFFFFF"/>
          </w:tcPr>
          <w:p w14:paraId="21B41D51" w14:textId="1F438BA8" w:rsidR="002D4B99" w:rsidRPr="004C3CC2" w:rsidRDefault="004C3CC2" w:rsidP="00164B5C">
            <w:pPr>
              <w:pStyle w:val="TableText"/>
              <w:keepLines/>
              <w:jc w:val="center"/>
              <w:rPr>
                <w:highlight w:val="yellow"/>
              </w:rPr>
            </w:pPr>
            <w:r w:rsidRPr="00046698">
              <w:rPr>
                <w:rFonts w:hint="eastAsia"/>
                <w:color w:val="000000"/>
                <w:w w:val="15"/>
                <w:shd w:val="solid" w:color="000000" w:fill="000000"/>
                <w:fitText w:val="20" w:id="-1504953587"/>
                <w14:textFill>
                  <w14:solidFill>
                    <w14:srgbClr w14:val="000000">
                      <w14:alpha w14:val="100000"/>
                    </w14:srgbClr>
                  </w14:solidFill>
                </w14:textFill>
              </w:rPr>
              <w:t xml:space="preserve">　</w:t>
            </w:r>
            <w:r w:rsidRPr="00046698">
              <w:rPr>
                <w:color w:val="000000"/>
                <w:w w:val="15"/>
                <w:shd w:val="solid" w:color="000000" w:fill="000000"/>
                <w:fitText w:val="20" w:id="-1504953587"/>
                <w14:textFill>
                  <w14:solidFill>
                    <w14:srgbClr w14:val="000000">
                      <w14:alpha w14:val="100000"/>
                    </w14:srgbClr>
                  </w14:solidFill>
                </w14:textFill>
              </w:rPr>
              <w:t>|</w:t>
            </w:r>
            <w:r w:rsidRPr="00046698">
              <w:rPr>
                <w:rFonts w:hint="eastAsia"/>
                <w:color w:val="000000"/>
                <w:spacing w:val="-45"/>
                <w:w w:val="15"/>
                <w:shd w:val="solid" w:color="000000" w:fill="000000"/>
                <w:fitText w:val="20" w:id="-1504953587"/>
                <w14:textFill>
                  <w14:solidFill>
                    <w14:srgbClr w14:val="000000">
                      <w14:alpha w14:val="100000"/>
                    </w14:srgbClr>
                  </w14:solidFill>
                </w14:textFill>
              </w:rPr>
              <w:t xml:space="preserve">　</w:t>
            </w:r>
            <w:r w:rsidR="00D31934">
              <w:rPr>
                <w:vertAlign w:val="superscript"/>
              </w:rPr>
              <w:t>9</w:t>
            </w:r>
          </w:p>
        </w:tc>
      </w:tr>
      <w:tr w:rsidR="00845E08" w:rsidRPr="007B6175" w14:paraId="08BCD476" w14:textId="77777777" w:rsidTr="00845E08">
        <w:tc>
          <w:tcPr>
            <w:tcW w:w="1098" w:type="pct"/>
          </w:tcPr>
          <w:p w14:paraId="48D7472E" w14:textId="02803AD4" w:rsidR="002D4B99" w:rsidRPr="007B6175" w:rsidRDefault="002D4B99" w:rsidP="00D91056">
            <w:pPr>
              <w:pStyle w:val="TableText"/>
              <w:keepLines/>
            </w:pPr>
            <w:r w:rsidRPr="007B6175">
              <w:t xml:space="preserve">Tier 2 </w:t>
            </w:r>
            <w:r w:rsidR="004C3CC2" w:rsidRPr="004C3CC2">
              <w:rPr>
                <w:color w:val="000000"/>
                <w:spacing w:val="53"/>
                <w:shd w:val="solid" w:color="000000" w:fill="000000"/>
                <w:fitText w:val="330" w:id="-1504953586"/>
                <w14:textFill>
                  <w14:solidFill>
                    <w14:srgbClr w14:val="000000">
                      <w14:alpha w14:val="100000"/>
                    </w14:srgbClr>
                  </w14:solidFill>
                </w14:textFill>
              </w:rPr>
              <w:t>|||</w:t>
            </w:r>
            <w:r w:rsidR="004C3CC2" w:rsidRPr="004C3CC2">
              <w:rPr>
                <w:color w:val="000000"/>
                <w:spacing w:val="1"/>
                <w:shd w:val="solid" w:color="000000" w:fill="000000"/>
                <w:fitText w:val="330" w:id="-1504953586"/>
                <w14:textFill>
                  <w14:solidFill>
                    <w14:srgbClr w14:val="000000">
                      <w14:alpha w14:val="100000"/>
                    </w14:srgbClr>
                  </w14:solidFill>
                </w14:textFill>
              </w:rPr>
              <w:t>|</w:t>
            </w:r>
            <w:r w:rsidRPr="007B6175">
              <w:t>% rebate</w:t>
            </w:r>
            <w:r w:rsidR="00620543">
              <w:t xml:space="preserve"> ($)</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tcPr>
          <w:p w14:paraId="05D28BF4" w14:textId="77777777" w:rsidR="002D4B99" w:rsidRPr="007B6175" w:rsidRDefault="002D4B99" w:rsidP="00D91056">
            <w:pPr>
              <w:pStyle w:val="TableText"/>
              <w:keepLines/>
              <w:jc w:val="center"/>
            </w:pPr>
            <w:r w:rsidRPr="007B6175">
              <w:t>-</w:t>
            </w:r>
          </w:p>
        </w:tc>
        <w:tc>
          <w:tcPr>
            <w:tcW w:w="630" w:type="pct"/>
            <w:tcBorders>
              <w:top w:val="single" w:sz="4" w:space="0" w:color="auto"/>
              <w:left w:val="nil"/>
              <w:bottom w:val="single" w:sz="4" w:space="0" w:color="auto"/>
              <w:right w:val="single" w:sz="4" w:space="0" w:color="auto"/>
            </w:tcBorders>
            <w:shd w:val="clear" w:color="000000" w:fill="FFFFFF"/>
          </w:tcPr>
          <w:p w14:paraId="794FB3C1" w14:textId="21C43640" w:rsidR="002D4B99" w:rsidRPr="004C3CC2" w:rsidRDefault="004C3CC2" w:rsidP="0063185B">
            <w:pPr>
              <w:pStyle w:val="TableText"/>
              <w:keepLines/>
              <w:jc w:val="center"/>
              <w:rPr>
                <w:highlight w:val="yellow"/>
              </w:rPr>
            </w:pPr>
            <w:r w:rsidRPr="004C3CC2">
              <w:rPr>
                <w:rFonts w:hint="eastAsia"/>
                <w:color w:val="000000"/>
                <w:w w:val="15"/>
                <w:shd w:val="solid" w:color="000000" w:fill="000000"/>
                <w:fitText w:val="40" w:id="-1504953585"/>
                <w14:textFill>
                  <w14:solidFill>
                    <w14:srgbClr w14:val="000000">
                      <w14:alpha w14:val="100000"/>
                    </w14:srgbClr>
                  </w14:solidFill>
                </w14:textFill>
              </w:rPr>
              <w:t xml:space="preserve">　</w:t>
            </w:r>
            <w:r w:rsidRPr="004C3CC2">
              <w:rPr>
                <w:color w:val="000000"/>
                <w:w w:val="15"/>
                <w:shd w:val="solid" w:color="000000" w:fill="000000"/>
                <w:fitText w:val="40" w:id="-1504953585"/>
                <w14:textFill>
                  <w14:solidFill>
                    <w14:srgbClr w14:val="000000">
                      <w14:alpha w14:val="100000"/>
                    </w14:srgbClr>
                  </w14:solidFill>
                </w14:textFill>
              </w:rPr>
              <w:t>|</w:t>
            </w:r>
            <w:r w:rsidRPr="004C3CC2">
              <w:rPr>
                <w:rFonts w:hint="eastAsia"/>
                <w:color w:val="000000"/>
                <w:spacing w:val="-25"/>
                <w:w w:val="15"/>
                <w:shd w:val="solid" w:color="000000" w:fill="000000"/>
                <w:fitText w:val="40" w:id="-1504953585"/>
                <w14:textFill>
                  <w14:solidFill>
                    <w14:srgbClr w14:val="000000">
                      <w14:alpha w14:val="100000"/>
                    </w14:srgbClr>
                  </w14:solidFill>
                </w14:textFill>
              </w:rPr>
              <w:t xml:space="preserve">　</w:t>
            </w:r>
            <w:r w:rsidR="00620543">
              <w:rPr>
                <w:vertAlign w:val="superscript"/>
              </w:rPr>
              <w:t>4</w:t>
            </w:r>
          </w:p>
        </w:tc>
        <w:tc>
          <w:tcPr>
            <w:tcW w:w="629" w:type="pct"/>
            <w:tcBorders>
              <w:top w:val="single" w:sz="4" w:space="0" w:color="auto"/>
              <w:left w:val="nil"/>
              <w:bottom w:val="single" w:sz="4" w:space="0" w:color="auto"/>
              <w:right w:val="single" w:sz="4" w:space="0" w:color="auto"/>
            </w:tcBorders>
            <w:shd w:val="clear" w:color="000000" w:fill="FFFFFF"/>
          </w:tcPr>
          <w:p w14:paraId="01AFE216" w14:textId="00DAA1D3"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40" w:id="-1504953584"/>
                <w14:textFill>
                  <w14:solidFill>
                    <w14:srgbClr w14:val="000000">
                      <w14:alpha w14:val="100000"/>
                    </w14:srgbClr>
                  </w14:solidFill>
                </w14:textFill>
              </w:rPr>
              <w:t xml:space="preserve">　</w:t>
            </w:r>
            <w:r w:rsidRPr="004C3CC2">
              <w:rPr>
                <w:color w:val="000000"/>
                <w:w w:val="15"/>
                <w:shd w:val="solid" w:color="000000" w:fill="000000"/>
                <w:fitText w:val="40" w:id="-1504953584"/>
                <w14:textFill>
                  <w14:solidFill>
                    <w14:srgbClr w14:val="000000">
                      <w14:alpha w14:val="100000"/>
                    </w14:srgbClr>
                  </w14:solidFill>
                </w14:textFill>
              </w:rPr>
              <w:t>|</w:t>
            </w:r>
            <w:r w:rsidRPr="004C3CC2">
              <w:rPr>
                <w:rFonts w:hint="eastAsia"/>
                <w:color w:val="000000"/>
                <w:spacing w:val="-25"/>
                <w:w w:val="15"/>
                <w:shd w:val="solid" w:color="000000" w:fill="000000"/>
                <w:fitText w:val="40" w:id="-1504953584"/>
                <w14:textFill>
                  <w14:solidFill>
                    <w14:srgbClr w14:val="000000">
                      <w14:alpha w14:val="100000"/>
                    </w14:srgbClr>
                  </w14:solidFill>
                </w14:textFill>
              </w:rPr>
              <w:t xml:space="preserve">　</w:t>
            </w:r>
            <w:r w:rsidR="00D31934">
              <w:rPr>
                <w:vertAlign w:val="superscript"/>
              </w:rPr>
              <w:t>7</w:t>
            </w:r>
          </w:p>
        </w:tc>
        <w:tc>
          <w:tcPr>
            <w:tcW w:w="621" w:type="pct"/>
            <w:tcBorders>
              <w:top w:val="single" w:sz="4" w:space="0" w:color="auto"/>
              <w:left w:val="nil"/>
              <w:bottom w:val="single" w:sz="4" w:space="0" w:color="auto"/>
              <w:right w:val="single" w:sz="4" w:space="0" w:color="auto"/>
            </w:tcBorders>
            <w:shd w:val="clear" w:color="000000" w:fill="FFFFFF"/>
          </w:tcPr>
          <w:p w14:paraId="538119EB" w14:textId="72D365D6"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50" w:id="-1504953600"/>
                <w14:textFill>
                  <w14:solidFill>
                    <w14:srgbClr w14:val="000000">
                      <w14:alpha w14:val="100000"/>
                    </w14:srgbClr>
                  </w14:solidFill>
                </w14:textFill>
              </w:rPr>
              <w:t xml:space="preserve">　</w:t>
            </w:r>
            <w:r w:rsidRPr="004C3CC2">
              <w:rPr>
                <w:color w:val="000000"/>
                <w:w w:val="15"/>
                <w:shd w:val="solid" w:color="000000" w:fill="000000"/>
                <w:fitText w:val="50" w:id="-1504953600"/>
                <w14:textFill>
                  <w14:solidFill>
                    <w14:srgbClr w14:val="000000">
                      <w14:alpha w14:val="100000"/>
                    </w14:srgbClr>
                  </w14:solidFill>
                </w14:textFill>
              </w:rPr>
              <w:t>|</w:t>
            </w:r>
            <w:r w:rsidRPr="004C3CC2">
              <w:rPr>
                <w:rFonts w:hint="eastAsia"/>
                <w:color w:val="000000"/>
                <w:spacing w:val="-15"/>
                <w:w w:val="15"/>
                <w:shd w:val="solid" w:color="000000" w:fill="000000"/>
                <w:fitText w:val="50" w:id="-1504953600"/>
                <w14:textFill>
                  <w14:solidFill>
                    <w14:srgbClr w14:val="000000">
                      <w14:alpha w14:val="100000"/>
                    </w14:srgbClr>
                  </w14:solidFill>
                </w14:textFill>
              </w:rPr>
              <w:t xml:space="preserve">　</w:t>
            </w:r>
            <w:r w:rsidR="00D31934">
              <w:rPr>
                <w:vertAlign w:val="superscript"/>
              </w:rPr>
              <w:t>8</w:t>
            </w:r>
          </w:p>
        </w:tc>
        <w:tc>
          <w:tcPr>
            <w:tcW w:w="664" w:type="pct"/>
            <w:tcBorders>
              <w:top w:val="single" w:sz="4" w:space="0" w:color="auto"/>
              <w:left w:val="nil"/>
              <w:bottom w:val="single" w:sz="4" w:space="0" w:color="auto"/>
              <w:right w:val="single" w:sz="4" w:space="0" w:color="auto"/>
            </w:tcBorders>
            <w:shd w:val="clear" w:color="000000" w:fill="FFFFFF"/>
          </w:tcPr>
          <w:p w14:paraId="1ACC217F" w14:textId="17E8A70A"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40" w:id="-1504952320"/>
                <w14:textFill>
                  <w14:solidFill>
                    <w14:srgbClr w14:val="000000">
                      <w14:alpha w14:val="100000"/>
                    </w14:srgbClr>
                  </w14:solidFill>
                </w14:textFill>
              </w:rPr>
              <w:t xml:space="preserve">　</w:t>
            </w:r>
            <w:r w:rsidRPr="004C3CC2">
              <w:rPr>
                <w:color w:val="000000"/>
                <w:w w:val="15"/>
                <w:shd w:val="solid" w:color="000000" w:fill="000000"/>
                <w:fitText w:val="40" w:id="-1504952320"/>
                <w14:textFill>
                  <w14:solidFill>
                    <w14:srgbClr w14:val="000000">
                      <w14:alpha w14:val="100000"/>
                    </w14:srgbClr>
                  </w14:solidFill>
                </w14:textFill>
              </w:rPr>
              <w:t>|</w:t>
            </w:r>
            <w:r w:rsidRPr="004C3CC2">
              <w:rPr>
                <w:rFonts w:hint="eastAsia"/>
                <w:color w:val="000000"/>
                <w:spacing w:val="-25"/>
                <w:w w:val="15"/>
                <w:shd w:val="solid" w:color="000000" w:fill="000000"/>
                <w:fitText w:val="40" w:id="-1504952320"/>
                <w14:textFill>
                  <w14:solidFill>
                    <w14:srgbClr w14:val="000000">
                      <w14:alpha w14:val="100000"/>
                    </w14:srgbClr>
                  </w14:solidFill>
                </w14:textFill>
              </w:rPr>
              <w:t xml:space="preserve">　</w:t>
            </w:r>
            <w:r w:rsidR="00D31934">
              <w:rPr>
                <w:vertAlign w:val="superscript"/>
              </w:rPr>
              <w:t>12</w:t>
            </w:r>
          </w:p>
        </w:tc>
        <w:tc>
          <w:tcPr>
            <w:tcW w:w="651" w:type="pct"/>
            <w:tcBorders>
              <w:top w:val="single" w:sz="4" w:space="0" w:color="auto"/>
              <w:left w:val="nil"/>
              <w:bottom w:val="single" w:sz="4" w:space="0" w:color="auto"/>
              <w:right w:val="single" w:sz="4" w:space="0" w:color="auto"/>
            </w:tcBorders>
            <w:shd w:val="clear" w:color="000000" w:fill="FFFFFF"/>
          </w:tcPr>
          <w:p w14:paraId="242DB671" w14:textId="4918D754"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50" w:id="-1504952319"/>
                <w14:textFill>
                  <w14:solidFill>
                    <w14:srgbClr w14:val="000000">
                      <w14:alpha w14:val="100000"/>
                    </w14:srgbClr>
                  </w14:solidFill>
                </w14:textFill>
              </w:rPr>
              <w:t xml:space="preserve">　</w:t>
            </w:r>
            <w:r w:rsidRPr="004C3CC2">
              <w:rPr>
                <w:color w:val="000000"/>
                <w:w w:val="15"/>
                <w:shd w:val="solid" w:color="000000" w:fill="000000"/>
                <w:fitText w:val="50" w:id="-1504952319"/>
                <w14:textFill>
                  <w14:solidFill>
                    <w14:srgbClr w14:val="000000">
                      <w14:alpha w14:val="100000"/>
                    </w14:srgbClr>
                  </w14:solidFill>
                </w14:textFill>
              </w:rPr>
              <w:t>|</w:t>
            </w:r>
            <w:r w:rsidRPr="004C3CC2">
              <w:rPr>
                <w:rFonts w:hint="eastAsia"/>
                <w:color w:val="000000"/>
                <w:spacing w:val="-15"/>
                <w:w w:val="15"/>
                <w:shd w:val="solid" w:color="000000" w:fill="000000"/>
                <w:fitText w:val="50" w:id="-1504952319"/>
                <w14:textFill>
                  <w14:solidFill>
                    <w14:srgbClr w14:val="000000">
                      <w14:alpha w14:val="100000"/>
                    </w14:srgbClr>
                  </w14:solidFill>
                </w14:textFill>
              </w:rPr>
              <w:t xml:space="preserve">　</w:t>
            </w:r>
            <w:r w:rsidR="00D31934">
              <w:rPr>
                <w:vertAlign w:val="superscript"/>
              </w:rPr>
              <w:t>12</w:t>
            </w:r>
          </w:p>
        </w:tc>
      </w:tr>
      <w:tr w:rsidR="002D4B99" w:rsidRPr="007B6175" w14:paraId="690E68C9" w14:textId="77777777" w:rsidTr="00F75DE5">
        <w:tc>
          <w:tcPr>
            <w:tcW w:w="5000" w:type="pct"/>
            <w:gridSpan w:val="7"/>
            <w:tcBorders>
              <w:right w:val="single" w:sz="4" w:space="0" w:color="auto"/>
            </w:tcBorders>
          </w:tcPr>
          <w:p w14:paraId="4F2F6A50" w14:textId="77777777" w:rsidR="002D4B99" w:rsidRPr="007B6175" w:rsidRDefault="002D4B99" w:rsidP="00D91056">
            <w:pPr>
              <w:pStyle w:val="TableText"/>
              <w:keepLines/>
              <w:rPr>
                <w:b/>
                <w:bCs w:val="0"/>
              </w:rPr>
            </w:pPr>
            <w:r w:rsidRPr="007B6175">
              <w:rPr>
                <w:b/>
                <w:bCs w:val="0"/>
              </w:rPr>
              <w:t>Proposed combined treatment-resistant migraine cap parameters</w:t>
            </w:r>
          </w:p>
        </w:tc>
      </w:tr>
      <w:tr w:rsidR="00845E08" w:rsidRPr="007B6175" w14:paraId="166D13BA" w14:textId="77777777" w:rsidTr="00845E08">
        <w:tc>
          <w:tcPr>
            <w:tcW w:w="1098" w:type="pct"/>
            <w:vAlign w:val="center"/>
          </w:tcPr>
          <w:p w14:paraId="68D6CC2C" w14:textId="77777777" w:rsidR="002D4B99" w:rsidRPr="007B6175" w:rsidRDefault="002D4B99" w:rsidP="00D91056">
            <w:pPr>
              <w:pStyle w:val="TableText"/>
              <w:keepLines/>
            </w:pPr>
            <w:r w:rsidRPr="007B6175">
              <w:t>Specified months</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tcPr>
          <w:p w14:paraId="13639612" w14:textId="77777777" w:rsidR="002D4B99" w:rsidRPr="007B6175" w:rsidRDefault="002D4B99" w:rsidP="00D91056">
            <w:pPr>
              <w:pStyle w:val="TableText"/>
              <w:keepLines/>
              <w:jc w:val="center"/>
            </w:pPr>
            <w:r w:rsidRPr="007B6175">
              <w:t>Jun 21 -</w:t>
            </w:r>
          </w:p>
          <w:p w14:paraId="6E80DB19" w14:textId="77777777" w:rsidR="002D4B99" w:rsidRPr="007B6175" w:rsidRDefault="002D4B99" w:rsidP="0063185B">
            <w:pPr>
              <w:pStyle w:val="TableText"/>
              <w:keepLines/>
              <w:jc w:val="center"/>
            </w:pPr>
            <w:r w:rsidRPr="007B6175">
              <w:t>May 22</w:t>
            </w:r>
          </w:p>
        </w:tc>
        <w:tc>
          <w:tcPr>
            <w:tcW w:w="630" w:type="pct"/>
            <w:tcBorders>
              <w:top w:val="single" w:sz="4" w:space="0" w:color="auto"/>
              <w:left w:val="nil"/>
              <w:bottom w:val="single" w:sz="4" w:space="0" w:color="auto"/>
              <w:right w:val="single" w:sz="4" w:space="0" w:color="auto"/>
            </w:tcBorders>
            <w:shd w:val="clear" w:color="000000" w:fill="FFFFFF"/>
            <w:vAlign w:val="center"/>
          </w:tcPr>
          <w:p w14:paraId="60622E83" w14:textId="77777777" w:rsidR="002D4B99" w:rsidRPr="007B6175" w:rsidRDefault="002D4B99" w:rsidP="00164B5C">
            <w:pPr>
              <w:pStyle w:val="TableText"/>
              <w:keepLines/>
              <w:jc w:val="center"/>
            </w:pPr>
            <w:r w:rsidRPr="007B6175">
              <w:t>Jun 22 -</w:t>
            </w:r>
          </w:p>
          <w:p w14:paraId="319F4F1A" w14:textId="77777777" w:rsidR="002D4B99" w:rsidRPr="007B6175" w:rsidRDefault="002D4B99" w:rsidP="00164B5C">
            <w:pPr>
              <w:pStyle w:val="TableText"/>
              <w:keepLines/>
              <w:jc w:val="center"/>
            </w:pPr>
            <w:r w:rsidRPr="007B6175">
              <w:t>May 23</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47AA676B" w14:textId="77777777" w:rsidR="002D4B99" w:rsidRPr="007B6175" w:rsidRDefault="002D4B99" w:rsidP="00164B5C">
            <w:pPr>
              <w:pStyle w:val="TableText"/>
              <w:keepLines/>
              <w:jc w:val="center"/>
            </w:pPr>
            <w:r w:rsidRPr="007B6175">
              <w:t>Jun 23 -</w:t>
            </w:r>
          </w:p>
          <w:p w14:paraId="6F4E5EF1" w14:textId="77777777" w:rsidR="002D4B99" w:rsidRPr="007B6175" w:rsidRDefault="002D4B99" w:rsidP="00164B5C">
            <w:pPr>
              <w:pStyle w:val="TableText"/>
              <w:keepLines/>
              <w:jc w:val="center"/>
            </w:pPr>
            <w:r w:rsidRPr="007B6175">
              <w:t>May 24</w:t>
            </w:r>
          </w:p>
        </w:tc>
        <w:tc>
          <w:tcPr>
            <w:tcW w:w="621" w:type="pct"/>
            <w:tcBorders>
              <w:top w:val="single" w:sz="4" w:space="0" w:color="auto"/>
              <w:left w:val="nil"/>
              <w:bottom w:val="single" w:sz="4" w:space="0" w:color="auto"/>
              <w:right w:val="single" w:sz="4" w:space="0" w:color="auto"/>
            </w:tcBorders>
            <w:shd w:val="clear" w:color="000000" w:fill="FFFFFF"/>
            <w:vAlign w:val="center"/>
          </w:tcPr>
          <w:p w14:paraId="2C9D330C" w14:textId="77777777" w:rsidR="002D4B99" w:rsidRPr="007B6175" w:rsidRDefault="002D4B99" w:rsidP="00164B5C">
            <w:pPr>
              <w:pStyle w:val="TableText"/>
              <w:keepLines/>
              <w:jc w:val="center"/>
            </w:pPr>
            <w:r w:rsidRPr="007B6175">
              <w:t>Jun 24 -</w:t>
            </w:r>
          </w:p>
          <w:p w14:paraId="25BC11A0" w14:textId="77777777" w:rsidR="002D4B99" w:rsidRPr="007B6175" w:rsidRDefault="002D4B99" w:rsidP="00164B5C">
            <w:pPr>
              <w:pStyle w:val="TableText"/>
              <w:keepLines/>
              <w:jc w:val="center"/>
            </w:pPr>
            <w:r w:rsidRPr="007B6175">
              <w:t>May 25</w:t>
            </w:r>
          </w:p>
        </w:tc>
        <w:tc>
          <w:tcPr>
            <w:tcW w:w="664" w:type="pct"/>
            <w:tcBorders>
              <w:top w:val="single" w:sz="4" w:space="0" w:color="auto"/>
              <w:left w:val="nil"/>
              <w:bottom w:val="single" w:sz="4" w:space="0" w:color="auto"/>
              <w:right w:val="single" w:sz="4" w:space="0" w:color="auto"/>
            </w:tcBorders>
            <w:shd w:val="clear" w:color="000000" w:fill="FFFFFF"/>
            <w:vAlign w:val="center"/>
          </w:tcPr>
          <w:p w14:paraId="3AFCFECB" w14:textId="77777777" w:rsidR="002D4B99" w:rsidRPr="007B6175" w:rsidRDefault="002D4B99" w:rsidP="00164B5C">
            <w:pPr>
              <w:pStyle w:val="TableText"/>
              <w:keepLines/>
              <w:jc w:val="center"/>
            </w:pPr>
            <w:r w:rsidRPr="007B6175">
              <w:t>Jun 25 -</w:t>
            </w:r>
          </w:p>
          <w:p w14:paraId="16C77928" w14:textId="77777777" w:rsidR="002D4B99" w:rsidRPr="007B6175" w:rsidRDefault="002D4B99" w:rsidP="00164B5C">
            <w:pPr>
              <w:pStyle w:val="TableText"/>
              <w:keepLines/>
              <w:jc w:val="center"/>
            </w:pPr>
            <w:r w:rsidRPr="007B6175">
              <w:t>May 26</w:t>
            </w:r>
          </w:p>
        </w:tc>
        <w:tc>
          <w:tcPr>
            <w:tcW w:w="651" w:type="pct"/>
            <w:tcBorders>
              <w:top w:val="single" w:sz="4" w:space="0" w:color="auto"/>
              <w:left w:val="nil"/>
              <w:bottom w:val="single" w:sz="4" w:space="0" w:color="auto"/>
              <w:right w:val="single" w:sz="4" w:space="0" w:color="auto"/>
            </w:tcBorders>
            <w:shd w:val="clear" w:color="000000" w:fill="FFFFFF"/>
            <w:vAlign w:val="center"/>
          </w:tcPr>
          <w:p w14:paraId="7D7FAAFA" w14:textId="77777777" w:rsidR="002D4B99" w:rsidRPr="007B6175" w:rsidRDefault="002D4B99" w:rsidP="00164B5C">
            <w:pPr>
              <w:pStyle w:val="TableText"/>
              <w:keepLines/>
              <w:jc w:val="center"/>
            </w:pPr>
            <w:r w:rsidRPr="007B6175">
              <w:t>Jun 26 -</w:t>
            </w:r>
          </w:p>
          <w:p w14:paraId="25CF228C" w14:textId="77777777" w:rsidR="002D4B99" w:rsidRPr="007B6175" w:rsidRDefault="002D4B99" w:rsidP="00164B5C">
            <w:pPr>
              <w:pStyle w:val="TableText"/>
              <w:keepLines/>
              <w:jc w:val="center"/>
            </w:pPr>
            <w:r w:rsidRPr="007B6175">
              <w:t>May 27</w:t>
            </w:r>
          </w:p>
        </w:tc>
      </w:tr>
      <w:tr w:rsidR="00845E08" w:rsidRPr="007B6175" w14:paraId="1A8CBEFC" w14:textId="77777777" w:rsidTr="00845E08">
        <w:tc>
          <w:tcPr>
            <w:tcW w:w="1098" w:type="pct"/>
          </w:tcPr>
          <w:p w14:paraId="719A8941" w14:textId="27387631" w:rsidR="002D4B99" w:rsidRPr="007B6175" w:rsidRDefault="002D4B99" w:rsidP="00D91056">
            <w:pPr>
              <w:pStyle w:val="TableText"/>
              <w:keepLines/>
            </w:pPr>
            <w:r w:rsidRPr="007B6175">
              <w:t>Tier 1 combined cap</w:t>
            </w:r>
            <w:r w:rsidR="00620543">
              <w:t xml:space="preserve"> ($)</w:t>
            </w:r>
          </w:p>
        </w:tc>
        <w:tc>
          <w:tcPr>
            <w:tcW w:w="708" w:type="pct"/>
            <w:tcBorders>
              <w:top w:val="single" w:sz="4" w:space="0" w:color="auto"/>
              <w:left w:val="single" w:sz="4" w:space="0" w:color="auto"/>
              <w:bottom w:val="single" w:sz="4" w:space="0" w:color="auto"/>
              <w:right w:val="single" w:sz="4" w:space="0" w:color="auto"/>
            </w:tcBorders>
            <w:shd w:val="clear" w:color="000000" w:fill="FFFFFF"/>
          </w:tcPr>
          <w:p w14:paraId="509075C7" w14:textId="2251918F" w:rsidR="002D4B99" w:rsidRPr="004C3CC2" w:rsidRDefault="004C3CC2" w:rsidP="00D91056">
            <w:pPr>
              <w:pStyle w:val="TableText"/>
              <w:keepLines/>
              <w:jc w:val="center"/>
              <w:rPr>
                <w:highlight w:val="yellow"/>
              </w:rPr>
            </w:pPr>
            <w:r w:rsidRPr="004C3CC2">
              <w:rPr>
                <w:color w:val="000000"/>
                <w:shd w:val="solid" w:color="000000" w:fill="000000"/>
                <w14:textFill>
                  <w14:solidFill>
                    <w14:srgbClr w14:val="000000">
                      <w14:alpha w14:val="100000"/>
                    </w14:srgbClr>
                  </w14:solidFill>
                </w14:textFill>
              </w:rPr>
              <w:t>|</w:t>
            </w:r>
            <w:r w:rsidR="00620543">
              <w:rPr>
                <w:vertAlign w:val="superscript"/>
              </w:rPr>
              <w:t>2</w:t>
            </w:r>
          </w:p>
        </w:tc>
        <w:tc>
          <w:tcPr>
            <w:tcW w:w="630" w:type="pct"/>
            <w:tcBorders>
              <w:top w:val="single" w:sz="4" w:space="0" w:color="auto"/>
              <w:left w:val="nil"/>
              <w:bottom w:val="single" w:sz="4" w:space="0" w:color="auto"/>
              <w:right w:val="single" w:sz="4" w:space="0" w:color="auto"/>
            </w:tcBorders>
            <w:shd w:val="clear" w:color="000000" w:fill="FFFFFF"/>
          </w:tcPr>
          <w:p w14:paraId="5103342D" w14:textId="0D1D88F1" w:rsidR="002D4B99" w:rsidRPr="004C3CC2" w:rsidRDefault="004C3CC2" w:rsidP="0063185B">
            <w:pPr>
              <w:pStyle w:val="TableText"/>
              <w:keepLines/>
              <w:jc w:val="center"/>
              <w:rPr>
                <w:highlight w:val="yellow"/>
              </w:rPr>
            </w:pPr>
            <w:r w:rsidRPr="004C3CC2">
              <w:rPr>
                <w:rFonts w:hint="eastAsia"/>
                <w:color w:val="000000"/>
                <w:w w:val="15"/>
                <w:shd w:val="solid" w:color="000000" w:fill="000000"/>
                <w:fitText w:val="40" w:id="-1504952318"/>
                <w14:textFill>
                  <w14:solidFill>
                    <w14:srgbClr w14:val="000000">
                      <w14:alpha w14:val="100000"/>
                    </w14:srgbClr>
                  </w14:solidFill>
                </w14:textFill>
              </w:rPr>
              <w:t xml:space="preserve">　</w:t>
            </w:r>
            <w:r w:rsidRPr="004C3CC2">
              <w:rPr>
                <w:color w:val="000000"/>
                <w:w w:val="15"/>
                <w:shd w:val="solid" w:color="000000" w:fill="000000"/>
                <w:fitText w:val="40" w:id="-1504952318"/>
                <w14:textFill>
                  <w14:solidFill>
                    <w14:srgbClr w14:val="000000">
                      <w14:alpha w14:val="100000"/>
                    </w14:srgbClr>
                  </w14:solidFill>
                </w14:textFill>
              </w:rPr>
              <w:t>|</w:t>
            </w:r>
            <w:r w:rsidRPr="004C3CC2">
              <w:rPr>
                <w:rFonts w:hint="eastAsia"/>
                <w:color w:val="000000"/>
                <w:spacing w:val="-25"/>
                <w:w w:val="15"/>
                <w:shd w:val="solid" w:color="000000" w:fill="000000"/>
                <w:fitText w:val="40" w:id="-1504952318"/>
                <w14:textFill>
                  <w14:solidFill>
                    <w14:srgbClr w14:val="000000">
                      <w14:alpha w14:val="100000"/>
                    </w14:srgbClr>
                  </w14:solidFill>
                </w14:textFill>
              </w:rPr>
              <w:t xml:space="preserve">　</w:t>
            </w:r>
            <w:r w:rsidR="00D31934">
              <w:rPr>
                <w:vertAlign w:val="superscript"/>
              </w:rPr>
              <w:t>7</w:t>
            </w:r>
          </w:p>
        </w:tc>
        <w:tc>
          <w:tcPr>
            <w:tcW w:w="629" w:type="pct"/>
            <w:tcBorders>
              <w:top w:val="single" w:sz="4" w:space="0" w:color="auto"/>
              <w:left w:val="nil"/>
              <w:bottom w:val="single" w:sz="4" w:space="0" w:color="auto"/>
              <w:right w:val="single" w:sz="4" w:space="0" w:color="auto"/>
            </w:tcBorders>
            <w:shd w:val="clear" w:color="000000" w:fill="FFFFFF"/>
          </w:tcPr>
          <w:p w14:paraId="02F576DF" w14:textId="0300EC99"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40" w:id="-1504952317"/>
                <w14:textFill>
                  <w14:solidFill>
                    <w14:srgbClr w14:val="000000">
                      <w14:alpha w14:val="100000"/>
                    </w14:srgbClr>
                  </w14:solidFill>
                </w14:textFill>
              </w:rPr>
              <w:t xml:space="preserve">　</w:t>
            </w:r>
            <w:r w:rsidRPr="004C3CC2">
              <w:rPr>
                <w:color w:val="000000"/>
                <w:w w:val="15"/>
                <w:shd w:val="solid" w:color="000000" w:fill="000000"/>
                <w:fitText w:val="40" w:id="-1504952317"/>
                <w14:textFill>
                  <w14:solidFill>
                    <w14:srgbClr w14:val="000000">
                      <w14:alpha w14:val="100000"/>
                    </w14:srgbClr>
                  </w14:solidFill>
                </w14:textFill>
              </w:rPr>
              <w:t>|</w:t>
            </w:r>
            <w:r w:rsidRPr="004C3CC2">
              <w:rPr>
                <w:rFonts w:hint="eastAsia"/>
                <w:color w:val="000000"/>
                <w:spacing w:val="-25"/>
                <w:w w:val="15"/>
                <w:shd w:val="solid" w:color="000000" w:fill="000000"/>
                <w:fitText w:val="40" w:id="-1504952317"/>
                <w14:textFill>
                  <w14:solidFill>
                    <w14:srgbClr w14:val="000000">
                      <w14:alpha w14:val="100000"/>
                    </w14:srgbClr>
                  </w14:solidFill>
                </w14:textFill>
              </w:rPr>
              <w:t xml:space="preserve">　</w:t>
            </w:r>
            <w:r w:rsidR="00D31934">
              <w:rPr>
                <w:vertAlign w:val="superscript"/>
              </w:rPr>
              <w:t>8</w:t>
            </w:r>
          </w:p>
        </w:tc>
        <w:tc>
          <w:tcPr>
            <w:tcW w:w="621" w:type="pct"/>
            <w:tcBorders>
              <w:top w:val="single" w:sz="4" w:space="0" w:color="auto"/>
              <w:left w:val="nil"/>
              <w:bottom w:val="single" w:sz="4" w:space="0" w:color="auto"/>
              <w:right w:val="single" w:sz="4" w:space="0" w:color="auto"/>
            </w:tcBorders>
            <w:shd w:val="clear" w:color="000000" w:fill="FFFFFF"/>
          </w:tcPr>
          <w:p w14:paraId="1DDDF84B" w14:textId="777FDD84" w:rsidR="002D4B99" w:rsidRPr="004C3CC2" w:rsidRDefault="004C3CC2" w:rsidP="00164B5C">
            <w:pPr>
              <w:pStyle w:val="TableText"/>
              <w:keepLines/>
              <w:jc w:val="center"/>
              <w:rPr>
                <w:highlight w:val="yellow"/>
              </w:rPr>
            </w:pPr>
            <w:r w:rsidRPr="004C3CC2">
              <w:rPr>
                <w:rFonts w:hint="eastAsia"/>
                <w:color w:val="000000"/>
                <w:w w:val="18"/>
                <w:shd w:val="solid" w:color="000000" w:fill="000000"/>
                <w:fitText w:val="80" w:id="-1504952316"/>
                <w14:textFill>
                  <w14:solidFill>
                    <w14:srgbClr w14:val="000000">
                      <w14:alpha w14:val="100000"/>
                    </w14:srgbClr>
                  </w14:solidFill>
                </w14:textFill>
              </w:rPr>
              <w:t xml:space="preserve">　</w:t>
            </w:r>
            <w:r w:rsidRPr="004C3CC2">
              <w:rPr>
                <w:color w:val="000000"/>
                <w:w w:val="18"/>
                <w:shd w:val="solid" w:color="000000" w:fill="000000"/>
                <w:fitText w:val="80" w:id="-1504952316"/>
                <w14:textFill>
                  <w14:solidFill>
                    <w14:srgbClr w14:val="000000">
                      <w14:alpha w14:val="100000"/>
                    </w14:srgbClr>
                  </w14:solidFill>
                </w14:textFill>
              </w:rPr>
              <w:t>|</w:t>
            </w:r>
            <w:r w:rsidRPr="004C3CC2">
              <w:rPr>
                <w:rFonts w:hint="eastAsia"/>
                <w:color w:val="000000"/>
                <w:w w:val="18"/>
                <w:shd w:val="solid" w:color="000000" w:fill="000000"/>
                <w:fitText w:val="80" w:id="-1504952316"/>
                <w14:textFill>
                  <w14:solidFill>
                    <w14:srgbClr w14:val="000000">
                      <w14:alpha w14:val="100000"/>
                    </w14:srgbClr>
                  </w14:solidFill>
                </w14:textFill>
              </w:rPr>
              <w:t xml:space="preserve">　</w:t>
            </w:r>
            <w:r w:rsidR="00D31934">
              <w:rPr>
                <w:vertAlign w:val="superscript"/>
              </w:rPr>
              <w:t>12</w:t>
            </w:r>
          </w:p>
        </w:tc>
        <w:tc>
          <w:tcPr>
            <w:tcW w:w="664" w:type="pct"/>
            <w:tcBorders>
              <w:top w:val="single" w:sz="4" w:space="0" w:color="auto"/>
              <w:left w:val="nil"/>
              <w:bottom w:val="single" w:sz="4" w:space="0" w:color="auto"/>
              <w:right w:val="single" w:sz="4" w:space="0" w:color="auto"/>
            </w:tcBorders>
            <w:shd w:val="clear" w:color="000000" w:fill="FFFFFF"/>
          </w:tcPr>
          <w:p w14:paraId="678B2053" w14:textId="2D3DC56F"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40" w:id="-1504952315"/>
                <w14:textFill>
                  <w14:solidFill>
                    <w14:srgbClr w14:val="000000">
                      <w14:alpha w14:val="100000"/>
                    </w14:srgbClr>
                  </w14:solidFill>
                </w14:textFill>
              </w:rPr>
              <w:t xml:space="preserve">　</w:t>
            </w:r>
            <w:r w:rsidRPr="004C3CC2">
              <w:rPr>
                <w:color w:val="000000"/>
                <w:w w:val="15"/>
                <w:shd w:val="solid" w:color="000000" w:fill="000000"/>
                <w:fitText w:val="40" w:id="-1504952315"/>
                <w14:textFill>
                  <w14:solidFill>
                    <w14:srgbClr w14:val="000000">
                      <w14:alpha w14:val="100000"/>
                    </w14:srgbClr>
                  </w14:solidFill>
                </w14:textFill>
              </w:rPr>
              <w:t>|</w:t>
            </w:r>
            <w:r w:rsidRPr="004C3CC2">
              <w:rPr>
                <w:rFonts w:hint="eastAsia"/>
                <w:color w:val="000000"/>
                <w:spacing w:val="-25"/>
                <w:w w:val="15"/>
                <w:shd w:val="solid" w:color="000000" w:fill="000000"/>
                <w:fitText w:val="40" w:id="-1504952315"/>
                <w14:textFill>
                  <w14:solidFill>
                    <w14:srgbClr w14:val="000000">
                      <w14:alpha w14:val="100000"/>
                    </w14:srgbClr>
                  </w14:solidFill>
                </w14:textFill>
              </w:rPr>
              <w:t xml:space="preserve">　</w:t>
            </w:r>
            <w:r w:rsidR="00D31934">
              <w:rPr>
                <w:vertAlign w:val="superscript"/>
              </w:rPr>
              <w:t>11</w:t>
            </w:r>
          </w:p>
        </w:tc>
        <w:tc>
          <w:tcPr>
            <w:tcW w:w="651" w:type="pct"/>
            <w:tcBorders>
              <w:top w:val="single" w:sz="4" w:space="0" w:color="auto"/>
              <w:left w:val="nil"/>
              <w:bottom w:val="single" w:sz="4" w:space="0" w:color="auto"/>
              <w:right w:val="single" w:sz="4" w:space="0" w:color="auto"/>
            </w:tcBorders>
            <w:shd w:val="clear" w:color="000000" w:fill="FFFFFF"/>
          </w:tcPr>
          <w:p w14:paraId="5F640125" w14:textId="1466C86D"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50" w:id="-1504952314"/>
                <w14:textFill>
                  <w14:solidFill>
                    <w14:srgbClr w14:val="000000">
                      <w14:alpha w14:val="100000"/>
                    </w14:srgbClr>
                  </w14:solidFill>
                </w14:textFill>
              </w:rPr>
              <w:t xml:space="preserve">　</w:t>
            </w:r>
            <w:r w:rsidRPr="004C3CC2">
              <w:rPr>
                <w:color w:val="000000"/>
                <w:w w:val="15"/>
                <w:shd w:val="solid" w:color="000000" w:fill="000000"/>
                <w:fitText w:val="50" w:id="-1504952314"/>
                <w14:textFill>
                  <w14:solidFill>
                    <w14:srgbClr w14:val="000000">
                      <w14:alpha w14:val="100000"/>
                    </w14:srgbClr>
                  </w14:solidFill>
                </w14:textFill>
              </w:rPr>
              <w:t>|</w:t>
            </w:r>
            <w:r w:rsidRPr="004C3CC2">
              <w:rPr>
                <w:rFonts w:hint="eastAsia"/>
                <w:color w:val="000000"/>
                <w:spacing w:val="-15"/>
                <w:w w:val="15"/>
                <w:shd w:val="solid" w:color="000000" w:fill="000000"/>
                <w:fitText w:val="50" w:id="-1504952314"/>
                <w14:textFill>
                  <w14:solidFill>
                    <w14:srgbClr w14:val="000000">
                      <w14:alpha w14:val="100000"/>
                    </w14:srgbClr>
                  </w14:solidFill>
                </w14:textFill>
              </w:rPr>
              <w:t xml:space="preserve">　</w:t>
            </w:r>
            <w:r w:rsidR="00D31934">
              <w:rPr>
                <w:vertAlign w:val="superscript"/>
              </w:rPr>
              <w:t>11</w:t>
            </w:r>
          </w:p>
        </w:tc>
      </w:tr>
      <w:tr w:rsidR="00845E08" w:rsidRPr="007B6175" w14:paraId="5E708D83" w14:textId="77777777" w:rsidTr="00845E08">
        <w:tc>
          <w:tcPr>
            <w:tcW w:w="1098" w:type="pct"/>
          </w:tcPr>
          <w:p w14:paraId="24879B85" w14:textId="3C1AFC3C" w:rsidR="002D4B99" w:rsidRPr="007B6175" w:rsidRDefault="002D4B99" w:rsidP="00D91056">
            <w:pPr>
              <w:pStyle w:val="TableText"/>
              <w:keepLines/>
            </w:pPr>
            <w:r w:rsidRPr="007B6175">
              <w:t>Tier 2 combined cap</w:t>
            </w:r>
            <w:r w:rsidR="00620543">
              <w:t xml:space="preserve"> ($)</w:t>
            </w:r>
          </w:p>
        </w:tc>
        <w:tc>
          <w:tcPr>
            <w:tcW w:w="708" w:type="pct"/>
            <w:tcBorders>
              <w:top w:val="single" w:sz="4" w:space="0" w:color="auto"/>
              <w:left w:val="single" w:sz="4" w:space="0" w:color="auto"/>
              <w:bottom w:val="single" w:sz="4" w:space="0" w:color="auto"/>
              <w:right w:val="single" w:sz="4" w:space="0" w:color="auto"/>
            </w:tcBorders>
            <w:shd w:val="clear" w:color="000000" w:fill="FFFFFF"/>
          </w:tcPr>
          <w:p w14:paraId="01660C38" w14:textId="68E1B538" w:rsidR="002D4B99" w:rsidRPr="004C3CC2" w:rsidRDefault="004C3CC2" w:rsidP="00D91056">
            <w:pPr>
              <w:pStyle w:val="TableText"/>
              <w:keepLines/>
              <w:jc w:val="center"/>
              <w:rPr>
                <w:highlight w:val="yellow"/>
              </w:rPr>
            </w:pPr>
            <w:r w:rsidRPr="004C3CC2">
              <w:rPr>
                <w:color w:val="000000"/>
                <w:shd w:val="solid" w:color="000000" w:fill="000000"/>
                <w14:textFill>
                  <w14:solidFill>
                    <w14:srgbClr w14:val="000000">
                      <w14:alpha w14:val="100000"/>
                    </w14:srgbClr>
                  </w14:solidFill>
                </w14:textFill>
              </w:rPr>
              <w:t>|</w:t>
            </w:r>
            <w:r w:rsidR="00620543">
              <w:rPr>
                <w:vertAlign w:val="superscript"/>
              </w:rPr>
              <w:t>2</w:t>
            </w:r>
          </w:p>
        </w:tc>
        <w:tc>
          <w:tcPr>
            <w:tcW w:w="630" w:type="pct"/>
            <w:tcBorders>
              <w:top w:val="single" w:sz="4" w:space="0" w:color="auto"/>
              <w:left w:val="nil"/>
              <w:bottom w:val="single" w:sz="4" w:space="0" w:color="auto"/>
              <w:right w:val="single" w:sz="4" w:space="0" w:color="auto"/>
            </w:tcBorders>
            <w:shd w:val="clear" w:color="000000" w:fill="FFFFFF"/>
          </w:tcPr>
          <w:p w14:paraId="42EF7E16" w14:textId="2391B2CE" w:rsidR="002D4B99" w:rsidRPr="004C3CC2" w:rsidRDefault="004C3CC2" w:rsidP="0063185B">
            <w:pPr>
              <w:pStyle w:val="TableText"/>
              <w:keepLines/>
              <w:jc w:val="center"/>
              <w:rPr>
                <w:highlight w:val="yellow"/>
              </w:rPr>
            </w:pPr>
            <w:r w:rsidRPr="004C3CC2">
              <w:rPr>
                <w:rFonts w:hint="eastAsia"/>
                <w:color w:val="000000"/>
                <w:w w:val="15"/>
                <w:shd w:val="solid" w:color="000000" w:fill="000000"/>
                <w:fitText w:val="40" w:id="-1504952313"/>
                <w14:textFill>
                  <w14:solidFill>
                    <w14:srgbClr w14:val="000000">
                      <w14:alpha w14:val="100000"/>
                    </w14:srgbClr>
                  </w14:solidFill>
                </w14:textFill>
              </w:rPr>
              <w:t xml:space="preserve">　</w:t>
            </w:r>
            <w:r w:rsidRPr="004C3CC2">
              <w:rPr>
                <w:color w:val="000000"/>
                <w:w w:val="15"/>
                <w:shd w:val="solid" w:color="000000" w:fill="000000"/>
                <w:fitText w:val="40" w:id="-1504952313"/>
                <w14:textFill>
                  <w14:solidFill>
                    <w14:srgbClr w14:val="000000">
                      <w14:alpha w14:val="100000"/>
                    </w14:srgbClr>
                  </w14:solidFill>
                </w14:textFill>
              </w:rPr>
              <w:t>|</w:t>
            </w:r>
            <w:r w:rsidRPr="004C3CC2">
              <w:rPr>
                <w:rFonts w:hint="eastAsia"/>
                <w:color w:val="000000"/>
                <w:spacing w:val="-25"/>
                <w:w w:val="15"/>
                <w:shd w:val="solid" w:color="000000" w:fill="000000"/>
                <w:fitText w:val="40" w:id="-1504952313"/>
                <w14:textFill>
                  <w14:solidFill>
                    <w14:srgbClr w14:val="000000">
                      <w14:alpha w14:val="100000"/>
                    </w14:srgbClr>
                  </w14:solidFill>
                </w14:textFill>
              </w:rPr>
              <w:t xml:space="preserve">　</w:t>
            </w:r>
            <w:r w:rsidR="00D31934">
              <w:rPr>
                <w:vertAlign w:val="superscript"/>
              </w:rPr>
              <w:t>8</w:t>
            </w:r>
          </w:p>
        </w:tc>
        <w:tc>
          <w:tcPr>
            <w:tcW w:w="629" w:type="pct"/>
            <w:tcBorders>
              <w:top w:val="single" w:sz="4" w:space="0" w:color="auto"/>
              <w:left w:val="nil"/>
              <w:bottom w:val="single" w:sz="4" w:space="0" w:color="auto"/>
              <w:right w:val="single" w:sz="4" w:space="0" w:color="auto"/>
            </w:tcBorders>
            <w:shd w:val="clear" w:color="000000" w:fill="FFFFFF"/>
          </w:tcPr>
          <w:p w14:paraId="78C4DF3E" w14:textId="004C6098"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70" w:id="-1504952312"/>
                <w14:textFill>
                  <w14:solidFill>
                    <w14:srgbClr w14:val="000000">
                      <w14:alpha w14:val="100000"/>
                    </w14:srgbClr>
                  </w14:solidFill>
                </w14:textFill>
              </w:rPr>
              <w:t xml:space="preserve">　</w:t>
            </w:r>
            <w:r w:rsidRPr="004C3CC2">
              <w:rPr>
                <w:color w:val="000000"/>
                <w:w w:val="15"/>
                <w:shd w:val="solid" w:color="000000" w:fill="000000"/>
                <w:fitText w:val="70" w:id="-1504952312"/>
                <w14:textFill>
                  <w14:solidFill>
                    <w14:srgbClr w14:val="000000">
                      <w14:alpha w14:val="100000"/>
                    </w14:srgbClr>
                  </w14:solidFill>
                </w14:textFill>
              </w:rPr>
              <w:t>|</w:t>
            </w:r>
            <w:r w:rsidRPr="004C3CC2">
              <w:rPr>
                <w:rFonts w:hint="eastAsia"/>
                <w:color w:val="000000"/>
                <w:spacing w:val="4"/>
                <w:w w:val="15"/>
                <w:shd w:val="solid" w:color="000000" w:fill="000000"/>
                <w:fitText w:val="70" w:id="-1504952312"/>
                <w14:textFill>
                  <w14:solidFill>
                    <w14:srgbClr w14:val="000000">
                      <w14:alpha w14:val="100000"/>
                    </w14:srgbClr>
                  </w14:solidFill>
                </w14:textFill>
              </w:rPr>
              <w:t xml:space="preserve">　</w:t>
            </w:r>
            <w:r w:rsidR="00D31934">
              <w:rPr>
                <w:vertAlign w:val="superscript"/>
              </w:rPr>
              <w:t>11</w:t>
            </w:r>
          </w:p>
        </w:tc>
        <w:tc>
          <w:tcPr>
            <w:tcW w:w="621" w:type="pct"/>
            <w:tcBorders>
              <w:top w:val="single" w:sz="4" w:space="0" w:color="auto"/>
              <w:left w:val="nil"/>
              <w:bottom w:val="single" w:sz="4" w:space="0" w:color="auto"/>
              <w:right w:val="single" w:sz="4" w:space="0" w:color="auto"/>
            </w:tcBorders>
            <w:shd w:val="clear" w:color="000000" w:fill="FFFFFF"/>
          </w:tcPr>
          <w:p w14:paraId="33B53D3E" w14:textId="769A4EEA" w:rsidR="002D4B99" w:rsidRPr="004C3CC2" w:rsidRDefault="004C3CC2" w:rsidP="00164B5C">
            <w:pPr>
              <w:pStyle w:val="TableText"/>
              <w:keepLines/>
              <w:jc w:val="center"/>
              <w:rPr>
                <w:highlight w:val="yellow"/>
              </w:rPr>
            </w:pPr>
            <w:r w:rsidRPr="004C3CC2">
              <w:rPr>
                <w:rFonts w:hint="eastAsia"/>
                <w:color w:val="000000"/>
                <w:w w:val="18"/>
                <w:shd w:val="solid" w:color="000000" w:fill="000000"/>
                <w:fitText w:val="80" w:id="-1504952311"/>
                <w14:textFill>
                  <w14:solidFill>
                    <w14:srgbClr w14:val="000000">
                      <w14:alpha w14:val="100000"/>
                    </w14:srgbClr>
                  </w14:solidFill>
                </w14:textFill>
              </w:rPr>
              <w:t xml:space="preserve">　</w:t>
            </w:r>
            <w:r w:rsidRPr="004C3CC2">
              <w:rPr>
                <w:color w:val="000000"/>
                <w:w w:val="18"/>
                <w:shd w:val="solid" w:color="000000" w:fill="000000"/>
                <w:fitText w:val="80" w:id="-1504952311"/>
                <w14:textFill>
                  <w14:solidFill>
                    <w14:srgbClr w14:val="000000">
                      <w14:alpha w14:val="100000"/>
                    </w14:srgbClr>
                  </w14:solidFill>
                </w14:textFill>
              </w:rPr>
              <w:t>|</w:t>
            </w:r>
            <w:r w:rsidRPr="004C3CC2">
              <w:rPr>
                <w:rFonts w:hint="eastAsia"/>
                <w:color w:val="000000"/>
                <w:w w:val="18"/>
                <w:shd w:val="solid" w:color="000000" w:fill="000000"/>
                <w:fitText w:val="80" w:id="-1504952311"/>
                <w14:textFill>
                  <w14:solidFill>
                    <w14:srgbClr w14:val="000000">
                      <w14:alpha w14:val="100000"/>
                    </w14:srgbClr>
                  </w14:solidFill>
                </w14:textFill>
              </w:rPr>
              <w:t xml:space="preserve">　</w:t>
            </w:r>
            <w:r w:rsidR="00D31934">
              <w:rPr>
                <w:vertAlign w:val="superscript"/>
              </w:rPr>
              <w:t>13</w:t>
            </w:r>
          </w:p>
        </w:tc>
        <w:tc>
          <w:tcPr>
            <w:tcW w:w="664" w:type="pct"/>
            <w:tcBorders>
              <w:top w:val="single" w:sz="4" w:space="0" w:color="auto"/>
              <w:left w:val="nil"/>
              <w:bottom w:val="single" w:sz="4" w:space="0" w:color="auto"/>
              <w:right w:val="single" w:sz="4" w:space="0" w:color="auto"/>
            </w:tcBorders>
            <w:shd w:val="clear" w:color="000000" w:fill="FFFFFF"/>
          </w:tcPr>
          <w:p w14:paraId="4AFB46C5" w14:textId="3B161523"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40" w:id="-1504952310"/>
                <w14:textFill>
                  <w14:solidFill>
                    <w14:srgbClr w14:val="000000">
                      <w14:alpha w14:val="100000"/>
                    </w14:srgbClr>
                  </w14:solidFill>
                </w14:textFill>
              </w:rPr>
              <w:t xml:space="preserve">　</w:t>
            </w:r>
            <w:r w:rsidRPr="004C3CC2">
              <w:rPr>
                <w:color w:val="000000"/>
                <w:w w:val="15"/>
                <w:shd w:val="solid" w:color="000000" w:fill="000000"/>
                <w:fitText w:val="40" w:id="-1504952310"/>
                <w14:textFill>
                  <w14:solidFill>
                    <w14:srgbClr w14:val="000000">
                      <w14:alpha w14:val="100000"/>
                    </w14:srgbClr>
                  </w14:solidFill>
                </w14:textFill>
              </w:rPr>
              <w:t>|</w:t>
            </w:r>
            <w:r w:rsidRPr="004C3CC2">
              <w:rPr>
                <w:rFonts w:hint="eastAsia"/>
                <w:color w:val="000000"/>
                <w:spacing w:val="-25"/>
                <w:w w:val="15"/>
                <w:shd w:val="solid" w:color="000000" w:fill="000000"/>
                <w:fitText w:val="40" w:id="-1504952310"/>
                <w14:textFill>
                  <w14:solidFill>
                    <w14:srgbClr w14:val="000000">
                      <w14:alpha w14:val="100000"/>
                    </w14:srgbClr>
                  </w14:solidFill>
                </w14:textFill>
              </w:rPr>
              <w:t xml:space="preserve">　</w:t>
            </w:r>
            <w:r w:rsidR="00D31934">
              <w:rPr>
                <w:vertAlign w:val="superscript"/>
              </w:rPr>
              <w:t>14</w:t>
            </w:r>
          </w:p>
        </w:tc>
        <w:tc>
          <w:tcPr>
            <w:tcW w:w="651" w:type="pct"/>
            <w:tcBorders>
              <w:top w:val="single" w:sz="4" w:space="0" w:color="auto"/>
              <w:left w:val="nil"/>
              <w:bottom w:val="single" w:sz="4" w:space="0" w:color="auto"/>
              <w:right w:val="single" w:sz="4" w:space="0" w:color="auto"/>
            </w:tcBorders>
            <w:shd w:val="clear" w:color="000000" w:fill="FFFFFF"/>
          </w:tcPr>
          <w:p w14:paraId="24D6C5D7" w14:textId="5F9374F0" w:rsidR="002D4B99" w:rsidRPr="004C3CC2" w:rsidRDefault="004C3CC2" w:rsidP="00164B5C">
            <w:pPr>
              <w:pStyle w:val="TableText"/>
              <w:keepLines/>
              <w:jc w:val="center"/>
              <w:rPr>
                <w:highlight w:val="yellow"/>
              </w:rPr>
            </w:pPr>
            <w:r w:rsidRPr="004C3CC2">
              <w:rPr>
                <w:rFonts w:hint="eastAsia"/>
                <w:color w:val="000000"/>
                <w:w w:val="15"/>
                <w:shd w:val="solid" w:color="000000" w:fill="000000"/>
                <w:fitText w:val="50" w:id="-1504952309"/>
                <w14:textFill>
                  <w14:solidFill>
                    <w14:srgbClr w14:val="000000">
                      <w14:alpha w14:val="100000"/>
                    </w14:srgbClr>
                  </w14:solidFill>
                </w14:textFill>
              </w:rPr>
              <w:t xml:space="preserve">　</w:t>
            </w:r>
            <w:r w:rsidRPr="004C3CC2">
              <w:rPr>
                <w:color w:val="000000"/>
                <w:w w:val="15"/>
                <w:shd w:val="solid" w:color="000000" w:fill="000000"/>
                <w:fitText w:val="50" w:id="-1504952309"/>
                <w14:textFill>
                  <w14:solidFill>
                    <w14:srgbClr w14:val="000000">
                      <w14:alpha w14:val="100000"/>
                    </w14:srgbClr>
                  </w14:solidFill>
                </w14:textFill>
              </w:rPr>
              <w:t>|</w:t>
            </w:r>
            <w:r w:rsidRPr="004C3CC2">
              <w:rPr>
                <w:rFonts w:hint="eastAsia"/>
                <w:color w:val="000000"/>
                <w:spacing w:val="-15"/>
                <w:w w:val="15"/>
                <w:shd w:val="solid" w:color="000000" w:fill="000000"/>
                <w:fitText w:val="50" w:id="-1504952309"/>
                <w14:textFill>
                  <w14:solidFill>
                    <w14:srgbClr w14:val="000000">
                      <w14:alpha w14:val="100000"/>
                    </w14:srgbClr>
                  </w14:solidFill>
                </w14:textFill>
              </w:rPr>
              <w:t xml:space="preserve">　</w:t>
            </w:r>
            <w:r w:rsidR="00D31934">
              <w:rPr>
                <w:vertAlign w:val="superscript"/>
              </w:rPr>
              <w:t>15</w:t>
            </w:r>
          </w:p>
        </w:tc>
      </w:tr>
    </w:tbl>
    <w:p w14:paraId="1EF1D493" w14:textId="77777777" w:rsidR="00B813E5" w:rsidRPr="007B6175" w:rsidRDefault="00B813E5" w:rsidP="00D91056">
      <w:pPr>
        <w:pStyle w:val="TableFooter"/>
        <w:keepNext/>
        <w:keepLines/>
      </w:pPr>
      <w:r w:rsidRPr="007B6175">
        <w:t xml:space="preserve">Source: Table 4.7.1, p166; Table 4.7.2, pp167-168; Table 4.7.3, p168 of the resubmission; Section 4 budget impact estimates (‘RSA proposal max eligible </w:t>
      </w:r>
      <w:proofErr w:type="spellStart"/>
      <w:r w:rsidRPr="007B6175">
        <w:t>popn</w:t>
      </w:r>
      <w:proofErr w:type="spellEnd"/>
      <w:r w:rsidRPr="007B6175">
        <w:t>’ worksheet).</w:t>
      </w:r>
    </w:p>
    <w:p w14:paraId="3E74DA27" w14:textId="09D413DF" w:rsidR="00B813E5" w:rsidRDefault="00B813E5" w:rsidP="00D91056">
      <w:pPr>
        <w:pStyle w:val="TableFooter"/>
        <w:keepNext/>
        <w:keepLines/>
      </w:pPr>
      <w:r w:rsidRPr="007B6175">
        <w:t>Abbreviations: CGRP, calcitonin gene-related peptide.</w:t>
      </w:r>
    </w:p>
    <w:p w14:paraId="295B5A65" w14:textId="7F72B8FB" w:rsidR="002D4B99" w:rsidRDefault="002D4B99" w:rsidP="004C3CC2">
      <w:pPr>
        <w:pStyle w:val="TableFooter"/>
        <w:keepNext/>
        <w:keepLines/>
        <w:spacing w:after="0"/>
        <w:rPr>
          <w:rFonts w:cs="Times New Roman"/>
          <w:sz w:val="20"/>
          <w:szCs w:val="20"/>
        </w:rPr>
      </w:pPr>
      <w:r>
        <w:rPr>
          <w:vertAlign w:val="superscript"/>
        </w:rPr>
        <w:t>a</w:t>
      </w:r>
      <w:r>
        <w:t xml:space="preserve"> Tier 1 and Tier 2 caps based on </w:t>
      </w:r>
      <w:proofErr w:type="spellStart"/>
      <w:r>
        <w:t>galcanezumab</w:t>
      </w:r>
      <w:proofErr w:type="spellEnd"/>
      <w:r>
        <w:t xml:space="preserve"> uptake rates of </w:t>
      </w:r>
      <w:proofErr w:type="gramStart"/>
      <w:r w:rsidR="004C3CC2" w:rsidRPr="004C3CC2">
        <w:rPr>
          <w:color w:val="000000"/>
          <w:spacing w:val="40"/>
          <w:shd w:val="solid" w:color="000000" w:fill="000000"/>
          <w:fitText w:val="280" w:id="-1504952308"/>
          <w14:textFill>
            <w14:solidFill>
              <w14:srgbClr w14:val="000000">
                <w14:alpha w14:val="100000"/>
              </w14:srgbClr>
            </w14:solidFill>
          </w14:textFill>
        </w:rPr>
        <w:t xml:space="preserve">|  </w:t>
      </w:r>
      <w:r w:rsidR="004C3CC2" w:rsidRPr="004C3CC2">
        <w:rPr>
          <w:color w:val="000000"/>
          <w:spacing w:val="2"/>
          <w:shd w:val="solid" w:color="000000" w:fill="000000"/>
          <w:fitText w:val="280" w:id="-1504952308"/>
          <w14:textFill>
            <w14:solidFill>
              <w14:srgbClr w14:val="000000">
                <w14:alpha w14:val="100000"/>
              </w14:srgbClr>
            </w14:solidFill>
          </w14:textFill>
        </w:rPr>
        <w:t>|</w:t>
      </w:r>
      <w:proofErr w:type="gramEnd"/>
      <w:r>
        <w:t xml:space="preserve">%, </w:t>
      </w:r>
      <w:r w:rsidR="004C3CC2" w:rsidRPr="004C3CC2">
        <w:rPr>
          <w:color w:val="000000"/>
          <w:spacing w:val="37"/>
          <w:shd w:val="solid" w:color="000000" w:fill="000000"/>
          <w:fitText w:val="270" w:id="-1504952307"/>
          <w14:textFill>
            <w14:solidFill>
              <w14:srgbClr w14:val="000000">
                <w14:alpha w14:val="100000"/>
              </w14:srgbClr>
            </w14:solidFill>
          </w14:textFill>
        </w:rPr>
        <w:t xml:space="preserve">|  </w:t>
      </w:r>
      <w:r w:rsidR="004C3CC2" w:rsidRPr="004C3CC2">
        <w:rPr>
          <w:color w:val="000000"/>
          <w:spacing w:val="1"/>
          <w:shd w:val="solid" w:color="000000" w:fill="000000"/>
          <w:fitText w:val="270" w:id="-1504952307"/>
          <w14:textFill>
            <w14:solidFill>
              <w14:srgbClr w14:val="000000">
                <w14:alpha w14:val="100000"/>
              </w14:srgbClr>
            </w14:solidFill>
          </w14:textFill>
        </w:rPr>
        <w:t>|</w:t>
      </w:r>
      <w:r>
        <w:t xml:space="preserve">%, </w:t>
      </w:r>
      <w:r w:rsidR="004C3CC2" w:rsidRPr="004C3CC2">
        <w:rPr>
          <w:color w:val="000000"/>
          <w:spacing w:val="40"/>
          <w:shd w:val="solid" w:color="000000" w:fill="000000"/>
          <w:fitText w:val="280" w:id="-1504952306"/>
          <w14:textFill>
            <w14:solidFill>
              <w14:srgbClr w14:val="000000">
                <w14:alpha w14:val="100000"/>
              </w14:srgbClr>
            </w14:solidFill>
          </w14:textFill>
        </w:rPr>
        <w:t xml:space="preserve">|  </w:t>
      </w:r>
      <w:r w:rsidR="004C3CC2" w:rsidRPr="004C3CC2">
        <w:rPr>
          <w:color w:val="000000"/>
          <w:spacing w:val="2"/>
          <w:shd w:val="solid" w:color="000000" w:fill="000000"/>
          <w:fitText w:val="280" w:id="-1504952306"/>
          <w14:textFill>
            <w14:solidFill>
              <w14:srgbClr w14:val="000000">
                <w14:alpha w14:val="100000"/>
              </w14:srgbClr>
            </w14:solidFill>
          </w14:textFill>
        </w:rPr>
        <w:t>|</w:t>
      </w:r>
      <w:r>
        <w:t xml:space="preserve">%, </w:t>
      </w:r>
      <w:r w:rsidR="004C3CC2" w:rsidRPr="004C3CC2">
        <w:rPr>
          <w:color w:val="000000"/>
          <w:spacing w:val="37"/>
          <w:shd w:val="solid" w:color="000000" w:fill="000000"/>
          <w:fitText w:val="270" w:id="-1504952305"/>
          <w14:textFill>
            <w14:solidFill>
              <w14:srgbClr w14:val="000000">
                <w14:alpha w14:val="100000"/>
              </w14:srgbClr>
            </w14:solidFill>
          </w14:textFill>
        </w:rPr>
        <w:t xml:space="preserve">|  </w:t>
      </w:r>
      <w:r w:rsidR="004C3CC2" w:rsidRPr="004C3CC2">
        <w:rPr>
          <w:color w:val="000000"/>
          <w:spacing w:val="1"/>
          <w:shd w:val="solid" w:color="000000" w:fill="000000"/>
          <w:fitText w:val="270" w:id="-1504952305"/>
          <w14:textFill>
            <w14:solidFill>
              <w14:srgbClr w14:val="000000">
                <w14:alpha w14:val="100000"/>
              </w14:srgbClr>
            </w14:solidFill>
          </w14:textFill>
        </w:rPr>
        <w:t>|</w:t>
      </w:r>
      <w:r>
        <w:t xml:space="preserve">% and </w:t>
      </w:r>
      <w:r w:rsidR="004C3CC2" w:rsidRPr="004C3CC2">
        <w:rPr>
          <w:color w:val="000000"/>
          <w:spacing w:val="40"/>
          <w:shd w:val="solid" w:color="000000" w:fill="000000"/>
          <w:fitText w:val="280" w:id="-1504952304"/>
          <w14:textFill>
            <w14:solidFill>
              <w14:srgbClr w14:val="000000">
                <w14:alpha w14:val="100000"/>
              </w14:srgbClr>
            </w14:solidFill>
          </w14:textFill>
        </w:rPr>
        <w:t xml:space="preserve">|  </w:t>
      </w:r>
      <w:r w:rsidR="004C3CC2" w:rsidRPr="004C3CC2">
        <w:rPr>
          <w:color w:val="000000"/>
          <w:spacing w:val="2"/>
          <w:shd w:val="solid" w:color="000000" w:fill="000000"/>
          <w:fitText w:val="280" w:id="-1504952304"/>
          <w14:textFill>
            <w14:solidFill>
              <w14:srgbClr w14:val="000000">
                <w14:alpha w14:val="100000"/>
              </w14:srgbClr>
            </w14:solidFill>
          </w14:textFill>
        </w:rPr>
        <w:t>|</w:t>
      </w:r>
      <w:r>
        <w:t xml:space="preserve">% in Years 2 to 6, respectively. Tier 1 cap based on </w:t>
      </w:r>
      <w:proofErr w:type="gramStart"/>
      <w:r w:rsidR="004C3CC2" w:rsidRPr="004C3CC2">
        <w:rPr>
          <w:color w:val="000000"/>
          <w:spacing w:val="37"/>
          <w:shd w:val="solid" w:color="000000" w:fill="000000"/>
          <w:fitText w:val="270" w:id="-1504952320"/>
          <w14:textFill>
            <w14:solidFill>
              <w14:srgbClr w14:val="000000">
                <w14:alpha w14:val="100000"/>
              </w14:srgbClr>
            </w14:solidFill>
          </w14:textFill>
        </w:rPr>
        <w:t xml:space="preserve">|  </w:t>
      </w:r>
      <w:r w:rsidR="004C3CC2" w:rsidRPr="004C3CC2">
        <w:rPr>
          <w:color w:val="000000"/>
          <w:spacing w:val="1"/>
          <w:shd w:val="solid" w:color="000000" w:fill="000000"/>
          <w:fitText w:val="270" w:id="-1504952320"/>
          <w14:textFill>
            <w14:solidFill>
              <w14:srgbClr w14:val="000000">
                <w14:alpha w14:val="100000"/>
              </w14:srgbClr>
            </w14:solidFill>
          </w14:textFill>
        </w:rPr>
        <w:t>|</w:t>
      </w:r>
      <w:proofErr w:type="gramEnd"/>
      <w:r>
        <w:t xml:space="preserve"> of patients continuing at 3 months. Tier 2 cap based on </w:t>
      </w:r>
      <w:proofErr w:type="gramStart"/>
      <w:r w:rsidR="004C3CC2" w:rsidRPr="004C3CC2">
        <w:rPr>
          <w:color w:val="000000"/>
          <w:spacing w:val="37"/>
          <w:shd w:val="solid" w:color="000000" w:fill="000000"/>
          <w:fitText w:val="270" w:id="-1504952319"/>
          <w14:textFill>
            <w14:solidFill>
              <w14:srgbClr w14:val="000000">
                <w14:alpha w14:val="100000"/>
              </w14:srgbClr>
            </w14:solidFill>
          </w14:textFill>
        </w:rPr>
        <w:t xml:space="preserve">|  </w:t>
      </w:r>
      <w:r w:rsidR="004C3CC2" w:rsidRPr="004C3CC2">
        <w:rPr>
          <w:color w:val="000000"/>
          <w:spacing w:val="1"/>
          <w:shd w:val="solid" w:color="000000" w:fill="000000"/>
          <w:fitText w:val="270" w:id="-1504952319"/>
          <w14:textFill>
            <w14:solidFill>
              <w14:srgbClr w14:val="000000">
                <w14:alpha w14:val="100000"/>
              </w14:srgbClr>
            </w14:solidFill>
          </w14:textFill>
        </w:rPr>
        <w:t>|</w:t>
      </w:r>
      <w:proofErr w:type="gramEnd"/>
      <w:r>
        <w:t xml:space="preserve"> of patients continuing at 3 months.</w:t>
      </w:r>
    </w:p>
    <w:p w14:paraId="3273F8EF" w14:textId="77777777" w:rsidR="00620543" w:rsidRPr="009A6D58" w:rsidRDefault="00620543" w:rsidP="0062054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621AE5C" w14:textId="1E3E4CC6" w:rsidR="00620543" w:rsidRPr="009A6D58" w:rsidRDefault="00620543" w:rsidP="00620543">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62" w:name="_Hlk103259287"/>
      <w:r w:rsidR="00503DA6" w:rsidRPr="00503DA6">
        <w:rPr>
          <w:rFonts w:ascii="Arial Narrow" w:hAnsi="Arial Narrow"/>
          <w:i/>
          <w:sz w:val="18"/>
          <w:szCs w:val="18"/>
        </w:rPr>
        <w:t>50,000 to &lt; 60,000</w:t>
      </w:r>
      <w:bookmarkEnd w:id="62"/>
    </w:p>
    <w:p w14:paraId="752AC879" w14:textId="0F261BD1" w:rsidR="00620543" w:rsidRPr="009A6D58" w:rsidRDefault="00620543" w:rsidP="00620543">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31934" w:rsidRPr="00D31934">
        <w:rPr>
          <w:rFonts w:ascii="Arial Narrow" w:hAnsi="Arial Narrow"/>
          <w:i/>
          <w:sz w:val="18"/>
          <w:szCs w:val="18"/>
        </w:rPr>
        <w:t>$10 million to &lt; $20 million</w:t>
      </w:r>
    </w:p>
    <w:p w14:paraId="0559CDFC" w14:textId="48AB1A7E" w:rsidR="00620543" w:rsidRDefault="00620543" w:rsidP="00620543">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503DA6" w:rsidRPr="00503DA6">
        <w:rPr>
          <w:rFonts w:ascii="Arial Narrow" w:hAnsi="Arial Narrow"/>
          <w:i/>
          <w:sz w:val="18"/>
          <w:szCs w:val="18"/>
        </w:rPr>
        <w:t>80,000 to &lt; 90,000</w:t>
      </w:r>
    </w:p>
    <w:p w14:paraId="613FF21E" w14:textId="49B3A0A5" w:rsidR="00620543" w:rsidRDefault="00620543" w:rsidP="00620543">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bookmarkStart w:id="63" w:name="_Hlk103259321"/>
      <w:r w:rsidR="00D31934" w:rsidRPr="00D31934">
        <w:rPr>
          <w:rFonts w:ascii="Arial Narrow" w:hAnsi="Arial Narrow"/>
          <w:i/>
          <w:sz w:val="18"/>
          <w:szCs w:val="18"/>
        </w:rPr>
        <w:t>$20 million to &lt; $30 million</w:t>
      </w:r>
      <w:bookmarkEnd w:id="63"/>
    </w:p>
    <w:p w14:paraId="6D38643A" w14:textId="27A7876A" w:rsidR="00620543" w:rsidRDefault="00620543" w:rsidP="00620543">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bookmarkStart w:id="64" w:name="_Hlk103259077"/>
      <w:r w:rsidR="00503DA6" w:rsidRPr="00503DA6">
        <w:rPr>
          <w:rFonts w:ascii="Arial Narrow" w:hAnsi="Arial Narrow"/>
          <w:i/>
          <w:sz w:val="18"/>
          <w:szCs w:val="18"/>
        </w:rPr>
        <w:t>60,000 to &lt; 70,000</w:t>
      </w:r>
      <w:bookmarkEnd w:id="64"/>
    </w:p>
    <w:p w14:paraId="276A0486" w14:textId="5DB0C557" w:rsidR="00620543" w:rsidRDefault="00620543" w:rsidP="00620543">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503DA6">
        <w:rPr>
          <w:rFonts w:ascii="Arial Narrow" w:hAnsi="Arial Narrow"/>
          <w:i/>
          <w:sz w:val="18"/>
          <w:szCs w:val="18"/>
        </w:rPr>
        <w:t>7</w:t>
      </w:r>
      <w:r w:rsidR="00503DA6" w:rsidRPr="00503DA6">
        <w:rPr>
          <w:rFonts w:ascii="Arial Narrow" w:hAnsi="Arial Narrow"/>
          <w:i/>
          <w:sz w:val="18"/>
          <w:szCs w:val="18"/>
        </w:rPr>
        <w:t>0,000 to &lt; </w:t>
      </w:r>
      <w:r w:rsidR="00503DA6">
        <w:rPr>
          <w:rFonts w:ascii="Arial Narrow" w:hAnsi="Arial Narrow"/>
          <w:i/>
          <w:sz w:val="18"/>
          <w:szCs w:val="18"/>
        </w:rPr>
        <w:t>8</w:t>
      </w:r>
      <w:r w:rsidR="00503DA6" w:rsidRPr="00503DA6">
        <w:rPr>
          <w:rFonts w:ascii="Arial Narrow" w:hAnsi="Arial Narrow"/>
          <w:i/>
          <w:sz w:val="18"/>
          <w:szCs w:val="18"/>
        </w:rPr>
        <w:t>0,000</w:t>
      </w:r>
    </w:p>
    <w:p w14:paraId="3328A684" w14:textId="09416838" w:rsidR="00D31934" w:rsidRDefault="00D31934" w:rsidP="00620543">
      <w:pPr>
        <w:rPr>
          <w:rFonts w:ascii="Arial Narrow" w:hAnsi="Arial Narrow"/>
          <w:i/>
          <w:sz w:val="18"/>
          <w:szCs w:val="18"/>
        </w:rPr>
      </w:pPr>
      <w:r w:rsidRPr="004C3CC2">
        <w:rPr>
          <w:rFonts w:ascii="Arial Narrow" w:hAnsi="Arial Narrow"/>
          <w:i/>
          <w:sz w:val="18"/>
          <w:szCs w:val="18"/>
          <w:vertAlign w:val="superscript"/>
        </w:rPr>
        <w:t>7</w:t>
      </w:r>
      <w:r>
        <w:rPr>
          <w:rFonts w:ascii="Arial Narrow" w:hAnsi="Arial Narrow"/>
          <w:i/>
          <w:sz w:val="18"/>
          <w:szCs w:val="18"/>
        </w:rPr>
        <w:t xml:space="preserve"> </w:t>
      </w:r>
      <w:r w:rsidR="00591B04" w:rsidRPr="00591B04">
        <w:rPr>
          <w:rFonts w:ascii="Arial Narrow" w:hAnsi="Arial Narrow"/>
          <w:i/>
          <w:sz w:val="18"/>
          <w:szCs w:val="18"/>
        </w:rPr>
        <w:t>$30 million to &lt; $40 million</w:t>
      </w:r>
    </w:p>
    <w:p w14:paraId="7708EA21" w14:textId="64A23719" w:rsidR="00D31934" w:rsidRDefault="00D31934" w:rsidP="00620543">
      <w:pPr>
        <w:rPr>
          <w:rFonts w:ascii="Arial Narrow" w:hAnsi="Arial Narrow"/>
          <w:i/>
          <w:sz w:val="18"/>
          <w:szCs w:val="18"/>
        </w:rPr>
      </w:pPr>
      <w:r w:rsidRPr="004C3CC2">
        <w:rPr>
          <w:rFonts w:ascii="Arial Narrow" w:hAnsi="Arial Narrow"/>
          <w:i/>
          <w:sz w:val="18"/>
          <w:szCs w:val="18"/>
          <w:vertAlign w:val="superscript"/>
        </w:rPr>
        <w:t>8</w:t>
      </w:r>
      <w:r w:rsidR="00591B04">
        <w:rPr>
          <w:rFonts w:ascii="Arial Narrow" w:hAnsi="Arial Narrow"/>
          <w:i/>
          <w:sz w:val="18"/>
          <w:szCs w:val="18"/>
        </w:rPr>
        <w:t xml:space="preserve"> </w:t>
      </w:r>
      <w:r w:rsidR="00591B04" w:rsidRPr="00591B04">
        <w:rPr>
          <w:rFonts w:ascii="Arial Narrow" w:hAnsi="Arial Narrow"/>
          <w:i/>
          <w:sz w:val="18"/>
          <w:szCs w:val="18"/>
        </w:rPr>
        <w:t>$40 million to &lt; $50 million</w:t>
      </w:r>
    </w:p>
    <w:p w14:paraId="5B7236AC" w14:textId="5A9B8C49" w:rsidR="00D31934" w:rsidRDefault="00D31934" w:rsidP="00620543">
      <w:pPr>
        <w:rPr>
          <w:rFonts w:ascii="Arial Narrow" w:hAnsi="Arial Narrow"/>
          <w:i/>
          <w:sz w:val="18"/>
          <w:szCs w:val="18"/>
        </w:rPr>
      </w:pPr>
      <w:r w:rsidRPr="004C3CC2">
        <w:rPr>
          <w:rFonts w:ascii="Arial Narrow" w:hAnsi="Arial Narrow"/>
          <w:i/>
          <w:sz w:val="18"/>
          <w:szCs w:val="18"/>
          <w:vertAlign w:val="superscript"/>
        </w:rPr>
        <w:t>9</w:t>
      </w:r>
      <w:r>
        <w:rPr>
          <w:rFonts w:ascii="Arial Narrow" w:hAnsi="Arial Narrow"/>
          <w:i/>
          <w:sz w:val="18"/>
          <w:szCs w:val="18"/>
        </w:rPr>
        <w:t xml:space="preserve"> </w:t>
      </w:r>
      <w:bookmarkStart w:id="65" w:name="_Hlk103259495"/>
      <w:r w:rsidR="00503DA6" w:rsidRPr="00503DA6">
        <w:rPr>
          <w:rFonts w:ascii="Arial Narrow" w:hAnsi="Arial Narrow"/>
          <w:i/>
          <w:sz w:val="18"/>
          <w:szCs w:val="18"/>
        </w:rPr>
        <w:t>100,000 to &lt; 200,000</w:t>
      </w:r>
      <w:bookmarkEnd w:id="65"/>
    </w:p>
    <w:p w14:paraId="3FEF39A6" w14:textId="60587968" w:rsidR="00D31934" w:rsidRDefault="00D31934" w:rsidP="00620543">
      <w:pPr>
        <w:rPr>
          <w:rFonts w:ascii="Arial Narrow" w:hAnsi="Arial Narrow"/>
          <w:i/>
          <w:sz w:val="18"/>
          <w:szCs w:val="18"/>
        </w:rPr>
      </w:pPr>
      <w:r w:rsidRPr="004C3CC2">
        <w:rPr>
          <w:rFonts w:ascii="Arial Narrow" w:hAnsi="Arial Narrow"/>
          <w:i/>
          <w:sz w:val="18"/>
          <w:szCs w:val="18"/>
          <w:vertAlign w:val="superscript"/>
        </w:rPr>
        <w:t>10</w:t>
      </w:r>
      <w:r w:rsidR="00503DA6">
        <w:rPr>
          <w:rFonts w:ascii="Arial Narrow" w:hAnsi="Arial Narrow"/>
          <w:i/>
          <w:sz w:val="18"/>
          <w:szCs w:val="18"/>
        </w:rPr>
        <w:t xml:space="preserve"> </w:t>
      </w:r>
      <w:bookmarkStart w:id="66" w:name="_Hlk103259401"/>
      <w:r w:rsidR="00503DA6" w:rsidRPr="00503DA6">
        <w:rPr>
          <w:rFonts w:ascii="Arial Narrow" w:hAnsi="Arial Narrow"/>
          <w:i/>
          <w:sz w:val="18"/>
          <w:szCs w:val="18"/>
        </w:rPr>
        <w:t>90,000 to &lt; 100,000</w:t>
      </w:r>
      <w:bookmarkEnd w:id="66"/>
    </w:p>
    <w:p w14:paraId="50BC432D" w14:textId="010202CB" w:rsidR="00D31934" w:rsidRDefault="00D31934" w:rsidP="00620543">
      <w:pPr>
        <w:rPr>
          <w:rFonts w:ascii="Arial Narrow" w:hAnsi="Arial Narrow"/>
          <w:i/>
          <w:sz w:val="18"/>
          <w:szCs w:val="18"/>
        </w:rPr>
      </w:pPr>
      <w:r w:rsidRPr="004C3CC2">
        <w:rPr>
          <w:rFonts w:ascii="Arial Narrow" w:hAnsi="Arial Narrow"/>
          <w:i/>
          <w:sz w:val="18"/>
          <w:szCs w:val="18"/>
          <w:vertAlign w:val="superscript"/>
        </w:rPr>
        <w:t>11</w:t>
      </w:r>
      <w:r w:rsidR="00591B04">
        <w:rPr>
          <w:rFonts w:ascii="Arial Narrow" w:hAnsi="Arial Narrow"/>
          <w:i/>
          <w:sz w:val="18"/>
          <w:szCs w:val="18"/>
        </w:rPr>
        <w:t xml:space="preserve"> </w:t>
      </w:r>
      <w:r w:rsidR="00591B04" w:rsidRPr="00591B04">
        <w:rPr>
          <w:rFonts w:ascii="Arial Narrow" w:hAnsi="Arial Narrow"/>
          <w:i/>
          <w:sz w:val="18"/>
          <w:szCs w:val="18"/>
        </w:rPr>
        <w:t>$60 million to &lt; $70 million</w:t>
      </w:r>
    </w:p>
    <w:p w14:paraId="28AE8BFB" w14:textId="72245F5E" w:rsidR="00D31934" w:rsidRDefault="00D31934" w:rsidP="00620543">
      <w:pPr>
        <w:rPr>
          <w:rFonts w:ascii="Arial Narrow" w:hAnsi="Arial Narrow"/>
          <w:i/>
          <w:sz w:val="18"/>
          <w:szCs w:val="18"/>
        </w:rPr>
      </w:pPr>
      <w:r w:rsidRPr="004C3CC2">
        <w:rPr>
          <w:rFonts w:ascii="Arial Narrow" w:hAnsi="Arial Narrow"/>
          <w:i/>
          <w:sz w:val="18"/>
          <w:szCs w:val="18"/>
          <w:vertAlign w:val="superscript"/>
        </w:rPr>
        <w:t>12</w:t>
      </w:r>
      <w:r w:rsidR="00591B04">
        <w:rPr>
          <w:rFonts w:ascii="Arial Narrow" w:hAnsi="Arial Narrow"/>
          <w:i/>
          <w:sz w:val="18"/>
          <w:szCs w:val="18"/>
        </w:rPr>
        <w:t xml:space="preserve"> </w:t>
      </w:r>
      <w:r w:rsidR="00591B04" w:rsidRPr="00591B04">
        <w:rPr>
          <w:rFonts w:ascii="Arial Narrow" w:hAnsi="Arial Narrow"/>
          <w:i/>
          <w:sz w:val="18"/>
          <w:szCs w:val="18"/>
        </w:rPr>
        <w:t>$50 million to &lt; $60 million</w:t>
      </w:r>
    </w:p>
    <w:p w14:paraId="19F31BBB" w14:textId="3C7DFF41" w:rsidR="00D31934" w:rsidRDefault="00D31934" w:rsidP="00620543">
      <w:pPr>
        <w:rPr>
          <w:rFonts w:ascii="Arial Narrow" w:hAnsi="Arial Narrow"/>
          <w:i/>
          <w:sz w:val="18"/>
          <w:szCs w:val="18"/>
        </w:rPr>
      </w:pPr>
      <w:r w:rsidRPr="004C3CC2">
        <w:rPr>
          <w:rFonts w:ascii="Arial Narrow" w:hAnsi="Arial Narrow"/>
          <w:i/>
          <w:sz w:val="18"/>
          <w:szCs w:val="18"/>
          <w:vertAlign w:val="superscript"/>
        </w:rPr>
        <w:t>13</w:t>
      </w:r>
      <w:r w:rsidR="00591B04">
        <w:rPr>
          <w:rFonts w:ascii="Arial Narrow" w:hAnsi="Arial Narrow"/>
          <w:i/>
          <w:sz w:val="18"/>
          <w:szCs w:val="18"/>
        </w:rPr>
        <w:t xml:space="preserve"> </w:t>
      </w:r>
      <w:r w:rsidR="00591B04" w:rsidRPr="00591B04">
        <w:rPr>
          <w:rFonts w:ascii="Arial Narrow" w:hAnsi="Arial Narrow"/>
          <w:i/>
          <w:sz w:val="18"/>
          <w:szCs w:val="18"/>
        </w:rPr>
        <w:t>$70 million to &lt; $80 million</w:t>
      </w:r>
    </w:p>
    <w:p w14:paraId="13A29A35" w14:textId="7124D201" w:rsidR="00D31934" w:rsidRDefault="00D31934" w:rsidP="00620543">
      <w:pPr>
        <w:rPr>
          <w:rFonts w:ascii="Arial Narrow" w:hAnsi="Arial Narrow"/>
          <w:i/>
          <w:sz w:val="18"/>
          <w:szCs w:val="18"/>
        </w:rPr>
      </w:pPr>
      <w:r w:rsidRPr="004C3CC2">
        <w:rPr>
          <w:rFonts w:ascii="Arial Narrow" w:hAnsi="Arial Narrow"/>
          <w:i/>
          <w:sz w:val="18"/>
          <w:szCs w:val="18"/>
          <w:vertAlign w:val="superscript"/>
        </w:rPr>
        <w:t>14</w:t>
      </w:r>
      <w:r w:rsidR="00503DA6">
        <w:rPr>
          <w:rFonts w:ascii="Arial Narrow" w:hAnsi="Arial Narrow"/>
          <w:i/>
          <w:sz w:val="18"/>
          <w:szCs w:val="18"/>
        </w:rPr>
        <w:t xml:space="preserve"> </w:t>
      </w:r>
      <w:r w:rsidR="00503DA6" w:rsidRPr="00503DA6">
        <w:rPr>
          <w:rFonts w:ascii="Arial Narrow" w:hAnsi="Arial Narrow"/>
          <w:i/>
          <w:sz w:val="18"/>
          <w:szCs w:val="18"/>
        </w:rPr>
        <w:t>$80 million to &lt; $90 million</w:t>
      </w:r>
    </w:p>
    <w:p w14:paraId="280B11DA" w14:textId="56B20146" w:rsidR="002D4B99" w:rsidRPr="007B6175" w:rsidRDefault="00D31934" w:rsidP="004C3CC2">
      <w:pPr>
        <w:spacing w:after="240"/>
      </w:pPr>
      <w:r w:rsidRPr="004C3CC2">
        <w:rPr>
          <w:rFonts w:ascii="Arial Narrow" w:hAnsi="Arial Narrow"/>
          <w:i/>
          <w:sz w:val="18"/>
          <w:szCs w:val="18"/>
          <w:vertAlign w:val="superscript"/>
        </w:rPr>
        <w:t>15</w:t>
      </w:r>
      <w:r w:rsidR="00503DA6">
        <w:rPr>
          <w:rFonts w:ascii="Arial Narrow" w:hAnsi="Arial Narrow"/>
          <w:i/>
          <w:sz w:val="18"/>
          <w:szCs w:val="18"/>
        </w:rPr>
        <w:t xml:space="preserve"> </w:t>
      </w:r>
      <w:r w:rsidR="00503DA6" w:rsidRPr="00503DA6">
        <w:rPr>
          <w:rFonts w:ascii="Arial Narrow" w:hAnsi="Arial Narrow"/>
          <w:i/>
          <w:sz w:val="18"/>
          <w:szCs w:val="18"/>
        </w:rPr>
        <w:t>$90 million to &lt; $100 million</w:t>
      </w:r>
    </w:p>
    <w:p w14:paraId="3AFD9D37" w14:textId="3531EDF2" w:rsidR="002E0E0A" w:rsidRPr="00B663F3" w:rsidRDefault="00D048ED" w:rsidP="00340E3E">
      <w:pPr>
        <w:pStyle w:val="ExecSumBodyText"/>
      </w:pPr>
      <w:r w:rsidRPr="00B663F3">
        <w:t xml:space="preserve">The </w:t>
      </w:r>
      <w:r w:rsidR="005F51F4">
        <w:t xml:space="preserve">evaluation considered the </w:t>
      </w:r>
      <w:r w:rsidRPr="00B663F3">
        <w:t>high frequency episodic migraine portion of the cap may not be reliable due to issues with the resubmission’s estimation of financial implications</w:t>
      </w:r>
      <w:r w:rsidR="006C687C" w:rsidRPr="00B663F3">
        <w:t xml:space="preserve"> </w:t>
      </w:r>
      <w:r w:rsidR="002D65DB" w:rsidRPr="00B663F3">
        <w:t>(as described in</w:t>
      </w:r>
      <w:r w:rsidR="005F51F4">
        <w:t xml:space="preserve"> </w:t>
      </w:r>
      <w:r w:rsidR="005F51F4">
        <w:fldChar w:fldCharType="begin"/>
      </w:r>
      <w:r w:rsidR="005F51F4">
        <w:instrText xml:space="preserve"> REF _Ref99102274 \h </w:instrText>
      </w:r>
      <w:r w:rsidR="005F51F4">
        <w:fldChar w:fldCharType="separate"/>
      </w:r>
      <w:r w:rsidR="00046698" w:rsidRPr="007B6175">
        <w:t xml:space="preserve">Table </w:t>
      </w:r>
      <w:r w:rsidR="00046698">
        <w:rPr>
          <w:noProof/>
        </w:rPr>
        <w:t>16</w:t>
      </w:r>
      <w:r w:rsidR="005F51F4">
        <w:fldChar w:fldCharType="end"/>
      </w:r>
      <w:r w:rsidR="002D65DB" w:rsidRPr="00B663F3">
        <w:t>)</w:t>
      </w:r>
      <w:r w:rsidRPr="00B663F3">
        <w:t>. Additionally, there were differences in the epidemiological approaches used to derive the numbers of chronic migraine and high frequency episodic migraine patients, which may have led to double counting of patients in the estimates.</w:t>
      </w:r>
      <w:r w:rsidR="00D352F0">
        <w:t xml:space="preserve"> </w:t>
      </w:r>
      <w:r w:rsidR="00D352F0" w:rsidRPr="00962E43">
        <w:t>The PSCR stated it would accept the assumption that 90% of migraine patients have episodic migraine (rather than 92.39%) to address the concern regarding double counting</w:t>
      </w:r>
      <w:r w:rsidR="00D352F0" w:rsidRPr="00D352F0">
        <w:rPr>
          <w:i/>
        </w:rPr>
        <w:t>.</w:t>
      </w:r>
      <w:r w:rsidR="00D352F0">
        <w:t xml:space="preserve"> </w:t>
      </w:r>
    </w:p>
    <w:p w14:paraId="33AC7738" w14:textId="53DD1A0F" w:rsidR="008E322F" w:rsidRPr="007B6175" w:rsidRDefault="008E322F" w:rsidP="00340E3E">
      <w:pPr>
        <w:pStyle w:val="ExecSumBodyText"/>
      </w:pPr>
      <w:r w:rsidRPr="007B6175">
        <w:t xml:space="preserve">The resubmission stated that the estimated volumes for high frequency episodic migraine and chronic migraine could be used to derive a weighted price for </w:t>
      </w:r>
      <w:proofErr w:type="spellStart"/>
      <w:r w:rsidRPr="007B6175">
        <w:t>galcanezumab</w:t>
      </w:r>
      <w:proofErr w:type="spellEnd"/>
      <w:r w:rsidRPr="007B6175">
        <w:t xml:space="preserve"> in treatment-resistant migraine. </w:t>
      </w:r>
      <w:r w:rsidR="00AA2C7D">
        <w:t>T</w:t>
      </w:r>
      <w:r w:rsidRPr="007B6175">
        <w:t>he derivation of the proposed weighted (effective) ex-manufacturer price of $</w:t>
      </w:r>
      <w:proofErr w:type="gramStart"/>
      <w:r w:rsidR="004C3CC2" w:rsidRPr="00046698">
        <w:rPr>
          <w:color w:val="000000"/>
          <w:w w:val="15"/>
          <w:shd w:val="solid" w:color="000000" w:fill="000000"/>
          <w:fitText w:val="-20" w:id="-1504952318"/>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2318"/>
          <w14:textFill>
            <w14:solidFill>
              <w14:srgbClr w14:val="000000">
                <w14:alpha w14:val="100000"/>
              </w14:srgbClr>
            </w14:solidFill>
          </w14:textFill>
        </w:rPr>
        <w:t>|</w:t>
      </w:r>
      <w:proofErr w:type="gramEnd"/>
      <w:r w:rsidR="00AA2C7D">
        <w:t xml:space="preserve"> is presented in the table below</w:t>
      </w:r>
      <w:r w:rsidRPr="007B6175">
        <w:t>.</w:t>
      </w:r>
    </w:p>
    <w:p w14:paraId="797957A1" w14:textId="6897ED9B" w:rsidR="00AA2C7D" w:rsidRDefault="00AA2C7D" w:rsidP="00AA2C7D">
      <w:pPr>
        <w:pStyle w:val="Tableheadingrow"/>
      </w:pPr>
      <w:r>
        <w:t xml:space="preserve">Table </w:t>
      </w:r>
      <w:r>
        <w:fldChar w:fldCharType="begin"/>
      </w:r>
      <w:r>
        <w:instrText xml:space="preserve"> SEQ Table \* ARABIC </w:instrText>
      </w:r>
      <w:r>
        <w:fldChar w:fldCharType="separate"/>
      </w:r>
      <w:r w:rsidR="00046698">
        <w:rPr>
          <w:noProof/>
        </w:rPr>
        <w:t>19</w:t>
      </w:r>
      <w:r>
        <w:fldChar w:fldCharType="end"/>
      </w:r>
      <w:r>
        <w:t xml:space="preserve">: </w:t>
      </w:r>
      <w:r w:rsidRPr="00AA2C7D">
        <w:t xml:space="preserve">Proposed </w:t>
      </w:r>
      <w:proofErr w:type="spellStart"/>
      <w:r w:rsidRPr="00AA2C7D">
        <w:t>galcanezumab</w:t>
      </w:r>
      <w:proofErr w:type="spellEnd"/>
      <w:r w:rsidRPr="00AA2C7D">
        <w:t xml:space="preserve"> weighted effective ex-manufacturer price</w:t>
      </w:r>
    </w:p>
    <w:tbl>
      <w:tblPr>
        <w:tblStyle w:val="TableGrid"/>
        <w:tblpPr w:leftFromText="180" w:rightFromText="180" w:vertAnchor="text" w:tblpY="1"/>
        <w:tblOverlap w:val="never"/>
        <w:tblW w:w="5000" w:type="pct"/>
        <w:tblCellMar>
          <w:left w:w="28" w:type="dxa"/>
          <w:right w:w="28" w:type="dxa"/>
        </w:tblCellMar>
        <w:tblLook w:val="04A0" w:firstRow="1" w:lastRow="0" w:firstColumn="1" w:lastColumn="0" w:noHBand="0" w:noVBand="1"/>
      </w:tblPr>
      <w:tblGrid>
        <w:gridCol w:w="3115"/>
        <w:gridCol w:w="1476"/>
        <w:gridCol w:w="1476"/>
        <w:gridCol w:w="1475"/>
        <w:gridCol w:w="1475"/>
      </w:tblGrid>
      <w:tr w:rsidR="008E322F" w:rsidRPr="007B6175" w14:paraId="71D7F976" w14:textId="77777777" w:rsidTr="0021441F">
        <w:trPr>
          <w:tblHeader/>
        </w:trPr>
        <w:tc>
          <w:tcPr>
            <w:tcW w:w="1727" w:type="pct"/>
          </w:tcPr>
          <w:p w14:paraId="4749BCFF" w14:textId="77777777" w:rsidR="008E322F" w:rsidRPr="007B6175" w:rsidRDefault="008E322F" w:rsidP="0021441F">
            <w:pPr>
              <w:rPr>
                <w:rFonts w:ascii="Arial Narrow" w:hAnsi="Arial Narrow"/>
                <w:color w:val="3366FF"/>
                <w:sz w:val="20"/>
                <w:szCs w:val="20"/>
              </w:rPr>
            </w:pPr>
          </w:p>
        </w:tc>
        <w:tc>
          <w:tcPr>
            <w:tcW w:w="818" w:type="pct"/>
            <w:shd w:val="clear" w:color="auto" w:fill="FFFFFF" w:themeFill="background1"/>
            <w:vAlign w:val="center"/>
          </w:tcPr>
          <w:p w14:paraId="72E4695C" w14:textId="77777777" w:rsidR="008E322F" w:rsidRPr="007B6175" w:rsidRDefault="008E322F" w:rsidP="0021441F">
            <w:pPr>
              <w:pStyle w:val="TableFigureCaption"/>
              <w:jc w:val="center"/>
            </w:pPr>
            <w:r w:rsidRPr="007B6175">
              <w:t>Year 2-6</w:t>
            </w:r>
          </w:p>
          <w:p w14:paraId="3FAAEFC0" w14:textId="77777777" w:rsidR="008E322F" w:rsidRPr="007B6175" w:rsidRDefault="008E322F" w:rsidP="0021441F">
            <w:pPr>
              <w:pStyle w:val="TableFigureCaption"/>
              <w:jc w:val="center"/>
            </w:pPr>
            <w:r w:rsidRPr="007B6175">
              <w:t>volume</w:t>
            </w:r>
          </w:p>
        </w:tc>
        <w:tc>
          <w:tcPr>
            <w:tcW w:w="818" w:type="pct"/>
            <w:shd w:val="clear" w:color="auto" w:fill="FFFFFF" w:themeFill="background1"/>
            <w:vAlign w:val="center"/>
          </w:tcPr>
          <w:p w14:paraId="1BBC6002" w14:textId="77777777" w:rsidR="008E322F" w:rsidRPr="007B6175" w:rsidRDefault="008E322F" w:rsidP="0021441F">
            <w:pPr>
              <w:pStyle w:val="TableFigureCaption"/>
              <w:jc w:val="center"/>
            </w:pPr>
            <w:r w:rsidRPr="007B6175">
              <w:t>Year 1-5</w:t>
            </w:r>
          </w:p>
          <w:p w14:paraId="24BBFC9A" w14:textId="77777777" w:rsidR="008E322F" w:rsidRPr="007B6175" w:rsidRDefault="008E322F" w:rsidP="0021441F">
            <w:pPr>
              <w:pStyle w:val="TableFigureCaption"/>
              <w:jc w:val="center"/>
            </w:pPr>
            <w:r w:rsidRPr="007B6175">
              <w:t>volume</w:t>
            </w:r>
          </w:p>
        </w:tc>
        <w:tc>
          <w:tcPr>
            <w:tcW w:w="818" w:type="pct"/>
            <w:shd w:val="clear" w:color="auto" w:fill="FFFFFF" w:themeFill="background1"/>
            <w:vAlign w:val="center"/>
          </w:tcPr>
          <w:p w14:paraId="5AD66B8C" w14:textId="77777777" w:rsidR="008E322F" w:rsidRPr="007B6175" w:rsidRDefault="008E322F" w:rsidP="0021441F">
            <w:pPr>
              <w:pStyle w:val="TableFigureCaption"/>
              <w:jc w:val="center"/>
            </w:pPr>
            <w:r w:rsidRPr="007B6175">
              <w:t>AEMP</w:t>
            </w:r>
          </w:p>
        </w:tc>
        <w:tc>
          <w:tcPr>
            <w:tcW w:w="818" w:type="pct"/>
            <w:shd w:val="clear" w:color="auto" w:fill="FFFFFF" w:themeFill="background1"/>
            <w:vAlign w:val="center"/>
          </w:tcPr>
          <w:p w14:paraId="6EE8BE43" w14:textId="77777777" w:rsidR="008E322F" w:rsidRPr="007B6175" w:rsidRDefault="008E322F" w:rsidP="0021441F">
            <w:pPr>
              <w:pStyle w:val="TableFigureCaption"/>
              <w:jc w:val="center"/>
            </w:pPr>
            <w:r w:rsidRPr="007B6175">
              <w:t>Weighted AEMP</w:t>
            </w:r>
          </w:p>
        </w:tc>
      </w:tr>
      <w:tr w:rsidR="008E322F" w:rsidRPr="007B6175" w14:paraId="6DA76064" w14:textId="77777777" w:rsidTr="0021441F">
        <w:tc>
          <w:tcPr>
            <w:tcW w:w="1727" w:type="pct"/>
          </w:tcPr>
          <w:p w14:paraId="058A1E14" w14:textId="77777777" w:rsidR="008E322F" w:rsidRPr="007B6175" w:rsidRDefault="008E322F" w:rsidP="0021441F">
            <w:pPr>
              <w:pStyle w:val="TableText"/>
            </w:pPr>
            <w:r w:rsidRPr="007B6175">
              <w:t xml:space="preserve">Treatment-resistant chronic migraine </w:t>
            </w:r>
          </w:p>
        </w:tc>
        <w:tc>
          <w:tcPr>
            <w:tcW w:w="818" w:type="pct"/>
            <w:tcBorders>
              <w:top w:val="single" w:sz="4" w:space="0" w:color="auto"/>
              <w:left w:val="single" w:sz="4" w:space="0" w:color="auto"/>
              <w:bottom w:val="single" w:sz="4" w:space="0" w:color="auto"/>
              <w:right w:val="single" w:sz="4" w:space="0" w:color="auto"/>
            </w:tcBorders>
            <w:shd w:val="clear" w:color="000000" w:fill="FFFFFF"/>
            <w:vAlign w:val="center"/>
          </w:tcPr>
          <w:p w14:paraId="1EB0A2A2" w14:textId="086DBA3D" w:rsidR="008E322F" w:rsidRPr="004C3CC2" w:rsidRDefault="004C3CC2" w:rsidP="0021441F">
            <w:pPr>
              <w:pStyle w:val="TableText"/>
              <w:jc w:val="center"/>
              <w:rPr>
                <w:vertAlign w:val="superscript"/>
              </w:rPr>
            </w:pPr>
            <w:r w:rsidRPr="004C3CC2">
              <w:rPr>
                <w:color w:val="000000"/>
                <w:shd w:val="solid" w:color="000000" w:fill="000000"/>
                <w14:textFill>
                  <w14:solidFill>
                    <w14:srgbClr w14:val="000000">
                      <w14:alpha w14:val="100000"/>
                    </w14:srgbClr>
                  </w14:solidFill>
                </w14:textFill>
              </w:rPr>
              <w:t>|</w:t>
            </w:r>
            <w:r w:rsidR="00503DA6">
              <w:rPr>
                <w:vertAlign w:val="superscript"/>
              </w:rPr>
              <w:t>1</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795BF19F" w14:textId="77777777" w:rsidR="008E322F" w:rsidRPr="007B6175" w:rsidRDefault="008E322F" w:rsidP="0021441F">
            <w:pPr>
              <w:pStyle w:val="TableText"/>
              <w:jc w:val="center"/>
            </w:pPr>
            <w:r w:rsidRPr="007B6175">
              <w:t>-</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5751599F" w14:textId="2FA738BC" w:rsidR="008E322F" w:rsidRPr="007B6175" w:rsidRDefault="008E322F" w:rsidP="0021441F">
            <w:pPr>
              <w:pStyle w:val="TableText"/>
              <w:jc w:val="center"/>
            </w:pPr>
            <w:r w:rsidRPr="007B6175">
              <w:t>$</w:t>
            </w:r>
            <w:r w:rsidR="004C3CC2" w:rsidRPr="004C3CC2">
              <w:rPr>
                <w:color w:val="000000"/>
                <w:shd w:val="solid" w:color="000000" w:fill="000000"/>
                <w14:textFill>
                  <w14:solidFill>
                    <w14:srgbClr w14:val="000000">
                      <w14:alpha w14:val="100000"/>
                    </w14:srgbClr>
                  </w14:solidFill>
                </w14:textFill>
              </w:rPr>
              <w:t>|</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66E80226" w14:textId="77777777" w:rsidR="008E322F" w:rsidRPr="007B6175" w:rsidRDefault="008E322F" w:rsidP="0021441F">
            <w:pPr>
              <w:pStyle w:val="TableText"/>
              <w:jc w:val="center"/>
            </w:pPr>
            <w:r w:rsidRPr="007B6175">
              <w:t>-</w:t>
            </w:r>
          </w:p>
        </w:tc>
      </w:tr>
      <w:tr w:rsidR="008E322F" w:rsidRPr="007B6175" w14:paraId="1F08B3DF" w14:textId="77777777" w:rsidTr="0021441F">
        <w:tc>
          <w:tcPr>
            <w:tcW w:w="1727" w:type="pct"/>
          </w:tcPr>
          <w:p w14:paraId="4929CE72" w14:textId="77777777" w:rsidR="008E322F" w:rsidRPr="007B6175" w:rsidRDefault="008E322F" w:rsidP="0021441F">
            <w:pPr>
              <w:pStyle w:val="TableText"/>
            </w:pPr>
            <w:r w:rsidRPr="007B6175">
              <w:t xml:space="preserve">Treatment-resistant high frequency episodic migraine </w:t>
            </w:r>
          </w:p>
        </w:tc>
        <w:tc>
          <w:tcPr>
            <w:tcW w:w="818" w:type="pct"/>
            <w:tcBorders>
              <w:top w:val="single" w:sz="4" w:space="0" w:color="auto"/>
              <w:left w:val="single" w:sz="4" w:space="0" w:color="auto"/>
              <w:bottom w:val="single" w:sz="4" w:space="0" w:color="auto"/>
              <w:right w:val="single" w:sz="4" w:space="0" w:color="auto"/>
            </w:tcBorders>
            <w:shd w:val="clear" w:color="000000" w:fill="FFFFFF"/>
            <w:vAlign w:val="center"/>
          </w:tcPr>
          <w:p w14:paraId="63E1B777" w14:textId="77777777" w:rsidR="008E322F" w:rsidRPr="007B6175" w:rsidRDefault="008E322F" w:rsidP="0021441F">
            <w:pPr>
              <w:pStyle w:val="TableText"/>
              <w:jc w:val="center"/>
            </w:pPr>
            <w:r w:rsidRPr="007B6175">
              <w:t>-</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65483814" w14:textId="68958D39" w:rsidR="008E322F" w:rsidRPr="004C3CC2" w:rsidRDefault="004C3CC2" w:rsidP="0021441F">
            <w:pPr>
              <w:pStyle w:val="TableText"/>
              <w:jc w:val="center"/>
              <w:rPr>
                <w:vertAlign w:val="superscript"/>
              </w:rPr>
            </w:pPr>
            <w:r w:rsidRPr="004C3CC2">
              <w:rPr>
                <w:color w:val="000000"/>
                <w:shd w:val="solid" w:color="000000" w:fill="000000"/>
                <w14:textFill>
                  <w14:solidFill>
                    <w14:srgbClr w14:val="000000">
                      <w14:alpha w14:val="100000"/>
                    </w14:srgbClr>
                  </w14:solidFill>
                </w14:textFill>
              </w:rPr>
              <w:t>|</w:t>
            </w:r>
            <w:r w:rsidR="00503DA6">
              <w:rPr>
                <w:vertAlign w:val="superscript"/>
              </w:rPr>
              <w:t>1</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1E9C4E08" w14:textId="492D7EE3" w:rsidR="008E322F" w:rsidRPr="007B6175" w:rsidRDefault="008E322F" w:rsidP="0021441F">
            <w:pPr>
              <w:pStyle w:val="TableText"/>
              <w:jc w:val="center"/>
            </w:pPr>
            <w:r w:rsidRPr="007B6175">
              <w:t>$</w:t>
            </w:r>
            <w:r w:rsidR="004C3CC2" w:rsidRPr="004C3CC2">
              <w:rPr>
                <w:color w:val="000000"/>
                <w:shd w:val="solid" w:color="000000" w:fill="000000"/>
                <w14:textFill>
                  <w14:solidFill>
                    <w14:srgbClr w14:val="000000">
                      <w14:alpha w14:val="100000"/>
                    </w14:srgbClr>
                  </w14:solidFill>
                </w14:textFill>
              </w:rPr>
              <w:t>|</w:t>
            </w:r>
          </w:p>
        </w:tc>
        <w:tc>
          <w:tcPr>
            <w:tcW w:w="818" w:type="pct"/>
            <w:tcBorders>
              <w:top w:val="single" w:sz="4" w:space="0" w:color="auto"/>
              <w:left w:val="nil"/>
              <w:bottom w:val="single" w:sz="4" w:space="0" w:color="auto"/>
              <w:right w:val="single" w:sz="4" w:space="0" w:color="auto"/>
            </w:tcBorders>
            <w:shd w:val="clear" w:color="000000" w:fill="FFFFFF"/>
            <w:vAlign w:val="center"/>
          </w:tcPr>
          <w:p w14:paraId="6D6A388F" w14:textId="15EB10EE" w:rsidR="008E322F" w:rsidRPr="007B6175" w:rsidRDefault="008E322F" w:rsidP="0021441F">
            <w:pPr>
              <w:pStyle w:val="TableText"/>
              <w:jc w:val="center"/>
              <w:rPr>
                <w:b/>
                <w:bCs w:val="0"/>
              </w:rPr>
            </w:pPr>
            <w:r w:rsidRPr="007B6175">
              <w:rPr>
                <w:b/>
                <w:bCs w:val="0"/>
              </w:rPr>
              <w:t>$</w:t>
            </w:r>
            <w:r w:rsidR="004C3CC2" w:rsidRPr="004C3CC2">
              <w:rPr>
                <w:b/>
                <w:bCs w:val="0"/>
                <w:color w:val="000000"/>
                <w:shd w:val="solid" w:color="000000" w:fill="000000"/>
                <w14:textFill>
                  <w14:solidFill>
                    <w14:srgbClr w14:val="000000">
                      <w14:alpha w14:val="100000"/>
                    </w14:srgbClr>
                  </w14:solidFill>
                </w14:textFill>
              </w:rPr>
              <w:t>|</w:t>
            </w:r>
          </w:p>
        </w:tc>
      </w:tr>
    </w:tbl>
    <w:p w14:paraId="5940810B" w14:textId="1029A66C" w:rsidR="00AA2C7D" w:rsidRPr="007B6175" w:rsidRDefault="008E322F" w:rsidP="008E322F">
      <w:pPr>
        <w:pStyle w:val="TableFooter"/>
      </w:pPr>
      <w:r w:rsidRPr="007B6175">
        <w:t>Source: Table 4.7.4, p169 of the resubmission.</w:t>
      </w:r>
    </w:p>
    <w:p w14:paraId="6298AED8" w14:textId="5719779A" w:rsidR="008E322F" w:rsidRDefault="008E322F" w:rsidP="004C3CC2">
      <w:pPr>
        <w:pStyle w:val="TableFooter"/>
        <w:spacing w:after="0"/>
      </w:pPr>
      <w:r w:rsidRPr="007B6175">
        <w:t>Abbreviations: AEMP, approved ex-manufacturer price.</w:t>
      </w:r>
    </w:p>
    <w:p w14:paraId="48F40E03" w14:textId="77777777" w:rsidR="00503DA6" w:rsidRPr="009A6D58" w:rsidRDefault="00503DA6" w:rsidP="00503DA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5CA779C" w14:textId="4B39BE26" w:rsidR="00503DA6" w:rsidRPr="009A6D58" w:rsidRDefault="00503DA6" w:rsidP="00503DA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03DA6">
        <w:rPr>
          <w:rFonts w:ascii="Arial Narrow" w:hAnsi="Arial Narrow"/>
          <w:i/>
          <w:sz w:val="18"/>
          <w:szCs w:val="18"/>
        </w:rPr>
        <w:t>5</w:t>
      </w:r>
      <w:r>
        <w:rPr>
          <w:rFonts w:ascii="Arial Narrow" w:hAnsi="Arial Narrow"/>
          <w:i/>
          <w:sz w:val="18"/>
          <w:szCs w:val="18"/>
        </w:rPr>
        <w:t>0</w:t>
      </w:r>
      <w:r w:rsidRPr="00503DA6">
        <w:rPr>
          <w:rFonts w:ascii="Arial Narrow" w:hAnsi="Arial Narrow"/>
          <w:i/>
          <w:sz w:val="18"/>
          <w:szCs w:val="18"/>
        </w:rPr>
        <w:t>0,000 to &lt; 6</w:t>
      </w:r>
      <w:r>
        <w:rPr>
          <w:rFonts w:ascii="Arial Narrow" w:hAnsi="Arial Narrow"/>
          <w:i/>
          <w:sz w:val="18"/>
          <w:szCs w:val="18"/>
        </w:rPr>
        <w:t>0</w:t>
      </w:r>
      <w:r w:rsidRPr="00503DA6">
        <w:rPr>
          <w:rFonts w:ascii="Arial Narrow" w:hAnsi="Arial Narrow"/>
          <w:i/>
          <w:sz w:val="18"/>
          <w:szCs w:val="18"/>
        </w:rPr>
        <w:t>0,000</w:t>
      </w:r>
    </w:p>
    <w:p w14:paraId="070E4184" w14:textId="77777777" w:rsidR="00503DA6" w:rsidRDefault="00503DA6" w:rsidP="002D65DB">
      <w:pPr>
        <w:pStyle w:val="TableFooter"/>
      </w:pPr>
    </w:p>
    <w:p w14:paraId="5C527DF0" w14:textId="686FE425" w:rsidR="00845E08" w:rsidRPr="00962E43" w:rsidRDefault="00B335D0" w:rsidP="0051322A">
      <w:pPr>
        <w:pStyle w:val="ExecSumBodyText"/>
        <w:rPr>
          <w:i/>
        </w:rPr>
      </w:pPr>
      <w:r w:rsidRPr="00962E43">
        <w:t xml:space="preserve">The ESC considered a </w:t>
      </w:r>
      <w:r w:rsidR="004C3CC2" w:rsidRPr="004C3CC2">
        <w:rPr>
          <w:color w:val="000000"/>
          <w:w w:val="60"/>
          <w:shd w:val="solid" w:color="000000" w:fill="000000"/>
          <w:fitText w:val="470" w:id="-1504952317"/>
          <w14:textFill>
            <w14:solidFill>
              <w14:srgbClr w14:val="000000">
                <w14:alpha w14:val="100000"/>
              </w14:srgbClr>
            </w14:solidFill>
          </w14:textFill>
        </w:rPr>
        <w:t>||</w:t>
      </w:r>
      <w:proofErr w:type="gramStart"/>
      <w:r w:rsidR="004C3CC2" w:rsidRPr="004C3CC2">
        <w:rPr>
          <w:color w:val="000000"/>
          <w:w w:val="60"/>
          <w:shd w:val="solid" w:color="000000" w:fill="000000"/>
          <w:fitText w:val="470" w:id="-1504952317"/>
          <w14:textFill>
            <w14:solidFill>
              <w14:srgbClr w14:val="000000">
                <w14:alpha w14:val="100000"/>
              </w14:srgbClr>
            </w14:solidFill>
          </w14:textFill>
        </w:rPr>
        <w:t>|  |</w:t>
      </w:r>
      <w:proofErr w:type="gramEnd"/>
      <w:r w:rsidR="004C3CC2" w:rsidRPr="004C3CC2">
        <w:rPr>
          <w:color w:val="000000"/>
          <w:w w:val="60"/>
          <w:shd w:val="solid" w:color="000000" w:fill="000000"/>
          <w:fitText w:val="470" w:id="-1504952317"/>
          <w14:textFill>
            <w14:solidFill>
              <w14:srgbClr w14:val="000000">
                <w14:alpha w14:val="100000"/>
              </w14:srgbClr>
            </w14:solidFill>
          </w14:textFill>
        </w:rPr>
        <w:t>|</w:t>
      </w:r>
      <w:r w:rsidR="004C3CC2" w:rsidRPr="004C3CC2">
        <w:rPr>
          <w:color w:val="000000"/>
          <w:spacing w:val="6"/>
          <w:w w:val="60"/>
          <w:shd w:val="solid" w:color="000000" w:fill="000000"/>
          <w:fitText w:val="470" w:id="-1504952317"/>
          <w14:textFill>
            <w14:solidFill>
              <w14:srgbClr w14:val="000000">
                <w14:alpha w14:val="100000"/>
              </w14:srgbClr>
            </w14:solidFill>
          </w14:textFill>
        </w:rPr>
        <w:t>|</w:t>
      </w:r>
      <w:r w:rsidRPr="00962E43">
        <w:t xml:space="preserve"> price for </w:t>
      </w:r>
      <w:proofErr w:type="spellStart"/>
      <w:r w:rsidRPr="00962E43">
        <w:t>galcanezumab</w:t>
      </w:r>
      <w:proofErr w:type="spellEnd"/>
      <w:r w:rsidRPr="00962E43">
        <w:t xml:space="preserve"> may be appropriate to expand the listing to include high frequency episodic migraine patients given the </w:t>
      </w:r>
      <w:r w:rsidR="002D0427" w:rsidRPr="00962E43">
        <w:t xml:space="preserve">lower </w:t>
      </w:r>
      <w:r w:rsidR="00283CC5" w:rsidRPr="00962E43">
        <w:t xml:space="preserve">headache </w:t>
      </w:r>
      <w:r w:rsidR="002D0427" w:rsidRPr="00962E43">
        <w:t>burden</w:t>
      </w:r>
      <w:r w:rsidR="00283CC5" w:rsidRPr="00962E43">
        <w:t xml:space="preserve"> </w:t>
      </w:r>
      <w:r w:rsidR="002D0427" w:rsidRPr="00962E43">
        <w:t>in this population</w:t>
      </w:r>
      <w:r w:rsidR="002D0427">
        <w:rPr>
          <w:i/>
        </w:rPr>
        <w:t xml:space="preserve">. </w:t>
      </w:r>
      <w:r w:rsidR="0051322A" w:rsidRPr="0051322A">
        <w:t xml:space="preserve">The pre-PBAC response stated </w:t>
      </w:r>
      <w:r w:rsidR="0051322A">
        <w:t xml:space="preserve">a </w:t>
      </w:r>
      <w:proofErr w:type="gramStart"/>
      <w:r w:rsidR="004C3CC2" w:rsidRPr="00046698">
        <w:rPr>
          <w:color w:val="000000"/>
          <w:w w:val="15"/>
          <w:shd w:val="solid" w:color="000000" w:fill="000000"/>
          <w:fitText w:val="-20" w:id="-1504952316"/>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2316"/>
          <w14:textFill>
            <w14:solidFill>
              <w14:srgbClr w14:val="000000">
                <w14:alpha w14:val="100000"/>
              </w14:srgbClr>
            </w14:solidFill>
          </w14:textFill>
        </w:rPr>
        <w:t>|</w:t>
      </w:r>
      <w:proofErr w:type="gramEnd"/>
      <w:r w:rsidR="0051322A">
        <w:t xml:space="preserve"> price for </w:t>
      </w:r>
      <w:proofErr w:type="spellStart"/>
      <w:r w:rsidR="0051322A">
        <w:t>galcanezumab</w:t>
      </w:r>
      <w:proofErr w:type="spellEnd"/>
      <w:r w:rsidR="0051322A">
        <w:t xml:space="preserve"> is not appropriate</w:t>
      </w:r>
      <w:r w:rsidR="0051322A" w:rsidRPr="0051322A">
        <w:t xml:space="preserve"> </w:t>
      </w:r>
      <w:r w:rsidR="0051322A">
        <w:t xml:space="preserve">because patients with high frequency episodic migraine </w:t>
      </w:r>
      <w:r w:rsidR="0051322A" w:rsidRPr="0051322A">
        <w:t>who hav</w:t>
      </w:r>
      <w:r w:rsidR="0051322A">
        <w:t xml:space="preserve">e failed ≥ 3 prior preventives </w:t>
      </w:r>
      <w:r w:rsidR="0051322A" w:rsidRPr="0051322A">
        <w:t>have a high unmet need and a significant burden of disease, with no treatment options apart from acute medication and are considered to be as di</w:t>
      </w:r>
      <w:r w:rsidR="0051322A">
        <w:t>sabled as those diagnosed with chronic migraine.</w:t>
      </w:r>
    </w:p>
    <w:p w14:paraId="7B79C00F" w14:textId="048D7B2D" w:rsidR="00A709C3" w:rsidRDefault="00AE5EE8" w:rsidP="005D1DE7">
      <w:pPr>
        <w:ind w:firstLine="709"/>
        <w:rPr>
          <w:rFonts w:asciiTheme="minorHAnsi" w:hAnsiTheme="minorHAnsi"/>
          <w:i/>
        </w:rPr>
      </w:pPr>
      <w:r w:rsidRPr="00C33D30">
        <w:rPr>
          <w:rFonts w:asciiTheme="minorHAnsi" w:hAnsiTheme="minorHAnsi"/>
          <w:i/>
        </w:rPr>
        <w:t>For more detail on PBAC’s view, see section 7 PBAC outcome.</w:t>
      </w:r>
    </w:p>
    <w:p w14:paraId="7E77A76F" w14:textId="77777777" w:rsidR="00962E43" w:rsidRPr="0090150D" w:rsidRDefault="00962E43" w:rsidP="005D1DE7">
      <w:pPr>
        <w:pStyle w:val="2-SectionHeading"/>
      </w:pPr>
      <w:r w:rsidRPr="0090150D">
        <w:t>PBAC Outcome</w:t>
      </w:r>
    </w:p>
    <w:p w14:paraId="59C771B7" w14:textId="13AF1D77" w:rsidR="00D91056" w:rsidRPr="00D91056" w:rsidRDefault="00D91056" w:rsidP="00D91056">
      <w:pPr>
        <w:pStyle w:val="ExecSumBodyText"/>
      </w:pPr>
      <w:r w:rsidRPr="00D91056">
        <w:rPr>
          <w:rFonts w:ascii="Calibri" w:hAnsi="Calibri"/>
          <w:snapToGrid/>
        </w:rPr>
        <w:t xml:space="preserve">The PBAC recommended </w:t>
      </w:r>
      <w:r w:rsidR="001871CE">
        <w:rPr>
          <w:rFonts w:ascii="Calibri" w:hAnsi="Calibri"/>
          <w:snapToGrid/>
        </w:rPr>
        <w:t xml:space="preserve">amending </w:t>
      </w:r>
      <w:r w:rsidRPr="00D91056">
        <w:rPr>
          <w:rFonts w:ascii="Calibri" w:hAnsi="Calibri"/>
          <w:snapToGrid/>
        </w:rPr>
        <w:t xml:space="preserve">the current PBS listing of </w:t>
      </w:r>
      <w:proofErr w:type="spellStart"/>
      <w:r w:rsidRPr="00D91056">
        <w:rPr>
          <w:rFonts w:ascii="Calibri" w:hAnsi="Calibri"/>
          <w:snapToGrid/>
        </w:rPr>
        <w:t>galcanezumab</w:t>
      </w:r>
      <w:proofErr w:type="spellEnd"/>
      <w:r w:rsidRPr="00D91056">
        <w:rPr>
          <w:rFonts w:ascii="Calibri" w:hAnsi="Calibri"/>
          <w:snapToGrid/>
        </w:rPr>
        <w:t xml:space="preserve"> for chronic migraine to include the treatment of patients with high frequency episodic migraine by removing the criteria for patients to have an average of 15 or more headache days per month. The resulting PBS listing for </w:t>
      </w:r>
      <w:proofErr w:type="spellStart"/>
      <w:r w:rsidRPr="00D91056">
        <w:rPr>
          <w:rFonts w:ascii="Calibri" w:hAnsi="Calibri"/>
          <w:snapToGrid/>
        </w:rPr>
        <w:t>galcanezumab</w:t>
      </w:r>
      <w:proofErr w:type="spellEnd"/>
      <w:r w:rsidRPr="00D91056">
        <w:rPr>
          <w:rFonts w:ascii="Calibri" w:hAnsi="Calibri"/>
          <w:snapToGrid/>
        </w:rPr>
        <w:t xml:space="preserve"> is for the treatment of patients who have an inadequate response, intolerance, or a contraindication to at least three prophylactic migraine medications, with 8 or more migraine headache days per month. The PBAC considered </w:t>
      </w:r>
      <w:proofErr w:type="spellStart"/>
      <w:r w:rsidRPr="00D91056">
        <w:rPr>
          <w:rFonts w:ascii="Calibri" w:hAnsi="Calibri"/>
          <w:snapToGrid/>
        </w:rPr>
        <w:t>galcanezumab</w:t>
      </w:r>
      <w:proofErr w:type="spellEnd"/>
      <w:r w:rsidRPr="00D91056">
        <w:rPr>
          <w:rFonts w:ascii="Calibri" w:hAnsi="Calibri"/>
          <w:snapToGrid/>
        </w:rPr>
        <w:t xml:space="preserve"> would be cost effective for the high frequency episodic migraine patient population at a price </w:t>
      </w:r>
      <w:r w:rsidRPr="00A55640">
        <w:rPr>
          <w:rFonts w:ascii="Calibri" w:hAnsi="Calibri"/>
          <w:snapToGrid/>
        </w:rPr>
        <w:t xml:space="preserve">no higher </w:t>
      </w:r>
      <w:r w:rsidRPr="00D91056">
        <w:rPr>
          <w:rFonts w:ascii="Calibri" w:hAnsi="Calibri"/>
          <w:snapToGrid/>
        </w:rPr>
        <w:t>than the</w:t>
      </w:r>
      <w:r w:rsidR="00DB464A">
        <w:rPr>
          <w:rFonts w:ascii="Calibri" w:hAnsi="Calibri"/>
          <w:snapToGrid/>
        </w:rPr>
        <w:t xml:space="preserve"> current effective</w:t>
      </w:r>
      <w:r w:rsidRPr="00D91056">
        <w:rPr>
          <w:rFonts w:ascii="Calibri" w:hAnsi="Calibri"/>
          <w:snapToGrid/>
        </w:rPr>
        <w:t xml:space="preserve"> price for patients with chronic migraine. The PBAC considered the new patient population should be included in the chronic migraine risk share arrangement with an increase in expenditure caps.</w:t>
      </w:r>
      <w:r>
        <w:rPr>
          <w:rFonts w:ascii="Calibri" w:hAnsi="Calibri"/>
          <w:snapToGrid/>
        </w:rPr>
        <w:t xml:space="preserve"> </w:t>
      </w:r>
    </w:p>
    <w:p w14:paraId="41B4C37C" w14:textId="7FBF1232" w:rsidR="00570D1A" w:rsidRPr="00570D1A" w:rsidRDefault="00570D1A" w:rsidP="00570D1A">
      <w:pPr>
        <w:pStyle w:val="ExecSumBodyText"/>
        <w:rPr>
          <w:rFonts w:ascii="Calibri" w:hAnsi="Calibri"/>
          <w:snapToGrid/>
        </w:rPr>
      </w:pPr>
      <w:r w:rsidRPr="00570D1A">
        <w:rPr>
          <w:rFonts w:ascii="Calibri" w:hAnsi="Calibri"/>
          <w:snapToGrid/>
        </w:rPr>
        <w:t xml:space="preserve">The PBAC noted the consumer comments and acknowledged there was a clinical need for </w:t>
      </w:r>
      <w:r w:rsidR="00B3015E">
        <w:rPr>
          <w:rFonts w:ascii="Calibri" w:hAnsi="Calibri"/>
          <w:snapToGrid/>
        </w:rPr>
        <w:t xml:space="preserve">broader access to CGRP inhibitors to increase the </w:t>
      </w:r>
      <w:r w:rsidRPr="00570D1A">
        <w:rPr>
          <w:rFonts w:ascii="Calibri" w:hAnsi="Calibri"/>
          <w:snapToGrid/>
        </w:rPr>
        <w:t>treatment</w:t>
      </w:r>
      <w:r w:rsidR="00B3015E">
        <w:rPr>
          <w:rFonts w:ascii="Calibri" w:hAnsi="Calibri"/>
          <w:snapToGrid/>
        </w:rPr>
        <w:t xml:space="preserve"> options for </w:t>
      </w:r>
      <w:r w:rsidRPr="00570D1A">
        <w:rPr>
          <w:rFonts w:ascii="Calibri" w:hAnsi="Calibri"/>
          <w:snapToGrid/>
        </w:rPr>
        <w:t xml:space="preserve">people with treatment-resistant </w:t>
      </w:r>
      <w:r w:rsidR="00B3015E">
        <w:rPr>
          <w:rFonts w:ascii="Calibri" w:hAnsi="Calibri"/>
          <w:snapToGrid/>
        </w:rPr>
        <w:t xml:space="preserve">high frequency episodic </w:t>
      </w:r>
      <w:r w:rsidRPr="00570D1A">
        <w:rPr>
          <w:rFonts w:ascii="Calibri" w:hAnsi="Calibri"/>
          <w:snapToGrid/>
        </w:rPr>
        <w:t>migraine.</w:t>
      </w:r>
    </w:p>
    <w:p w14:paraId="6858AEFB" w14:textId="1CC4819A" w:rsidR="00570D1A" w:rsidRPr="00D77963" w:rsidRDefault="00570D1A" w:rsidP="00570D1A">
      <w:pPr>
        <w:widowControl w:val="0"/>
        <w:numPr>
          <w:ilvl w:val="1"/>
          <w:numId w:val="1"/>
        </w:numPr>
        <w:spacing w:after="160"/>
        <w:ind w:left="720" w:hanging="720"/>
        <w:rPr>
          <w:snapToGrid w:val="0"/>
          <w:szCs w:val="22"/>
          <w:lang w:eastAsia="en-US"/>
        </w:rPr>
      </w:pPr>
      <w:r w:rsidRPr="00D77963">
        <w:rPr>
          <w:snapToGrid w:val="0"/>
          <w:szCs w:val="22"/>
          <w:lang w:eastAsia="en-US"/>
        </w:rPr>
        <w:t xml:space="preserve">The PBAC considered best supportive care was an appropriate comparator for patients with </w:t>
      </w:r>
      <w:r w:rsidR="00CF2252">
        <w:rPr>
          <w:snapToGrid w:val="0"/>
          <w:szCs w:val="22"/>
          <w:lang w:eastAsia="en-US"/>
        </w:rPr>
        <w:t xml:space="preserve">high frequency </w:t>
      </w:r>
      <w:r w:rsidRPr="00D77963">
        <w:rPr>
          <w:snapToGrid w:val="0"/>
          <w:szCs w:val="22"/>
          <w:lang w:eastAsia="en-US"/>
        </w:rPr>
        <w:t xml:space="preserve">episodic migraine who have failed at least three prophylactic migraine medications. </w:t>
      </w:r>
    </w:p>
    <w:p w14:paraId="12486FA6" w14:textId="22202664" w:rsidR="00962E43" w:rsidRPr="001A48E1" w:rsidRDefault="00570D1A" w:rsidP="00294BC8">
      <w:pPr>
        <w:pStyle w:val="ExecSumBodyText"/>
        <w:keepNext/>
        <w:keepLines/>
        <w:rPr>
          <w:lang w:val="en-GB"/>
        </w:rPr>
      </w:pPr>
      <w:r w:rsidRPr="00570D1A">
        <w:rPr>
          <w:lang w:val="en-GB"/>
        </w:rPr>
        <w:t xml:space="preserve">The PBAC noted </w:t>
      </w:r>
      <w:r w:rsidR="00762C7E">
        <w:rPr>
          <w:lang w:val="en-GB"/>
        </w:rPr>
        <w:t>that</w:t>
      </w:r>
      <w:r w:rsidR="00164B5C">
        <w:rPr>
          <w:lang w:val="en-GB"/>
        </w:rPr>
        <w:t xml:space="preserve"> </w:t>
      </w:r>
      <w:r w:rsidRPr="00570D1A">
        <w:rPr>
          <w:lang w:val="en-GB"/>
        </w:rPr>
        <w:t xml:space="preserve">the </w:t>
      </w:r>
      <w:r w:rsidR="00164B5C">
        <w:rPr>
          <w:lang w:val="en-GB"/>
        </w:rPr>
        <w:t>re</w:t>
      </w:r>
      <w:r w:rsidRPr="00570D1A">
        <w:rPr>
          <w:lang w:val="en-GB"/>
        </w:rPr>
        <w:t xml:space="preserve">submission was based on </w:t>
      </w:r>
      <w:r w:rsidR="00762C7E">
        <w:rPr>
          <w:lang w:val="en-GB"/>
        </w:rPr>
        <w:t xml:space="preserve">the </w:t>
      </w:r>
      <w:r w:rsidR="00164B5C">
        <w:rPr>
          <w:lang w:val="en-GB"/>
        </w:rPr>
        <w:t xml:space="preserve">CONQUER study, the same clinical study as the submission considered in November 2020. </w:t>
      </w:r>
      <w:r w:rsidR="00762C7E">
        <w:rPr>
          <w:lang w:val="en-GB"/>
        </w:rPr>
        <w:t xml:space="preserve">The CONQUER study was </w:t>
      </w:r>
      <w:r w:rsidRPr="00570D1A">
        <w:rPr>
          <w:lang w:val="en-GB"/>
        </w:rPr>
        <w:t xml:space="preserve">a randomised controlled trial comparing </w:t>
      </w:r>
      <w:proofErr w:type="spellStart"/>
      <w:r w:rsidRPr="00570D1A">
        <w:rPr>
          <w:lang w:val="en-GB"/>
        </w:rPr>
        <w:t>galcanezumab</w:t>
      </w:r>
      <w:proofErr w:type="spellEnd"/>
      <w:r w:rsidRPr="00570D1A">
        <w:rPr>
          <w:lang w:val="en-GB"/>
        </w:rPr>
        <w:t xml:space="preserve"> </w:t>
      </w:r>
      <w:r w:rsidR="00503DA6" w:rsidRPr="00570D1A">
        <w:rPr>
          <w:lang w:val="en-GB"/>
        </w:rPr>
        <w:t>120</w:t>
      </w:r>
      <w:r w:rsidR="00503DA6">
        <w:rPr>
          <w:lang w:val="en-GB"/>
        </w:rPr>
        <w:t> </w:t>
      </w:r>
      <w:r w:rsidRPr="00570D1A">
        <w:rPr>
          <w:lang w:val="en-GB"/>
        </w:rPr>
        <w:t xml:space="preserve">mg (with an additional </w:t>
      </w:r>
      <w:r w:rsidR="00503DA6" w:rsidRPr="00570D1A">
        <w:rPr>
          <w:lang w:val="en-GB"/>
        </w:rPr>
        <w:t>120</w:t>
      </w:r>
      <w:r w:rsidR="00503DA6">
        <w:rPr>
          <w:lang w:val="en-GB"/>
        </w:rPr>
        <w:t> </w:t>
      </w:r>
      <w:r w:rsidRPr="00570D1A">
        <w:rPr>
          <w:lang w:val="en-GB"/>
        </w:rPr>
        <w:t xml:space="preserve">mg loading dose) to placebo (representing best supportive care) in patients with chronic and episodic migraine who have previously failed between 2 and 4 preventative treatments for migraine. The PBAC noted the clinical claim in the submission was based on patients with </w:t>
      </w:r>
      <w:r w:rsidR="00762C7E">
        <w:rPr>
          <w:lang w:val="en-GB"/>
        </w:rPr>
        <w:t xml:space="preserve">high frequency </w:t>
      </w:r>
      <w:r w:rsidRPr="00570D1A">
        <w:rPr>
          <w:lang w:val="en-GB"/>
        </w:rPr>
        <w:t>episodic migraine who had received 3 or 4 prior</w:t>
      </w:r>
      <w:r w:rsidR="00762C7E">
        <w:rPr>
          <w:lang w:val="en-GB"/>
        </w:rPr>
        <w:t xml:space="preserve"> preventative medications (n=</w:t>
      </w:r>
      <w:r w:rsidR="001A48E1">
        <w:rPr>
          <w:lang w:val="en-GB"/>
        </w:rPr>
        <w:t>80</w:t>
      </w:r>
      <w:r w:rsidRPr="00570D1A">
        <w:rPr>
          <w:lang w:val="en-GB"/>
        </w:rPr>
        <w:t>) which was a subgr</w:t>
      </w:r>
      <w:r w:rsidR="001A48E1">
        <w:rPr>
          <w:lang w:val="en-GB"/>
        </w:rPr>
        <w:t>oup of the ITT population (n=458</w:t>
      </w:r>
      <w:r w:rsidRPr="00570D1A">
        <w:rPr>
          <w:lang w:val="en-GB"/>
        </w:rPr>
        <w:t xml:space="preserve">). The PBAC noted </w:t>
      </w:r>
      <w:r w:rsidR="00041A19">
        <w:rPr>
          <w:lang w:val="en-GB"/>
        </w:rPr>
        <w:t xml:space="preserve">for the subgroup </w:t>
      </w:r>
      <w:r w:rsidRPr="00570D1A">
        <w:rPr>
          <w:lang w:val="en-GB"/>
        </w:rPr>
        <w:t xml:space="preserve">the </w:t>
      </w:r>
      <w:r w:rsidR="00BA660A">
        <w:rPr>
          <w:lang w:val="en-GB"/>
        </w:rPr>
        <w:t xml:space="preserve">mean </w:t>
      </w:r>
      <w:r w:rsidRPr="00570D1A">
        <w:rPr>
          <w:lang w:val="en-GB"/>
        </w:rPr>
        <w:t xml:space="preserve">difference in the change from baseline in the number of migraine headache days per month for </w:t>
      </w:r>
      <w:proofErr w:type="spellStart"/>
      <w:r w:rsidRPr="00570D1A">
        <w:rPr>
          <w:lang w:val="en-GB"/>
        </w:rPr>
        <w:t>galcanezumab</w:t>
      </w:r>
      <w:proofErr w:type="spellEnd"/>
      <w:r w:rsidRPr="00570D1A">
        <w:rPr>
          <w:lang w:val="en-GB"/>
        </w:rPr>
        <w:t xml:space="preserve"> </w:t>
      </w:r>
      <w:r w:rsidR="001A48E1">
        <w:rPr>
          <w:lang w:val="en-GB"/>
        </w:rPr>
        <w:t>vs placebo at 12 weeks was -2.43 (95%CI: -4.08, -0.79</w:t>
      </w:r>
      <w:r w:rsidRPr="00570D1A">
        <w:rPr>
          <w:lang w:val="en-GB"/>
        </w:rPr>
        <w:t>). The PBAC considered that</w:t>
      </w:r>
      <w:r w:rsidR="00BA660A">
        <w:rPr>
          <w:lang w:val="en-GB"/>
        </w:rPr>
        <w:t xml:space="preserve"> </w:t>
      </w:r>
      <w:r w:rsidRPr="00570D1A">
        <w:rPr>
          <w:lang w:val="en-GB"/>
        </w:rPr>
        <w:t xml:space="preserve">treatment with </w:t>
      </w:r>
      <w:proofErr w:type="spellStart"/>
      <w:r w:rsidRPr="00570D1A">
        <w:rPr>
          <w:lang w:val="en-GB"/>
        </w:rPr>
        <w:t>galcanezumab</w:t>
      </w:r>
      <w:proofErr w:type="spellEnd"/>
      <w:r w:rsidRPr="00570D1A">
        <w:rPr>
          <w:lang w:val="en-GB"/>
        </w:rPr>
        <w:t xml:space="preserve"> resulted in a modest reduction in the number of migraine headache days </w:t>
      </w:r>
      <w:r w:rsidR="00294BC8">
        <w:rPr>
          <w:lang w:val="en-GB"/>
        </w:rPr>
        <w:t xml:space="preserve">per month </w:t>
      </w:r>
      <w:r w:rsidRPr="00570D1A">
        <w:rPr>
          <w:lang w:val="en-GB"/>
        </w:rPr>
        <w:t>compared to placebo.</w:t>
      </w:r>
      <w:r w:rsidR="00882BAB">
        <w:rPr>
          <w:lang w:val="en-GB"/>
        </w:rPr>
        <w:t xml:space="preserve"> </w:t>
      </w:r>
    </w:p>
    <w:p w14:paraId="4F97CDF2" w14:textId="72604F6B" w:rsidR="00570D1A" w:rsidRPr="00853FD0" w:rsidRDefault="00D91056" w:rsidP="00853FD0">
      <w:pPr>
        <w:pStyle w:val="ExecSumBodyText"/>
        <w:rPr>
          <w:lang w:val="en-GB"/>
        </w:rPr>
      </w:pPr>
      <w:r>
        <w:rPr>
          <w:lang w:val="en-GB"/>
        </w:rPr>
        <w:t xml:space="preserve">The PBAC noted the economic model in the resubmission was the same as that considered in November 2020. </w:t>
      </w:r>
      <w:r w:rsidR="00853FD0" w:rsidRPr="00853FD0">
        <w:rPr>
          <w:lang w:val="en-GB"/>
        </w:rPr>
        <w:t>The PBAC recalled the ESC had previously considered the economic model was unlik</w:t>
      </w:r>
      <w:r w:rsidR="00853FD0">
        <w:rPr>
          <w:lang w:val="en-GB"/>
        </w:rPr>
        <w:t>ely to be reliable for decision-</w:t>
      </w:r>
      <w:r w:rsidR="00853FD0" w:rsidRPr="00853FD0">
        <w:rPr>
          <w:lang w:val="en-GB"/>
        </w:rPr>
        <w:t xml:space="preserve">making (para 6.60, </w:t>
      </w:r>
      <w:proofErr w:type="spellStart"/>
      <w:r w:rsidR="00853FD0" w:rsidRPr="00853FD0">
        <w:rPr>
          <w:lang w:val="en-GB"/>
        </w:rPr>
        <w:t>galcanezumab</w:t>
      </w:r>
      <w:proofErr w:type="spellEnd"/>
      <w:r w:rsidR="00853FD0" w:rsidRPr="00853FD0">
        <w:rPr>
          <w:lang w:val="en-GB"/>
        </w:rPr>
        <w:t xml:space="preserve"> PSD, November 2020 PBAC meeting) and noted </w:t>
      </w:r>
      <w:r w:rsidR="00853FD0">
        <w:rPr>
          <w:lang w:val="en-GB"/>
        </w:rPr>
        <w:t xml:space="preserve">that although some inputs had been updated, </w:t>
      </w:r>
      <w:r w:rsidR="00853FD0" w:rsidRPr="00853FD0">
        <w:rPr>
          <w:lang w:val="en-GB"/>
        </w:rPr>
        <w:t>the model structure was unchanged</w:t>
      </w:r>
      <w:r w:rsidR="00853FD0">
        <w:rPr>
          <w:lang w:val="en-GB"/>
        </w:rPr>
        <w:t xml:space="preserve"> and remained unreliable. </w:t>
      </w:r>
      <w:r w:rsidR="00E56DE0" w:rsidRPr="00853FD0">
        <w:rPr>
          <w:lang w:val="en-GB"/>
        </w:rPr>
        <w:t xml:space="preserve">However, the PBAC considered that, given the similarities in patient populations, on balance, </w:t>
      </w:r>
      <w:proofErr w:type="spellStart"/>
      <w:r w:rsidR="00E56DE0" w:rsidRPr="00853FD0">
        <w:rPr>
          <w:lang w:val="en-GB"/>
        </w:rPr>
        <w:t>galcanezumab</w:t>
      </w:r>
      <w:proofErr w:type="spellEnd"/>
      <w:r w:rsidR="00E56DE0" w:rsidRPr="00853FD0">
        <w:rPr>
          <w:lang w:val="en-GB"/>
        </w:rPr>
        <w:t xml:space="preserve"> was </w:t>
      </w:r>
      <w:r w:rsidR="00E56DE0" w:rsidRPr="00A55640">
        <w:rPr>
          <w:lang w:val="en-GB"/>
        </w:rPr>
        <w:t xml:space="preserve">likely to be cost effective </w:t>
      </w:r>
      <w:r w:rsidR="0044327D" w:rsidRPr="00A55640">
        <w:rPr>
          <w:lang w:val="en-GB"/>
        </w:rPr>
        <w:t xml:space="preserve">for high frequency episodic migraine </w:t>
      </w:r>
      <w:r w:rsidR="00E56DE0" w:rsidRPr="00A55640">
        <w:rPr>
          <w:lang w:val="en-GB"/>
        </w:rPr>
        <w:t>at a price no higher than</w:t>
      </w:r>
      <w:r w:rsidR="00E56DE0" w:rsidRPr="00853FD0">
        <w:rPr>
          <w:lang w:val="en-GB"/>
        </w:rPr>
        <w:t xml:space="preserve"> the price for chronic migraine.</w:t>
      </w:r>
    </w:p>
    <w:p w14:paraId="6DCC0209" w14:textId="44C2F045" w:rsidR="00962E43" w:rsidRDefault="00BA660A" w:rsidP="00BA660A">
      <w:pPr>
        <w:pStyle w:val="ExecSumBodyText"/>
      </w:pPr>
      <w:r>
        <w:rPr>
          <w:rFonts w:ascii="Calibri" w:hAnsi="Calibri"/>
          <w:snapToGrid/>
        </w:rPr>
        <w:t>T</w:t>
      </w:r>
      <w:r w:rsidRPr="00BA660A">
        <w:rPr>
          <w:rFonts w:ascii="Calibri" w:hAnsi="Calibri"/>
          <w:snapToGrid/>
        </w:rPr>
        <w:t xml:space="preserve">he </w:t>
      </w:r>
      <w:r>
        <w:rPr>
          <w:rFonts w:ascii="Calibri" w:hAnsi="Calibri"/>
          <w:snapToGrid/>
        </w:rPr>
        <w:t>PBAC</w:t>
      </w:r>
      <w:r w:rsidR="00705165">
        <w:rPr>
          <w:rFonts w:ascii="Calibri" w:hAnsi="Calibri"/>
          <w:snapToGrid/>
        </w:rPr>
        <w:t xml:space="preserve"> considered that, with some revisions (as outlined below), the estimated patient numbers were conservative and reasonable in the context of a risk share arrangement. </w:t>
      </w:r>
      <w:r w:rsidR="003E3CB0">
        <w:t>The PBAC considered the following revisions to the financial estimates were appropriate:</w:t>
      </w:r>
    </w:p>
    <w:p w14:paraId="155F5697" w14:textId="65682C6A" w:rsidR="00B90906" w:rsidRDefault="00B90906" w:rsidP="0044327D">
      <w:pPr>
        <w:pStyle w:val="ListParagraph"/>
        <w:widowControl w:val="0"/>
        <w:numPr>
          <w:ilvl w:val="0"/>
          <w:numId w:val="35"/>
        </w:numPr>
        <w:spacing w:after="120"/>
        <w:ind w:left="1080"/>
      </w:pPr>
      <w:r>
        <w:t xml:space="preserve">Apply the revised price as outlined in the paragraph </w:t>
      </w:r>
      <w:proofErr w:type="gramStart"/>
      <w:r>
        <w:t>above;</w:t>
      </w:r>
      <w:proofErr w:type="gramEnd"/>
      <w:r>
        <w:t xml:space="preserve"> </w:t>
      </w:r>
    </w:p>
    <w:p w14:paraId="48E4B756" w14:textId="73D3AD16" w:rsidR="00BB0C61" w:rsidRDefault="00BB0C61" w:rsidP="0044327D">
      <w:pPr>
        <w:pStyle w:val="ListParagraph"/>
        <w:widowControl w:val="0"/>
        <w:numPr>
          <w:ilvl w:val="0"/>
          <w:numId w:val="34"/>
        </w:numPr>
        <w:spacing w:after="120"/>
        <w:ind w:left="1080"/>
      </w:pPr>
      <w:r>
        <w:t xml:space="preserve">Assume a prevalence of migraine of 14.5% and 90% have episodic migraine, consistent with previous considerations of episodic and chronic </w:t>
      </w:r>
      <w:r w:rsidR="00B90906">
        <w:t xml:space="preserve">migraine; and </w:t>
      </w:r>
    </w:p>
    <w:p w14:paraId="5170F755" w14:textId="1AA41084" w:rsidR="003E3CB0" w:rsidRDefault="0012547D" w:rsidP="0044327D">
      <w:pPr>
        <w:pStyle w:val="ListParagraph"/>
        <w:widowControl w:val="0"/>
        <w:numPr>
          <w:ilvl w:val="0"/>
          <w:numId w:val="34"/>
        </w:numPr>
        <w:spacing w:after="120"/>
        <w:ind w:left="1080"/>
      </w:pPr>
      <w:r>
        <w:t>Remove grandfathered patients from the financial estimates as these patients would be accounted for in the estimated prevalent population.</w:t>
      </w:r>
    </w:p>
    <w:p w14:paraId="788027F3" w14:textId="2115846C" w:rsidR="00962E43" w:rsidRPr="00F25618" w:rsidRDefault="003E3CB0" w:rsidP="003E3CB0">
      <w:pPr>
        <w:pStyle w:val="ExecSumBodyText"/>
      </w:pPr>
      <w:r>
        <w:rPr>
          <w:lang w:val="en-GB"/>
        </w:rPr>
        <w:t>The PBAC considered the high frequency episodic migraine population should be included in the current risk share arrangement in place for chronic migraine</w:t>
      </w:r>
      <w:r w:rsidR="0063185B">
        <w:rPr>
          <w:lang w:val="en-GB"/>
        </w:rPr>
        <w:t xml:space="preserve"> to manage the risk of use being substantially higher than expected</w:t>
      </w:r>
      <w:r>
        <w:rPr>
          <w:lang w:val="en-GB"/>
        </w:rPr>
        <w:t xml:space="preserve">. The PBAC advised the financial estimates for this population (as revised in the paragraph above) should be added to the Tier 1 chronic migraine expenditure caps. The PBAC </w:t>
      </w:r>
      <w:r w:rsidRPr="003E3CB0">
        <w:rPr>
          <w:lang w:val="en-GB"/>
        </w:rPr>
        <w:t>considered that</w:t>
      </w:r>
      <w:r>
        <w:rPr>
          <w:lang w:val="en-GB"/>
        </w:rPr>
        <w:t>, consistent with its previous recommendation for chronic migraine,</w:t>
      </w:r>
      <w:r w:rsidRPr="003E3CB0">
        <w:rPr>
          <w:lang w:val="en-GB"/>
        </w:rPr>
        <w:t xml:space="preserve"> it would be appropriate for the Tier 2 expenditure caps to be based on the assumption that </w:t>
      </w:r>
      <w:proofErr w:type="gramStart"/>
      <w:r w:rsidR="004C3CC2" w:rsidRPr="00046698">
        <w:rPr>
          <w:color w:val="000000"/>
          <w:w w:val="15"/>
          <w:shd w:val="solid" w:color="000000" w:fill="000000"/>
          <w:fitText w:val="-20" w:id="-1504952315"/>
          <w:lang w:val="en-GB"/>
          <w14:textFill>
            <w14:solidFill>
              <w14:srgbClr w14:val="000000">
                <w14:alpha w14:val="100000"/>
              </w14:srgbClr>
            </w14:solidFill>
          </w14:textFill>
        </w:rPr>
        <w:t xml:space="preserve">|  </w:t>
      </w:r>
      <w:r w:rsidR="004C3CC2" w:rsidRPr="00046698">
        <w:rPr>
          <w:color w:val="000000"/>
          <w:spacing w:val="-69"/>
          <w:w w:val="15"/>
          <w:shd w:val="solid" w:color="000000" w:fill="000000"/>
          <w:fitText w:val="-20" w:id="-1504952315"/>
          <w:lang w:val="en-GB"/>
          <w14:textFill>
            <w14:solidFill>
              <w14:srgbClr w14:val="000000">
                <w14:alpha w14:val="100000"/>
              </w14:srgbClr>
            </w14:solidFill>
          </w14:textFill>
        </w:rPr>
        <w:t>|</w:t>
      </w:r>
      <w:proofErr w:type="gramEnd"/>
      <w:r w:rsidRPr="003E3CB0">
        <w:rPr>
          <w:lang w:val="en-GB"/>
        </w:rPr>
        <w:t xml:space="preserve">% of patients achieve a </w:t>
      </w:r>
      <w:r w:rsidRPr="005E487B">
        <w:rPr>
          <w:lang w:val="en-GB"/>
        </w:rPr>
        <w:t>30</w:t>
      </w:r>
      <w:r w:rsidRPr="003E3CB0">
        <w:rPr>
          <w:lang w:val="en-GB"/>
        </w:rPr>
        <w:t>% reduction in migraine headache days at the response assessment time point.</w:t>
      </w:r>
    </w:p>
    <w:p w14:paraId="3C0EA12D" w14:textId="5E2D7888" w:rsidR="00F25618" w:rsidRDefault="00F25618" w:rsidP="003E3CB0">
      <w:pPr>
        <w:pStyle w:val="ExecSumBodyText"/>
      </w:pPr>
      <w:r w:rsidRPr="00F25618">
        <w:t xml:space="preserve">The PBAC </w:t>
      </w:r>
      <w:r w:rsidR="00EA46EF">
        <w:t xml:space="preserve">advised </w:t>
      </w:r>
      <w:r w:rsidRPr="00F25618">
        <w:t xml:space="preserve">the </w:t>
      </w:r>
      <w:r w:rsidR="00EA46EF">
        <w:t xml:space="preserve">chronic migraine </w:t>
      </w:r>
      <w:r w:rsidRPr="00F25618">
        <w:t xml:space="preserve">restriction criteria </w:t>
      </w:r>
      <w:r w:rsidR="00EA46EF">
        <w:t xml:space="preserve">for </w:t>
      </w:r>
      <w:proofErr w:type="spellStart"/>
      <w:r w:rsidR="00EA46EF">
        <w:t>galcanezumab</w:t>
      </w:r>
      <w:proofErr w:type="spellEnd"/>
      <w:r w:rsidR="00EA46EF">
        <w:t xml:space="preserve"> should be amended as outlined in </w:t>
      </w:r>
      <w:r w:rsidRPr="00F25618">
        <w:t>paragraph</w:t>
      </w:r>
      <w:r w:rsidR="00EA46EF">
        <w:t>s</w:t>
      </w:r>
      <w:r w:rsidRPr="00F25618">
        <w:t xml:space="preserve"> 3.1</w:t>
      </w:r>
      <w:r w:rsidR="00EA46EF">
        <w:t xml:space="preserve">, </w:t>
      </w:r>
      <w:r w:rsidRPr="00F25618">
        <w:fldChar w:fldCharType="begin"/>
      </w:r>
      <w:r w:rsidRPr="00F25618">
        <w:instrText xml:space="preserve"> REF _Ref98252579 \r \h </w:instrText>
      </w:r>
      <w:r>
        <w:instrText xml:space="preserve"> \* MERGEFORMAT </w:instrText>
      </w:r>
      <w:r w:rsidRPr="00F25618">
        <w:fldChar w:fldCharType="separate"/>
      </w:r>
      <w:r w:rsidR="00046698">
        <w:t>3.5</w:t>
      </w:r>
      <w:r w:rsidRPr="00F25618">
        <w:fldChar w:fldCharType="end"/>
      </w:r>
      <w:r w:rsidRPr="00F25618">
        <w:t xml:space="preserve"> and </w:t>
      </w:r>
      <w:r w:rsidRPr="00F25618">
        <w:fldChar w:fldCharType="begin"/>
      </w:r>
      <w:r w:rsidRPr="00F25618">
        <w:instrText xml:space="preserve"> REF _Ref98252585 \r \h </w:instrText>
      </w:r>
      <w:r>
        <w:instrText xml:space="preserve"> \* MERGEFORMAT </w:instrText>
      </w:r>
      <w:r w:rsidRPr="00F25618">
        <w:fldChar w:fldCharType="separate"/>
      </w:r>
      <w:r w:rsidR="00046698">
        <w:t>3.6</w:t>
      </w:r>
      <w:r w:rsidRPr="00F25618">
        <w:fldChar w:fldCharType="end"/>
      </w:r>
      <w:r w:rsidRPr="00F25618">
        <w:t xml:space="preserve">. </w:t>
      </w:r>
      <w:r w:rsidR="00EA46EF">
        <w:t xml:space="preserve">The PBAC noted it would be appropriate to flow on the change in paragraph 3.6 to the </w:t>
      </w:r>
      <w:proofErr w:type="spellStart"/>
      <w:r w:rsidR="00EA46EF">
        <w:t>fremanezumab</w:t>
      </w:r>
      <w:proofErr w:type="spellEnd"/>
      <w:r w:rsidR="00EA46EF">
        <w:t xml:space="preserve"> chronic migraine restriction criteria. </w:t>
      </w:r>
    </w:p>
    <w:p w14:paraId="5C9FDD3B" w14:textId="07CB7EB2" w:rsidR="0063185B" w:rsidRPr="00FF2F8A" w:rsidRDefault="0063185B" w:rsidP="0063185B">
      <w:pPr>
        <w:pStyle w:val="ExecSumBodyText"/>
      </w:pPr>
      <w:r w:rsidRPr="00FF2F8A">
        <w:t xml:space="preserve">The PBAC found that the criteria prescribed by the </w:t>
      </w:r>
      <w:r w:rsidRPr="004C3CC2">
        <w:rPr>
          <w:i/>
          <w:iCs/>
        </w:rPr>
        <w:t>National Health (Pharmaceuticals and Vaccines – Cost Recovery) Regulations 2009</w:t>
      </w:r>
      <w:r w:rsidRPr="00FF2F8A">
        <w:t xml:space="preserve"> for P</w:t>
      </w:r>
      <w:r w:rsidR="00FF2F8A" w:rsidRPr="00FF2F8A">
        <w:t>ricing Pathway A were not</w:t>
      </w:r>
      <w:r w:rsidRPr="00FF2F8A">
        <w:t xml:space="preserve"> met. </w:t>
      </w:r>
      <w:proofErr w:type="gramStart"/>
      <w:r w:rsidRPr="00FF2F8A">
        <w:t>Specifically</w:t>
      </w:r>
      <w:proofErr w:type="gramEnd"/>
      <w:r w:rsidRPr="00FF2F8A">
        <w:t xml:space="preserve"> the PBAC found that in the circumsta</w:t>
      </w:r>
      <w:r w:rsidR="00FF2F8A" w:rsidRPr="00FF2F8A">
        <w:t xml:space="preserve">nces of its recommendation for </w:t>
      </w:r>
      <w:proofErr w:type="spellStart"/>
      <w:r w:rsidR="00FF2F8A" w:rsidRPr="00FF2F8A">
        <w:t>galcanezumab</w:t>
      </w:r>
      <w:proofErr w:type="spellEnd"/>
      <w:r w:rsidRPr="00FF2F8A">
        <w:t>:</w:t>
      </w:r>
    </w:p>
    <w:p w14:paraId="7BF70116" w14:textId="3F0D66F6" w:rsidR="0063185B" w:rsidRPr="00FF2F8A" w:rsidRDefault="0063185B" w:rsidP="0063185B">
      <w:pPr>
        <w:pStyle w:val="ExecSumBodyText"/>
        <w:numPr>
          <w:ilvl w:val="1"/>
          <w:numId w:val="36"/>
        </w:numPr>
        <w:ind w:left="1418"/>
      </w:pPr>
      <w:r w:rsidRPr="00FF2F8A">
        <w:t>The treatment provide</w:t>
      </w:r>
      <w:r w:rsidR="00164B5C">
        <w:t>d</w:t>
      </w:r>
      <w:r w:rsidRPr="00FF2F8A">
        <w:t xml:space="preserve"> a </w:t>
      </w:r>
      <w:r w:rsidR="00164B5C">
        <w:t xml:space="preserve">modest </w:t>
      </w:r>
      <w:r w:rsidRPr="00FF2F8A">
        <w:t xml:space="preserve">improvement in efficacy </w:t>
      </w:r>
      <w:r w:rsidR="00FF2F8A" w:rsidRPr="00FF2F8A">
        <w:t xml:space="preserve">compared to best supportive care for some </w:t>
      </w:r>
      <w:proofErr w:type="gramStart"/>
      <w:r w:rsidR="00FF2F8A" w:rsidRPr="00FF2F8A">
        <w:t>patients</w:t>
      </w:r>
      <w:r w:rsidRPr="00FF2F8A">
        <w:t>;</w:t>
      </w:r>
      <w:proofErr w:type="gramEnd"/>
      <w:r w:rsidRPr="00FF2F8A">
        <w:t xml:space="preserve"> </w:t>
      </w:r>
    </w:p>
    <w:p w14:paraId="4DF1B555" w14:textId="788EF3EC" w:rsidR="0063185B" w:rsidRPr="00FF2F8A" w:rsidRDefault="0063185B" w:rsidP="0063185B">
      <w:pPr>
        <w:pStyle w:val="ExecSumBodyText"/>
        <w:numPr>
          <w:ilvl w:val="1"/>
          <w:numId w:val="36"/>
        </w:numPr>
        <w:ind w:left="1418"/>
      </w:pPr>
      <w:r w:rsidRPr="00FF2F8A">
        <w:t xml:space="preserve">The treatment is not expected to address a high and urgent unmet clinical need because there are </w:t>
      </w:r>
      <w:r w:rsidR="00164B5C">
        <w:t xml:space="preserve">other </w:t>
      </w:r>
      <w:r w:rsidR="00FF2F8A" w:rsidRPr="00FF2F8A">
        <w:t>treatments available</w:t>
      </w:r>
      <w:r w:rsidR="00164B5C">
        <w:t xml:space="preserve"> for </w:t>
      </w:r>
      <w:proofErr w:type="gramStart"/>
      <w:r w:rsidR="00164B5C">
        <w:t>migraine</w:t>
      </w:r>
      <w:r w:rsidRPr="00FF2F8A">
        <w:t>;</w:t>
      </w:r>
      <w:proofErr w:type="gramEnd"/>
    </w:p>
    <w:p w14:paraId="06D1330E" w14:textId="5D1B2F03" w:rsidR="00FF2F8A" w:rsidRPr="00FF2F8A" w:rsidRDefault="00FF2F8A" w:rsidP="0063185B">
      <w:pPr>
        <w:pStyle w:val="ExecSumBodyText"/>
        <w:numPr>
          <w:ilvl w:val="1"/>
          <w:numId w:val="36"/>
        </w:numPr>
        <w:ind w:left="1418"/>
      </w:pPr>
      <w:r w:rsidRPr="00FF2F8A">
        <w:t>It was not necessary to make a finding in relation to whether it would be in the public interest for the subsequent pricing application to be progressed under Pricing Pathway A because one or more of the preceding tests had failed.</w:t>
      </w:r>
    </w:p>
    <w:p w14:paraId="3263EEBF" w14:textId="3F53CC4B" w:rsidR="003E3CB0" w:rsidRPr="00962E43" w:rsidRDefault="003E3CB0" w:rsidP="003E3CB0">
      <w:pPr>
        <w:pStyle w:val="ExecSumBodyText"/>
      </w:pPr>
      <w:r w:rsidRPr="003E3CB0">
        <w:t xml:space="preserve">The PBAC noted that this </w:t>
      </w:r>
      <w:r>
        <w:t>re</w:t>
      </w:r>
      <w:r w:rsidRPr="003E3CB0">
        <w:t>submission is not eligible for an Independent Review</w:t>
      </w:r>
      <w:r>
        <w:t xml:space="preserve">. </w:t>
      </w:r>
    </w:p>
    <w:p w14:paraId="5D076DEF" w14:textId="320A00C3" w:rsidR="00962E43" w:rsidRPr="00962E43" w:rsidRDefault="00962E43" w:rsidP="00962E43">
      <w:pPr>
        <w:widowControl w:val="0"/>
        <w:rPr>
          <w:rFonts w:asciiTheme="minorHAnsi" w:hAnsiTheme="minorHAnsi"/>
          <w:b/>
          <w:snapToGrid w:val="0"/>
          <w:lang w:val="en-GB"/>
        </w:rPr>
      </w:pPr>
      <w:r w:rsidRPr="00962E43">
        <w:rPr>
          <w:rFonts w:asciiTheme="minorHAnsi" w:hAnsiTheme="minorHAnsi"/>
          <w:b/>
          <w:snapToGrid w:val="0"/>
          <w:lang w:val="en-GB"/>
        </w:rPr>
        <w:t>Outcome:</w:t>
      </w:r>
    </w:p>
    <w:p w14:paraId="44CC1095" w14:textId="30D4B4E1" w:rsidR="00962E43" w:rsidRDefault="00962E43" w:rsidP="00962E43">
      <w:pPr>
        <w:widowControl w:val="0"/>
        <w:spacing w:after="120"/>
        <w:rPr>
          <w:rFonts w:asciiTheme="minorHAnsi" w:hAnsiTheme="minorHAnsi"/>
          <w:snapToGrid w:val="0"/>
          <w:lang w:val="en-GB"/>
        </w:rPr>
      </w:pPr>
      <w:r w:rsidRPr="004C267D">
        <w:rPr>
          <w:rFonts w:asciiTheme="minorHAnsi" w:hAnsiTheme="minorHAnsi"/>
          <w:bCs/>
          <w:snapToGrid w:val="0"/>
          <w:lang w:val="en-GB"/>
        </w:rPr>
        <w:t>Recommended</w:t>
      </w:r>
      <w:r w:rsidR="004C3CC2" w:rsidRPr="00667515">
        <w:rPr>
          <w:rFonts w:asciiTheme="minorHAnsi" w:hAnsiTheme="minorHAnsi"/>
          <w:bCs/>
          <w:snapToGrid w:val="0"/>
          <w:color w:val="000000"/>
          <w:w w:val="60"/>
          <w:shd w:val="solid" w:color="000000" w:fill="000000"/>
          <w:fitText w:val="470" w:id="-1504952314"/>
          <w:lang w:val="en-GB"/>
          <w14:textFill>
            <w14:solidFill>
              <w14:srgbClr w14:val="000000">
                <w14:alpha w14:val="100000"/>
              </w14:srgbClr>
            </w14:solidFill>
          </w14:textFill>
        </w:rPr>
        <w:t>||</w:t>
      </w:r>
      <w:proofErr w:type="gramStart"/>
      <w:r w:rsidR="004C3CC2" w:rsidRPr="00667515">
        <w:rPr>
          <w:rFonts w:asciiTheme="minorHAnsi" w:hAnsiTheme="minorHAnsi"/>
          <w:bCs/>
          <w:snapToGrid w:val="0"/>
          <w:color w:val="000000"/>
          <w:w w:val="60"/>
          <w:shd w:val="solid" w:color="000000" w:fill="000000"/>
          <w:fitText w:val="470" w:id="-1504952314"/>
          <w:lang w:val="en-GB"/>
          <w14:textFill>
            <w14:solidFill>
              <w14:srgbClr w14:val="000000">
                <w14:alpha w14:val="100000"/>
              </w14:srgbClr>
            </w14:solidFill>
          </w14:textFill>
        </w:rPr>
        <w:t>|  |</w:t>
      </w:r>
      <w:proofErr w:type="gramEnd"/>
      <w:r w:rsidR="004C3CC2" w:rsidRPr="00667515">
        <w:rPr>
          <w:rFonts w:asciiTheme="minorHAnsi" w:hAnsiTheme="minorHAnsi"/>
          <w:bCs/>
          <w:snapToGrid w:val="0"/>
          <w:color w:val="000000"/>
          <w:w w:val="60"/>
          <w:shd w:val="solid" w:color="000000" w:fill="000000"/>
          <w:fitText w:val="470" w:id="-1504952314"/>
          <w:lang w:val="en-GB"/>
          <w14:textFill>
            <w14:solidFill>
              <w14:srgbClr w14:val="000000">
                <w14:alpha w14:val="100000"/>
              </w14:srgbClr>
            </w14:solidFill>
          </w14:textFill>
        </w:rPr>
        <w:t>|</w:t>
      </w:r>
      <w:r w:rsidR="004C3CC2" w:rsidRPr="00667515">
        <w:rPr>
          <w:rFonts w:asciiTheme="minorHAnsi" w:hAnsiTheme="minorHAnsi"/>
          <w:bCs/>
          <w:snapToGrid w:val="0"/>
          <w:color w:val="000000"/>
          <w:spacing w:val="6"/>
          <w:w w:val="60"/>
          <w:shd w:val="solid" w:color="000000" w:fill="000000"/>
          <w:fitText w:val="470" w:id="-1504952314"/>
          <w:lang w:val="en-GB"/>
          <w14:textFill>
            <w14:solidFill>
              <w14:srgbClr w14:val="000000">
                <w14:alpha w14:val="100000"/>
              </w14:srgbClr>
            </w14:solidFill>
          </w14:textFill>
        </w:rPr>
        <w:t>|</w:t>
      </w:r>
    </w:p>
    <w:p w14:paraId="7DBB3064" w14:textId="2448A236" w:rsidR="0063185B" w:rsidRDefault="0063185B" w:rsidP="00606308">
      <w:pPr>
        <w:jc w:val="left"/>
        <w:rPr>
          <w:rFonts w:asciiTheme="minorHAnsi" w:hAnsiTheme="minorHAnsi"/>
          <w:snapToGrid w:val="0"/>
          <w:lang w:val="en-GB"/>
        </w:rPr>
      </w:pPr>
    </w:p>
    <w:p w14:paraId="1927D209" w14:textId="77777777" w:rsidR="00962E43" w:rsidRPr="00F237A4" w:rsidRDefault="00962E43" w:rsidP="005D1DE7">
      <w:pPr>
        <w:pStyle w:val="2-SectionHeading"/>
        <w:rPr>
          <w:b w:val="0"/>
          <w:iCs/>
          <w:lang w:val="en-GB"/>
        </w:rPr>
      </w:pPr>
      <w:r w:rsidRPr="00525B39">
        <w:rPr>
          <w:lang w:val="en-GB"/>
        </w:rPr>
        <w:t>Recommended listing</w:t>
      </w:r>
    </w:p>
    <w:p w14:paraId="6E4B3F9B" w14:textId="07F1A210" w:rsidR="00962E43" w:rsidRPr="00962E43" w:rsidRDefault="00962E43" w:rsidP="00962E43">
      <w:pPr>
        <w:widowControl w:val="0"/>
        <w:numPr>
          <w:ilvl w:val="1"/>
          <w:numId w:val="1"/>
        </w:numPr>
        <w:spacing w:after="120"/>
        <w:ind w:left="720" w:hanging="720"/>
        <w:contextualSpacing/>
        <w:rPr>
          <w:rFonts w:asciiTheme="minorHAnsi" w:hAnsiTheme="minorHAnsi"/>
          <w:b/>
          <w:bCs/>
          <w:snapToGrid w:val="0"/>
        </w:rPr>
      </w:pPr>
      <w:r w:rsidRPr="00962E43">
        <w:rPr>
          <w:rFonts w:asciiTheme="minorHAnsi" w:hAnsiTheme="minorHAnsi"/>
          <w:bCs/>
          <w:snapToGrid w:val="0"/>
        </w:rPr>
        <w:t>Amend existing listing as follows:</w:t>
      </w:r>
    </w:p>
    <w:p w14:paraId="3E1C84AB" w14:textId="77777777" w:rsidR="005055C6" w:rsidRDefault="005055C6" w:rsidP="00962E43">
      <w:pPr>
        <w:jc w:val="lef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5055C6" w:rsidRPr="005055C6" w14:paraId="378AFE18" w14:textId="77777777" w:rsidTr="00762C7E">
        <w:trPr>
          <w:cantSplit/>
          <w:trHeight w:val="471"/>
        </w:trPr>
        <w:tc>
          <w:tcPr>
            <w:tcW w:w="3964" w:type="dxa"/>
            <w:gridSpan w:val="2"/>
          </w:tcPr>
          <w:p w14:paraId="2116F886"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MEDICINAL PRODUCT</w:t>
            </w:r>
          </w:p>
          <w:p w14:paraId="0948E135" w14:textId="77777777" w:rsidR="005055C6" w:rsidRPr="004C267D" w:rsidRDefault="005055C6" w:rsidP="005055C6">
            <w:pPr>
              <w:jc w:val="left"/>
              <w:rPr>
                <w:rFonts w:ascii="Arial Narrow" w:hAnsi="Arial Narrow"/>
                <w:b/>
                <w:sz w:val="20"/>
                <w:szCs w:val="20"/>
              </w:rPr>
            </w:pPr>
            <w:r w:rsidRPr="004C267D">
              <w:rPr>
                <w:rFonts w:ascii="Arial Narrow" w:hAnsi="Arial Narrow"/>
                <w:b/>
                <w:bCs/>
                <w:sz w:val="20"/>
                <w:szCs w:val="20"/>
              </w:rPr>
              <w:t>medicinal product pack</w:t>
            </w:r>
          </w:p>
        </w:tc>
        <w:tc>
          <w:tcPr>
            <w:tcW w:w="993" w:type="dxa"/>
          </w:tcPr>
          <w:p w14:paraId="4BF46E64" w14:textId="77777777" w:rsidR="005055C6" w:rsidRPr="004C267D" w:rsidRDefault="005055C6" w:rsidP="005055C6">
            <w:pPr>
              <w:jc w:val="left"/>
              <w:rPr>
                <w:rFonts w:ascii="Arial Narrow" w:hAnsi="Arial Narrow"/>
                <w:b/>
                <w:sz w:val="20"/>
                <w:szCs w:val="20"/>
              </w:rPr>
            </w:pPr>
            <w:r w:rsidRPr="004C267D">
              <w:rPr>
                <w:rFonts w:ascii="Arial Narrow" w:hAnsi="Arial Narrow"/>
                <w:b/>
                <w:sz w:val="20"/>
                <w:szCs w:val="20"/>
              </w:rPr>
              <w:t>PBS item code</w:t>
            </w:r>
          </w:p>
        </w:tc>
        <w:tc>
          <w:tcPr>
            <w:tcW w:w="850" w:type="dxa"/>
          </w:tcPr>
          <w:p w14:paraId="7B3BDEBF" w14:textId="77777777" w:rsidR="005055C6" w:rsidRPr="004C267D" w:rsidRDefault="005055C6" w:rsidP="005055C6">
            <w:pPr>
              <w:jc w:val="left"/>
              <w:rPr>
                <w:rFonts w:ascii="Arial Narrow" w:hAnsi="Arial Narrow"/>
                <w:b/>
                <w:sz w:val="20"/>
                <w:szCs w:val="20"/>
              </w:rPr>
            </w:pPr>
            <w:r w:rsidRPr="004C267D">
              <w:rPr>
                <w:rFonts w:ascii="Arial Narrow" w:hAnsi="Arial Narrow"/>
                <w:b/>
                <w:sz w:val="20"/>
                <w:szCs w:val="20"/>
              </w:rPr>
              <w:t>Max. qty packs</w:t>
            </w:r>
          </w:p>
        </w:tc>
        <w:tc>
          <w:tcPr>
            <w:tcW w:w="709" w:type="dxa"/>
          </w:tcPr>
          <w:p w14:paraId="42DD3F38" w14:textId="77777777" w:rsidR="005055C6" w:rsidRPr="004C267D" w:rsidRDefault="005055C6" w:rsidP="005055C6">
            <w:pPr>
              <w:jc w:val="left"/>
              <w:rPr>
                <w:rFonts w:ascii="Arial Narrow" w:hAnsi="Arial Narrow"/>
                <w:b/>
                <w:sz w:val="20"/>
                <w:szCs w:val="20"/>
              </w:rPr>
            </w:pPr>
            <w:r w:rsidRPr="004C267D">
              <w:rPr>
                <w:rFonts w:ascii="Arial Narrow" w:hAnsi="Arial Narrow"/>
                <w:b/>
                <w:sz w:val="20"/>
                <w:szCs w:val="20"/>
              </w:rPr>
              <w:t>Max. qty units</w:t>
            </w:r>
          </w:p>
        </w:tc>
        <w:tc>
          <w:tcPr>
            <w:tcW w:w="709" w:type="dxa"/>
          </w:tcPr>
          <w:p w14:paraId="3CCF2EAC" w14:textId="77777777" w:rsidR="005055C6" w:rsidRPr="004C267D" w:rsidRDefault="005055C6" w:rsidP="005055C6">
            <w:pPr>
              <w:jc w:val="left"/>
              <w:rPr>
                <w:rFonts w:ascii="Arial Narrow" w:hAnsi="Arial Narrow"/>
                <w:b/>
                <w:sz w:val="20"/>
                <w:szCs w:val="20"/>
              </w:rPr>
            </w:pPr>
            <w:proofErr w:type="gramStart"/>
            <w:r w:rsidRPr="004C267D">
              <w:rPr>
                <w:rFonts w:ascii="Arial Narrow" w:hAnsi="Arial Narrow"/>
                <w:b/>
                <w:sz w:val="20"/>
                <w:szCs w:val="20"/>
              </w:rPr>
              <w:t>№.of</w:t>
            </w:r>
            <w:proofErr w:type="gramEnd"/>
          </w:p>
          <w:p w14:paraId="733E4277" w14:textId="77777777" w:rsidR="005055C6" w:rsidRPr="004C267D" w:rsidRDefault="005055C6" w:rsidP="005055C6">
            <w:pPr>
              <w:jc w:val="left"/>
              <w:rPr>
                <w:rFonts w:ascii="Arial Narrow" w:hAnsi="Arial Narrow"/>
                <w:b/>
                <w:sz w:val="20"/>
                <w:szCs w:val="20"/>
              </w:rPr>
            </w:pPr>
            <w:proofErr w:type="spellStart"/>
            <w:r w:rsidRPr="004C267D">
              <w:rPr>
                <w:rFonts w:ascii="Arial Narrow" w:hAnsi="Arial Narrow"/>
                <w:b/>
                <w:sz w:val="20"/>
                <w:szCs w:val="20"/>
              </w:rPr>
              <w:t>Rpts</w:t>
            </w:r>
            <w:proofErr w:type="spellEnd"/>
          </w:p>
        </w:tc>
        <w:tc>
          <w:tcPr>
            <w:tcW w:w="1842" w:type="dxa"/>
          </w:tcPr>
          <w:p w14:paraId="3688C219" w14:textId="77777777" w:rsidR="005055C6" w:rsidRPr="004C267D" w:rsidRDefault="005055C6" w:rsidP="005055C6">
            <w:pPr>
              <w:jc w:val="left"/>
              <w:rPr>
                <w:rFonts w:ascii="Arial Narrow" w:hAnsi="Arial Narrow"/>
                <w:b/>
                <w:sz w:val="20"/>
                <w:szCs w:val="20"/>
                <w:lang w:val="fr-FR"/>
              </w:rPr>
            </w:pPr>
            <w:r w:rsidRPr="004C267D">
              <w:rPr>
                <w:rFonts w:ascii="Arial Narrow" w:hAnsi="Arial Narrow"/>
                <w:b/>
                <w:sz w:val="20"/>
                <w:szCs w:val="20"/>
              </w:rPr>
              <w:t>Available brands</w:t>
            </w:r>
          </w:p>
        </w:tc>
      </w:tr>
      <w:tr w:rsidR="005055C6" w:rsidRPr="005055C6" w14:paraId="189BA692" w14:textId="77777777" w:rsidTr="00762C7E">
        <w:trPr>
          <w:cantSplit/>
          <w:trHeight w:val="224"/>
        </w:trPr>
        <w:tc>
          <w:tcPr>
            <w:tcW w:w="9067" w:type="dxa"/>
            <w:gridSpan w:val="7"/>
          </w:tcPr>
          <w:p w14:paraId="6A429D5B" w14:textId="77777777" w:rsidR="005055C6" w:rsidRPr="004C267D" w:rsidRDefault="005055C6" w:rsidP="005055C6">
            <w:pPr>
              <w:jc w:val="left"/>
              <w:rPr>
                <w:rFonts w:ascii="Arial Narrow" w:hAnsi="Arial Narrow"/>
                <w:sz w:val="20"/>
                <w:szCs w:val="20"/>
              </w:rPr>
            </w:pPr>
            <w:r w:rsidRPr="004C267D">
              <w:rPr>
                <w:rFonts w:ascii="Arial Narrow" w:hAnsi="Arial Narrow"/>
                <w:sz w:val="20"/>
                <w:szCs w:val="20"/>
              </w:rPr>
              <w:t>GALCANEZUMAB</w:t>
            </w:r>
          </w:p>
        </w:tc>
      </w:tr>
      <w:tr w:rsidR="005055C6" w:rsidRPr="005055C6" w14:paraId="7CB6A5BE" w14:textId="77777777" w:rsidTr="00853FD0">
        <w:trPr>
          <w:cantSplit/>
          <w:trHeight w:val="147"/>
        </w:trPr>
        <w:tc>
          <w:tcPr>
            <w:tcW w:w="3964" w:type="dxa"/>
            <w:gridSpan w:val="2"/>
          </w:tcPr>
          <w:p w14:paraId="2651E1D8" w14:textId="77777777" w:rsidR="005055C6" w:rsidRPr="004C267D" w:rsidRDefault="005055C6" w:rsidP="005055C6">
            <w:pPr>
              <w:jc w:val="left"/>
              <w:rPr>
                <w:rFonts w:ascii="Arial Narrow" w:hAnsi="Arial Narrow"/>
                <w:sz w:val="20"/>
                <w:szCs w:val="20"/>
              </w:rPr>
            </w:pPr>
            <w:r w:rsidRPr="004C267D">
              <w:rPr>
                <w:rFonts w:ascii="Arial Narrow" w:hAnsi="Arial Narrow"/>
                <w:sz w:val="20"/>
                <w:szCs w:val="20"/>
              </w:rPr>
              <w:t>120 mg / 1 mL solution for injection, pre-filled pen</w:t>
            </w:r>
          </w:p>
        </w:tc>
        <w:tc>
          <w:tcPr>
            <w:tcW w:w="993" w:type="dxa"/>
          </w:tcPr>
          <w:p w14:paraId="2E51D4CA" w14:textId="77777777" w:rsidR="005055C6" w:rsidRPr="004C267D" w:rsidRDefault="00046698" w:rsidP="005055C6">
            <w:pPr>
              <w:jc w:val="left"/>
              <w:rPr>
                <w:rFonts w:ascii="Arial Narrow" w:hAnsi="Arial Narrow"/>
                <w:sz w:val="20"/>
                <w:szCs w:val="20"/>
              </w:rPr>
            </w:pPr>
            <w:hyperlink r:id="rId11" w:tooltip="12478r" w:history="1">
              <w:r w:rsidR="005055C6" w:rsidRPr="004C267D">
                <w:rPr>
                  <w:rStyle w:val="Hyperlink"/>
                  <w:rFonts w:ascii="Arial Narrow" w:hAnsi="Arial Narrow"/>
                  <w:sz w:val="20"/>
                  <w:szCs w:val="20"/>
                </w:rPr>
                <w:t>12478R</w:t>
              </w:r>
            </w:hyperlink>
          </w:p>
        </w:tc>
        <w:tc>
          <w:tcPr>
            <w:tcW w:w="850" w:type="dxa"/>
          </w:tcPr>
          <w:p w14:paraId="145D2180" w14:textId="77777777" w:rsidR="005055C6" w:rsidRPr="004C267D" w:rsidRDefault="005055C6" w:rsidP="005055C6">
            <w:pPr>
              <w:jc w:val="left"/>
              <w:rPr>
                <w:rFonts w:ascii="Arial Narrow" w:hAnsi="Arial Narrow"/>
                <w:sz w:val="20"/>
                <w:szCs w:val="20"/>
              </w:rPr>
            </w:pPr>
            <w:r w:rsidRPr="004C267D">
              <w:rPr>
                <w:rFonts w:ascii="Arial Narrow" w:hAnsi="Arial Narrow"/>
                <w:sz w:val="20"/>
                <w:szCs w:val="20"/>
              </w:rPr>
              <w:t>2</w:t>
            </w:r>
          </w:p>
        </w:tc>
        <w:tc>
          <w:tcPr>
            <w:tcW w:w="709" w:type="dxa"/>
          </w:tcPr>
          <w:p w14:paraId="53DAF65A" w14:textId="77777777" w:rsidR="005055C6" w:rsidRPr="004C267D" w:rsidRDefault="005055C6" w:rsidP="005055C6">
            <w:pPr>
              <w:jc w:val="left"/>
              <w:rPr>
                <w:rFonts w:ascii="Arial Narrow" w:hAnsi="Arial Narrow"/>
                <w:sz w:val="20"/>
                <w:szCs w:val="20"/>
              </w:rPr>
            </w:pPr>
            <w:r w:rsidRPr="004C267D">
              <w:rPr>
                <w:rFonts w:ascii="Arial Narrow" w:hAnsi="Arial Narrow"/>
                <w:sz w:val="20"/>
                <w:szCs w:val="20"/>
              </w:rPr>
              <w:t>2</w:t>
            </w:r>
          </w:p>
        </w:tc>
        <w:tc>
          <w:tcPr>
            <w:tcW w:w="709" w:type="dxa"/>
          </w:tcPr>
          <w:p w14:paraId="1229C625" w14:textId="77777777" w:rsidR="005055C6" w:rsidRPr="004C267D" w:rsidRDefault="005055C6" w:rsidP="005055C6">
            <w:pPr>
              <w:jc w:val="left"/>
              <w:rPr>
                <w:rFonts w:ascii="Arial Narrow" w:hAnsi="Arial Narrow"/>
                <w:sz w:val="20"/>
                <w:szCs w:val="20"/>
              </w:rPr>
            </w:pPr>
            <w:r w:rsidRPr="004C267D">
              <w:rPr>
                <w:rFonts w:ascii="Arial Narrow" w:hAnsi="Arial Narrow"/>
                <w:sz w:val="20"/>
                <w:szCs w:val="20"/>
              </w:rPr>
              <w:t>1</w:t>
            </w:r>
          </w:p>
        </w:tc>
        <w:tc>
          <w:tcPr>
            <w:tcW w:w="1842" w:type="dxa"/>
          </w:tcPr>
          <w:p w14:paraId="67A33F0C" w14:textId="77777777" w:rsidR="005055C6" w:rsidRPr="004C267D" w:rsidRDefault="005055C6" w:rsidP="005055C6">
            <w:pPr>
              <w:jc w:val="left"/>
              <w:rPr>
                <w:rFonts w:ascii="Arial Narrow" w:hAnsi="Arial Narrow"/>
                <w:bCs/>
                <w:sz w:val="20"/>
                <w:szCs w:val="20"/>
              </w:rPr>
            </w:pPr>
            <w:proofErr w:type="spellStart"/>
            <w:r w:rsidRPr="004C267D">
              <w:rPr>
                <w:rFonts w:ascii="Arial Narrow" w:hAnsi="Arial Narrow"/>
                <w:sz w:val="20"/>
                <w:szCs w:val="20"/>
              </w:rPr>
              <w:t>Emgality</w:t>
            </w:r>
            <w:proofErr w:type="spellEnd"/>
          </w:p>
        </w:tc>
      </w:tr>
      <w:tr w:rsidR="005055C6" w:rsidRPr="005055C6" w14:paraId="7F498555" w14:textId="77777777" w:rsidTr="00762C7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060169EE" w14:textId="77777777" w:rsidR="005055C6" w:rsidRPr="004C267D" w:rsidRDefault="005055C6" w:rsidP="005055C6">
            <w:pPr>
              <w:jc w:val="left"/>
              <w:rPr>
                <w:rFonts w:ascii="Arial Narrow" w:hAnsi="Arial Narrow"/>
                <w:sz w:val="20"/>
                <w:szCs w:val="20"/>
              </w:rPr>
            </w:pPr>
          </w:p>
        </w:tc>
      </w:tr>
      <w:tr w:rsidR="005055C6" w:rsidRPr="005055C6" w14:paraId="3614C7F7" w14:textId="77777777" w:rsidTr="00762C7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428CFEB9" w14:textId="77777777" w:rsidR="005055C6" w:rsidRPr="004C267D" w:rsidRDefault="005055C6" w:rsidP="005055C6">
            <w:pPr>
              <w:jc w:val="left"/>
              <w:rPr>
                <w:rFonts w:ascii="Arial Narrow" w:hAnsi="Arial Narrow"/>
                <w:b/>
                <w:sz w:val="20"/>
                <w:szCs w:val="20"/>
              </w:rPr>
            </w:pPr>
            <w:r w:rsidRPr="004C267D">
              <w:rPr>
                <w:rFonts w:ascii="Arial Narrow" w:hAnsi="Arial Narrow"/>
                <w:b/>
                <w:sz w:val="20"/>
                <w:szCs w:val="20"/>
              </w:rPr>
              <w:t xml:space="preserve">Restriction Summary 12028 / </w:t>
            </w:r>
            <w:proofErr w:type="spellStart"/>
            <w:r w:rsidRPr="004C267D">
              <w:rPr>
                <w:rFonts w:ascii="Arial Narrow" w:hAnsi="Arial Narrow"/>
                <w:b/>
                <w:sz w:val="20"/>
                <w:szCs w:val="20"/>
              </w:rPr>
              <w:t>ToC</w:t>
            </w:r>
            <w:proofErr w:type="spellEnd"/>
            <w:r w:rsidRPr="004C267D">
              <w:rPr>
                <w:rFonts w:ascii="Arial Narrow" w:hAnsi="Arial Narrow"/>
                <w:b/>
                <w:sz w:val="20"/>
                <w:szCs w:val="20"/>
              </w:rPr>
              <w:t xml:space="preserve">: 12064: Authority Required: Streamlined </w:t>
            </w:r>
          </w:p>
        </w:tc>
      </w:tr>
      <w:tr w:rsidR="005055C6" w:rsidRPr="005055C6" w14:paraId="50AAACEC" w14:textId="77777777" w:rsidTr="00762C7E">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0AED855E" w14:textId="77777777" w:rsidR="005055C6" w:rsidRPr="004C267D" w:rsidRDefault="005055C6" w:rsidP="005055C6">
            <w:pPr>
              <w:jc w:val="left"/>
              <w:rPr>
                <w:rFonts w:ascii="Arial Narrow" w:hAnsi="Arial Narrow"/>
                <w:b/>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5221E72" w14:textId="77777777" w:rsidR="005055C6" w:rsidRPr="004C267D" w:rsidRDefault="005055C6" w:rsidP="005055C6">
            <w:pPr>
              <w:jc w:val="left"/>
              <w:rPr>
                <w:rFonts w:ascii="Arial Narrow" w:hAnsi="Arial Narrow"/>
                <w:sz w:val="20"/>
                <w:szCs w:val="20"/>
              </w:rPr>
            </w:pPr>
            <w:r w:rsidRPr="004C267D">
              <w:rPr>
                <w:rFonts w:ascii="Arial Narrow" w:hAnsi="Arial Narrow"/>
                <w:b/>
                <w:sz w:val="20"/>
                <w:szCs w:val="20"/>
              </w:rPr>
              <w:t xml:space="preserve">Category / Program:   </w:t>
            </w:r>
            <w:r w:rsidRPr="004C267D">
              <w:rPr>
                <w:rFonts w:ascii="Arial Narrow" w:hAnsi="Arial Narrow"/>
                <w:sz w:val="20"/>
                <w:szCs w:val="20"/>
              </w:rPr>
              <w:t xml:space="preserve">GENERAL – General Schedule (Code GE) </w:t>
            </w:r>
          </w:p>
          <w:p w14:paraId="18F6D734" w14:textId="77777777" w:rsidR="005055C6" w:rsidRPr="004C267D" w:rsidRDefault="005055C6" w:rsidP="005055C6">
            <w:pPr>
              <w:jc w:val="left"/>
              <w:rPr>
                <w:rFonts w:ascii="Arial Narrow" w:hAnsi="Arial Narrow"/>
                <w:sz w:val="20"/>
                <w:szCs w:val="20"/>
              </w:rPr>
            </w:pPr>
          </w:p>
        </w:tc>
      </w:tr>
      <w:tr w:rsidR="005055C6" w:rsidRPr="005055C6" w14:paraId="5E9B6F5B" w14:textId="77777777" w:rsidTr="00762C7E">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3EB8BB11" w14:textId="77777777" w:rsidR="005055C6" w:rsidRPr="004C267D" w:rsidRDefault="005055C6" w:rsidP="005055C6">
            <w:pPr>
              <w:jc w:val="left"/>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FED5324" w14:textId="77777777" w:rsidR="005055C6" w:rsidRPr="004C267D" w:rsidRDefault="005055C6" w:rsidP="005055C6">
            <w:pPr>
              <w:jc w:val="left"/>
              <w:rPr>
                <w:rFonts w:ascii="Arial Narrow" w:hAnsi="Arial Narrow"/>
                <w:b/>
                <w:sz w:val="20"/>
                <w:szCs w:val="20"/>
              </w:rPr>
            </w:pPr>
            <w:r w:rsidRPr="004C267D">
              <w:rPr>
                <w:rFonts w:ascii="Arial Narrow" w:hAnsi="Arial Narrow"/>
                <w:b/>
                <w:sz w:val="20"/>
                <w:szCs w:val="20"/>
              </w:rPr>
              <w:t xml:space="preserve">Prescriber type:   </w:t>
            </w:r>
            <w:r w:rsidRPr="004C267D">
              <w:rPr>
                <w:rFonts w:ascii="Arial Narrow" w:hAnsi="Arial Narrow"/>
                <w:sz w:val="20"/>
                <w:szCs w:val="20"/>
              </w:rPr>
              <w:fldChar w:fldCharType="begin">
                <w:ffData>
                  <w:name w:val=""/>
                  <w:enabled/>
                  <w:calcOnExit w:val="0"/>
                  <w:checkBox>
                    <w:sizeAuto/>
                    <w:default w:val="1"/>
                  </w:checkBox>
                </w:ffData>
              </w:fldChar>
            </w:r>
            <w:r w:rsidRPr="004C267D">
              <w:rPr>
                <w:rFonts w:ascii="Arial Narrow" w:hAnsi="Arial Narrow"/>
                <w:sz w:val="20"/>
                <w:szCs w:val="20"/>
              </w:rPr>
              <w:instrText xml:space="preserve"> FORMCHECKBOX </w:instrText>
            </w:r>
            <w:r w:rsidR="00046698">
              <w:rPr>
                <w:rFonts w:ascii="Arial Narrow" w:hAnsi="Arial Narrow"/>
                <w:sz w:val="20"/>
                <w:szCs w:val="20"/>
              </w:rPr>
            </w:r>
            <w:r w:rsidR="00046698">
              <w:rPr>
                <w:rFonts w:ascii="Arial Narrow" w:hAnsi="Arial Narrow"/>
                <w:sz w:val="20"/>
                <w:szCs w:val="20"/>
              </w:rPr>
              <w:fldChar w:fldCharType="separate"/>
            </w:r>
            <w:r w:rsidRPr="004C267D">
              <w:rPr>
                <w:rFonts w:ascii="Arial Narrow" w:hAnsi="Arial Narrow"/>
                <w:sz w:val="20"/>
                <w:szCs w:val="20"/>
              </w:rPr>
              <w:fldChar w:fldCharType="end"/>
            </w:r>
            <w:r w:rsidRPr="004C267D">
              <w:rPr>
                <w:rFonts w:ascii="Arial Narrow" w:hAnsi="Arial Narrow"/>
                <w:sz w:val="20"/>
                <w:szCs w:val="20"/>
              </w:rPr>
              <w:t xml:space="preserve">Medical Practitioners    </w:t>
            </w:r>
          </w:p>
        </w:tc>
      </w:tr>
      <w:tr w:rsidR="005055C6" w:rsidRPr="005055C6" w14:paraId="3B164ABD" w14:textId="77777777" w:rsidTr="00762C7E">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0C0BE9C0" w14:textId="77777777" w:rsidR="005055C6" w:rsidRPr="004C267D" w:rsidRDefault="005055C6" w:rsidP="005055C6">
            <w:pPr>
              <w:jc w:val="left"/>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0132F9C" w14:textId="77777777" w:rsidR="005055C6" w:rsidRPr="004C267D" w:rsidRDefault="005055C6" w:rsidP="005055C6">
            <w:pPr>
              <w:jc w:val="left"/>
              <w:rPr>
                <w:rFonts w:ascii="Arial Narrow" w:hAnsi="Arial Narrow"/>
                <w:b/>
                <w:sz w:val="20"/>
                <w:szCs w:val="20"/>
              </w:rPr>
            </w:pPr>
            <w:r w:rsidRPr="004C267D">
              <w:rPr>
                <w:rFonts w:ascii="Arial Narrow" w:hAnsi="Arial Narrow"/>
                <w:b/>
                <w:sz w:val="20"/>
                <w:szCs w:val="20"/>
              </w:rPr>
              <w:t xml:space="preserve">Restriction type: </w:t>
            </w:r>
            <w:r w:rsidRPr="004C267D">
              <w:rPr>
                <w:rFonts w:ascii="Arial Narrow" w:hAnsi="Arial Narrow"/>
                <w:sz w:val="20"/>
                <w:szCs w:val="20"/>
              </w:rPr>
              <w:fldChar w:fldCharType="begin">
                <w:ffData>
                  <w:name w:val=""/>
                  <w:enabled/>
                  <w:calcOnExit w:val="0"/>
                  <w:checkBox>
                    <w:sizeAuto/>
                    <w:default w:val="1"/>
                  </w:checkBox>
                </w:ffData>
              </w:fldChar>
            </w:r>
            <w:r w:rsidRPr="004C267D">
              <w:rPr>
                <w:rFonts w:ascii="Arial Narrow" w:hAnsi="Arial Narrow"/>
                <w:sz w:val="20"/>
                <w:szCs w:val="20"/>
              </w:rPr>
              <w:instrText xml:space="preserve"> FORMCHECKBOX </w:instrText>
            </w:r>
            <w:r w:rsidR="00046698">
              <w:rPr>
                <w:rFonts w:ascii="Arial Narrow" w:hAnsi="Arial Narrow"/>
                <w:sz w:val="20"/>
                <w:szCs w:val="20"/>
              </w:rPr>
            </w:r>
            <w:r w:rsidR="00046698">
              <w:rPr>
                <w:rFonts w:ascii="Arial Narrow" w:hAnsi="Arial Narrow"/>
                <w:sz w:val="20"/>
                <w:szCs w:val="20"/>
              </w:rPr>
              <w:fldChar w:fldCharType="separate"/>
            </w:r>
            <w:r w:rsidRPr="004C267D">
              <w:rPr>
                <w:rFonts w:ascii="Arial Narrow" w:hAnsi="Arial Narrow"/>
                <w:sz w:val="20"/>
                <w:szCs w:val="20"/>
              </w:rPr>
              <w:fldChar w:fldCharType="end"/>
            </w:r>
            <w:r w:rsidRPr="004C267D">
              <w:rPr>
                <w:rFonts w:ascii="Arial Narrow" w:hAnsi="Arial Narrow"/>
                <w:sz w:val="20"/>
                <w:szCs w:val="20"/>
              </w:rPr>
              <w:t xml:space="preserve">Authority Required (Streamlined) </w:t>
            </w:r>
            <w:r w:rsidRPr="004C267D">
              <w:rPr>
                <w:rFonts w:ascii="Arial Narrow" w:hAnsi="Arial Narrow"/>
                <w:i/>
                <w:sz w:val="20"/>
                <w:szCs w:val="20"/>
              </w:rPr>
              <w:t xml:space="preserve">[amendment to existing code] </w:t>
            </w:r>
          </w:p>
        </w:tc>
      </w:tr>
      <w:tr w:rsidR="005055C6" w:rsidRPr="005055C6" w14:paraId="1B5A2AFF" w14:textId="77777777" w:rsidTr="00762C7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tcBorders>
          </w:tcPr>
          <w:p w14:paraId="613E110C" w14:textId="78A6F780" w:rsidR="005055C6" w:rsidRPr="004C267D" w:rsidRDefault="005055C6" w:rsidP="005055C6">
            <w:pPr>
              <w:jc w:val="left"/>
              <w:rPr>
                <w:rFonts w:ascii="Arial Narrow" w:hAnsi="Arial Narrow"/>
                <w:sz w:val="20"/>
                <w:szCs w:val="20"/>
              </w:rPr>
            </w:pPr>
          </w:p>
        </w:tc>
        <w:tc>
          <w:tcPr>
            <w:tcW w:w="8086" w:type="dxa"/>
            <w:gridSpan w:val="6"/>
            <w:vAlign w:val="center"/>
          </w:tcPr>
          <w:p w14:paraId="2520D1C7" w14:textId="77777777" w:rsidR="005055C6" w:rsidRPr="004C267D" w:rsidRDefault="005055C6" w:rsidP="005055C6">
            <w:pPr>
              <w:jc w:val="left"/>
              <w:rPr>
                <w:rFonts w:ascii="Arial Narrow" w:hAnsi="Arial Narrow"/>
                <w:sz w:val="20"/>
                <w:szCs w:val="20"/>
              </w:rPr>
            </w:pPr>
            <w:r w:rsidRPr="004C267D">
              <w:rPr>
                <w:rFonts w:ascii="Arial Narrow" w:hAnsi="Arial Narrow"/>
                <w:b/>
                <w:bCs/>
                <w:sz w:val="20"/>
                <w:szCs w:val="20"/>
              </w:rPr>
              <w:t>Administrative Advice:</w:t>
            </w:r>
          </w:p>
          <w:p w14:paraId="771C7FA7" w14:textId="77777777" w:rsidR="005055C6" w:rsidRPr="004C267D" w:rsidRDefault="005055C6" w:rsidP="005055C6">
            <w:pPr>
              <w:jc w:val="left"/>
              <w:rPr>
                <w:rFonts w:ascii="Arial Narrow" w:hAnsi="Arial Narrow"/>
                <w:sz w:val="20"/>
                <w:szCs w:val="20"/>
              </w:rPr>
            </w:pPr>
            <w:r w:rsidRPr="004C267D">
              <w:rPr>
                <w:rFonts w:ascii="Arial Narrow" w:hAnsi="Arial Narrow"/>
                <w:sz w:val="20"/>
                <w:szCs w:val="20"/>
              </w:rPr>
              <w:t>No increase in the maximum quantity or number of units may be authorised.</w:t>
            </w:r>
          </w:p>
        </w:tc>
      </w:tr>
      <w:tr w:rsidR="005055C6" w:rsidRPr="005055C6" w14:paraId="39343584" w14:textId="77777777" w:rsidTr="00762C7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tcBorders>
          </w:tcPr>
          <w:p w14:paraId="6D303FE4" w14:textId="3871E8E1" w:rsidR="005055C6" w:rsidRPr="004C267D" w:rsidRDefault="005055C6" w:rsidP="005055C6">
            <w:pPr>
              <w:jc w:val="left"/>
              <w:rPr>
                <w:rFonts w:ascii="Arial Narrow" w:hAnsi="Arial Narrow"/>
                <w:sz w:val="20"/>
                <w:szCs w:val="20"/>
              </w:rPr>
            </w:pPr>
          </w:p>
        </w:tc>
        <w:tc>
          <w:tcPr>
            <w:tcW w:w="8086" w:type="dxa"/>
            <w:gridSpan w:val="6"/>
            <w:vAlign w:val="center"/>
          </w:tcPr>
          <w:p w14:paraId="6F100410" w14:textId="77777777" w:rsidR="005055C6" w:rsidRPr="004C267D" w:rsidRDefault="005055C6" w:rsidP="005055C6">
            <w:pPr>
              <w:jc w:val="left"/>
              <w:rPr>
                <w:rFonts w:ascii="Arial Narrow" w:hAnsi="Arial Narrow"/>
                <w:sz w:val="20"/>
                <w:szCs w:val="20"/>
              </w:rPr>
            </w:pPr>
            <w:r w:rsidRPr="004C267D">
              <w:rPr>
                <w:rFonts w:ascii="Arial Narrow" w:hAnsi="Arial Narrow"/>
                <w:b/>
                <w:bCs/>
                <w:sz w:val="20"/>
                <w:szCs w:val="20"/>
              </w:rPr>
              <w:t>Administrative Advice</w:t>
            </w:r>
          </w:p>
          <w:p w14:paraId="5478CBED" w14:textId="77777777" w:rsidR="005055C6" w:rsidRPr="004C267D" w:rsidRDefault="005055C6" w:rsidP="005055C6">
            <w:pPr>
              <w:jc w:val="left"/>
              <w:rPr>
                <w:rFonts w:ascii="Arial Narrow" w:hAnsi="Arial Narrow"/>
                <w:sz w:val="20"/>
                <w:szCs w:val="20"/>
              </w:rPr>
            </w:pPr>
            <w:r w:rsidRPr="004C267D">
              <w:rPr>
                <w:rFonts w:ascii="Arial Narrow" w:hAnsi="Arial Narrow"/>
                <w:sz w:val="20"/>
                <w:szCs w:val="20"/>
              </w:rPr>
              <w:t>No increase in the maximum number of repeats may be authorised.</w:t>
            </w:r>
          </w:p>
        </w:tc>
      </w:tr>
      <w:tr w:rsidR="005055C6" w:rsidRPr="005055C6" w14:paraId="5F986FAA" w14:textId="77777777" w:rsidTr="00762C7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tcBorders>
          </w:tcPr>
          <w:p w14:paraId="22F5CA71" w14:textId="04FFD17D" w:rsidR="005055C6" w:rsidRPr="004C267D" w:rsidRDefault="005055C6" w:rsidP="005055C6">
            <w:pPr>
              <w:jc w:val="left"/>
              <w:rPr>
                <w:rFonts w:ascii="Arial Narrow" w:hAnsi="Arial Narrow"/>
                <w:sz w:val="20"/>
                <w:szCs w:val="20"/>
              </w:rPr>
            </w:pPr>
          </w:p>
        </w:tc>
        <w:tc>
          <w:tcPr>
            <w:tcW w:w="8086" w:type="dxa"/>
            <w:gridSpan w:val="6"/>
            <w:vAlign w:val="center"/>
          </w:tcPr>
          <w:p w14:paraId="4A642173"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Administrative Advice:</w:t>
            </w:r>
          </w:p>
          <w:p w14:paraId="7E640ECB" w14:textId="77777777" w:rsidR="005055C6" w:rsidRPr="004C267D" w:rsidRDefault="005055C6" w:rsidP="005055C6">
            <w:pPr>
              <w:jc w:val="left"/>
              <w:rPr>
                <w:rFonts w:ascii="Arial Narrow" w:hAnsi="Arial Narrow"/>
                <w:bCs/>
                <w:sz w:val="20"/>
                <w:szCs w:val="20"/>
              </w:rPr>
            </w:pPr>
            <w:r w:rsidRPr="004C267D">
              <w:rPr>
                <w:rFonts w:ascii="Arial Narrow" w:hAnsi="Arial Narrow"/>
                <w:sz w:val="20"/>
                <w:szCs w:val="20"/>
              </w:rPr>
              <w:t>Special Pricing Arrangements apply.</w:t>
            </w:r>
          </w:p>
        </w:tc>
      </w:tr>
      <w:tr w:rsidR="005055C6" w:rsidRPr="005055C6" w14:paraId="228095EA" w14:textId="77777777" w:rsidTr="004C3CC2">
        <w:tblPrEx>
          <w:tblCellMar>
            <w:top w:w="15" w:type="dxa"/>
            <w:left w:w="15" w:type="dxa"/>
            <w:bottom w:w="15" w:type="dxa"/>
            <w:right w:w="15" w:type="dxa"/>
          </w:tblCellMar>
        </w:tblPrEx>
        <w:tc>
          <w:tcPr>
            <w:tcW w:w="981" w:type="dxa"/>
            <w:vAlign w:val="center"/>
          </w:tcPr>
          <w:p w14:paraId="7600B894" w14:textId="65146267" w:rsidR="005055C6" w:rsidRPr="004C267D" w:rsidRDefault="005055C6" w:rsidP="005055C6">
            <w:pPr>
              <w:jc w:val="left"/>
              <w:rPr>
                <w:rFonts w:ascii="Arial Narrow" w:hAnsi="Arial Narrow"/>
                <w:sz w:val="20"/>
                <w:szCs w:val="20"/>
              </w:rPr>
            </w:pPr>
          </w:p>
        </w:tc>
        <w:tc>
          <w:tcPr>
            <w:tcW w:w="8086" w:type="dxa"/>
            <w:gridSpan w:val="6"/>
            <w:vAlign w:val="center"/>
            <w:hideMark/>
          </w:tcPr>
          <w:p w14:paraId="14B5EE38" w14:textId="1576F7F7" w:rsidR="005055C6" w:rsidRPr="004C267D" w:rsidRDefault="005055C6" w:rsidP="00294BC8">
            <w:pPr>
              <w:jc w:val="left"/>
              <w:rPr>
                <w:rFonts w:ascii="Arial Narrow" w:hAnsi="Arial Narrow"/>
                <w:sz w:val="20"/>
                <w:szCs w:val="20"/>
              </w:rPr>
            </w:pPr>
            <w:r w:rsidRPr="004C267D">
              <w:rPr>
                <w:rFonts w:ascii="Arial Narrow" w:hAnsi="Arial Narrow"/>
                <w:b/>
                <w:bCs/>
                <w:sz w:val="20"/>
                <w:szCs w:val="20"/>
              </w:rPr>
              <w:t>Indication:</w:t>
            </w:r>
            <w:r w:rsidRPr="004C267D">
              <w:rPr>
                <w:rFonts w:ascii="Arial Narrow" w:hAnsi="Arial Narrow"/>
                <w:sz w:val="20"/>
                <w:szCs w:val="20"/>
              </w:rPr>
              <w:t xml:space="preserve"> </w:t>
            </w:r>
            <w:r w:rsidRPr="00294BC8">
              <w:rPr>
                <w:rFonts w:ascii="Arial Narrow" w:hAnsi="Arial Narrow"/>
                <w:sz w:val="20"/>
                <w:szCs w:val="20"/>
              </w:rPr>
              <w:t>Treatment-resistant</w:t>
            </w:r>
            <w:r w:rsidRPr="004C267D">
              <w:rPr>
                <w:rFonts w:ascii="Arial Narrow" w:hAnsi="Arial Narrow"/>
                <w:sz w:val="20"/>
                <w:szCs w:val="20"/>
              </w:rPr>
              <w:t xml:space="preserve"> migraine</w:t>
            </w:r>
          </w:p>
        </w:tc>
      </w:tr>
      <w:tr w:rsidR="005055C6" w:rsidRPr="005055C6" w14:paraId="237270FF" w14:textId="77777777" w:rsidTr="004C3CC2">
        <w:tblPrEx>
          <w:tblCellMar>
            <w:top w:w="15" w:type="dxa"/>
            <w:left w:w="15" w:type="dxa"/>
            <w:bottom w:w="15" w:type="dxa"/>
            <w:right w:w="15" w:type="dxa"/>
          </w:tblCellMar>
        </w:tblPrEx>
        <w:tc>
          <w:tcPr>
            <w:tcW w:w="981" w:type="dxa"/>
            <w:vAlign w:val="center"/>
          </w:tcPr>
          <w:p w14:paraId="3A03F4FF" w14:textId="77777777" w:rsidR="005055C6" w:rsidRPr="004C267D" w:rsidRDefault="005055C6" w:rsidP="005055C6">
            <w:pPr>
              <w:jc w:val="left"/>
              <w:rPr>
                <w:rFonts w:ascii="Arial Narrow" w:hAnsi="Arial Narrow"/>
                <w:sz w:val="20"/>
                <w:szCs w:val="20"/>
              </w:rPr>
            </w:pPr>
          </w:p>
        </w:tc>
        <w:tc>
          <w:tcPr>
            <w:tcW w:w="8086" w:type="dxa"/>
            <w:gridSpan w:val="6"/>
            <w:vAlign w:val="center"/>
            <w:hideMark/>
          </w:tcPr>
          <w:p w14:paraId="44DA9CF3" w14:textId="77777777" w:rsidR="005055C6" w:rsidRPr="004C267D" w:rsidRDefault="005055C6" w:rsidP="005055C6">
            <w:pPr>
              <w:jc w:val="left"/>
              <w:rPr>
                <w:rFonts w:ascii="Arial Narrow" w:hAnsi="Arial Narrow"/>
                <w:sz w:val="20"/>
                <w:szCs w:val="20"/>
              </w:rPr>
            </w:pPr>
            <w:r w:rsidRPr="004C267D">
              <w:rPr>
                <w:rFonts w:ascii="Arial Narrow" w:hAnsi="Arial Narrow"/>
                <w:b/>
                <w:bCs/>
                <w:sz w:val="20"/>
                <w:szCs w:val="20"/>
              </w:rPr>
              <w:t>Treatment Phase:</w:t>
            </w:r>
            <w:r w:rsidRPr="004C267D">
              <w:rPr>
                <w:rFonts w:ascii="Arial Narrow" w:hAnsi="Arial Narrow"/>
                <w:sz w:val="20"/>
                <w:szCs w:val="20"/>
              </w:rPr>
              <w:t xml:space="preserve"> </w:t>
            </w:r>
          </w:p>
          <w:p w14:paraId="11C3E69B" w14:textId="77777777" w:rsidR="005055C6" w:rsidRPr="004C267D" w:rsidRDefault="005055C6" w:rsidP="005055C6">
            <w:pPr>
              <w:jc w:val="left"/>
              <w:rPr>
                <w:rFonts w:ascii="Arial Narrow" w:hAnsi="Arial Narrow"/>
                <w:sz w:val="20"/>
                <w:szCs w:val="20"/>
              </w:rPr>
            </w:pPr>
            <w:r w:rsidRPr="004C267D">
              <w:rPr>
                <w:rFonts w:ascii="Arial Narrow" w:hAnsi="Arial Narrow"/>
                <w:bCs/>
                <w:sz w:val="20"/>
                <w:szCs w:val="20"/>
              </w:rPr>
              <w:t>Initial treatment</w:t>
            </w:r>
            <w:r w:rsidRPr="004C267D">
              <w:rPr>
                <w:rFonts w:ascii="Arial Narrow" w:hAnsi="Arial Narrow"/>
                <w:sz w:val="20"/>
                <w:szCs w:val="20"/>
              </w:rPr>
              <w:t xml:space="preserve">     </w:t>
            </w:r>
          </w:p>
        </w:tc>
      </w:tr>
      <w:tr w:rsidR="005055C6" w:rsidRPr="005055C6" w14:paraId="0FDC9168"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865B250"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7076926F" w14:textId="77777777" w:rsidR="005055C6" w:rsidRPr="004C267D" w:rsidRDefault="005055C6" w:rsidP="005055C6">
            <w:pPr>
              <w:jc w:val="left"/>
              <w:rPr>
                <w:rFonts w:ascii="Arial Narrow" w:hAnsi="Arial Narrow"/>
                <w:b/>
                <w:bCs/>
                <w:sz w:val="20"/>
                <w:szCs w:val="20"/>
              </w:rPr>
            </w:pPr>
            <w:r w:rsidRPr="004C267D">
              <w:rPr>
                <w:rFonts w:ascii="Arial Narrow" w:hAnsi="Arial Narrow"/>
                <w:b/>
                <w:sz w:val="20"/>
                <w:szCs w:val="20"/>
              </w:rPr>
              <w:t>Treatment criteria:</w:t>
            </w:r>
          </w:p>
        </w:tc>
      </w:tr>
      <w:tr w:rsidR="005055C6" w:rsidRPr="005055C6" w14:paraId="57E812BA"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BC2F79C" w14:textId="5A0FF9E2" w:rsidR="005055C6" w:rsidRPr="004C267D" w:rsidRDefault="005055C6" w:rsidP="005055C6">
            <w:pPr>
              <w:jc w:val="left"/>
              <w:rPr>
                <w:rFonts w:ascii="Arial Narrow" w:hAnsi="Arial Narrow"/>
                <w:sz w:val="20"/>
                <w:szCs w:val="20"/>
              </w:rPr>
            </w:pPr>
          </w:p>
        </w:tc>
        <w:tc>
          <w:tcPr>
            <w:tcW w:w="8086" w:type="dxa"/>
            <w:gridSpan w:val="6"/>
            <w:vAlign w:val="center"/>
          </w:tcPr>
          <w:p w14:paraId="21A1D153" w14:textId="231B9D26" w:rsidR="005055C6" w:rsidRPr="004C267D" w:rsidRDefault="005055C6" w:rsidP="00EC16D7">
            <w:pPr>
              <w:jc w:val="left"/>
              <w:rPr>
                <w:rFonts w:ascii="Arial Narrow" w:hAnsi="Arial Narrow"/>
                <w:b/>
                <w:bCs/>
                <w:sz w:val="20"/>
                <w:szCs w:val="20"/>
              </w:rPr>
            </w:pPr>
            <w:r w:rsidRPr="004C267D">
              <w:rPr>
                <w:rFonts w:ascii="Arial Narrow" w:hAnsi="Arial Narrow"/>
                <w:bCs/>
                <w:sz w:val="20"/>
                <w:szCs w:val="20"/>
              </w:rPr>
              <w:t>Must be treated by a neurologist</w:t>
            </w:r>
          </w:p>
        </w:tc>
      </w:tr>
      <w:tr w:rsidR="005055C6" w:rsidRPr="005055C6" w14:paraId="77BF1C7E"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D233E89"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4C230D39"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AND</w:t>
            </w:r>
          </w:p>
        </w:tc>
      </w:tr>
      <w:tr w:rsidR="005055C6" w:rsidRPr="005055C6" w14:paraId="3835CC92"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B51757"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334D5154" w14:textId="77777777" w:rsidR="005055C6" w:rsidRPr="004C267D" w:rsidRDefault="005055C6" w:rsidP="005055C6">
            <w:pPr>
              <w:jc w:val="left"/>
              <w:rPr>
                <w:rFonts w:ascii="Arial Narrow" w:hAnsi="Arial Narrow"/>
                <w:b/>
                <w:bCs/>
                <w:sz w:val="20"/>
                <w:szCs w:val="20"/>
              </w:rPr>
            </w:pPr>
            <w:r w:rsidRPr="004C267D">
              <w:rPr>
                <w:rFonts w:ascii="Arial Narrow" w:hAnsi="Arial Narrow"/>
                <w:b/>
                <w:sz w:val="20"/>
                <w:szCs w:val="20"/>
              </w:rPr>
              <w:t>Treatment criteria:</w:t>
            </w:r>
          </w:p>
        </w:tc>
      </w:tr>
      <w:tr w:rsidR="005055C6" w:rsidRPr="005055C6" w14:paraId="576478F6"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2F5DAB4" w14:textId="31F24598" w:rsidR="005055C6" w:rsidRPr="004C267D" w:rsidRDefault="005055C6" w:rsidP="005055C6">
            <w:pPr>
              <w:jc w:val="left"/>
              <w:rPr>
                <w:rFonts w:ascii="Arial Narrow" w:hAnsi="Arial Narrow"/>
                <w:sz w:val="20"/>
                <w:szCs w:val="20"/>
              </w:rPr>
            </w:pPr>
          </w:p>
        </w:tc>
        <w:tc>
          <w:tcPr>
            <w:tcW w:w="8086" w:type="dxa"/>
            <w:gridSpan w:val="6"/>
            <w:vAlign w:val="center"/>
          </w:tcPr>
          <w:p w14:paraId="2CD3E0D1" w14:textId="77777777" w:rsidR="005055C6" w:rsidRPr="004C267D" w:rsidRDefault="005055C6" w:rsidP="005055C6">
            <w:pPr>
              <w:jc w:val="left"/>
              <w:rPr>
                <w:rFonts w:ascii="Arial Narrow" w:hAnsi="Arial Narrow"/>
                <w:sz w:val="20"/>
                <w:szCs w:val="20"/>
              </w:rPr>
            </w:pPr>
            <w:r w:rsidRPr="004C267D">
              <w:rPr>
                <w:rFonts w:ascii="Arial Narrow" w:hAnsi="Arial Narrow"/>
                <w:sz w:val="20"/>
                <w:szCs w:val="20"/>
              </w:rPr>
              <w:t>Patient must not be undergoing concurrent treatment with the following PBS benefits: (</w:t>
            </w:r>
            <w:proofErr w:type="spellStart"/>
            <w:r w:rsidRPr="004C267D">
              <w:rPr>
                <w:rFonts w:ascii="Arial Narrow" w:hAnsi="Arial Narrow"/>
                <w:sz w:val="20"/>
                <w:szCs w:val="20"/>
              </w:rPr>
              <w:t>i</w:t>
            </w:r>
            <w:proofErr w:type="spellEnd"/>
            <w:r w:rsidRPr="004C267D">
              <w:rPr>
                <w:rFonts w:ascii="Arial Narrow" w:hAnsi="Arial Narrow"/>
                <w:sz w:val="20"/>
                <w:szCs w:val="20"/>
              </w:rPr>
              <w:t>) botulinum toxin type A listed for this PBS indication, (ii) another drug in the same pharmacological class as this drug listed for this PBS indication</w:t>
            </w:r>
          </w:p>
        </w:tc>
      </w:tr>
      <w:tr w:rsidR="005055C6" w:rsidRPr="005055C6" w14:paraId="7D7F6FF7"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4814757"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2E9AA382"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AND</w:t>
            </w:r>
          </w:p>
        </w:tc>
      </w:tr>
      <w:tr w:rsidR="005055C6" w:rsidRPr="005055C6" w14:paraId="5854A3C4"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CF74A59"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55EBF64C" w14:textId="77777777" w:rsidR="005055C6" w:rsidRPr="004C267D" w:rsidRDefault="005055C6" w:rsidP="005055C6">
            <w:pPr>
              <w:jc w:val="left"/>
              <w:rPr>
                <w:rFonts w:ascii="Arial Narrow" w:hAnsi="Arial Narrow"/>
                <w:b/>
                <w:sz w:val="20"/>
                <w:szCs w:val="20"/>
              </w:rPr>
            </w:pPr>
            <w:r w:rsidRPr="004C267D">
              <w:rPr>
                <w:rFonts w:ascii="Arial Narrow" w:hAnsi="Arial Narrow"/>
                <w:b/>
                <w:sz w:val="20"/>
                <w:szCs w:val="20"/>
              </w:rPr>
              <w:t>Clinical criteria:</w:t>
            </w:r>
          </w:p>
        </w:tc>
      </w:tr>
      <w:tr w:rsidR="005055C6" w:rsidRPr="005055C6" w14:paraId="1B25E35B"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21B6E18" w14:textId="3664A0AD" w:rsidR="005055C6" w:rsidRPr="004C267D" w:rsidRDefault="005055C6" w:rsidP="005055C6">
            <w:pPr>
              <w:jc w:val="left"/>
              <w:rPr>
                <w:rFonts w:ascii="Arial Narrow" w:hAnsi="Arial Narrow"/>
                <w:sz w:val="20"/>
                <w:szCs w:val="20"/>
              </w:rPr>
            </w:pPr>
          </w:p>
        </w:tc>
        <w:tc>
          <w:tcPr>
            <w:tcW w:w="8086" w:type="dxa"/>
            <w:gridSpan w:val="6"/>
            <w:vAlign w:val="center"/>
          </w:tcPr>
          <w:p w14:paraId="315B6B08" w14:textId="632DB1CB" w:rsidR="005055C6" w:rsidRPr="004C267D" w:rsidRDefault="005055C6" w:rsidP="00294BC8">
            <w:pPr>
              <w:jc w:val="left"/>
              <w:rPr>
                <w:rFonts w:ascii="Arial Narrow" w:hAnsi="Arial Narrow"/>
                <w:b/>
                <w:bCs/>
                <w:sz w:val="20"/>
                <w:szCs w:val="20"/>
              </w:rPr>
            </w:pPr>
            <w:r w:rsidRPr="004C267D">
              <w:rPr>
                <w:rFonts w:ascii="Arial Narrow" w:hAnsi="Arial Narrow"/>
                <w:sz w:val="20"/>
                <w:szCs w:val="20"/>
              </w:rPr>
              <w:t>Patient must have experienced at least 8 days of migraine</w:t>
            </w:r>
            <w:r w:rsidR="00294BC8">
              <w:rPr>
                <w:rFonts w:ascii="Arial Narrow" w:hAnsi="Arial Narrow"/>
                <w:sz w:val="20"/>
                <w:szCs w:val="20"/>
              </w:rPr>
              <w:t xml:space="preserve"> headache days per month</w:t>
            </w:r>
            <w:r w:rsidRPr="004C267D">
              <w:rPr>
                <w:rFonts w:ascii="Arial Narrow" w:hAnsi="Arial Narrow"/>
                <w:sz w:val="20"/>
                <w:szCs w:val="20"/>
              </w:rPr>
              <w:t>, over a period of at least 6 months, prior to commencement of treatment with this medicine for this condition</w:t>
            </w:r>
          </w:p>
        </w:tc>
      </w:tr>
      <w:tr w:rsidR="005055C6" w:rsidRPr="005055C6" w14:paraId="4F21F79F"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78FDE8C"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05595517"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AND</w:t>
            </w:r>
          </w:p>
        </w:tc>
      </w:tr>
      <w:tr w:rsidR="005055C6" w:rsidRPr="005055C6" w14:paraId="77392C98"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525654D"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66AC334E" w14:textId="77777777" w:rsidR="005055C6" w:rsidRPr="004C267D" w:rsidRDefault="005055C6" w:rsidP="005055C6">
            <w:pPr>
              <w:jc w:val="left"/>
              <w:rPr>
                <w:rFonts w:ascii="Arial Narrow" w:hAnsi="Arial Narrow"/>
                <w:b/>
                <w:bCs/>
                <w:sz w:val="20"/>
                <w:szCs w:val="20"/>
              </w:rPr>
            </w:pPr>
            <w:r w:rsidRPr="004C267D">
              <w:rPr>
                <w:rFonts w:ascii="Arial Narrow" w:hAnsi="Arial Narrow"/>
                <w:b/>
                <w:sz w:val="20"/>
                <w:szCs w:val="20"/>
              </w:rPr>
              <w:t>Clinical criteria:</w:t>
            </w:r>
          </w:p>
        </w:tc>
      </w:tr>
      <w:tr w:rsidR="005055C6" w:rsidRPr="005055C6" w14:paraId="3AE763B1"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770CDAF" w14:textId="4D74D920" w:rsidR="005055C6" w:rsidRPr="004C267D" w:rsidRDefault="005055C6" w:rsidP="005055C6">
            <w:pPr>
              <w:jc w:val="left"/>
              <w:rPr>
                <w:rFonts w:ascii="Arial Narrow" w:hAnsi="Arial Narrow"/>
                <w:sz w:val="20"/>
                <w:szCs w:val="20"/>
              </w:rPr>
            </w:pPr>
          </w:p>
        </w:tc>
        <w:tc>
          <w:tcPr>
            <w:tcW w:w="8086" w:type="dxa"/>
            <w:gridSpan w:val="6"/>
            <w:vAlign w:val="center"/>
          </w:tcPr>
          <w:p w14:paraId="6D8FA630" w14:textId="77777777" w:rsidR="005055C6" w:rsidRPr="004C267D" w:rsidRDefault="005055C6" w:rsidP="005055C6">
            <w:pPr>
              <w:jc w:val="left"/>
              <w:rPr>
                <w:rFonts w:ascii="Arial Narrow" w:hAnsi="Arial Narrow"/>
                <w:sz w:val="20"/>
                <w:szCs w:val="20"/>
              </w:rPr>
            </w:pPr>
            <w:r w:rsidRPr="004C267D">
              <w:rPr>
                <w:rFonts w:ascii="Arial Narrow" w:hAnsi="Arial Narrow"/>
                <w:sz w:val="20"/>
                <w:szCs w:val="20"/>
              </w:rPr>
              <w:t xml:space="preserve">Patient must have experienced an inadequate response, </w:t>
            </w:r>
            <w:proofErr w:type="gramStart"/>
            <w:r w:rsidRPr="004C267D">
              <w:rPr>
                <w:rFonts w:ascii="Arial Narrow" w:hAnsi="Arial Narrow"/>
                <w:sz w:val="20"/>
                <w:szCs w:val="20"/>
              </w:rPr>
              <w:t>intolerance</w:t>
            </w:r>
            <w:proofErr w:type="gramEnd"/>
            <w:r w:rsidRPr="004C267D">
              <w:rPr>
                <w:rFonts w:ascii="Arial Narrow" w:hAnsi="Arial Narrow"/>
                <w:sz w:val="20"/>
                <w:szCs w:val="20"/>
              </w:rPr>
              <w:t xml:space="preserve"> or a contraindication to at least three prophylactic migraine medications prior to commencement of treatment with this drug for this condition</w:t>
            </w:r>
          </w:p>
        </w:tc>
      </w:tr>
      <w:tr w:rsidR="005055C6" w:rsidRPr="005055C6" w14:paraId="4AF2D1F4"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9E858A3"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419D4F2A"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AND</w:t>
            </w:r>
          </w:p>
        </w:tc>
      </w:tr>
      <w:tr w:rsidR="005055C6" w:rsidRPr="005055C6" w14:paraId="3FE84B76"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06D535B"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5D23C278" w14:textId="77777777" w:rsidR="005055C6" w:rsidRPr="004C267D" w:rsidRDefault="005055C6" w:rsidP="005055C6">
            <w:pPr>
              <w:jc w:val="left"/>
              <w:rPr>
                <w:rFonts w:ascii="Arial Narrow" w:hAnsi="Arial Narrow"/>
                <w:b/>
                <w:bCs/>
                <w:sz w:val="20"/>
                <w:szCs w:val="20"/>
              </w:rPr>
            </w:pPr>
            <w:r w:rsidRPr="004C267D">
              <w:rPr>
                <w:rFonts w:ascii="Arial Narrow" w:hAnsi="Arial Narrow"/>
                <w:b/>
                <w:sz w:val="20"/>
                <w:szCs w:val="20"/>
              </w:rPr>
              <w:t>Clinical criteria:</w:t>
            </w:r>
          </w:p>
        </w:tc>
      </w:tr>
      <w:tr w:rsidR="005055C6" w:rsidRPr="005055C6" w14:paraId="1175E606" w14:textId="77777777" w:rsidTr="00762C7E">
        <w:tblPrEx>
          <w:tblCellMar>
            <w:top w:w="15" w:type="dxa"/>
            <w:left w:w="15" w:type="dxa"/>
            <w:bottom w:w="15" w:type="dxa"/>
            <w:right w:w="15" w:type="dxa"/>
          </w:tblCellMar>
          <w:tblLook w:val="04A0" w:firstRow="1" w:lastRow="0" w:firstColumn="1" w:lastColumn="0" w:noHBand="0" w:noVBand="1"/>
        </w:tblPrEx>
        <w:trPr>
          <w:trHeight w:val="373"/>
        </w:trPr>
        <w:tc>
          <w:tcPr>
            <w:tcW w:w="981" w:type="dxa"/>
            <w:vAlign w:val="center"/>
          </w:tcPr>
          <w:p w14:paraId="4DA3CDDA" w14:textId="16BA7705" w:rsidR="005055C6" w:rsidRPr="004C267D" w:rsidRDefault="005055C6" w:rsidP="005055C6">
            <w:pPr>
              <w:jc w:val="left"/>
              <w:rPr>
                <w:rFonts w:ascii="Arial Narrow" w:hAnsi="Arial Narrow"/>
                <w:sz w:val="20"/>
                <w:szCs w:val="20"/>
              </w:rPr>
            </w:pPr>
          </w:p>
        </w:tc>
        <w:tc>
          <w:tcPr>
            <w:tcW w:w="8086" w:type="dxa"/>
            <w:gridSpan w:val="6"/>
            <w:vAlign w:val="center"/>
          </w:tcPr>
          <w:p w14:paraId="201CF1D3" w14:textId="77777777" w:rsidR="005055C6" w:rsidRPr="004C267D" w:rsidRDefault="005055C6" w:rsidP="005055C6">
            <w:pPr>
              <w:jc w:val="left"/>
              <w:rPr>
                <w:rFonts w:ascii="Arial Narrow" w:hAnsi="Arial Narrow"/>
                <w:sz w:val="20"/>
                <w:szCs w:val="20"/>
              </w:rPr>
            </w:pPr>
            <w:r w:rsidRPr="004C267D">
              <w:rPr>
                <w:rFonts w:ascii="Arial Narrow" w:hAnsi="Arial Narrow"/>
                <w:sz w:val="20"/>
                <w:szCs w:val="20"/>
              </w:rPr>
              <w:t>Patient must be appropriately managed by his or her practitioner for medication overuse headache, prior to initiation of treatment with this drug</w:t>
            </w:r>
          </w:p>
        </w:tc>
      </w:tr>
      <w:tr w:rsidR="005055C6" w:rsidRPr="005055C6" w14:paraId="676C31F9"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3063AC2"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510928B9"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AND</w:t>
            </w:r>
          </w:p>
        </w:tc>
      </w:tr>
      <w:tr w:rsidR="005055C6" w:rsidRPr="005055C6" w14:paraId="1C8700E2"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CC60575"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13CC37D7"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Population criteria:</w:t>
            </w:r>
          </w:p>
        </w:tc>
      </w:tr>
      <w:tr w:rsidR="005055C6" w:rsidRPr="005055C6" w14:paraId="57651BAF"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239A669" w14:textId="0A74BEDB" w:rsidR="005055C6" w:rsidRPr="004C267D" w:rsidRDefault="005055C6" w:rsidP="005055C6">
            <w:pPr>
              <w:jc w:val="left"/>
              <w:rPr>
                <w:rFonts w:ascii="Arial Narrow" w:hAnsi="Arial Narrow"/>
                <w:sz w:val="20"/>
                <w:szCs w:val="20"/>
              </w:rPr>
            </w:pPr>
          </w:p>
        </w:tc>
        <w:tc>
          <w:tcPr>
            <w:tcW w:w="8086" w:type="dxa"/>
            <w:gridSpan w:val="6"/>
            <w:vAlign w:val="center"/>
          </w:tcPr>
          <w:p w14:paraId="78B1C87B" w14:textId="77777777" w:rsidR="005055C6" w:rsidRPr="004C267D" w:rsidRDefault="005055C6" w:rsidP="005055C6">
            <w:pPr>
              <w:jc w:val="left"/>
              <w:rPr>
                <w:rFonts w:ascii="Arial Narrow" w:hAnsi="Arial Narrow"/>
                <w:b/>
                <w:bCs/>
                <w:sz w:val="20"/>
                <w:szCs w:val="20"/>
              </w:rPr>
            </w:pPr>
            <w:r w:rsidRPr="004C267D">
              <w:rPr>
                <w:rFonts w:ascii="Arial Narrow" w:hAnsi="Arial Narrow"/>
                <w:sz w:val="20"/>
                <w:szCs w:val="20"/>
              </w:rPr>
              <w:t>Patient must be aged 18 years or older</w:t>
            </w:r>
          </w:p>
        </w:tc>
      </w:tr>
      <w:tr w:rsidR="005055C6" w:rsidRPr="005055C6" w14:paraId="17A60F72"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CE3E2DD"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2D830D68"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AND</w:t>
            </w:r>
          </w:p>
        </w:tc>
      </w:tr>
      <w:tr w:rsidR="005055C6" w:rsidRPr="005055C6" w14:paraId="370BFA94"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8AB58E3"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407DD973"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Prescribing instructions:</w:t>
            </w:r>
          </w:p>
        </w:tc>
      </w:tr>
      <w:tr w:rsidR="005055C6" w:rsidRPr="005055C6" w14:paraId="3F6CFBE0"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198C586" w14:textId="3BCA8856" w:rsidR="005055C6" w:rsidRPr="004C267D" w:rsidRDefault="005055C6" w:rsidP="005055C6">
            <w:pPr>
              <w:jc w:val="left"/>
              <w:rPr>
                <w:rFonts w:ascii="Arial Narrow" w:hAnsi="Arial Narrow"/>
                <w:sz w:val="20"/>
                <w:szCs w:val="20"/>
              </w:rPr>
            </w:pPr>
          </w:p>
        </w:tc>
        <w:tc>
          <w:tcPr>
            <w:tcW w:w="8086" w:type="dxa"/>
            <w:gridSpan w:val="6"/>
            <w:vAlign w:val="center"/>
          </w:tcPr>
          <w:p w14:paraId="3CDE83A4" w14:textId="77777777" w:rsidR="005055C6" w:rsidRPr="004C267D" w:rsidRDefault="005055C6" w:rsidP="005055C6">
            <w:pPr>
              <w:jc w:val="left"/>
              <w:rPr>
                <w:rFonts w:ascii="Arial Narrow" w:hAnsi="Arial Narrow"/>
                <w:b/>
                <w:bCs/>
                <w:sz w:val="20"/>
                <w:szCs w:val="20"/>
              </w:rPr>
            </w:pPr>
            <w:r w:rsidRPr="004C267D">
              <w:rPr>
                <w:rFonts w:ascii="Arial Narrow" w:hAnsi="Arial Narrow"/>
                <w:sz w:val="20"/>
                <w:szCs w:val="20"/>
              </w:rPr>
              <w:t>Prophylactic migraine medications are propranolol, amitriptyline, pizotifen, candesartan, verapamil, nortriptyline, sodium valproate or topiramate.</w:t>
            </w:r>
          </w:p>
        </w:tc>
      </w:tr>
      <w:tr w:rsidR="005055C6" w:rsidRPr="005055C6" w14:paraId="6EF73292"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3079D49"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6629DC59"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AND</w:t>
            </w:r>
          </w:p>
        </w:tc>
      </w:tr>
      <w:tr w:rsidR="005055C6" w:rsidRPr="005055C6" w14:paraId="316BB4F5"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C5C0EFE" w14:textId="77777777" w:rsidR="005055C6" w:rsidRPr="004C267D" w:rsidRDefault="005055C6" w:rsidP="005055C6">
            <w:pPr>
              <w:jc w:val="left"/>
              <w:rPr>
                <w:rFonts w:ascii="Arial Narrow" w:hAnsi="Arial Narrow"/>
                <w:sz w:val="20"/>
                <w:szCs w:val="20"/>
              </w:rPr>
            </w:pPr>
          </w:p>
        </w:tc>
        <w:tc>
          <w:tcPr>
            <w:tcW w:w="8086" w:type="dxa"/>
            <w:gridSpan w:val="6"/>
            <w:vAlign w:val="center"/>
          </w:tcPr>
          <w:p w14:paraId="12B7D4CF" w14:textId="77777777" w:rsidR="005055C6" w:rsidRPr="004C267D" w:rsidRDefault="005055C6" w:rsidP="005055C6">
            <w:pPr>
              <w:jc w:val="left"/>
              <w:rPr>
                <w:rFonts w:ascii="Arial Narrow" w:hAnsi="Arial Narrow"/>
                <w:b/>
                <w:bCs/>
                <w:sz w:val="20"/>
                <w:szCs w:val="20"/>
              </w:rPr>
            </w:pPr>
            <w:r w:rsidRPr="004C267D">
              <w:rPr>
                <w:rFonts w:ascii="Arial Narrow" w:hAnsi="Arial Narrow"/>
                <w:b/>
                <w:bCs/>
                <w:sz w:val="20"/>
                <w:szCs w:val="20"/>
              </w:rPr>
              <w:t>Prescribing instructions:</w:t>
            </w:r>
          </w:p>
        </w:tc>
      </w:tr>
      <w:tr w:rsidR="005055C6" w:rsidRPr="005055C6" w14:paraId="4391CE18"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C09F7D8" w14:textId="4B70B37A" w:rsidR="005055C6" w:rsidRPr="004C267D" w:rsidRDefault="005055C6" w:rsidP="005055C6">
            <w:pPr>
              <w:jc w:val="left"/>
              <w:rPr>
                <w:rFonts w:ascii="Arial Narrow" w:hAnsi="Arial Narrow"/>
                <w:sz w:val="20"/>
                <w:szCs w:val="20"/>
              </w:rPr>
            </w:pPr>
          </w:p>
        </w:tc>
        <w:tc>
          <w:tcPr>
            <w:tcW w:w="8086" w:type="dxa"/>
            <w:gridSpan w:val="6"/>
            <w:vAlign w:val="center"/>
          </w:tcPr>
          <w:p w14:paraId="7575CEF7" w14:textId="6D684EFF" w:rsidR="005055C6" w:rsidRPr="004C267D" w:rsidRDefault="005055C6" w:rsidP="005055C6">
            <w:pPr>
              <w:jc w:val="left"/>
              <w:rPr>
                <w:rFonts w:ascii="Arial Narrow" w:hAnsi="Arial Narrow"/>
                <w:b/>
                <w:bCs/>
                <w:sz w:val="20"/>
                <w:szCs w:val="20"/>
              </w:rPr>
            </w:pPr>
            <w:r w:rsidRPr="004C267D">
              <w:rPr>
                <w:rFonts w:ascii="Arial Narrow" w:hAnsi="Arial Narrow"/>
                <w:sz w:val="20"/>
                <w:szCs w:val="20"/>
              </w:rPr>
              <w:t xml:space="preserve">Patient must have the number of migraine </w:t>
            </w:r>
            <w:r w:rsidR="00294BC8">
              <w:rPr>
                <w:rFonts w:ascii="Arial Narrow" w:hAnsi="Arial Narrow"/>
                <w:sz w:val="20"/>
                <w:szCs w:val="20"/>
              </w:rPr>
              <w:t xml:space="preserve">headache </w:t>
            </w:r>
            <w:r w:rsidRPr="004C267D">
              <w:rPr>
                <w:rFonts w:ascii="Arial Narrow" w:hAnsi="Arial Narrow"/>
                <w:sz w:val="20"/>
                <w:szCs w:val="20"/>
              </w:rPr>
              <w:t>days per month documented in their medical records.</w:t>
            </w:r>
          </w:p>
        </w:tc>
      </w:tr>
    </w:tbl>
    <w:p w14:paraId="4B9C4C01" w14:textId="77777777" w:rsidR="005055C6" w:rsidRPr="005055C6" w:rsidRDefault="005055C6" w:rsidP="005055C6">
      <w:pPr>
        <w:jc w:val="lef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5055C6" w:rsidRPr="005055C6" w14:paraId="2AEA969F" w14:textId="77777777" w:rsidTr="00762C7E">
        <w:trPr>
          <w:cantSplit/>
          <w:trHeight w:val="471"/>
        </w:trPr>
        <w:tc>
          <w:tcPr>
            <w:tcW w:w="3964" w:type="dxa"/>
            <w:gridSpan w:val="2"/>
          </w:tcPr>
          <w:p w14:paraId="461CA1AC" w14:textId="77777777" w:rsidR="005055C6" w:rsidRPr="004C267D" w:rsidRDefault="005055C6" w:rsidP="005055C6">
            <w:pPr>
              <w:jc w:val="left"/>
              <w:rPr>
                <w:rFonts w:ascii="Arial Narrow" w:hAnsi="Arial Narrow"/>
                <w:b/>
                <w:bCs/>
                <w:sz w:val="18"/>
                <w:szCs w:val="18"/>
              </w:rPr>
            </w:pPr>
            <w:r w:rsidRPr="004C267D">
              <w:rPr>
                <w:rFonts w:ascii="Arial Narrow" w:hAnsi="Arial Narrow"/>
                <w:b/>
                <w:bCs/>
                <w:sz w:val="18"/>
                <w:szCs w:val="18"/>
              </w:rPr>
              <w:t>MEDICINAL PRODUCT</w:t>
            </w:r>
          </w:p>
          <w:p w14:paraId="53731F1F" w14:textId="77777777" w:rsidR="005055C6" w:rsidRPr="004C267D" w:rsidRDefault="005055C6" w:rsidP="005055C6">
            <w:pPr>
              <w:jc w:val="left"/>
              <w:rPr>
                <w:rFonts w:ascii="Arial Narrow" w:hAnsi="Arial Narrow"/>
                <w:b/>
                <w:sz w:val="18"/>
                <w:szCs w:val="18"/>
              </w:rPr>
            </w:pPr>
            <w:r w:rsidRPr="004C267D">
              <w:rPr>
                <w:rFonts w:ascii="Arial Narrow" w:hAnsi="Arial Narrow"/>
                <w:b/>
                <w:bCs/>
                <w:sz w:val="18"/>
                <w:szCs w:val="18"/>
              </w:rPr>
              <w:t>medicinal product pack</w:t>
            </w:r>
          </w:p>
        </w:tc>
        <w:tc>
          <w:tcPr>
            <w:tcW w:w="993" w:type="dxa"/>
          </w:tcPr>
          <w:p w14:paraId="027DC7B9" w14:textId="77777777" w:rsidR="005055C6" w:rsidRPr="004C267D" w:rsidRDefault="005055C6" w:rsidP="005055C6">
            <w:pPr>
              <w:jc w:val="left"/>
              <w:rPr>
                <w:rFonts w:ascii="Arial Narrow" w:hAnsi="Arial Narrow"/>
                <w:b/>
                <w:sz w:val="18"/>
                <w:szCs w:val="18"/>
              </w:rPr>
            </w:pPr>
            <w:r w:rsidRPr="004C267D">
              <w:rPr>
                <w:rFonts w:ascii="Arial Narrow" w:hAnsi="Arial Narrow"/>
                <w:b/>
                <w:sz w:val="18"/>
                <w:szCs w:val="18"/>
              </w:rPr>
              <w:t>PBS item code</w:t>
            </w:r>
          </w:p>
        </w:tc>
        <w:tc>
          <w:tcPr>
            <w:tcW w:w="850" w:type="dxa"/>
          </w:tcPr>
          <w:p w14:paraId="2E63C76B" w14:textId="77777777" w:rsidR="005055C6" w:rsidRPr="004C267D" w:rsidRDefault="005055C6" w:rsidP="005055C6">
            <w:pPr>
              <w:jc w:val="left"/>
              <w:rPr>
                <w:rFonts w:ascii="Arial Narrow" w:hAnsi="Arial Narrow"/>
                <w:b/>
                <w:sz w:val="18"/>
                <w:szCs w:val="18"/>
              </w:rPr>
            </w:pPr>
            <w:r w:rsidRPr="004C267D">
              <w:rPr>
                <w:rFonts w:ascii="Arial Narrow" w:hAnsi="Arial Narrow"/>
                <w:b/>
                <w:sz w:val="18"/>
                <w:szCs w:val="18"/>
              </w:rPr>
              <w:t>Max. qty packs</w:t>
            </w:r>
          </w:p>
        </w:tc>
        <w:tc>
          <w:tcPr>
            <w:tcW w:w="709" w:type="dxa"/>
          </w:tcPr>
          <w:p w14:paraId="44E62B17" w14:textId="77777777" w:rsidR="005055C6" w:rsidRPr="004C267D" w:rsidRDefault="005055C6" w:rsidP="005055C6">
            <w:pPr>
              <w:jc w:val="left"/>
              <w:rPr>
                <w:rFonts w:ascii="Arial Narrow" w:hAnsi="Arial Narrow"/>
                <w:b/>
                <w:sz w:val="18"/>
                <w:szCs w:val="18"/>
              </w:rPr>
            </w:pPr>
            <w:r w:rsidRPr="004C267D">
              <w:rPr>
                <w:rFonts w:ascii="Arial Narrow" w:hAnsi="Arial Narrow"/>
                <w:b/>
                <w:sz w:val="18"/>
                <w:szCs w:val="18"/>
              </w:rPr>
              <w:t>Max. qty units</w:t>
            </w:r>
          </w:p>
        </w:tc>
        <w:tc>
          <w:tcPr>
            <w:tcW w:w="709" w:type="dxa"/>
          </w:tcPr>
          <w:p w14:paraId="4D0FEC51" w14:textId="77777777" w:rsidR="005055C6" w:rsidRPr="004C267D" w:rsidRDefault="005055C6" w:rsidP="005055C6">
            <w:pPr>
              <w:jc w:val="left"/>
              <w:rPr>
                <w:rFonts w:ascii="Arial Narrow" w:hAnsi="Arial Narrow"/>
                <w:b/>
                <w:sz w:val="18"/>
                <w:szCs w:val="18"/>
              </w:rPr>
            </w:pPr>
            <w:proofErr w:type="gramStart"/>
            <w:r w:rsidRPr="004C267D">
              <w:rPr>
                <w:rFonts w:ascii="Arial Narrow" w:hAnsi="Arial Narrow"/>
                <w:b/>
                <w:sz w:val="18"/>
                <w:szCs w:val="18"/>
              </w:rPr>
              <w:t>№.of</w:t>
            </w:r>
            <w:proofErr w:type="gramEnd"/>
          </w:p>
          <w:p w14:paraId="76E9CCE5" w14:textId="77777777" w:rsidR="005055C6" w:rsidRPr="004C267D" w:rsidRDefault="005055C6" w:rsidP="005055C6">
            <w:pPr>
              <w:jc w:val="left"/>
              <w:rPr>
                <w:rFonts w:ascii="Arial Narrow" w:hAnsi="Arial Narrow"/>
                <w:b/>
                <w:sz w:val="18"/>
                <w:szCs w:val="18"/>
              </w:rPr>
            </w:pPr>
            <w:proofErr w:type="spellStart"/>
            <w:r w:rsidRPr="004C267D">
              <w:rPr>
                <w:rFonts w:ascii="Arial Narrow" w:hAnsi="Arial Narrow"/>
                <w:b/>
                <w:sz w:val="18"/>
                <w:szCs w:val="18"/>
              </w:rPr>
              <w:t>Rpts</w:t>
            </w:r>
            <w:proofErr w:type="spellEnd"/>
          </w:p>
        </w:tc>
        <w:tc>
          <w:tcPr>
            <w:tcW w:w="1842" w:type="dxa"/>
          </w:tcPr>
          <w:p w14:paraId="0266557F" w14:textId="77777777" w:rsidR="005055C6" w:rsidRPr="004C267D" w:rsidRDefault="005055C6" w:rsidP="005055C6">
            <w:pPr>
              <w:jc w:val="left"/>
              <w:rPr>
                <w:rFonts w:ascii="Arial Narrow" w:hAnsi="Arial Narrow"/>
                <w:b/>
                <w:sz w:val="18"/>
                <w:szCs w:val="18"/>
                <w:lang w:val="fr-FR"/>
              </w:rPr>
            </w:pPr>
            <w:r w:rsidRPr="004C267D">
              <w:rPr>
                <w:rFonts w:ascii="Arial Narrow" w:hAnsi="Arial Narrow"/>
                <w:b/>
                <w:sz w:val="18"/>
                <w:szCs w:val="18"/>
              </w:rPr>
              <w:t>Available brands</w:t>
            </w:r>
          </w:p>
        </w:tc>
      </w:tr>
      <w:tr w:rsidR="005055C6" w:rsidRPr="005055C6" w14:paraId="31CB6CE5" w14:textId="77777777" w:rsidTr="00762C7E">
        <w:trPr>
          <w:cantSplit/>
          <w:trHeight w:val="224"/>
        </w:trPr>
        <w:tc>
          <w:tcPr>
            <w:tcW w:w="9067" w:type="dxa"/>
            <w:gridSpan w:val="7"/>
          </w:tcPr>
          <w:p w14:paraId="04A10F0F"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GALCANEZUMAB</w:t>
            </w:r>
          </w:p>
        </w:tc>
      </w:tr>
      <w:tr w:rsidR="005055C6" w:rsidRPr="005055C6" w14:paraId="64485E91" w14:textId="77777777" w:rsidTr="00762C7E">
        <w:trPr>
          <w:cantSplit/>
          <w:trHeight w:val="347"/>
        </w:trPr>
        <w:tc>
          <w:tcPr>
            <w:tcW w:w="3964" w:type="dxa"/>
            <w:gridSpan w:val="2"/>
          </w:tcPr>
          <w:p w14:paraId="641D5ABE"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120 mg / 1 mL solution for injection, pre-filled pen</w:t>
            </w:r>
          </w:p>
        </w:tc>
        <w:tc>
          <w:tcPr>
            <w:tcW w:w="993" w:type="dxa"/>
          </w:tcPr>
          <w:p w14:paraId="552F04C9" w14:textId="77777777" w:rsidR="005055C6" w:rsidRPr="004C267D" w:rsidRDefault="00046698" w:rsidP="005055C6">
            <w:pPr>
              <w:jc w:val="left"/>
              <w:rPr>
                <w:rFonts w:ascii="Arial Narrow" w:hAnsi="Arial Narrow"/>
                <w:sz w:val="18"/>
                <w:szCs w:val="18"/>
              </w:rPr>
            </w:pPr>
            <w:hyperlink r:id="rId12" w:tooltip="12469g" w:history="1">
              <w:r w:rsidR="005055C6" w:rsidRPr="004C267D">
                <w:rPr>
                  <w:rStyle w:val="Hyperlink"/>
                  <w:rFonts w:ascii="Arial Narrow" w:hAnsi="Arial Narrow"/>
                  <w:sz w:val="18"/>
                  <w:szCs w:val="18"/>
                </w:rPr>
                <w:t>12469G</w:t>
              </w:r>
            </w:hyperlink>
          </w:p>
        </w:tc>
        <w:tc>
          <w:tcPr>
            <w:tcW w:w="850" w:type="dxa"/>
          </w:tcPr>
          <w:p w14:paraId="07D78417"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1</w:t>
            </w:r>
          </w:p>
        </w:tc>
        <w:tc>
          <w:tcPr>
            <w:tcW w:w="709" w:type="dxa"/>
          </w:tcPr>
          <w:p w14:paraId="71F31D80"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1</w:t>
            </w:r>
          </w:p>
        </w:tc>
        <w:tc>
          <w:tcPr>
            <w:tcW w:w="709" w:type="dxa"/>
          </w:tcPr>
          <w:p w14:paraId="16BFABB7"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5</w:t>
            </w:r>
          </w:p>
        </w:tc>
        <w:tc>
          <w:tcPr>
            <w:tcW w:w="1842" w:type="dxa"/>
          </w:tcPr>
          <w:p w14:paraId="522B5AD4" w14:textId="77777777" w:rsidR="005055C6" w:rsidRPr="004C267D" w:rsidRDefault="005055C6" w:rsidP="005055C6">
            <w:pPr>
              <w:jc w:val="left"/>
              <w:rPr>
                <w:rFonts w:ascii="Arial Narrow" w:hAnsi="Arial Narrow"/>
                <w:sz w:val="18"/>
                <w:szCs w:val="18"/>
              </w:rPr>
            </w:pPr>
            <w:proofErr w:type="spellStart"/>
            <w:r w:rsidRPr="004C267D">
              <w:rPr>
                <w:rFonts w:ascii="Arial Narrow" w:hAnsi="Arial Narrow"/>
                <w:sz w:val="18"/>
                <w:szCs w:val="18"/>
              </w:rPr>
              <w:t>Emgality</w:t>
            </w:r>
            <w:proofErr w:type="spellEnd"/>
          </w:p>
        </w:tc>
      </w:tr>
      <w:tr w:rsidR="005055C6" w:rsidRPr="005055C6" w14:paraId="650869D0" w14:textId="77777777" w:rsidTr="00762C7E">
        <w:tblPrEx>
          <w:tblCellMar>
            <w:top w:w="15" w:type="dxa"/>
            <w:left w:w="15" w:type="dxa"/>
            <w:bottom w:w="15" w:type="dxa"/>
            <w:right w:w="15" w:type="dxa"/>
          </w:tblCellMar>
          <w:tblLook w:val="04A0" w:firstRow="1" w:lastRow="0" w:firstColumn="1" w:lastColumn="0" w:noHBand="0" w:noVBand="1"/>
        </w:tblPrEx>
        <w:trPr>
          <w:trHeight w:val="120"/>
        </w:trPr>
        <w:tc>
          <w:tcPr>
            <w:tcW w:w="9067" w:type="dxa"/>
            <w:gridSpan w:val="7"/>
            <w:tcBorders>
              <w:top w:val="single" w:sz="4" w:space="0" w:color="auto"/>
              <w:left w:val="single" w:sz="4" w:space="0" w:color="auto"/>
              <w:right w:val="single" w:sz="4" w:space="0" w:color="auto"/>
            </w:tcBorders>
            <w:shd w:val="clear" w:color="auto" w:fill="auto"/>
          </w:tcPr>
          <w:p w14:paraId="4760BB90" w14:textId="77777777" w:rsidR="005055C6" w:rsidRPr="004C267D" w:rsidRDefault="005055C6" w:rsidP="005055C6">
            <w:pPr>
              <w:jc w:val="left"/>
              <w:rPr>
                <w:rFonts w:ascii="Arial Narrow" w:hAnsi="Arial Narrow"/>
                <w:sz w:val="18"/>
                <w:szCs w:val="18"/>
              </w:rPr>
            </w:pPr>
          </w:p>
        </w:tc>
      </w:tr>
      <w:tr w:rsidR="005055C6" w:rsidRPr="005055C6" w14:paraId="65C06304" w14:textId="77777777" w:rsidTr="00762C7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0ED03CFD" w14:textId="77777777" w:rsidR="005055C6" w:rsidRPr="004C267D" w:rsidRDefault="005055C6" w:rsidP="005055C6">
            <w:pPr>
              <w:jc w:val="left"/>
              <w:rPr>
                <w:rFonts w:ascii="Arial Narrow" w:hAnsi="Arial Narrow"/>
                <w:b/>
                <w:sz w:val="18"/>
                <w:szCs w:val="18"/>
              </w:rPr>
            </w:pPr>
            <w:r w:rsidRPr="004C267D">
              <w:rPr>
                <w:rFonts w:ascii="Arial Narrow" w:hAnsi="Arial Narrow"/>
                <w:b/>
                <w:sz w:val="18"/>
                <w:szCs w:val="18"/>
              </w:rPr>
              <w:t xml:space="preserve">Restriction Summary 12029 / </w:t>
            </w:r>
            <w:proofErr w:type="spellStart"/>
            <w:r w:rsidRPr="004C267D">
              <w:rPr>
                <w:rFonts w:ascii="Arial Narrow" w:hAnsi="Arial Narrow"/>
                <w:b/>
                <w:sz w:val="18"/>
                <w:szCs w:val="18"/>
              </w:rPr>
              <w:t>ToC</w:t>
            </w:r>
            <w:proofErr w:type="spellEnd"/>
            <w:r w:rsidRPr="004C267D">
              <w:rPr>
                <w:rFonts w:ascii="Arial Narrow" w:hAnsi="Arial Narrow"/>
                <w:b/>
                <w:sz w:val="18"/>
                <w:szCs w:val="18"/>
              </w:rPr>
              <w:t xml:space="preserve">: 12029: Authority Required: Streamlined </w:t>
            </w:r>
          </w:p>
        </w:tc>
      </w:tr>
      <w:tr w:rsidR="005055C6" w:rsidRPr="005055C6" w14:paraId="3389F510" w14:textId="77777777" w:rsidTr="00762C7E">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20A377A2" w14:textId="77777777" w:rsidR="005055C6" w:rsidRPr="004C267D" w:rsidRDefault="005055C6" w:rsidP="005055C6">
            <w:pPr>
              <w:jc w:val="left"/>
              <w:rPr>
                <w:rFonts w:ascii="Arial Narrow" w:hAnsi="Arial Narrow"/>
                <w:b/>
                <w:sz w:val="18"/>
                <w:szCs w:val="18"/>
              </w:rPr>
            </w:pPr>
            <w:r w:rsidRPr="004C267D">
              <w:rPr>
                <w:rFonts w:ascii="Arial Narrow" w:hAnsi="Arial Narrow"/>
                <w:b/>
                <w:sz w:val="18"/>
                <w:szCs w:val="18"/>
              </w:rPr>
              <w:t>Concept ID</w:t>
            </w:r>
          </w:p>
          <w:p w14:paraId="3A3139E6" w14:textId="77777777" w:rsidR="005055C6" w:rsidRPr="004C267D" w:rsidRDefault="005055C6" w:rsidP="005055C6">
            <w:pPr>
              <w:jc w:val="left"/>
              <w:rPr>
                <w:rFonts w:ascii="Arial Narrow" w:hAnsi="Arial Narrow"/>
                <w:i/>
                <w:sz w:val="18"/>
                <w:szCs w:val="18"/>
              </w:rPr>
            </w:pPr>
          </w:p>
          <w:p w14:paraId="0D87014D"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(for internal Dept. use)</w:t>
            </w:r>
          </w:p>
          <w:p w14:paraId="0F49AB29" w14:textId="77777777" w:rsidR="005055C6" w:rsidRPr="004C267D" w:rsidRDefault="005055C6" w:rsidP="005055C6">
            <w:pPr>
              <w:jc w:val="left"/>
              <w:rPr>
                <w:rFonts w:ascii="Arial Narrow" w:hAnsi="Arial Narrow"/>
                <w:b/>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1838029D" w14:textId="77777777" w:rsidR="005055C6" w:rsidRPr="004C267D" w:rsidRDefault="005055C6" w:rsidP="005055C6">
            <w:pPr>
              <w:jc w:val="left"/>
              <w:rPr>
                <w:rFonts w:ascii="Arial Narrow" w:hAnsi="Arial Narrow"/>
                <w:sz w:val="18"/>
                <w:szCs w:val="18"/>
              </w:rPr>
            </w:pPr>
            <w:r w:rsidRPr="004C267D">
              <w:rPr>
                <w:rFonts w:ascii="Arial Narrow" w:hAnsi="Arial Narrow"/>
                <w:b/>
                <w:sz w:val="18"/>
                <w:szCs w:val="18"/>
              </w:rPr>
              <w:t xml:space="preserve">Category / Program:   </w:t>
            </w:r>
            <w:r w:rsidRPr="004C267D">
              <w:rPr>
                <w:rFonts w:ascii="Arial Narrow" w:hAnsi="Arial Narrow"/>
                <w:sz w:val="18"/>
                <w:szCs w:val="18"/>
              </w:rPr>
              <w:t xml:space="preserve">GENERAL – General Schedule (Code GE) </w:t>
            </w:r>
          </w:p>
          <w:p w14:paraId="37C8F5C9" w14:textId="77777777" w:rsidR="005055C6" w:rsidRPr="004C267D" w:rsidRDefault="005055C6" w:rsidP="005055C6">
            <w:pPr>
              <w:jc w:val="left"/>
              <w:rPr>
                <w:rFonts w:ascii="Arial Narrow" w:hAnsi="Arial Narrow"/>
                <w:sz w:val="18"/>
                <w:szCs w:val="18"/>
              </w:rPr>
            </w:pPr>
          </w:p>
        </w:tc>
      </w:tr>
      <w:tr w:rsidR="005055C6" w:rsidRPr="005055C6" w14:paraId="1052EFEC" w14:textId="77777777" w:rsidTr="00762C7E">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4E8B46DF" w14:textId="77777777" w:rsidR="005055C6" w:rsidRPr="004C267D" w:rsidRDefault="005055C6" w:rsidP="005055C6">
            <w:pPr>
              <w:jc w:val="left"/>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02AAD9B" w14:textId="77777777" w:rsidR="005055C6" w:rsidRPr="004C267D" w:rsidRDefault="005055C6" w:rsidP="005055C6">
            <w:pPr>
              <w:jc w:val="left"/>
              <w:rPr>
                <w:rFonts w:ascii="Arial Narrow" w:hAnsi="Arial Narrow"/>
                <w:b/>
                <w:sz w:val="18"/>
                <w:szCs w:val="18"/>
              </w:rPr>
            </w:pPr>
            <w:r w:rsidRPr="004C267D">
              <w:rPr>
                <w:rFonts w:ascii="Arial Narrow" w:hAnsi="Arial Narrow"/>
                <w:b/>
                <w:sz w:val="18"/>
                <w:szCs w:val="18"/>
              </w:rPr>
              <w:t xml:space="preserve">Prescriber type:   </w:t>
            </w:r>
            <w:r w:rsidRPr="004C267D">
              <w:rPr>
                <w:rFonts w:ascii="Arial Narrow" w:hAnsi="Arial Narrow"/>
                <w:sz w:val="18"/>
                <w:szCs w:val="18"/>
              </w:rPr>
              <w:fldChar w:fldCharType="begin">
                <w:ffData>
                  <w:name w:val=""/>
                  <w:enabled/>
                  <w:calcOnExit w:val="0"/>
                  <w:checkBox>
                    <w:sizeAuto/>
                    <w:default w:val="1"/>
                  </w:checkBox>
                </w:ffData>
              </w:fldChar>
            </w:r>
            <w:r w:rsidRPr="004C267D">
              <w:rPr>
                <w:rFonts w:ascii="Arial Narrow" w:hAnsi="Arial Narrow"/>
                <w:sz w:val="18"/>
                <w:szCs w:val="18"/>
              </w:rPr>
              <w:instrText xml:space="preserve"> FORMCHECKBOX </w:instrText>
            </w:r>
            <w:r w:rsidR="00046698">
              <w:rPr>
                <w:rFonts w:ascii="Arial Narrow" w:hAnsi="Arial Narrow"/>
                <w:sz w:val="18"/>
                <w:szCs w:val="18"/>
              </w:rPr>
            </w:r>
            <w:r w:rsidR="00046698">
              <w:rPr>
                <w:rFonts w:ascii="Arial Narrow" w:hAnsi="Arial Narrow"/>
                <w:sz w:val="18"/>
                <w:szCs w:val="18"/>
              </w:rPr>
              <w:fldChar w:fldCharType="separate"/>
            </w:r>
            <w:r w:rsidRPr="004C267D">
              <w:rPr>
                <w:rFonts w:ascii="Arial Narrow" w:hAnsi="Arial Narrow"/>
                <w:sz w:val="18"/>
                <w:szCs w:val="18"/>
              </w:rPr>
              <w:fldChar w:fldCharType="end"/>
            </w:r>
            <w:r w:rsidRPr="004C267D">
              <w:rPr>
                <w:rFonts w:ascii="Arial Narrow" w:hAnsi="Arial Narrow"/>
                <w:sz w:val="18"/>
                <w:szCs w:val="18"/>
              </w:rPr>
              <w:t xml:space="preserve">Medical Practitioners    </w:t>
            </w:r>
          </w:p>
        </w:tc>
      </w:tr>
      <w:tr w:rsidR="005055C6" w:rsidRPr="005055C6" w14:paraId="296B24D9" w14:textId="77777777" w:rsidTr="00762C7E">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58CAF7B1" w14:textId="77777777" w:rsidR="005055C6" w:rsidRPr="004C267D" w:rsidRDefault="005055C6" w:rsidP="005055C6">
            <w:pPr>
              <w:jc w:val="left"/>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7D8D1BA9" w14:textId="77777777" w:rsidR="005055C6" w:rsidRPr="004C267D" w:rsidRDefault="005055C6" w:rsidP="005055C6">
            <w:pPr>
              <w:jc w:val="left"/>
              <w:rPr>
                <w:rFonts w:ascii="Arial Narrow" w:hAnsi="Arial Narrow"/>
                <w:b/>
                <w:sz w:val="18"/>
                <w:szCs w:val="18"/>
              </w:rPr>
            </w:pPr>
            <w:r w:rsidRPr="004C267D">
              <w:rPr>
                <w:rFonts w:ascii="Arial Narrow" w:hAnsi="Arial Narrow"/>
                <w:b/>
                <w:sz w:val="18"/>
                <w:szCs w:val="18"/>
              </w:rPr>
              <w:t xml:space="preserve">Restriction type: </w:t>
            </w:r>
            <w:r w:rsidRPr="004C267D">
              <w:rPr>
                <w:rFonts w:ascii="Arial Narrow" w:hAnsi="Arial Narrow"/>
                <w:sz w:val="18"/>
                <w:szCs w:val="18"/>
              </w:rPr>
              <w:fldChar w:fldCharType="begin">
                <w:ffData>
                  <w:name w:val=""/>
                  <w:enabled/>
                  <w:calcOnExit w:val="0"/>
                  <w:checkBox>
                    <w:sizeAuto/>
                    <w:default w:val="1"/>
                  </w:checkBox>
                </w:ffData>
              </w:fldChar>
            </w:r>
            <w:r w:rsidRPr="004C267D">
              <w:rPr>
                <w:rFonts w:ascii="Arial Narrow" w:hAnsi="Arial Narrow"/>
                <w:sz w:val="18"/>
                <w:szCs w:val="18"/>
              </w:rPr>
              <w:instrText xml:space="preserve"> FORMCHECKBOX </w:instrText>
            </w:r>
            <w:r w:rsidR="00046698">
              <w:rPr>
                <w:rFonts w:ascii="Arial Narrow" w:hAnsi="Arial Narrow"/>
                <w:sz w:val="18"/>
                <w:szCs w:val="18"/>
              </w:rPr>
            </w:r>
            <w:r w:rsidR="00046698">
              <w:rPr>
                <w:rFonts w:ascii="Arial Narrow" w:hAnsi="Arial Narrow"/>
                <w:sz w:val="18"/>
                <w:szCs w:val="18"/>
              </w:rPr>
              <w:fldChar w:fldCharType="separate"/>
            </w:r>
            <w:r w:rsidRPr="004C267D">
              <w:rPr>
                <w:rFonts w:ascii="Arial Narrow" w:hAnsi="Arial Narrow"/>
                <w:sz w:val="18"/>
                <w:szCs w:val="18"/>
              </w:rPr>
              <w:fldChar w:fldCharType="end"/>
            </w:r>
            <w:r w:rsidRPr="004C267D">
              <w:rPr>
                <w:rFonts w:ascii="Arial Narrow" w:hAnsi="Arial Narrow"/>
                <w:sz w:val="18"/>
                <w:szCs w:val="18"/>
              </w:rPr>
              <w:t xml:space="preserve">Authority Required (Streamlined) </w:t>
            </w:r>
            <w:r w:rsidRPr="004C267D">
              <w:rPr>
                <w:rFonts w:ascii="Arial Narrow" w:hAnsi="Arial Narrow"/>
                <w:i/>
                <w:sz w:val="18"/>
                <w:szCs w:val="18"/>
              </w:rPr>
              <w:t>[amendment to existing code]</w:t>
            </w:r>
            <w:r w:rsidRPr="004C267D">
              <w:rPr>
                <w:rFonts w:ascii="Arial Narrow" w:hAnsi="Arial Narrow"/>
                <w:sz w:val="18"/>
                <w:szCs w:val="18"/>
              </w:rPr>
              <w:t xml:space="preserve"> </w:t>
            </w:r>
          </w:p>
        </w:tc>
      </w:tr>
      <w:tr w:rsidR="005055C6" w:rsidRPr="005055C6" w14:paraId="4D7CA9E1" w14:textId="77777777" w:rsidTr="00762C7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tcBorders>
          </w:tcPr>
          <w:p w14:paraId="0E715574"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7606</w:t>
            </w:r>
          </w:p>
        </w:tc>
        <w:tc>
          <w:tcPr>
            <w:tcW w:w="8086" w:type="dxa"/>
            <w:gridSpan w:val="6"/>
            <w:vAlign w:val="center"/>
          </w:tcPr>
          <w:p w14:paraId="2CE7F498" w14:textId="77777777" w:rsidR="005055C6" w:rsidRPr="004C267D" w:rsidRDefault="005055C6" w:rsidP="005055C6">
            <w:pPr>
              <w:jc w:val="left"/>
              <w:rPr>
                <w:rFonts w:ascii="Arial Narrow" w:hAnsi="Arial Narrow"/>
                <w:sz w:val="18"/>
                <w:szCs w:val="18"/>
              </w:rPr>
            </w:pPr>
            <w:r w:rsidRPr="004C267D">
              <w:rPr>
                <w:rFonts w:ascii="Arial Narrow" w:hAnsi="Arial Narrow"/>
                <w:b/>
                <w:bCs/>
                <w:sz w:val="18"/>
                <w:szCs w:val="18"/>
              </w:rPr>
              <w:t>Administrative Advice:</w:t>
            </w:r>
          </w:p>
          <w:p w14:paraId="599F4090"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No increase in the maximum quantity or number of units may be authorised.</w:t>
            </w:r>
          </w:p>
        </w:tc>
      </w:tr>
      <w:tr w:rsidR="005055C6" w:rsidRPr="005055C6" w14:paraId="13C03982" w14:textId="77777777" w:rsidTr="00762C7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tcBorders>
          </w:tcPr>
          <w:p w14:paraId="428E0736"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7607</w:t>
            </w:r>
          </w:p>
        </w:tc>
        <w:tc>
          <w:tcPr>
            <w:tcW w:w="8086" w:type="dxa"/>
            <w:gridSpan w:val="6"/>
            <w:vAlign w:val="center"/>
          </w:tcPr>
          <w:p w14:paraId="5DB780BA" w14:textId="77777777" w:rsidR="005055C6" w:rsidRPr="004C267D" w:rsidRDefault="005055C6" w:rsidP="005055C6">
            <w:pPr>
              <w:jc w:val="left"/>
              <w:rPr>
                <w:rFonts w:ascii="Arial Narrow" w:hAnsi="Arial Narrow"/>
                <w:sz w:val="18"/>
                <w:szCs w:val="18"/>
              </w:rPr>
            </w:pPr>
            <w:r w:rsidRPr="004C267D">
              <w:rPr>
                <w:rFonts w:ascii="Arial Narrow" w:hAnsi="Arial Narrow"/>
                <w:b/>
                <w:bCs/>
                <w:sz w:val="18"/>
                <w:szCs w:val="18"/>
              </w:rPr>
              <w:t>Administrative Advice</w:t>
            </w:r>
          </w:p>
          <w:p w14:paraId="63D23ECD"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No increase in the maximum number of repeats may be authorised.</w:t>
            </w:r>
          </w:p>
        </w:tc>
      </w:tr>
      <w:tr w:rsidR="005055C6" w:rsidRPr="005055C6" w14:paraId="3445087A" w14:textId="77777777" w:rsidTr="00762C7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tcBorders>
          </w:tcPr>
          <w:p w14:paraId="506AED71"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7608</w:t>
            </w:r>
          </w:p>
        </w:tc>
        <w:tc>
          <w:tcPr>
            <w:tcW w:w="8086" w:type="dxa"/>
            <w:gridSpan w:val="6"/>
            <w:vAlign w:val="center"/>
          </w:tcPr>
          <w:p w14:paraId="3123F140" w14:textId="77777777" w:rsidR="005055C6" w:rsidRPr="004C267D" w:rsidRDefault="005055C6" w:rsidP="005055C6">
            <w:pPr>
              <w:jc w:val="left"/>
              <w:rPr>
                <w:rFonts w:ascii="Arial Narrow" w:hAnsi="Arial Narrow"/>
                <w:b/>
                <w:bCs/>
                <w:sz w:val="18"/>
                <w:szCs w:val="18"/>
              </w:rPr>
            </w:pPr>
            <w:r w:rsidRPr="004C267D">
              <w:rPr>
                <w:rFonts w:ascii="Arial Narrow" w:hAnsi="Arial Narrow"/>
                <w:b/>
                <w:bCs/>
                <w:sz w:val="18"/>
                <w:szCs w:val="18"/>
              </w:rPr>
              <w:t>Administrative Advice:</w:t>
            </w:r>
          </w:p>
          <w:p w14:paraId="4AEAFEFD" w14:textId="77777777" w:rsidR="005055C6" w:rsidRPr="004C267D" w:rsidRDefault="005055C6" w:rsidP="005055C6">
            <w:pPr>
              <w:jc w:val="left"/>
              <w:rPr>
                <w:rFonts w:ascii="Arial Narrow" w:hAnsi="Arial Narrow"/>
                <w:bCs/>
                <w:sz w:val="18"/>
                <w:szCs w:val="18"/>
              </w:rPr>
            </w:pPr>
            <w:r w:rsidRPr="004C267D">
              <w:rPr>
                <w:rFonts w:ascii="Arial Narrow" w:hAnsi="Arial Narrow"/>
                <w:sz w:val="18"/>
                <w:szCs w:val="18"/>
              </w:rPr>
              <w:t>Special Pricing Arrangements apply.</w:t>
            </w:r>
          </w:p>
        </w:tc>
      </w:tr>
      <w:tr w:rsidR="005055C6" w:rsidRPr="005055C6" w14:paraId="1C5318E8"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5762FE9F"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[new]</w:t>
            </w:r>
          </w:p>
        </w:tc>
        <w:tc>
          <w:tcPr>
            <w:tcW w:w="8086" w:type="dxa"/>
            <w:gridSpan w:val="6"/>
            <w:vAlign w:val="center"/>
            <w:hideMark/>
          </w:tcPr>
          <w:p w14:paraId="0BCEEC7C" w14:textId="083E4769" w:rsidR="005055C6" w:rsidRPr="004C267D" w:rsidRDefault="005055C6" w:rsidP="00294BC8">
            <w:pPr>
              <w:jc w:val="left"/>
              <w:rPr>
                <w:rFonts w:ascii="Arial Narrow" w:hAnsi="Arial Narrow"/>
                <w:sz w:val="18"/>
                <w:szCs w:val="18"/>
              </w:rPr>
            </w:pPr>
            <w:r w:rsidRPr="004C267D">
              <w:rPr>
                <w:rFonts w:ascii="Arial Narrow" w:hAnsi="Arial Narrow"/>
                <w:b/>
                <w:bCs/>
                <w:sz w:val="18"/>
                <w:szCs w:val="18"/>
              </w:rPr>
              <w:t>Indication:</w:t>
            </w:r>
            <w:r w:rsidRPr="004C267D">
              <w:rPr>
                <w:rFonts w:ascii="Arial Narrow" w:hAnsi="Arial Narrow"/>
                <w:sz w:val="18"/>
                <w:szCs w:val="18"/>
              </w:rPr>
              <w:t xml:space="preserve"> </w:t>
            </w:r>
            <w:r w:rsidRPr="00294BC8">
              <w:rPr>
                <w:rFonts w:ascii="Arial Narrow" w:hAnsi="Arial Narrow"/>
                <w:sz w:val="18"/>
                <w:szCs w:val="18"/>
              </w:rPr>
              <w:t>Treatment-resistant</w:t>
            </w:r>
            <w:r w:rsidRPr="004C267D">
              <w:rPr>
                <w:rFonts w:ascii="Arial Narrow" w:hAnsi="Arial Narrow"/>
                <w:sz w:val="18"/>
                <w:szCs w:val="18"/>
              </w:rPr>
              <w:t xml:space="preserve"> migraine</w:t>
            </w:r>
          </w:p>
        </w:tc>
      </w:tr>
      <w:tr w:rsidR="005055C6" w:rsidRPr="005055C6" w14:paraId="1591BE77"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3AEF372D" w14:textId="77777777" w:rsidR="005055C6" w:rsidRPr="004C267D" w:rsidRDefault="005055C6" w:rsidP="005055C6">
            <w:pPr>
              <w:jc w:val="left"/>
              <w:rPr>
                <w:rFonts w:ascii="Arial Narrow" w:hAnsi="Arial Narrow"/>
                <w:sz w:val="18"/>
                <w:szCs w:val="18"/>
              </w:rPr>
            </w:pPr>
          </w:p>
        </w:tc>
        <w:tc>
          <w:tcPr>
            <w:tcW w:w="8086" w:type="dxa"/>
            <w:gridSpan w:val="6"/>
            <w:vAlign w:val="center"/>
            <w:hideMark/>
          </w:tcPr>
          <w:p w14:paraId="06248A59" w14:textId="77777777" w:rsidR="005055C6" w:rsidRPr="004C267D" w:rsidRDefault="005055C6" w:rsidP="005055C6">
            <w:pPr>
              <w:jc w:val="left"/>
              <w:rPr>
                <w:rFonts w:ascii="Arial Narrow" w:hAnsi="Arial Narrow"/>
                <w:sz w:val="18"/>
                <w:szCs w:val="18"/>
              </w:rPr>
            </w:pPr>
            <w:r w:rsidRPr="004C267D">
              <w:rPr>
                <w:rFonts w:ascii="Arial Narrow" w:hAnsi="Arial Narrow"/>
                <w:b/>
                <w:bCs/>
                <w:sz w:val="18"/>
                <w:szCs w:val="18"/>
              </w:rPr>
              <w:t>Treatment Phase:</w:t>
            </w:r>
            <w:r w:rsidRPr="004C267D">
              <w:rPr>
                <w:rFonts w:ascii="Arial Narrow" w:hAnsi="Arial Narrow"/>
                <w:sz w:val="18"/>
                <w:szCs w:val="18"/>
              </w:rPr>
              <w:t xml:space="preserve"> </w:t>
            </w:r>
          </w:p>
          <w:p w14:paraId="42DC395F" w14:textId="77777777" w:rsidR="005055C6" w:rsidRPr="004C267D" w:rsidRDefault="005055C6" w:rsidP="005055C6">
            <w:pPr>
              <w:jc w:val="left"/>
              <w:rPr>
                <w:rFonts w:ascii="Arial Narrow" w:hAnsi="Arial Narrow"/>
                <w:sz w:val="18"/>
                <w:szCs w:val="18"/>
              </w:rPr>
            </w:pPr>
            <w:r w:rsidRPr="004C267D">
              <w:rPr>
                <w:rFonts w:ascii="Arial Narrow" w:hAnsi="Arial Narrow"/>
                <w:bCs/>
                <w:sz w:val="18"/>
                <w:szCs w:val="18"/>
              </w:rPr>
              <w:t>Continuing treatment</w:t>
            </w:r>
            <w:r w:rsidRPr="004C267D">
              <w:rPr>
                <w:rFonts w:ascii="Arial Narrow" w:hAnsi="Arial Narrow"/>
                <w:sz w:val="18"/>
                <w:szCs w:val="18"/>
              </w:rPr>
              <w:t xml:space="preserve">     </w:t>
            </w:r>
          </w:p>
        </w:tc>
      </w:tr>
      <w:tr w:rsidR="005055C6" w:rsidRPr="005055C6" w14:paraId="44CCA17B"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344A39D"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4B458358" w14:textId="77777777" w:rsidR="005055C6" w:rsidRPr="004C267D" w:rsidRDefault="005055C6" w:rsidP="005055C6">
            <w:pPr>
              <w:jc w:val="left"/>
              <w:rPr>
                <w:rFonts w:ascii="Arial Narrow" w:hAnsi="Arial Narrow"/>
                <w:b/>
                <w:bCs/>
                <w:sz w:val="18"/>
                <w:szCs w:val="18"/>
              </w:rPr>
            </w:pPr>
            <w:r w:rsidRPr="004C267D">
              <w:rPr>
                <w:rFonts w:ascii="Arial Narrow" w:hAnsi="Arial Narrow"/>
                <w:b/>
                <w:sz w:val="18"/>
                <w:szCs w:val="18"/>
              </w:rPr>
              <w:t>Treatment criteria:</w:t>
            </w:r>
          </w:p>
        </w:tc>
      </w:tr>
      <w:tr w:rsidR="005055C6" w:rsidRPr="005055C6" w14:paraId="6819E99E"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5BD5B4" w14:textId="064C5050" w:rsidR="005055C6" w:rsidRPr="004C267D" w:rsidRDefault="00EC16D7" w:rsidP="005055C6">
            <w:pPr>
              <w:jc w:val="left"/>
              <w:rPr>
                <w:rFonts w:ascii="Arial Narrow" w:hAnsi="Arial Narrow"/>
                <w:sz w:val="18"/>
                <w:szCs w:val="18"/>
              </w:rPr>
            </w:pPr>
            <w:r>
              <w:rPr>
                <w:rFonts w:ascii="Arial Narrow" w:hAnsi="Arial Narrow"/>
                <w:sz w:val="18"/>
                <w:szCs w:val="18"/>
              </w:rPr>
              <w:t xml:space="preserve">Amend </w:t>
            </w:r>
            <w:r w:rsidR="005055C6" w:rsidRPr="004C267D">
              <w:rPr>
                <w:rFonts w:ascii="Arial Narrow" w:hAnsi="Arial Narrow"/>
                <w:sz w:val="18"/>
                <w:szCs w:val="18"/>
              </w:rPr>
              <w:t>24912</w:t>
            </w:r>
          </w:p>
        </w:tc>
        <w:tc>
          <w:tcPr>
            <w:tcW w:w="8086" w:type="dxa"/>
            <w:gridSpan w:val="6"/>
            <w:vAlign w:val="center"/>
          </w:tcPr>
          <w:p w14:paraId="53225B6B" w14:textId="4E8DC59A" w:rsidR="005055C6" w:rsidRPr="004C267D" w:rsidRDefault="005055C6" w:rsidP="00EC16D7">
            <w:pPr>
              <w:jc w:val="left"/>
              <w:rPr>
                <w:rFonts w:ascii="Arial Narrow" w:hAnsi="Arial Narrow"/>
                <w:b/>
                <w:bCs/>
                <w:sz w:val="18"/>
                <w:szCs w:val="18"/>
              </w:rPr>
            </w:pPr>
            <w:r w:rsidRPr="004C267D">
              <w:rPr>
                <w:rFonts w:ascii="Arial Narrow" w:hAnsi="Arial Narrow"/>
                <w:sz w:val="18"/>
                <w:szCs w:val="18"/>
              </w:rPr>
              <w:t>Must be treated by a neurologist or in consultation with a neurologist</w:t>
            </w:r>
          </w:p>
        </w:tc>
      </w:tr>
      <w:tr w:rsidR="005055C6" w:rsidRPr="005055C6" w14:paraId="00554E43"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52432C2"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18BC0695" w14:textId="77777777" w:rsidR="005055C6" w:rsidRPr="004C267D" w:rsidRDefault="005055C6" w:rsidP="005055C6">
            <w:pPr>
              <w:jc w:val="left"/>
              <w:rPr>
                <w:rFonts w:ascii="Arial Narrow" w:hAnsi="Arial Narrow"/>
                <w:b/>
                <w:bCs/>
                <w:sz w:val="18"/>
                <w:szCs w:val="18"/>
              </w:rPr>
            </w:pPr>
            <w:r w:rsidRPr="004C267D">
              <w:rPr>
                <w:rFonts w:ascii="Arial Narrow" w:hAnsi="Arial Narrow"/>
                <w:b/>
                <w:bCs/>
                <w:sz w:val="18"/>
                <w:szCs w:val="18"/>
              </w:rPr>
              <w:t>AND</w:t>
            </w:r>
          </w:p>
        </w:tc>
      </w:tr>
      <w:tr w:rsidR="005055C6" w:rsidRPr="005055C6" w14:paraId="198C80BA"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3A8026E"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3F72289A" w14:textId="77777777" w:rsidR="005055C6" w:rsidRPr="004C267D" w:rsidRDefault="005055C6" w:rsidP="005055C6">
            <w:pPr>
              <w:jc w:val="left"/>
              <w:rPr>
                <w:rFonts w:ascii="Arial Narrow" w:hAnsi="Arial Narrow"/>
                <w:b/>
                <w:bCs/>
                <w:sz w:val="18"/>
                <w:szCs w:val="18"/>
              </w:rPr>
            </w:pPr>
            <w:r w:rsidRPr="004C267D">
              <w:rPr>
                <w:rFonts w:ascii="Arial Narrow" w:hAnsi="Arial Narrow"/>
                <w:b/>
                <w:sz w:val="18"/>
                <w:szCs w:val="18"/>
              </w:rPr>
              <w:t>Treatment criteria:</w:t>
            </w:r>
          </w:p>
        </w:tc>
      </w:tr>
      <w:tr w:rsidR="005055C6" w:rsidRPr="005055C6" w14:paraId="74214E21"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E331ECF"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27610</w:t>
            </w:r>
          </w:p>
        </w:tc>
        <w:tc>
          <w:tcPr>
            <w:tcW w:w="8086" w:type="dxa"/>
            <w:gridSpan w:val="6"/>
            <w:vAlign w:val="center"/>
          </w:tcPr>
          <w:p w14:paraId="4A31D0BA"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Patient must not be undergoing concurrent treatment with the following PBS benefits: (</w:t>
            </w:r>
            <w:proofErr w:type="spellStart"/>
            <w:r w:rsidRPr="004C267D">
              <w:rPr>
                <w:rFonts w:ascii="Arial Narrow" w:hAnsi="Arial Narrow"/>
                <w:sz w:val="18"/>
                <w:szCs w:val="18"/>
              </w:rPr>
              <w:t>i</w:t>
            </w:r>
            <w:proofErr w:type="spellEnd"/>
            <w:r w:rsidRPr="004C267D">
              <w:rPr>
                <w:rFonts w:ascii="Arial Narrow" w:hAnsi="Arial Narrow"/>
                <w:sz w:val="18"/>
                <w:szCs w:val="18"/>
              </w:rPr>
              <w:t>) botulinum toxin type A listed for this PBS indication, (ii) another drug in the same pharmacological class as this drug listed for this PBS indication</w:t>
            </w:r>
          </w:p>
        </w:tc>
      </w:tr>
      <w:tr w:rsidR="005055C6" w:rsidRPr="005055C6" w14:paraId="59834F4B"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CBF2AAB"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0CD4C481" w14:textId="77777777" w:rsidR="005055C6" w:rsidRPr="004C267D" w:rsidRDefault="005055C6" w:rsidP="005055C6">
            <w:pPr>
              <w:jc w:val="left"/>
              <w:rPr>
                <w:rFonts w:ascii="Arial Narrow" w:hAnsi="Arial Narrow"/>
                <w:b/>
                <w:bCs/>
                <w:sz w:val="18"/>
                <w:szCs w:val="18"/>
              </w:rPr>
            </w:pPr>
            <w:r w:rsidRPr="004C267D">
              <w:rPr>
                <w:rFonts w:ascii="Arial Narrow" w:hAnsi="Arial Narrow"/>
                <w:b/>
                <w:bCs/>
                <w:sz w:val="18"/>
                <w:szCs w:val="18"/>
              </w:rPr>
              <w:t>AND</w:t>
            </w:r>
          </w:p>
        </w:tc>
      </w:tr>
      <w:tr w:rsidR="005055C6" w:rsidRPr="005055C6" w14:paraId="2F01A49A"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D85E68F"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34EACE85" w14:textId="77777777" w:rsidR="005055C6" w:rsidRPr="004C267D" w:rsidRDefault="005055C6" w:rsidP="005055C6">
            <w:pPr>
              <w:jc w:val="left"/>
              <w:rPr>
                <w:rFonts w:ascii="Arial Narrow" w:hAnsi="Arial Narrow"/>
                <w:b/>
                <w:sz w:val="18"/>
                <w:szCs w:val="18"/>
              </w:rPr>
            </w:pPr>
            <w:r w:rsidRPr="004C267D">
              <w:rPr>
                <w:rFonts w:ascii="Arial Narrow" w:hAnsi="Arial Narrow"/>
                <w:b/>
                <w:sz w:val="18"/>
                <w:szCs w:val="18"/>
              </w:rPr>
              <w:t>Clinical criteria:</w:t>
            </w:r>
          </w:p>
        </w:tc>
      </w:tr>
      <w:tr w:rsidR="005055C6" w:rsidRPr="005055C6" w14:paraId="5B5F83E5"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D146B14"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11364</w:t>
            </w:r>
          </w:p>
        </w:tc>
        <w:tc>
          <w:tcPr>
            <w:tcW w:w="8086" w:type="dxa"/>
            <w:gridSpan w:val="6"/>
            <w:vAlign w:val="center"/>
          </w:tcPr>
          <w:p w14:paraId="435CD4E1" w14:textId="77777777" w:rsidR="005055C6" w:rsidRPr="004C267D" w:rsidRDefault="005055C6" w:rsidP="005055C6">
            <w:pPr>
              <w:jc w:val="left"/>
              <w:rPr>
                <w:rFonts w:ascii="Arial Narrow" w:hAnsi="Arial Narrow"/>
                <w:b/>
                <w:bCs/>
                <w:sz w:val="18"/>
                <w:szCs w:val="18"/>
              </w:rPr>
            </w:pPr>
            <w:r w:rsidRPr="004C267D">
              <w:rPr>
                <w:rFonts w:ascii="Arial Narrow" w:hAnsi="Arial Narrow"/>
                <w:sz w:val="18"/>
                <w:szCs w:val="18"/>
              </w:rPr>
              <w:t>Patient must have previously received PBS-subsidised treatment with this drug for this condition</w:t>
            </w:r>
          </w:p>
        </w:tc>
      </w:tr>
      <w:tr w:rsidR="005055C6" w:rsidRPr="005055C6" w14:paraId="7A88D7B6"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A53BEF5"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79D1A3E1" w14:textId="77777777" w:rsidR="005055C6" w:rsidRPr="004C267D" w:rsidRDefault="005055C6" w:rsidP="005055C6">
            <w:pPr>
              <w:jc w:val="left"/>
              <w:rPr>
                <w:rFonts w:ascii="Arial Narrow" w:hAnsi="Arial Narrow"/>
                <w:b/>
                <w:bCs/>
                <w:sz w:val="18"/>
                <w:szCs w:val="18"/>
              </w:rPr>
            </w:pPr>
            <w:r w:rsidRPr="004C267D">
              <w:rPr>
                <w:rFonts w:ascii="Arial Narrow" w:hAnsi="Arial Narrow"/>
                <w:b/>
                <w:bCs/>
                <w:sz w:val="18"/>
                <w:szCs w:val="18"/>
              </w:rPr>
              <w:t>AND</w:t>
            </w:r>
          </w:p>
        </w:tc>
      </w:tr>
      <w:tr w:rsidR="005055C6" w:rsidRPr="005055C6" w14:paraId="62095949"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EC84D63"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154DBAF0" w14:textId="77777777" w:rsidR="005055C6" w:rsidRPr="004C267D" w:rsidRDefault="005055C6" w:rsidP="005055C6">
            <w:pPr>
              <w:jc w:val="left"/>
              <w:rPr>
                <w:rFonts w:ascii="Arial Narrow" w:hAnsi="Arial Narrow"/>
                <w:b/>
                <w:bCs/>
                <w:sz w:val="18"/>
                <w:szCs w:val="18"/>
              </w:rPr>
            </w:pPr>
            <w:r w:rsidRPr="004C267D">
              <w:rPr>
                <w:rFonts w:ascii="Arial Narrow" w:hAnsi="Arial Narrow"/>
                <w:b/>
                <w:sz w:val="18"/>
                <w:szCs w:val="18"/>
              </w:rPr>
              <w:t>Clinical criteria:</w:t>
            </w:r>
          </w:p>
        </w:tc>
      </w:tr>
      <w:tr w:rsidR="005055C6" w:rsidRPr="005055C6" w14:paraId="5BBDE860"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BB32608"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25161</w:t>
            </w:r>
          </w:p>
        </w:tc>
        <w:tc>
          <w:tcPr>
            <w:tcW w:w="8086" w:type="dxa"/>
            <w:gridSpan w:val="6"/>
            <w:vAlign w:val="center"/>
          </w:tcPr>
          <w:p w14:paraId="42C6B295"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Patient must have achieved and maintained a 50% or greater reduction from baseline in the number of migraine days per month</w:t>
            </w:r>
          </w:p>
        </w:tc>
      </w:tr>
      <w:tr w:rsidR="005055C6" w:rsidRPr="005055C6" w14:paraId="654CCFD9"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F889A72"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5699CCA6" w14:textId="77777777" w:rsidR="005055C6" w:rsidRPr="004C267D" w:rsidRDefault="005055C6" w:rsidP="005055C6">
            <w:pPr>
              <w:jc w:val="left"/>
              <w:rPr>
                <w:rFonts w:ascii="Arial Narrow" w:hAnsi="Arial Narrow"/>
                <w:b/>
                <w:bCs/>
                <w:sz w:val="18"/>
                <w:szCs w:val="18"/>
              </w:rPr>
            </w:pPr>
            <w:r w:rsidRPr="004C267D">
              <w:rPr>
                <w:rFonts w:ascii="Arial Narrow" w:hAnsi="Arial Narrow"/>
                <w:b/>
                <w:bCs/>
                <w:sz w:val="18"/>
                <w:szCs w:val="18"/>
              </w:rPr>
              <w:t>AND</w:t>
            </w:r>
          </w:p>
        </w:tc>
      </w:tr>
      <w:tr w:rsidR="005055C6" w:rsidRPr="005055C6" w14:paraId="7F6F0149"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ECEA5FA"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68C2421B" w14:textId="77777777" w:rsidR="005055C6" w:rsidRPr="004C267D" w:rsidRDefault="005055C6" w:rsidP="005055C6">
            <w:pPr>
              <w:jc w:val="left"/>
              <w:rPr>
                <w:rFonts w:ascii="Arial Narrow" w:hAnsi="Arial Narrow"/>
                <w:b/>
                <w:bCs/>
                <w:sz w:val="18"/>
                <w:szCs w:val="18"/>
              </w:rPr>
            </w:pPr>
            <w:r w:rsidRPr="004C267D">
              <w:rPr>
                <w:rFonts w:ascii="Arial Narrow" w:hAnsi="Arial Narrow"/>
                <w:b/>
                <w:sz w:val="18"/>
                <w:szCs w:val="18"/>
              </w:rPr>
              <w:t>Clinical criteria:</w:t>
            </w:r>
          </w:p>
        </w:tc>
      </w:tr>
      <w:tr w:rsidR="005055C6" w:rsidRPr="005055C6" w14:paraId="58BED4C1" w14:textId="77777777" w:rsidTr="00762C7E">
        <w:tblPrEx>
          <w:tblCellMar>
            <w:top w:w="15" w:type="dxa"/>
            <w:left w:w="15" w:type="dxa"/>
            <w:bottom w:w="15" w:type="dxa"/>
            <w:right w:w="15" w:type="dxa"/>
          </w:tblCellMar>
          <w:tblLook w:val="04A0" w:firstRow="1" w:lastRow="0" w:firstColumn="1" w:lastColumn="0" w:noHBand="0" w:noVBand="1"/>
        </w:tblPrEx>
        <w:trPr>
          <w:trHeight w:val="373"/>
        </w:trPr>
        <w:tc>
          <w:tcPr>
            <w:tcW w:w="981" w:type="dxa"/>
            <w:vAlign w:val="center"/>
          </w:tcPr>
          <w:p w14:paraId="60915AE8"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25163</w:t>
            </w:r>
          </w:p>
        </w:tc>
        <w:tc>
          <w:tcPr>
            <w:tcW w:w="8086" w:type="dxa"/>
            <w:gridSpan w:val="6"/>
            <w:vAlign w:val="center"/>
          </w:tcPr>
          <w:p w14:paraId="43596D31"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Patient must continue to be appropriately managed for medication overuse headache</w:t>
            </w:r>
          </w:p>
        </w:tc>
      </w:tr>
      <w:tr w:rsidR="005055C6" w:rsidRPr="005055C6" w14:paraId="12A19C2E"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BF4D5CB"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6ABA92E0" w14:textId="77777777" w:rsidR="005055C6" w:rsidRPr="004C267D" w:rsidRDefault="005055C6" w:rsidP="005055C6">
            <w:pPr>
              <w:jc w:val="left"/>
              <w:rPr>
                <w:rFonts w:ascii="Arial Narrow" w:hAnsi="Arial Narrow"/>
                <w:b/>
                <w:bCs/>
                <w:sz w:val="18"/>
                <w:szCs w:val="18"/>
              </w:rPr>
            </w:pPr>
            <w:r w:rsidRPr="004C267D">
              <w:rPr>
                <w:rFonts w:ascii="Arial Narrow" w:hAnsi="Arial Narrow"/>
                <w:b/>
                <w:bCs/>
                <w:sz w:val="18"/>
                <w:szCs w:val="18"/>
              </w:rPr>
              <w:t>AND</w:t>
            </w:r>
          </w:p>
        </w:tc>
      </w:tr>
      <w:tr w:rsidR="005055C6" w:rsidRPr="005055C6" w14:paraId="3A3F671D"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CF14D67"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30334734" w14:textId="77777777" w:rsidR="005055C6" w:rsidRPr="004C267D" w:rsidRDefault="005055C6" w:rsidP="005055C6">
            <w:pPr>
              <w:jc w:val="left"/>
              <w:rPr>
                <w:rFonts w:ascii="Arial Narrow" w:hAnsi="Arial Narrow"/>
                <w:b/>
                <w:bCs/>
                <w:sz w:val="18"/>
                <w:szCs w:val="18"/>
              </w:rPr>
            </w:pPr>
            <w:r w:rsidRPr="004C267D">
              <w:rPr>
                <w:rFonts w:ascii="Arial Narrow" w:hAnsi="Arial Narrow"/>
                <w:b/>
                <w:bCs/>
                <w:sz w:val="18"/>
                <w:szCs w:val="18"/>
              </w:rPr>
              <w:t>AND</w:t>
            </w:r>
          </w:p>
        </w:tc>
      </w:tr>
      <w:tr w:rsidR="005055C6" w:rsidRPr="005055C6" w14:paraId="688D7AEF"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D63997B" w14:textId="77777777" w:rsidR="005055C6" w:rsidRPr="004C267D" w:rsidRDefault="005055C6" w:rsidP="005055C6">
            <w:pPr>
              <w:jc w:val="left"/>
              <w:rPr>
                <w:rFonts w:ascii="Arial Narrow" w:hAnsi="Arial Narrow"/>
                <w:sz w:val="18"/>
                <w:szCs w:val="18"/>
              </w:rPr>
            </w:pPr>
          </w:p>
        </w:tc>
        <w:tc>
          <w:tcPr>
            <w:tcW w:w="8086" w:type="dxa"/>
            <w:gridSpan w:val="6"/>
            <w:vAlign w:val="center"/>
          </w:tcPr>
          <w:p w14:paraId="6103C445" w14:textId="77777777" w:rsidR="005055C6" w:rsidRPr="004C267D" w:rsidRDefault="005055C6" w:rsidP="005055C6">
            <w:pPr>
              <w:jc w:val="left"/>
              <w:rPr>
                <w:rFonts w:ascii="Arial Narrow" w:hAnsi="Arial Narrow"/>
                <w:b/>
                <w:bCs/>
                <w:sz w:val="18"/>
                <w:szCs w:val="18"/>
              </w:rPr>
            </w:pPr>
            <w:r w:rsidRPr="004C267D">
              <w:rPr>
                <w:rFonts w:ascii="Arial Narrow" w:hAnsi="Arial Narrow"/>
                <w:b/>
                <w:bCs/>
                <w:sz w:val="18"/>
                <w:szCs w:val="18"/>
              </w:rPr>
              <w:t>Prescribing instructions:</w:t>
            </w:r>
          </w:p>
        </w:tc>
      </w:tr>
      <w:tr w:rsidR="005055C6" w:rsidRPr="005055C6" w14:paraId="2CA18FBF" w14:textId="77777777" w:rsidTr="00762C7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6B203EF" w14:textId="77777777" w:rsidR="005055C6" w:rsidRPr="004C267D" w:rsidRDefault="005055C6" w:rsidP="005055C6">
            <w:pPr>
              <w:jc w:val="left"/>
              <w:rPr>
                <w:rFonts w:ascii="Arial Narrow" w:hAnsi="Arial Narrow"/>
                <w:sz w:val="18"/>
                <w:szCs w:val="18"/>
              </w:rPr>
            </w:pPr>
            <w:r w:rsidRPr="004C267D">
              <w:rPr>
                <w:rFonts w:ascii="Arial Narrow" w:hAnsi="Arial Narrow"/>
                <w:sz w:val="18"/>
                <w:szCs w:val="18"/>
              </w:rPr>
              <w:t>26201</w:t>
            </w:r>
          </w:p>
        </w:tc>
        <w:tc>
          <w:tcPr>
            <w:tcW w:w="8086" w:type="dxa"/>
            <w:gridSpan w:val="6"/>
            <w:vAlign w:val="center"/>
          </w:tcPr>
          <w:p w14:paraId="464DAAE3" w14:textId="77777777" w:rsidR="005055C6" w:rsidRPr="004C267D" w:rsidRDefault="005055C6" w:rsidP="005055C6">
            <w:pPr>
              <w:jc w:val="left"/>
              <w:rPr>
                <w:rFonts w:ascii="Arial Narrow" w:hAnsi="Arial Narrow"/>
                <w:b/>
                <w:bCs/>
                <w:sz w:val="18"/>
                <w:szCs w:val="18"/>
              </w:rPr>
            </w:pPr>
            <w:r w:rsidRPr="004C267D">
              <w:rPr>
                <w:rFonts w:ascii="Arial Narrow" w:hAnsi="Arial Narrow"/>
                <w:sz w:val="18"/>
                <w:szCs w:val="18"/>
              </w:rPr>
              <w:t>Patient must have the number of migraine days per month documented in their medical records.</w:t>
            </w:r>
          </w:p>
        </w:tc>
      </w:tr>
    </w:tbl>
    <w:p w14:paraId="4D145E97" w14:textId="77777777" w:rsidR="005055C6" w:rsidRPr="005055C6" w:rsidRDefault="005055C6" w:rsidP="005055C6">
      <w:pPr>
        <w:jc w:val="left"/>
      </w:pPr>
    </w:p>
    <w:p w14:paraId="19D11D27" w14:textId="68E206F1" w:rsidR="0000788A" w:rsidRDefault="0000788A" w:rsidP="00962E43">
      <w:pPr>
        <w:jc w:val="left"/>
        <w:rPr>
          <w:rFonts w:asciiTheme="minorHAnsi" w:hAnsiTheme="minorHAnsi"/>
          <w:snapToGrid w:val="0"/>
        </w:rPr>
      </w:pPr>
    </w:p>
    <w:p w14:paraId="6C5647B4" w14:textId="0B8B897F" w:rsidR="00294BC8" w:rsidRPr="004A0EE8" w:rsidRDefault="00294BC8" w:rsidP="00294BC8">
      <w:pPr>
        <w:widowControl w:val="0"/>
        <w:numPr>
          <w:ilvl w:val="1"/>
          <w:numId w:val="1"/>
        </w:numPr>
        <w:spacing w:after="120"/>
        <w:ind w:left="720" w:hanging="720"/>
        <w:contextualSpacing/>
        <w:rPr>
          <w:rFonts w:asciiTheme="minorHAnsi" w:hAnsiTheme="minorHAnsi"/>
          <w:b/>
          <w:bCs/>
          <w:iCs/>
          <w:snapToGrid w:val="0"/>
        </w:rPr>
      </w:pPr>
      <w:r w:rsidRPr="004A0EE8">
        <w:rPr>
          <w:rFonts w:asciiTheme="minorHAnsi" w:hAnsiTheme="minorHAnsi" w:cstheme="minorHAnsi"/>
          <w:iCs/>
        </w:rPr>
        <w:t>A</w:t>
      </w:r>
      <w:r w:rsidR="00BA660A">
        <w:rPr>
          <w:rFonts w:asciiTheme="minorHAnsi" w:hAnsiTheme="minorHAnsi" w:cstheme="minorHAnsi"/>
          <w:iCs/>
        </w:rPr>
        <w:t xml:space="preserve">mend </w:t>
      </w:r>
      <w:r w:rsidRPr="004A0EE8">
        <w:rPr>
          <w:rFonts w:asciiTheme="minorHAnsi" w:hAnsiTheme="minorHAnsi" w:cstheme="minorHAnsi"/>
          <w:iCs/>
        </w:rPr>
        <w:t>item as follows:</w:t>
      </w:r>
    </w:p>
    <w:p w14:paraId="5409665B" w14:textId="200E7E8A" w:rsidR="0000788A" w:rsidRDefault="0000788A" w:rsidP="00213EC1">
      <w:pPr>
        <w:jc w:val="left"/>
      </w:pPr>
    </w:p>
    <w:p w14:paraId="01550F26" w14:textId="28207796" w:rsidR="00BA660A" w:rsidRPr="00BA660A" w:rsidRDefault="00BA660A">
      <w:pPr>
        <w:jc w:val="left"/>
      </w:pPr>
      <w:r w:rsidRPr="00BA660A">
        <w:t xml:space="preserve">The amendment to concept id </w:t>
      </w:r>
      <w:r w:rsidR="00EC16D7">
        <w:t xml:space="preserve">24912 </w:t>
      </w:r>
      <w:r w:rsidRPr="00BA660A">
        <w:t xml:space="preserve">above should be flowed to </w:t>
      </w:r>
      <w:r>
        <w:t>PBS item code 12611R (</w:t>
      </w:r>
      <w:r w:rsidR="001C3B45">
        <w:t xml:space="preserve">continuing </w:t>
      </w:r>
      <w:r>
        <w:t xml:space="preserve">restriction criteria for </w:t>
      </w:r>
      <w:proofErr w:type="spellStart"/>
      <w:r>
        <w:t>fremanezumab</w:t>
      </w:r>
      <w:proofErr w:type="spellEnd"/>
      <w:r>
        <w:t xml:space="preserve">). </w:t>
      </w:r>
    </w:p>
    <w:p w14:paraId="704129D2" w14:textId="77777777" w:rsidR="00294BC8" w:rsidRDefault="00294BC8" w:rsidP="00213EC1">
      <w:pPr>
        <w:jc w:val="left"/>
      </w:pPr>
    </w:p>
    <w:p w14:paraId="22251A30" w14:textId="77777777" w:rsidR="00294BC8" w:rsidRDefault="00294BC8" w:rsidP="00294BC8">
      <w:pPr>
        <w:tabs>
          <w:tab w:val="left" w:pos="5501"/>
        </w:tabs>
        <w:rPr>
          <w:b/>
          <w:sz w:val="4"/>
          <w:szCs w:val="4"/>
        </w:rPr>
      </w:pPr>
      <w:r>
        <w:rPr>
          <w:rFonts w:asciiTheme="minorHAnsi" w:hAnsiTheme="minorHAnsi"/>
          <w:b/>
          <w:i/>
          <w:szCs w:val="22"/>
        </w:rPr>
        <w:t>This restriction may be subject to further review. Should there be any changes made to the restriction the sponsor will be informed</w:t>
      </w:r>
      <w:r>
        <w:rPr>
          <w:rFonts w:asciiTheme="minorHAnsi" w:hAnsiTheme="minorHAnsi"/>
          <w:b/>
          <w:szCs w:val="22"/>
        </w:rPr>
        <w:t>.</w:t>
      </w:r>
    </w:p>
    <w:p w14:paraId="0C66ED7A" w14:textId="2A0A6B59" w:rsidR="001C3B45" w:rsidRDefault="001C3B45" w:rsidP="001C3B45">
      <w:pPr>
        <w:jc w:val="left"/>
      </w:pPr>
    </w:p>
    <w:p w14:paraId="5CD8B431" w14:textId="445887CE" w:rsidR="009C0D49" w:rsidRDefault="009C0D49" w:rsidP="004C3CC2">
      <w:pPr>
        <w:pStyle w:val="2-SectionHeading"/>
        <w:rPr>
          <w:bCs/>
          <w:lang w:val="en-GB"/>
        </w:rPr>
      </w:pPr>
      <w:r w:rsidRPr="00C07617">
        <w:t>Context for Decision</w:t>
      </w:r>
    </w:p>
    <w:p w14:paraId="0085AA53" w14:textId="7182E558" w:rsidR="009C0D49" w:rsidRDefault="009C0D49" w:rsidP="009C0D49">
      <w:pPr>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5A55ABA" w14:textId="77777777" w:rsidR="009C0D49" w:rsidRPr="007129F2" w:rsidRDefault="009C0D49" w:rsidP="004C3CC2">
      <w:pPr>
        <w:rPr>
          <w:lang w:val="en-GB"/>
        </w:rPr>
      </w:pPr>
    </w:p>
    <w:p w14:paraId="22E3E28F" w14:textId="6039F9E9" w:rsidR="009C0D49" w:rsidRPr="00C07617" w:rsidRDefault="009C0D49" w:rsidP="004C3CC2">
      <w:pPr>
        <w:pStyle w:val="2-SectionHeading"/>
      </w:pPr>
      <w:r>
        <w:t>Sponsor’s Comment</w:t>
      </w:r>
    </w:p>
    <w:p w14:paraId="4A23CB45" w14:textId="77777777" w:rsidR="009C0D49" w:rsidRPr="001179AC" w:rsidRDefault="009C0D49" w:rsidP="004C3CC2">
      <w:r w:rsidRPr="00C07617">
        <w:t>The sponsor had no comment.</w:t>
      </w:r>
    </w:p>
    <w:p w14:paraId="6CC50188" w14:textId="77777777" w:rsidR="009C0D49" w:rsidRPr="007B6175" w:rsidRDefault="009C0D49" w:rsidP="001C3B45">
      <w:pPr>
        <w:jc w:val="left"/>
      </w:pPr>
    </w:p>
    <w:sectPr w:rsidR="009C0D49" w:rsidRPr="007B6175" w:rsidSect="00B663F3">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0E8F9" w14:textId="77777777" w:rsidR="00CC6DBE" w:rsidRDefault="00CC6DBE" w:rsidP="00124A51">
      <w:r>
        <w:separator/>
      </w:r>
    </w:p>
    <w:p w14:paraId="602655BF" w14:textId="77777777" w:rsidR="00CC6DBE" w:rsidRDefault="00CC6DBE"/>
  </w:endnote>
  <w:endnote w:type="continuationSeparator" w:id="0">
    <w:p w14:paraId="5A4ECE34" w14:textId="77777777" w:rsidR="00CC6DBE" w:rsidRDefault="00CC6DBE" w:rsidP="00124A51">
      <w:r>
        <w:continuationSeparator/>
      </w:r>
    </w:p>
    <w:p w14:paraId="1C4979D5" w14:textId="77777777" w:rsidR="00CC6DBE" w:rsidRDefault="00CC6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276FE" w14:textId="77777777" w:rsidR="004C3CC2" w:rsidRDefault="004C3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654B1" w14:textId="77777777" w:rsidR="00CC6DBE" w:rsidRDefault="00CC6DBE" w:rsidP="00CA1B9F">
    <w:pPr>
      <w:pStyle w:val="Footer"/>
      <w:rPr>
        <w:b/>
      </w:rPr>
    </w:pPr>
    <w:r w:rsidRPr="00CA1B9F">
      <w:rPr>
        <w:b/>
      </w:rPr>
      <w:tab/>
    </w:r>
  </w:p>
  <w:p w14:paraId="3E06E34E" w14:textId="25190FCC" w:rsidR="00CC6DBE" w:rsidRPr="00CA1B9F" w:rsidRDefault="00CC6DBE" w:rsidP="00CA1B9F">
    <w:pPr>
      <w:pStyle w:val="Footer"/>
      <w:jc w:val="center"/>
      <w:rPr>
        <w:b/>
      </w:rPr>
    </w:pPr>
    <w:r w:rsidRPr="00CA1B9F">
      <w:rPr>
        <w:b/>
      </w:rPr>
      <w:fldChar w:fldCharType="begin"/>
    </w:r>
    <w:r w:rsidRPr="00CA1B9F">
      <w:rPr>
        <w:b/>
      </w:rPr>
      <w:instrText xml:space="preserve"> PAGE   \* MERGEFORMAT </w:instrText>
    </w:r>
    <w:r w:rsidRPr="00CA1B9F">
      <w:rPr>
        <w:b/>
      </w:rPr>
      <w:fldChar w:fldCharType="separate"/>
    </w:r>
    <w:r>
      <w:rPr>
        <w:b/>
        <w:noProof/>
      </w:rPr>
      <w:t>36</w:t>
    </w:r>
    <w:r w:rsidRPr="00CA1B9F">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D583B" w14:textId="77777777" w:rsidR="004C3CC2" w:rsidRDefault="004C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68EFC" w14:textId="77777777" w:rsidR="00CC6DBE" w:rsidRDefault="00CC6DBE" w:rsidP="00124A51">
      <w:r>
        <w:separator/>
      </w:r>
    </w:p>
    <w:p w14:paraId="37385D32" w14:textId="77777777" w:rsidR="00CC6DBE" w:rsidRDefault="00CC6DBE"/>
  </w:footnote>
  <w:footnote w:type="continuationSeparator" w:id="0">
    <w:p w14:paraId="523FAB77" w14:textId="77777777" w:rsidR="00CC6DBE" w:rsidRDefault="00CC6DBE" w:rsidP="00124A51">
      <w:r>
        <w:continuationSeparator/>
      </w:r>
    </w:p>
    <w:p w14:paraId="6FA1CF91" w14:textId="77777777" w:rsidR="00CC6DBE" w:rsidRDefault="00CC6D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2B948" w14:textId="77777777" w:rsidR="004C3CC2" w:rsidRDefault="004C3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CDCB" w14:textId="6DCC7C5C" w:rsidR="00CC6DBE" w:rsidRPr="00CA1B9F" w:rsidRDefault="00CC6DBE" w:rsidP="00CA1B9F">
    <w:pPr>
      <w:pStyle w:val="Header"/>
      <w:keepNext/>
      <w:ind w:left="360"/>
      <w:jc w:val="center"/>
      <w:rPr>
        <w:rFonts w:asciiTheme="minorHAnsi" w:hAnsiTheme="minorHAnsi"/>
        <w:i/>
      </w:rPr>
    </w:pPr>
    <w:bookmarkStart w:id="67" w:name="_Hlk76375146"/>
    <w:r>
      <w:rPr>
        <w:rFonts w:asciiTheme="minorHAnsi" w:hAnsiTheme="minorHAnsi"/>
        <w:i/>
      </w:rPr>
      <w:t xml:space="preserve">Public Summary Document </w:t>
    </w:r>
    <w:r w:rsidRPr="00CA1B9F">
      <w:rPr>
        <w:rFonts w:asciiTheme="minorHAnsi" w:hAnsiTheme="minorHAnsi"/>
        <w:i/>
      </w:rPr>
      <w:t>– March 2022 PBAC Meeting</w:t>
    </w:r>
  </w:p>
  <w:bookmarkEnd w:id="67"/>
  <w:p w14:paraId="5E83BD6D" w14:textId="77777777" w:rsidR="00CC6DBE" w:rsidRDefault="00CC6DBE" w:rsidP="004C3CC2">
    <w:pPr>
      <w:pStyle w:val="Header"/>
      <w:keepNext/>
      <w:ind w:lef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E3F42" w14:textId="77777777" w:rsidR="004C3CC2" w:rsidRDefault="004C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62FB0"/>
    <w:multiLevelType w:val="hybridMultilevel"/>
    <w:tmpl w:val="3A96D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A2143"/>
    <w:multiLevelType w:val="hybridMultilevel"/>
    <w:tmpl w:val="CE82E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3D67BA"/>
    <w:multiLevelType w:val="hybridMultilevel"/>
    <w:tmpl w:val="3CF60D74"/>
    <w:lvl w:ilvl="0" w:tplc="0C09001B">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22110D7"/>
    <w:multiLevelType w:val="hybridMultilevel"/>
    <w:tmpl w:val="96CCA07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DD11E3"/>
    <w:multiLevelType w:val="hybridMultilevel"/>
    <w:tmpl w:val="CC22AED4"/>
    <w:lvl w:ilvl="0" w:tplc="8E90AB30">
      <w:start w:val="1"/>
      <w:numFmt w:val="decimal"/>
      <w:pStyle w:val="ListNo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B24E4A"/>
    <w:multiLevelType w:val="hybridMultilevel"/>
    <w:tmpl w:val="88E0A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AF41F3"/>
    <w:multiLevelType w:val="hybridMultilevel"/>
    <w:tmpl w:val="A784EDC0"/>
    <w:lvl w:ilvl="0" w:tplc="19F64BEA">
      <w:start w:val="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20189"/>
    <w:multiLevelType w:val="hybridMultilevel"/>
    <w:tmpl w:val="197E38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3504C81"/>
    <w:multiLevelType w:val="hybridMultilevel"/>
    <w:tmpl w:val="E0B04024"/>
    <w:lvl w:ilvl="0" w:tplc="8156535A">
      <w:numFmt w:val="bullet"/>
      <w:lvlText w:val="-"/>
      <w:lvlJc w:val="left"/>
      <w:pPr>
        <w:ind w:left="1080" w:hanging="360"/>
      </w:pPr>
      <w:rPr>
        <w:rFonts w:ascii="Times New Roman" w:eastAsia="Times New Roman" w:hAnsi="Times New Roman" w:cs="Times New Roman" w:hint="default"/>
      </w:rPr>
    </w:lvl>
    <w:lvl w:ilvl="1" w:tplc="8156535A">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01399F"/>
    <w:multiLevelType w:val="hybridMultilevel"/>
    <w:tmpl w:val="9B048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B60EA2"/>
    <w:multiLevelType w:val="hybridMultilevel"/>
    <w:tmpl w:val="6CE62B08"/>
    <w:lvl w:ilvl="0" w:tplc="6914A32C">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0430EC"/>
    <w:multiLevelType w:val="hybridMultilevel"/>
    <w:tmpl w:val="093CA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93D5DE6"/>
    <w:multiLevelType w:val="multilevel"/>
    <w:tmpl w:val="F064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DBD06D5"/>
    <w:multiLevelType w:val="multilevel"/>
    <w:tmpl w:val="B4B6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D1740"/>
    <w:multiLevelType w:val="hybridMultilevel"/>
    <w:tmpl w:val="6CE40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FC6EC4"/>
    <w:multiLevelType w:val="multilevel"/>
    <w:tmpl w:val="6458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A70184"/>
    <w:multiLevelType w:val="hybridMultilevel"/>
    <w:tmpl w:val="8196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5D0E76"/>
    <w:multiLevelType w:val="hybridMultilevel"/>
    <w:tmpl w:val="E8E07976"/>
    <w:lvl w:ilvl="0" w:tplc="2A5A2D16">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CA7E6B"/>
    <w:multiLevelType w:val="hybridMultilevel"/>
    <w:tmpl w:val="D93449EA"/>
    <w:lvl w:ilvl="0" w:tplc="AC6C1F7A">
      <w:start w:val="1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781094"/>
    <w:multiLevelType w:val="hybridMultilevel"/>
    <w:tmpl w:val="9C24A766"/>
    <w:lvl w:ilvl="0" w:tplc="AAF8905C">
      <w:start w:val="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63388F"/>
    <w:multiLevelType w:val="hybridMultilevel"/>
    <w:tmpl w:val="F5BE2106"/>
    <w:lvl w:ilvl="0" w:tplc="C798A4AC">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6374FA"/>
    <w:multiLevelType w:val="multilevel"/>
    <w:tmpl w:val="DE2E4C26"/>
    <w:lvl w:ilvl="0">
      <w:start w:val="1"/>
      <w:numFmt w:val="decimal"/>
      <w:lvlText w:val="%1"/>
      <w:lvlJc w:val="left"/>
      <w:pPr>
        <w:ind w:left="720" w:hanging="720"/>
      </w:pPr>
      <w:rPr>
        <w:rFonts w:hint="default"/>
        <w:b/>
      </w:rPr>
    </w:lvl>
    <w:lvl w:ilvl="1">
      <w:start w:val="1"/>
      <w:numFmt w:val="lowerLetter"/>
      <w:lvlText w:val="%2)"/>
      <w:lvlJc w:val="left"/>
      <w:rPr>
        <w:rFonts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4D033C"/>
    <w:multiLevelType w:val="multilevel"/>
    <w:tmpl w:val="1CAA0CD4"/>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636AE3"/>
    <w:multiLevelType w:val="hybridMultilevel"/>
    <w:tmpl w:val="A7AACC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A11093"/>
    <w:multiLevelType w:val="hybridMultilevel"/>
    <w:tmpl w:val="3C0E43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0"/>
  </w:num>
  <w:num w:numId="2">
    <w:abstractNumId w:val="15"/>
  </w:num>
  <w:num w:numId="3">
    <w:abstractNumId w:val="0"/>
  </w:num>
  <w:num w:numId="4">
    <w:abstractNumId w:val="3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20"/>
  </w:num>
  <w:num w:numId="9">
    <w:abstractNumId w:val="8"/>
  </w:num>
  <w:num w:numId="10">
    <w:abstractNumId w:val="24"/>
  </w:num>
  <w:num w:numId="11">
    <w:abstractNumId w:val="27"/>
  </w:num>
  <w:num w:numId="12">
    <w:abstractNumId w:val="13"/>
  </w:num>
  <w:num w:numId="13">
    <w:abstractNumId w:val="11"/>
  </w:num>
  <w:num w:numId="14">
    <w:abstractNumId w:val="14"/>
  </w:num>
  <w:num w:numId="15">
    <w:abstractNumId w:val="6"/>
  </w:num>
  <w:num w:numId="16">
    <w:abstractNumId w:val="22"/>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8"/>
  </w:num>
  <w:num w:numId="21">
    <w:abstractNumId w:val="10"/>
  </w:num>
  <w:num w:numId="22">
    <w:abstractNumId w:val="26"/>
  </w:num>
  <w:num w:numId="23">
    <w:abstractNumId w:val="9"/>
  </w:num>
  <w:num w:numId="24">
    <w:abstractNumId w:val="17"/>
  </w:num>
  <w:num w:numId="25">
    <w:abstractNumId w:val="19"/>
  </w:num>
  <w:num w:numId="26">
    <w:abstractNumId w:val="32"/>
  </w:num>
  <w:num w:numId="27">
    <w:abstractNumId w:val="3"/>
  </w:num>
  <w:num w:numId="28">
    <w:abstractNumId w:val="16"/>
  </w:num>
  <w:num w:numId="29">
    <w:abstractNumId w:val="25"/>
  </w:num>
  <w:num w:numId="30">
    <w:abstractNumId w:val="2"/>
  </w:num>
  <w:num w:numId="31">
    <w:abstractNumId w:val="4"/>
  </w:num>
  <w:num w:numId="32">
    <w:abstractNumId w:val="7"/>
  </w:num>
  <w:num w:numId="33">
    <w:abstractNumId w:val="31"/>
  </w:num>
  <w:num w:numId="34">
    <w:abstractNumId w:val="21"/>
  </w:num>
  <w:num w:numId="35">
    <w:abstractNumId w:val="23"/>
  </w:num>
  <w:num w:numId="36">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CF"/>
    <w:rsid w:val="00000790"/>
    <w:rsid w:val="0000110B"/>
    <w:rsid w:val="000012BA"/>
    <w:rsid w:val="000022DF"/>
    <w:rsid w:val="00002CC4"/>
    <w:rsid w:val="00002DD6"/>
    <w:rsid w:val="00003499"/>
    <w:rsid w:val="000039B7"/>
    <w:rsid w:val="0000403D"/>
    <w:rsid w:val="00005A6E"/>
    <w:rsid w:val="0000639A"/>
    <w:rsid w:val="0000752C"/>
    <w:rsid w:val="0000778C"/>
    <w:rsid w:val="0000788A"/>
    <w:rsid w:val="000078ED"/>
    <w:rsid w:val="00007B6B"/>
    <w:rsid w:val="000117D1"/>
    <w:rsid w:val="00012B36"/>
    <w:rsid w:val="00013247"/>
    <w:rsid w:val="00014105"/>
    <w:rsid w:val="00014443"/>
    <w:rsid w:val="00015886"/>
    <w:rsid w:val="000162EF"/>
    <w:rsid w:val="000207C9"/>
    <w:rsid w:val="00021532"/>
    <w:rsid w:val="0002225F"/>
    <w:rsid w:val="00022800"/>
    <w:rsid w:val="00023763"/>
    <w:rsid w:val="000257AB"/>
    <w:rsid w:val="000274B8"/>
    <w:rsid w:val="000300BE"/>
    <w:rsid w:val="00030888"/>
    <w:rsid w:val="00031195"/>
    <w:rsid w:val="00031D22"/>
    <w:rsid w:val="00033863"/>
    <w:rsid w:val="00034271"/>
    <w:rsid w:val="00034278"/>
    <w:rsid w:val="00034355"/>
    <w:rsid w:val="000343FB"/>
    <w:rsid w:val="00035DC0"/>
    <w:rsid w:val="000362DE"/>
    <w:rsid w:val="00036829"/>
    <w:rsid w:val="000368C1"/>
    <w:rsid w:val="00037098"/>
    <w:rsid w:val="00037118"/>
    <w:rsid w:val="0003783A"/>
    <w:rsid w:val="00037A66"/>
    <w:rsid w:val="0004007B"/>
    <w:rsid w:val="00040895"/>
    <w:rsid w:val="00041339"/>
    <w:rsid w:val="00041A19"/>
    <w:rsid w:val="00042E7E"/>
    <w:rsid w:val="000431EC"/>
    <w:rsid w:val="000435EE"/>
    <w:rsid w:val="00043C37"/>
    <w:rsid w:val="00045017"/>
    <w:rsid w:val="00045226"/>
    <w:rsid w:val="0004556D"/>
    <w:rsid w:val="000458A8"/>
    <w:rsid w:val="00045A2B"/>
    <w:rsid w:val="00045A73"/>
    <w:rsid w:val="0004665E"/>
    <w:rsid w:val="00046698"/>
    <w:rsid w:val="0004698F"/>
    <w:rsid w:val="00047A5C"/>
    <w:rsid w:val="00051451"/>
    <w:rsid w:val="00052894"/>
    <w:rsid w:val="00052C7D"/>
    <w:rsid w:val="00052E4E"/>
    <w:rsid w:val="00053064"/>
    <w:rsid w:val="000538CD"/>
    <w:rsid w:val="000539D0"/>
    <w:rsid w:val="0005452D"/>
    <w:rsid w:val="00054621"/>
    <w:rsid w:val="000546D7"/>
    <w:rsid w:val="00054E2B"/>
    <w:rsid w:val="00055003"/>
    <w:rsid w:val="0005506A"/>
    <w:rsid w:val="000563B1"/>
    <w:rsid w:val="00056ECF"/>
    <w:rsid w:val="000604DF"/>
    <w:rsid w:val="00060E2B"/>
    <w:rsid w:val="0006157F"/>
    <w:rsid w:val="00062A3A"/>
    <w:rsid w:val="00063849"/>
    <w:rsid w:val="00064387"/>
    <w:rsid w:val="00064982"/>
    <w:rsid w:val="00064990"/>
    <w:rsid w:val="00064E73"/>
    <w:rsid w:val="00065317"/>
    <w:rsid w:val="000653B5"/>
    <w:rsid w:val="0006557A"/>
    <w:rsid w:val="000661EB"/>
    <w:rsid w:val="00066360"/>
    <w:rsid w:val="00066AF8"/>
    <w:rsid w:val="00070D07"/>
    <w:rsid w:val="00070F6C"/>
    <w:rsid w:val="00070FF9"/>
    <w:rsid w:val="0007117B"/>
    <w:rsid w:val="00071248"/>
    <w:rsid w:val="00071337"/>
    <w:rsid w:val="00071398"/>
    <w:rsid w:val="00071806"/>
    <w:rsid w:val="000720B9"/>
    <w:rsid w:val="00072135"/>
    <w:rsid w:val="00073777"/>
    <w:rsid w:val="000737F7"/>
    <w:rsid w:val="00073853"/>
    <w:rsid w:val="00073BF4"/>
    <w:rsid w:val="00075146"/>
    <w:rsid w:val="00075AB3"/>
    <w:rsid w:val="00076569"/>
    <w:rsid w:val="0007672F"/>
    <w:rsid w:val="00076B24"/>
    <w:rsid w:val="00076B54"/>
    <w:rsid w:val="00076DF6"/>
    <w:rsid w:val="000774F0"/>
    <w:rsid w:val="00077ED1"/>
    <w:rsid w:val="000801AF"/>
    <w:rsid w:val="00080909"/>
    <w:rsid w:val="000812CA"/>
    <w:rsid w:val="000812D9"/>
    <w:rsid w:val="000815C8"/>
    <w:rsid w:val="00081E63"/>
    <w:rsid w:val="0008258D"/>
    <w:rsid w:val="00082E13"/>
    <w:rsid w:val="00083E99"/>
    <w:rsid w:val="000849D2"/>
    <w:rsid w:val="00084B43"/>
    <w:rsid w:val="00084FA8"/>
    <w:rsid w:val="00084FFB"/>
    <w:rsid w:val="000856C5"/>
    <w:rsid w:val="00085C31"/>
    <w:rsid w:val="0008627F"/>
    <w:rsid w:val="000902D9"/>
    <w:rsid w:val="0009059E"/>
    <w:rsid w:val="00090C25"/>
    <w:rsid w:val="00090C7E"/>
    <w:rsid w:val="000912E6"/>
    <w:rsid w:val="00092132"/>
    <w:rsid w:val="00092600"/>
    <w:rsid w:val="0009262B"/>
    <w:rsid w:val="00093310"/>
    <w:rsid w:val="00093ABE"/>
    <w:rsid w:val="000943E5"/>
    <w:rsid w:val="0009445C"/>
    <w:rsid w:val="00094794"/>
    <w:rsid w:val="000948B3"/>
    <w:rsid w:val="00094B98"/>
    <w:rsid w:val="00095200"/>
    <w:rsid w:val="00095FE5"/>
    <w:rsid w:val="00096284"/>
    <w:rsid w:val="0009774F"/>
    <w:rsid w:val="00097C42"/>
    <w:rsid w:val="000A04F0"/>
    <w:rsid w:val="000A0856"/>
    <w:rsid w:val="000A1217"/>
    <w:rsid w:val="000A165A"/>
    <w:rsid w:val="000A1BC0"/>
    <w:rsid w:val="000A1E2B"/>
    <w:rsid w:val="000A1FEE"/>
    <w:rsid w:val="000A2551"/>
    <w:rsid w:val="000A2663"/>
    <w:rsid w:val="000A2A41"/>
    <w:rsid w:val="000A3E04"/>
    <w:rsid w:val="000A40E6"/>
    <w:rsid w:val="000A6039"/>
    <w:rsid w:val="000A7453"/>
    <w:rsid w:val="000A7D08"/>
    <w:rsid w:val="000A7E75"/>
    <w:rsid w:val="000A7EC6"/>
    <w:rsid w:val="000B0121"/>
    <w:rsid w:val="000B03C9"/>
    <w:rsid w:val="000B0589"/>
    <w:rsid w:val="000B0670"/>
    <w:rsid w:val="000B0E75"/>
    <w:rsid w:val="000B19D2"/>
    <w:rsid w:val="000B2DCB"/>
    <w:rsid w:val="000B46BD"/>
    <w:rsid w:val="000B5CE0"/>
    <w:rsid w:val="000B6688"/>
    <w:rsid w:val="000B6CAC"/>
    <w:rsid w:val="000B7075"/>
    <w:rsid w:val="000B7612"/>
    <w:rsid w:val="000B78AE"/>
    <w:rsid w:val="000C08C4"/>
    <w:rsid w:val="000C0A0F"/>
    <w:rsid w:val="000C0A1C"/>
    <w:rsid w:val="000C16D1"/>
    <w:rsid w:val="000C1A3F"/>
    <w:rsid w:val="000C1ADD"/>
    <w:rsid w:val="000C20A5"/>
    <w:rsid w:val="000C2E0D"/>
    <w:rsid w:val="000C3179"/>
    <w:rsid w:val="000C3DF9"/>
    <w:rsid w:val="000C53FD"/>
    <w:rsid w:val="000C5A89"/>
    <w:rsid w:val="000C5E96"/>
    <w:rsid w:val="000C6713"/>
    <w:rsid w:val="000C761F"/>
    <w:rsid w:val="000C7B96"/>
    <w:rsid w:val="000C7F5C"/>
    <w:rsid w:val="000D028B"/>
    <w:rsid w:val="000D063E"/>
    <w:rsid w:val="000D11C9"/>
    <w:rsid w:val="000D1BFC"/>
    <w:rsid w:val="000D1D5D"/>
    <w:rsid w:val="000D2397"/>
    <w:rsid w:val="000D281A"/>
    <w:rsid w:val="000D2848"/>
    <w:rsid w:val="000D2AE1"/>
    <w:rsid w:val="000D30B9"/>
    <w:rsid w:val="000D326A"/>
    <w:rsid w:val="000D477C"/>
    <w:rsid w:val="000D51FB"/>
    <w:rsid w:val="000D582F"/>
    <w:rsid w:val="000D6307"/>
    <w:rsid w:val="000D634A"/>
    <w:rsid w:val="000D791A"/>
    <w:rsid w:val="000D7D9E"/>
    <w:rsid w:val="000E0640"/>
    <w:rsid w:val="000E135D"/>
    <w:rsid w:val="000E188E"/>
    <w:rsid w:val="000E4FB4"/>
    <w:rsid w:val="000E5870"/>
    <w:rsid w:val="000E663F"/>
    <w:rsid w:val="000E6F48"/>
    <w:rsid w:val="000F00BA"/>
    <w:rsid w:val="000F072C"/>
    <w:rsid w:val="000F13B6"/>
    <w:rsid w:val="000F20D8"/>
    <w:rsid w:val="000F316A"/>
    <w:rsid w:val="000F3C74"/>
    <w:rsid w:val="000F409C"/>
    <w:rsid w:val="000F4BB8"/>
    <w:rsid w:val="000F4FA9"/>
    <w:rsid w:val="000F53FB"/>
    <w:rsid w:val="000F5974"/>
    <w:rsid w:val="000F5E05"/>
    <w:rsid w:val="000F6231"/>
    <w:rsid w:val="000F6555"/>
    <w:rsid w:val="000F7127"/>
    <w:rsid w:val="000F769E"/>
    <w:rsid w:val="000F782E"/>
    <w:rsid w:val="000F7B54"/>
    <w:rsid w:val="001001E5"/>
    <w:rsid w:val="001002DF"/>
    <w:rsid w:val="00100443"/>
    <w:rsid w:val="001008F5"/>
    <w:rsid w:val="00100F8A"/>
    <w:rsid w:val="0010343C"/>
    <w:rsid w:val="00103788"/>
    <w:rsid w:val="0010452E"/>
    <w:rsid w:val="00104F77"/>
    <w:rsid w:val="00105AE2"/>
    <w:rsid w:val="001060C6"/>
    <w:rsid w:val="00106B80"/>
    <w:rsid w:val="00106D51"/>
    <w:rsid w:val="00106E82"/>
    <w:rsid w:val="001077B1"/>
    <w:rsid w:val="0011032E"/>
    <w:rsid w:val="001106D4"/>
    <w:rsid w:val="00110DD9"/>
    <w:rsid w:val="001111CE"/>
    <w:rsid w:val="00112D00"/>
    <w:rsid w:val="00112F33"/>
    <w:rsid w:val="0011348B"/>
    <w:rsid w:val="00113EC9"/>
    <w:rsid w:val="00113EF1"/>
    <w:rsid w:val="00115982"/>
    <w:rsid w:val="00115EF5"/>
    <w:rsid w:val="0011690E"/>
    <w:rsid w:val="00116C53"/>
    <w:rsid w:val="001171DB"/>
    <w:rsid w:val="00120183"/>
    <w:rsid w:val="00120768"/>
    <w:rsid w:val="00121799"/>
    <w:rsid w:val="001222FC"/>
    <w:rsid w:val="00122538"/>
    <w:rsid w:val="00122D21"/>
    <w:rsid w:val="00123038"/>
    <w:rsid w:val="00123902"/>
    <w:rsid w:val="00123CD0"/>
    <w:rsid w:val="001249F3"/>
    <w:rsid w:val="00124A51"/>
    <w:rsid w:val="00124B47"/>
    <w:rsid w:val="0012547D"/>
    <w:rsid w:val="00125D4D"/>
    <w:rsid w:val="00126621"/>
    <w:rsid w:val="001266DA"/>
    <w:rsid w:val="00126B1D"/>
    <w:rsid w:val="001274BD"/>
    <w:rsid w:val="00127717"/>
    <w:rsid w:val="001301E9"/>
    <w:rsid w:val="00130385"/>
    <w:rsid w:val="00130C6E"/>
    <w:rsid w:val="001318BF"/>
    <w:rsid w:val="00131921"/>
    <w:rsid w:val="00131A8A"/>
    <w:rsid w:val="00131D82"/>
    <w:rsid w:val="00132B22"/>
    <w:rsid w:val="00133135"/>
    <w:rsid w:val="00133410"/>
    <w:rsid w:val="00133D36"/>
    <w:rsid w:val="001349F7"/>
    <w:rsid w:val="00134D5D"/>
    <w:rsid w:val="00137645"/>
    <w:rsid w:val="00137F22"/>
    <w:rsid w:val="00137F51"/>
    <w:rsid w:val="0014015A"/>
    <w:rsid w:val="00140228"/>
    <w:rsid w:val="00140297"/>
    <w:rsid w:val="00140606"/>
    <w:rsid w:val="00140E99"/>
    <w:rsid w:val="00142596"/>
    <w:rsid w:val="00143F67"/>
    <w:rsid w:val="00144144"/>
    <w:rsid w:val="00144202"/>
    <w:rsid w:val="00144C14"/>
    <w:rsid w:val="00145540"/>
    <w:rsid w:val="001456B0"/>
    <w:rsid w:val="001457E9"/>
    <w:rsid w:val="00146C19"/>
    <w:rsid w:val="00147666"/>
    <w:rsid w:val="00147795"/>
    <w:rsid w:val="001501C1"/>
    <w:rsid w:val="00150B87"/>
    <w:rsid w:val="0015163D"/>
    <w:rsid w:val="001517C6"/>
    <w:rsid w:val="001524EA"/>
    <w:rsid w:val="00153357"/>
    <w:rsid w:val="00153AFF"/>
    <w:rsid w:val="00155D2A"/>
    <w:rsid w:val="001565AD"/>
    <w:rsid w:val="001567AC"/>
    <w:rsid w:val="001568F6"/>
    <w:rsid w:val="00156F8F"/>
    <w:rsid w:val="00157130"/>
    <w:rsid w:val="001576B1"/>
    <w:rsid w:val="00157715"/>
    <w:rsid w:val="0016035E"/>
    <w:rsid w:val="0016047B"/>
    <w:rsid w:val="00160A4C"/>
    <w:rsid w:val="00160F8B"/>
    <w:rsid w:val="00162913"/>
    <w:rsid w:val="00163EFF"/>
    <w:rsid w:val="00163F66"/>
    <w:rsid w:val="00164026"/>
    <w:rsid w:val="001641E3"/>
    <w:rsid w:val="00164B5C"/>
    <w:rsid w:val="00165804"/>
    <w:rsid w:val="00165A26"/>
    <w:rsid w:val="00165E79"/>
    <w:rsid w:val="001661FB"/>
    <w:rsid w:val="00166419"/>
    <w:rsid w:val="001671A0"/>
    <w:rsid w:val="0016767F"/>
    <w:rsid w:val="00170A7F"/>
    <w:rsid w:val="00170BD3"/>
    <w:rsid w:val="00170C69"/>
    <w:rsid w:val="00170D99"/>
    <w:rsid w:val="00171035"/>
    <w:rsid w:val="001713D6"/>
    <w:rsid w:val="00171436"/>
    <w:rsid w:val="0017217E"/>
    <w:rsid w:val="00173565"/>
    <w:rsid w:val="00173B07"/>
    <w:rsid w:val="0017459C"/>
    <w:rsid w:val="001748A4"/>
    <w:rsid w:val="00174FDC"/>
    <w:rsid w:val="001751FA"/>
    <w:rsid w:val="001752C6"/>
    <w:rsid w:val="001753F3"/>
    <w:rsid w:val="001756A3"/>
    <w:rsid w:val="00175B34"/>
    <w:rsid w:val="00176029"/>
    <w:rsid w:val="00176B7B"/>
    <w:rsid w:val="00177322"/>
    <w:rsid w:val="001778E7"/>
    <w:rsid w:val="0018137C"/>
    <w:rsid w:val="00181D9C"/>
    <w:rsid w:val="00182210"/>
    <w:rsid w:val="00182CFA"/>
    <w:rsid w:val="0018304D"/>
    <w:rsid w:val="001831E7"/>
    <w:rsid w:val="00184B0E"/>
    <w:rsid w:val="00184DAF"/>
    <w:rsid w:val="001850E6"/>
    <w:rsid w:val="001871CE"/>
    <w:rsid w:val="0018752F"/>
    <w:rsid w:val="00191433"/>
    <w:rsid w:val="0019148C"/>
    <w:rsid w:val="00191AFE"/>
    <w:rsid w:val="00191B4B"/>
    <w:rsid w:val="00192A88"/>
    <w:rsid w:val="001932C7"/>
    <w:rsid w:val="00193377"/>
    <w:rsid w:val="00193487"/>
    <w:rsid w:val="00193838"/>
    <w:rsid w:val="00194AD8"/>
    <w:rsid w:val="001950FD"/>
    <w:rsid w:val="00195222"/>
    <w:rsid w:val="001957B5"/>
    <w:rsid w:val="001959F3"/>
    <w:rsid w:val="00195BD2"/>
    <w:rsid w:val="001962FE"/>
    <w:rsid w:val="00196356"/>
    <w:rsid w:val="00196790"/>
    <w:rsid w:val="00196CF2"/>
    <w:rsid w:val="0019718C"/>
    <w:rsid w:val="001975D8"/>
    <w:rsid w:val="00197A52"/>
    <w:rsid w:val="00197F47"/>
    <w:rsid w:val="001A0251"/>
    <w:rsid w:val="001A025E"/>
    <w:rsid w:val="001A0BA9"/>
    <w:rsid w:val="001A178E"/>
    <w:rsid w:val="001A1C13"/>
    <w:rsid w:val="001A1E09"/>
    <w:rsid w:val="001A201A"/>
    <w:rsid w:val="001A43FA"/>
    <w:rsid w:val="001A4410"/>
    <w:rsid w:val="001A4685"/>
    <w:rsid w:val="001A47C5"/>
    <w:rsid w:val="001A48E1"/>
    <w:rsid w:val="001A48EC"/>
    <w:rsid w:val="001A50F7"/>
    <w:rsid w:val="001A58AC"/>
    <w:rsid w:val="001A59FB"/>
    <w:rsid w:val="001A5E9E"/>
    <w:rsid w:val="001A6354"/>
    <w:rsid w:val="001A6366"/>
    <w:rsid w:val="001A6C07"/>
    <w:rsid w:val="001A7AE8"/>
    <w:rsid w:val="001B16E5"/>
    <w:rsid w:val="001B1879"/>
    <w:rsid w:val="001B204E"/>
    <w:rsid w:val="001B20C8"/>
    <w:rsid w:val="001B2372"/>
    <w:rsid w:val="001B2515"/>
    <w:rsid w:val="001B26D0"/>
    <w:rsid w:val="001B2BF4"/>
    <w:rsid w:val="001B3443"/>
    <w:rsid w:val="001B3BBE"/>
    <w:rsid w:val="001B3C7F"/>
    <w:rsid w:val="001B3DCC"/>
    <w:rsid w:val="001B43BE"/>
    <w:rsid w:val="001B4BE9"/>
    <w:rsid w:val="001B4D20"/>
    <w:rsid w:val="001C02A7"/>
    <w:rsid w:val="001C0406"/>
    <w:rsid w:val="001C0691"/>
    <w:rsid w:val="001C0773"/>
    <w:rsid w:val="001C09BB"/>
    <w:rsid w:val="001C168A"/>
    <w:rsid w:val="001C16E1"/>
    <w:rsid w:val="001C23A9"/>
    <w:rsid w:val="001C2628"/>
    <w:rsid w:val="001C267F"/>
    <w:rsid w:val="001C288B"/>
    <w:rsid w:val="001C2A9B"/>
    <w:rsid w:val="001C3B45"/>
    <w:rsid w:val="001C3D33"/>
    <w:rsid w:val="001C4299"/>
    <w:rsid w:val="001C4874"/>
    <w:rsid w:val="001C5150"/>
    <w:rsid w:val="001C5F94"/>
    <w:rsid w:val="001C68EA"/>
    <w:rsid w:val="001C6968"/>
    <w:rsid w:val="001C6E66"/>
    <w:rsid w:val="001D045E"/>
    <w:rsid w:val="001D0961"/>
    <w:rsid w:val="001D0E12"/>
    <w:rsid w:val="001D1100"/>
    <w:rsid w:val="001D1391"/>
    <w:rsid w:val="001D25D7"/>
    <w:rsid w:val="001D2F18"/>
    <w:rsid w:val="001D3FAF"/>
    <w:rsid w:val="001D42E7"/>
    <w:rsid w:val="001D50B2"/>
    <w:rsid w:val="001D58ED"/>
    <w:rsid w:val="001D59D1"/>
    <w:rsid w:val="001D6702"/>
    <w:rsid w:val="001D6E91"/>
    <w:rsid w:val="001D700D"/>
    <w:rsid w:val="001D7528"/>
    <w:rsid w:val="001D7645"/>
    <w:rsid w:val="001D766E"/>
    <w:rsid w:val="001D7B6B"/>
    <w:rsid w:val="001D7EAC"/>
    <w:rsid w:val="001E1E86"/>
    <w:rsid w:val="001E238E"/>
    <w:rsid w:val="001E2483"/>
    <w:rsid w:val="001E2B1E"/>
    <w:rsid w:val="001E2CFF"/>
    <w:rsid w:val="001E2F24"/>
    <w:rsid w:val="001E30D4"/>
    <w:rsid w:val="001E34DF"/>
    <w:rsid w:val="001E36E2"/>
    <w:rsid w:val="001E3A53"/>
    <w:rsid w:val="001E3C2C"/>
    <w:rsid w:val="001E429C"/>
    <w:rsid w:val="001E4659"/>
    <w:rsid w:val="001E52EB"/>
    <w:rsid w:val="001E61D2"/>
    <w:rsid w:val="001E6D35"/>
    <w:rsid w:val="001E740C"/>
    <w:rsid w:val="001E7D11"/>
    <w:rsid w:val="001F064E"/>
    <w:rsid w:val="001F071E"/>
    <w:rsid w:val="001F079D"/>
    <w:rsid w:val="001F1235"/>
    <w:rsid w:val="001F1CB3"/>
    <w:rsid w:val="001F3581"/>
    <w:rsid w:val="001F3632"/>
    <w:rsid w:val="001F3689"/>
    <w:rsid w:val="001F38B5"/>
    <w:rsid w:val="001F4081"/>
    <w:rsid w:val="001F7361"/>
    <w:rsid w:val="001F7C39"/>
    <w:rsid w:val="00200EF8"/>
    <w:rsid w:val="002011B0"/>
    <w:rsid w:val="002012AF"/>
    <w:rsid w:val="00202298"/>
    <w:rsid w:val="0020258F"/>
    <w:rsid w:val="00202AD9"/>
    <w:rsid w:val="00202CDB"/>
    <w:rsid w:val="00202EB9"/>
    <w:rsid w:val="002030C2"/>
    <w:rsid w:val="00203181"/>
    <w:rsid w:val="00203486"/>
    <w:rsid w:val="00203783"/>
    <w:rsid w:val="0020385F"/>
    <w:rsid w:val="00203CFD"/>
    <w:rsid w:val="00204061"/>
    <w:rsid w:val="002041F3"/>
    <w:rsid w:val="002043C1"/>
    <w:rsid w:val="0020483A"/>
    <w:rsid w:val="002048A4"/>
    <w:rsid w:val="00206627"/>
    <w:rsid w:val="00206727"/>
    <w:rsid w:val="002068A0"/>
    <w:rsid w:val="00207021"/>
    <w:rsid w:val="0020732F"/>
    <w:rsid w:val="00207558"/>
    <w:rsid w:val="002077FA"/>
    <w:rsid w:val="00207D00"/>
    <w:rsid w:val="002105C1"/>
    <w:rsid w:val="0021140A"/>
    <w:rsid w:val="00211CDE"/>
    <w:rsid w:val="00213C8A"/>
    <w:rsid w:val="00213EC1"/>
    <w:rsid w:val="00213EF5"/>
    <w:rsid w:val="0021441F"/>
    <w:rsid w:val="00215C86"/>
    <w:rsid w:val="002161ED"/>
    <w:rsid w:val="00216BF5"/>
    <w:rsid w:val="00216EFB"/>
    <w:rsid w:val="00217ED4"/>
    <w:rsid w:val="00220C86"/>
    <w:rsid w:val="00221069"/>
    <w:rsid w:val="002218CA"/>
    <w:rsid w:val="0022297C"/>
    <w:rsid w:val="00223134"/>
    <w:rsid w:val="0022364B"/>
    <w:rsid w:val="0022377E"/>
    <w:rsid w:val="00223B49"/>
    <w:rsid w:val="00223D5A"/>
    <w:rsid w:val="00224DD4"/>
    <w:rsid w:val="00225CBB"/>
    <w:rsid w:val="00225D6B"/>
    <w:rsid w:val="00226235"/>
    <w:rsid w:val="002262AD"/>
    <w:rsid w:val="00226512"/>
    <w:rsid w:val="0022754B"/>
    <w:rsid w:val="00227842"/>
    <w:rsid w:val="002278A0"/>
    <w:rsid w:val="00227A9E"/>
    <w:rsid w:val="00230076"/>
    <w:rsid w:val="0023070C"/>
    <w:rsid w:val="002309CC"/>
    <w:rsid w:val="00230DB1"/>
    <w:rsid w:val="0023108D"/>
    <w:rsid w:val="00231420"/>
    <w:rsid w:val="00231C5F"/>
    <w:rsid w:val="0023209F"/>
    <w:rsid w:val="00233C01"/>
    <w:rsid w:val="0023413C"/>
    <w:rsid w:val="002346F0"/>
    <w:rsid w:val="00234A17"/>
    <w:rsid w:val="00236120"/>
    <w:rsid w:val="0023629D"/>
    <w:rsid w:val="00236B53"/>
    <w:rsid w:val="00236BA0"/>
    <w:rsid w:val="00237255"/>
    <w:rsid w:val="00237327"/>
    <w:rsid w:val="00237743"/>
    <w:rsid w:val="00237A57"/>
    <w:rsid w:val="002422DC"/>
    <w:rsid w:val="002424AF"/>
    <w:rsid w:val="00242B57"/>
    <w:rsid w:val="002439DC"/>
    <w:rsid w:val="0024419A"/>
    <w:rsid w:val="002441D2"/>
    <w:rsid w:val="0024433F"/>
    <w:rsid w:val="00244456"/>
    <w:rsid w:val="00244DC8"/>
    <w:rsid w:val="00244E0C"/>
    <w:rsid w:val="002458BA"/>
    <w:rsid w:val="00245CE9"/>
    <w:rsid w:val="0024636C"/>
    <w:rsid w:val="00247925"/>
    <w:rsid w:val="00250344"/>
    <w:rsid w:val="00251006"/>
    <w:rsid w:val="00251B5F"/>
    <w:rsid w:val="00251C91"/>
    <w:rsid w:val="0025202A"/>
    <w:rsid w:val="002524D5"/>
    <w:rsid w:val="00252BD3"/>
    <w:rsid w:val="0025396F"/>
    <w:rsid w:val="00253B1D"/>
    <w:rsid w:val="00254DCF"/>
    <w:rsid w:val="0025534B"/>
    <w:rsid w:val="00255BB7"/>
    <w:rsid w:val="002563A7"/>
    <w:rsid w:val="00257541"/>
    <w:rsid w:val="002579C2"/>
    <w:rsid w:val="00257A39"/>
    <w:rsid w:val="00257AAD"/>
    <w:rsid w:val="00257AC4"/>
    <w:rsid w:val="002606DA"/>
    <w:rsid w:val="00260E89"/>
    <w:rsid w:val="002614AD"/>
    <w:rsid w:val="00261EEF"/>
    <w:rsid w:val="00262576"/>
    <w:rsid w:val="00262A1A"/>
    <w:rsid w:val="00262A87"/>
    <w:rsid w:val="0026350A"/>
    <w:rsid w:val="00264126"/>
    <w:rsid w:val="0026431F"/>
    <w:rsid w:val="002649E5"/>
    <w:rsid w:val="00264D26"/>
    <w:rsid w:val="00265DF0"/>
    <w:rsid w:val="002665DA"/>
    <w:rsid w:val="002670EE"/>
    <w:rsid w:val="00267642"/>
    <w:rsid w:val="00267AEA"/>
    <w:rsid w:val="002700E6"/>
    <w:rsid w:val="00270131"/>
    <w:rsid w:val="002701D0"/>
    <w:rsid w:val="00271668"/>
    <w:rsid w:val="0027294B"/>
    <w:rsid w:val="00273578"/>
    <w:rsid w:val="00273EB4"/>
    <w:rsid w:val="002741B8"/>
    <w:rsid w:val="00274682"/>
    <w:rsid w:val="00274F2D"/>
    <w:rsid w:val="00274F5C"/>
    <w:rsid w:val="002752D5"/>
    <w:rsid w:val="00275994"/>
    <w:rsid w:val="00275C5A"/>
    <w:rsid w:val="00275FD9"/>
    <w:rsid w:val="00277274"/>
    <w:rsid w:val="002775F6"/>
    <w:rsid w:val="00277A1B"/>
    <w:rsid w:val="00280A8F"/>
    <w:rsid w:val="00281014"/>
    <w:rsid w:val="00283321"/>
    <w:rsid w:val="00283636"/>
    <w:rsid w:val="00283CC5"/>
    <w:rsid w:val="00283CE1"/>
    <w:rsid w:val="00283E94"/>
    <w:rsid w:val="0028570C"/>
    <w:rsid w:val="0028665D"/>
    <w:rsid w:val="00290234"/>
    <w:rsid w:val="00290863"/>
    <w:rsid w:val="002913ED"/>
    <w:rsid w:val="00291A89"/>
    <w:rsid w:val="00291D41"/>
    <w:rsid w:val="00292F5D"/>
    <w:rsid w:val="002933C9"/>
    <w:rsid w:val="002936DA"/>
    <w:rsid w:val="00293D26"/>
    <w:rsid w:val="00293FE9"/>
    <w:rsid w:val="0029426B"/>
    <w:rsid w:val="00294BC8"/>
    <w:rsid w:val="0029540F"/>
    <w:rsid w:val="00297413"/>
    <w:rsid w:val="00297592"/>
    <w:rsid w:val="00297643"/>
    <w:rsid w:val="0029781F"/>
    <w:rsid w:val="002A14AB"/>
    <w:rsid w:val="002A2ADE"/>
    <w:rsid w:val="002A2DEB"/>
    <w:rsid w:val="002A2EDE"/>
    <w:rsid w:val="002A2F50"/>
    <w:rsid w:val="002A379B"/>
    <w:rsid w:val="002A3B06"/>
    <w:rsid w:val="002A3C97"/>
    <w:rsid w:val="002A569C"/>
    <w:rsid w:val="002A65D1"/>
    <w:rsid w:val="002A7ADB"/>
    <w:rsid w:val="002A7CFA"/>
    <w:rsid w:val="002B01FB"/>
    <w:rsid w:val="002B0354"/>
    <w:rsid w:val="002B05A1"/>
    <w:rsid w:val="002B09A4"/>
    <w:rsid w:val="002B12C9"/>
    <w:rsid w:val="002B1C1F"/>
    <w:rsid w:val="002B332B"/>
    <w:rsid w:val="002B333B"/>
    <w:rsid w:val="002B3E79"/>
    <w:rsid w:val="002B432F"/>
    <w:rsid w:val="002B5F8C"/>
    <w:rsid w:val="002B62B3"/>
    <w:rsid w:val="002B64F5"/>
    <w:rsid w:val="002B66D1"/>
    <w:rsid w:val="002B6754"/>
    <w:rsid w:val="002B6C28"/>
    <w:rsid w:val="002B6CCE"/>
    <w:rsid w:val="002B6F00"/>
    <w:rsid w:val="002C2510"/>
    <w:rsid w:val="002C2775"/>
    <w:rsid w:val="002C27C1"/>
    <w:rsid w:val="002C2910"/>
    <w:rsid w:val="002C2D8E"/>
    <w:rsid w:val="002C2F54"/>
    <w:rsid w:val="002C34B7"/>
    <w:rsid w:val="002C5099"/>
    <w:rsid w:val="002C53E8"/>
    <w:rsid w:val="002C5889"/>
    <w:rsid w:val="002C6B01"/>
    <w:rsid w:val="002C71CE"/>
    <w:rsid w:val="002D0427"/>
    <w:rsid w:val="002D08F8"/>
    <w:rsid w:val="002D1439"/>
    <w:rsid w:val="002D18AA"/>
    <w:rsid w:val="002D35C1"/>
    <w:rsid w:val="002D3C4E"/>
    <w:rsid w:val="002D4576"/>
    <w:rsid w:val="002D4B99"/>
    <w:rsid w:val="002D54FE"/>
    <w:rsid w:val="002D577C"/>
    <w:rsid w:val="002D65DB"/>
    <w:rsid w:val="002D6B83"/>
    <w:rsid w:val="002D6D53"/>
    <w:rsid w:val="002E03AD"/>
    <w:rsid w:val="002E0E0A"/>
    <w:rsid w:val="002E1071"/>
    <w:rsid w:val="002E1448"/>
    <w:rsid w:val="002E15B9"/>
    <w:rsid w:val="002E2158"/>
    <w:rsid w:val="002E3E50"/>
    <w:rsid w:val="002E4B33"/>
    <w:rsid w:val="002E4BC8"/>
    <w:rsid w:val="002E4F02"/>
    <w:rsid w:val="002E5971"/>
    <w:rsid w:val="002E6CFD"/>
    <w:rsid w:val="002E7722"/>
    <w:rsid w:val="002E7A73"/>
    <w:rsid w:val="002E7B31"/>
    <w:rsid w:val="002E7B93"/>
    <w:rsid w:val="002F07BA"/>
    <w:rsid w:val="002F08F1"/>
    <w:rsid w:val="002F0DA9"/>
    <w:rsid w:val="002F1014"/>
    <w:rsid w:val="002F218D"/>
    <w:rsid w:val="002F471A"/>
    <w:rsid w:val="002F4F00"/>
    <w:rsid w:val="002F5052"/>
    <w:rsid w:val="002F643C"/>
    <w:rsid w:val="002F71C0"/>
    <w:rsid w:val="002F74F1"/>
    <w:rsid w:val="002F750C"/>
    <w:rsid w:val="00300846"/>
    <w:rsid w:val="00301017"/>
    <w:rsid w:val="0030155F"/>
    <w:rsid w:val="00302573"/>
    <w:rsid w:val="003035BB"/>
    <w:rsid w:val="003035BE"/>
    <w:rsid w:val="00304FB1"/>
    <w:rsid w:val="0030587B"/>
    <w:rsid w:val="00306A3B"/>
    <w:rsid w:val="00306AA3"/>
    <w:rsid w:val="00306D98"/>
    <w:rsid w:val="00306F3A"/>
    <w:rsid w:val="0030772F"/>
    <w:rsid w:val="0030786C"/>
    <w:rsid w:val="00307E8A"/>
    <w:rsid w:val="0031031A"/>
    <w:rsid w:val="00310606"/>
    <w:rsid w:val="00310981"/>
    <w:rsid w:val="00310FB9"/>
    <w:rsid w:val="00311D3A"/>
    <w:rsid w:val="003124D9"/>
    <w:rsid w:val="00312594"/>
    <w:rsid w:val="00312769"/>
    <w:rsid w:val="003127D4"/>
    <w:rsid w:val="003147FB"/>
    <w:rsid w:val="00315498"/>
    <w:rsid w:val="00315A14"/>
    <w:rsid w:val="0031609C"/>
    <w:rsid w:val="00316474"/>
    <w:rsid w:val="00316E1F"/>
    <w:rsid w:val="00320B54"/>
    <w:rsid w:val="003212D4"/>
    <w:rsid w:val="00321662"/>
    <w:rsid w:val="00321AA4"/>
    <w:rsid w:val="00322107"/>
    <w:rsid w:val="00322355"/>
    <w:rsid w:val="00322846"/>
    <w:rsid w:val="0032292A"/>
    <w:rsid w:val="00322C1E"/>
    <w:rsid w:val="003252B6"/>
    <w:rsid w:val="00326196"/>
    <w:rsid w:val="00326DA7"/>
    <w:rsid w:val="003270E4"/>
    <w:rsid w:val="003303E3"/>
    <w:rsid w:val="00330DAA"/>
    <w:rsid w:val="00330F5C"/>
    <w:rsid w:val="00331C72"/>
    <w:rsid w:val="00332CEA"/>
    <w:rsid w:val="0033302B"/>
    <w:rsid w:val="00333ACB"/>
    <w:rsid w:val="00333E19"/>
    <w:rsid w:val="00333F81"/>
    <w:rsid w:val="0033576E"/>
    <w:rsid w:val="00336290"/>
    <w:rsid w:val="003366C9"/>
    <w:rsid w:val="003371B0"/>
    <w:rsid w:val="00337F4A"/>
    <w:rsid w:val="00340DF1"/>
    <w:rsid w:val="00340E3E"/>
    <w:rsid w:val="00342033"/>
    <w:rsid w:val="00342516"/>
    <w:rsid w:val="00342EA9"/>
    <w:rsid w:val="0034392D"/>
    <w:rsid w:val="00343F6E"/>
    <w:rsid w:val="00345891"/>
    <w:rsid w:val="00346C07"/>
    <w:rsid w:val="0035057E"/>
    <w:rsid w:val="003514E5"/>
    <w:rsid w:val="003517F9"/>
    <w:rsid w:val="00351BA9"/>
    <w:rsid w:val="00352383"/>
    <w:rsid w:val="00352B2F"/>
    <w:rsid w:val="003530E1"/>
    <w:rsid w:val="00353193"/>
    <w:rsid w:val="00353C54"/>
    <w:rsid w:val="003541E2"/>
    <w:rsid w:val="00354F64"/>
    <w:rsid w:val="00354FD8"/>
    <w:rsid w:val="0035620E"/>
    <w:rsid w:val="0035662D"/>
    <w:rsid w:val="0035688A"/>
    <w:rsid w:val="00360266"/>
    <w:rsid w:val="00360345"/>
    <w:rsid w:val="00360F72"/>
    <w:rsid w:val="00361A05"/>
    <w:rsid w:val="00361C67"/>
    <w:rsid w:val="003624C4"/>
    <w:rsid w:val="00362B0C"/>
    <w:rsid w:val="00363B00"/>
    <w:rsid w:val="00364198"/>
    <w:rsid w:val="00365331"/>
    <w:rsid w:val="003654AC"/>
    <w:rsid w:val="00367A72"/>
    <w:rsid w:val="0037024A"/>
    <w:rsid w:val="003710CF"/>
    <w:rsid w:val="003715B5"/>
    <w:rsid w:val="00373263"/>
    <w:rsid w:val="0037358A"/>
    <w:rsid w:val="00373FF6"/>
    <w:rsid w:val="00374984"/>
    <w:rsid w:val="003750F6"/>
    <w:rsid w:val="00375CAB"/>
    <w:rsid w:val="003760FC"/>
    <w:rsid w:val="00376A38"/>
    <w:rsid w:val="00376C21"/>
    <w:rsid w:val="00377391"/>
    <w:rsid w:val="0037742C"/>
    <w:rsid w:val="003776AE"/>
    <w:rsid w:val="00381033"/>
    <w:rsid w:val="00381C9E"/>
    <w:rsid w:val="00381DA8"/>
    <w:rsid w:val="0038365C"/>
    <w:rsid w:val="0038369B"/>
    <w:rsid w:val="00383B2F"/>
    <w:rsid w:val="00383B78"/>
    <w:rsid w:val="0038410E"/>
    <w:rsid w:val="00384303"/>
    <w:rsid w:val="003852BE"/>
    <w:rsid w:val="00385A9D"/>
    <w:rsid w:val="00385F7B"/>
    <w:rsid w:val="00386DC1"/>
    <w:rsid w:val="0038744C"/>
    <w:rsid w:val="0038753D"/>
    <w:rsid w:val="0038788C"/>
    <w:rsid w:val="003902B1"/>
    <w:rsid w:val="003913C7"/>
    <w:rsid w:val="0039179C"/>
    <w:rsid w:val="00391AE3"/>
    <w:rsid w:val="0039354A"/>
    <w:rsid w:val="00395012"/>
    <w:rsid w:val="00395771"/>
    <w:rsid w:val="00395EF5"/>
    <w:rsid w:val="00396896"/>
    <w:rsid w:val="00396FD0"/>
    <w:rsid w:val="00397928"/>
    <w:rsid w:val="003A0944"/>
    <w:rsid w:val="003A1A7A"/>
    <w:rsid w:val="003A2392"/>
    <w:rsid w:val="003A2831"/>
    <w:rsid w:val="003A2A96"/>
    <w:rsid w:val="003A3CB6"/>
    <w:rsid w:val="003A3ED1"/>
    <w:rsid w:val="003A441B"/>
    <w:rsid w:val="003A44DB"/>
    <w:rsid w:val="003A46E2"/>
    <w:rsid w:val="003A4C18"/>
    <w:rsid w:val="003A56A0"/>
    <w:rsid w:val="003A5DF2"/>
    <w:rsid w:val="003A6707"/>
    <w:rsid w:val="003A67C5"/>
    <w:rsid w:val="003A72EC"/>
    <w:rsid w:val="003B0A6D"/>
    <w:rsid w:val="003B1104"/>
    <w:rsid w:val="003B3971"/>
    <w:rsid w:val="003B4E58"/>
    <w:rsid w:val="003B55D1"/>
    <w:rsid w:val="003B5B61"/>
    <w:rsid w:val="003B60DA"/>
    <w:rsid w:val="003B701A"/>
    <w:rsid w:val="003C0035"/>
    <w:rsid w:val="003C082E"/>
    <w:rsid w:val="003C1654"/>
    <w:rsid w:val="003C2E57"/>
    <w:rsid w:val="003C4789"/>
    <w:rsid w:val="003C4E59"/>
    <w:rsid w:val="003C54DC"/>
    <w:rsid w:val="003C5542"/>
    <w:rsid w:val="003C7D19"/>
    <w:rsid w:val="003C7D2F"/>
    <w:rsid w:val="003C7EE4"/>
    <w:rsid w:val="003D040C"/>
    <w:rsid w:val="003D15EF"/>
    <w:rsid w:val="003D1828"/>
    <w:rsid w:val="003D1AAE"/>
    <w:rsid w:val="003D1DE4"/>
    <w:rsid w:val="003D1E9A"/>
    <w:rsid w:val="003D2422"/>
    <w:rsid w:val="003D36F3"/>
    <w:rsid w:val="003D39A1"/>
    <w:rsid w:val="003D3FBF"/>
    <w:rsid w:val="003D4A30"/>
    <w:rsid w:val="003D61AC"/>
    <w:rsid w:val="003D6392"/>
    <w:rsid w:val="003D7339"/>
    <w:rsid w:val="003D7452"/>
    <w:rsid w:val="003D77B9"/>
    <w:rsid w:val="003D79BB"/>
    <w:rsid w:val="003D7C98"/>
    <w:rsid w:val="003D7D9D"/>
    <w:rsid w:val="003E0543"/>
    <w:rsid w:val="003E17B3"/>
    <w:rsid w:val="003E3280"/>
    <w:rsid w:val="003E3322"/>
    <w:rsid w:val="003E3CB0"/>
    <w:rsid w:val="003E4415"/>
    <w:rsid w:val="003E5B99"/>
    <w:rsid w:val="003E69A7"/>
    <w:rsid w:val="003E6D5F"/>
    <w:rsid w:val="003E749E"/>
    <w:rsid w:val="003E7C89"/>
    <w:rsid w:val="003F023C"/>
    <w:rsid w:val="003F0376"/>
    <w:rsid w:val="003F1821"/>
    <w:rsid w:val="003F1F72"/>
    <w:rsid w:val="003F2094"/>
    <w:rsid w:val="003F2684"/>
    <w:rsid w:val="003F2A70"/>
    <w:rsid w:val="003F2E08"/>
    <w:rsid w:val="003F389A"/>
    <w:rsid w:val="003F4156"/>
    <w:rsid w:val="003F4316"/>
    <w:rsid w:val="003F4677"/>
    <w:rsid w:val="003F56FE"/>
    <w:rsid w:val="003F5ADF"/>
    <w:rsid w:val="003F65F7"/>
    <w:rsid w:val="003F73D0"/>
    <w:rsid w:val="0040040F"/>
    <w:rsid w:val="00400B29"/>
    <w:rsid w:val="00401450"/>
    <w:rsid w:val="00402907"/>
    <w:rsid w:val="00402D61"/>
    <w:rsid w:val="00402DEB"/>
    <w:rsid w:val="0040358E"/>
    <w:rsid w:val="004049FF"/>
    <w:rsid w:val="0040504B"/>
    <w:rsid w:val="00405948"/>
    <w:rsid w:val="004059F4"/>
    <w:rsid w:val="00407FE5"/>
    <w:rsid w:val="004101A3"/>
    <w:rsid w:val="004101B0"/>
    <w:rsid w:val="00410326"/>
    <w:rsid w:val="00410585"/>
    <w:rsid w:val="00410708"/>
    <w:rsid w:val="00410EC7"/>
    <w:rsid w:val="00411B39"/>
    <w:rsid w:val="004120D8"/>
    <w:rsid w:val="004123D7"/>
    <w:rsid w:val="004127A7"/>
    <w:rsid w:val="00412BA4"/>
    <w:rsid w:val="00413A1E"/>
    <w:rsid w:val="00413C77"/>
    <w:rsid w:val="00413EEF"/>
    <w:rsid w:val="00414476"/>
    <w:rsid w:val="004144C0"/>
    <w:rsid w:val="004149E1"/>
    <w:rsid w:val="00414A17"/>
    <w:rsid w:val="00414C2E"/>
    <w:rsid w:val="004151CF"/>
    <w:rsid w:val="00415D41"/>
    <w:rsid w:val="00416364"/>
    <w:rsid w:val="004166CE"/>
    <w:rsid w:val="004168DD"/>
    <w:rsid w:val="00416FD2"/>
    <w:rsid w:val="0042031B"/>
    <w:rsid w:val="0042047F"/>
    <w:rsid w:val="00420AA6"/>
    <w:rsid w:val="00420B9F"/>
    <w:rsid w:val="00421722"/>
    <w:rsid w:val="0042192C"/>
    <w:rsid w:val="004220CE"/>
    <w:rsid w:val="00422260"/>
    <w:rsid w:val="00423C36"/>
    <w:rsid w:val="00423E2F"/>
    <w:rsid w:val="0042413F"/>
    <w:rsid w:val="004245E0"/>
    <w:rsid w:val="004245E4"/>
    <w:rsid w:val="00425160"/>
    <w:rsid w:val="004257BA"/>
    <w:rsid w:val="0042719B"/>
    <w:rsid w:val="0042775F"/>
    <w:rsid w:val="00430187"/>
    <w:rsid w:val="004319F8"/>
    <w:rsid w:val="00431E55"/>
    <w:rsid w:val="004321F6"/>
    <w:rsid w:val="00432B12"/>
    <w:rsid w:val="00433044"/>
    <w:rsid w:val="00433651"/>
    <w:rsid w:val="0043384C"/>
    <w:rsid w:val="00434088"/>
    <w:rsid w:val="00434092"/>
    <w:rsid w:val="004348FC"/>
    <w:rsid w:val="00434BF3"/>
    <w:rsid w:val="0043535B"/>
    <w:rsid w:val="004355D6"/>
    <w:rsid w:val="00435D04"/>
    <w:rsid w:val="00436A07"/>
    <w:rsid w:val="004375B9"/>
    <w:rsid w:val="00437B63"/>
    <w:rsid w:val="004404E5"/>
    <w:rsid w:val="004408C6"/>
    <w:rsid w:val="00441324"/>
    <w:rsid w:val="00442263"/>
    <w:rsid w:val="004425A8"/>
    <w:rsid w:val="004428D0"/>
    <w:rsid w:val="0044327D"/>
    <w:rsid w:val="004434D3"/>
    <w:rsid w:val="00444185"/>
    <w:rsid w:val="00444210"/>
    <w:rsid w:val="004443A7"/>
    <w:rsid w:val="0044442C"/>
    <w:rsid w:val="00445941"/>
    <w:rsid w:val="00445CF8"/>
    <w:rsid w:val="00446019"/>
    <w:rsid w:val="004464EB"/>
    <w:rsid w:val="0044676A"/>
    <w:rsid w:val="004467B6"/>
    <w:rsid w:val="00447D26"/>
    <w:rsid w:val="00447DFC"/>
    <w:rsid w:val="00450605"/>
    <w:rsid w:val="0045082E"/>
    <w:rsid w:val="0045129F"/>
    <w:rsid w:val="00451BAE"/>
    <w:rsid w:val="00452750"/>
    <w:rsid w:val="004527D8"/>
    <w:rsid w:val="00454595"/>
    <w:rsid w:val="00454B21"/>
    <w:rsid w:val="00455D45"/>
    <w:rsid w:val="00456138"/>
    <w:rsid w:val="00456345"/>
    <w:rsid w:val="0045653F"/>
    <w:rsid w:val="00456B61"/>
    <w:rsid w:val="00457470"/>
    <w:rsid w:val="00457E97"/>
    <w:rsid w:val="00462473"/>
    <w:rsid w:val="00462582"/>
    <w:rsid w:val="00463531"/>
    <w:rsid w:val="00464595"/>
    <w:rsid w:val="00464A45"/>
    <w:rsid w:val="00464C44"/>
    <w:rsid w:val="00465389"/>
    <w:rsid w:val="004658B5"/>
    <w:rsid w:val="00465BAB"/>
    <w:rsid w:val="00466776"/>
    <w:rsid w:val="004667E1"/>
    <w:rsid w:val="004713D9"/>
    <w:rsid w:val="0047197C"/>
    <w:rsid w:val="00471EA5"/>
    <w:rsid w:val="0047210D"/>
    <w:rsid w:val="00472A79"/>
    <w:rsid w:val="00472E23"/>
    <w:rsid w:val="00472F41"/>
    <w:rsid w:val="00473F19"/>
    <w:rsid w:val="00474094"/>
    <w:rsid w:val="00474A42"/>
    <w:rsid w:val="00475E22"/>
    <w:rsid w:val="004761E3"/>
    <w:rsid w:val="00476D19"/>
    <w:rsid w:val="00477BEC"/>
    <w:rsid w:val="00480000"/>
    <w:rsid w:val="0048009E"/>
    <w:rsid w:val="0048088E"/>
    <w:rsid w:val="00480F2B"/>
    <w:rsid w:val="00482720"/>
    <w:rsid w:val="00482FD4"/>
    <w:rsid w:val="00483261"/>
    <w:rsid w:val="004835E7"/>
    <w:rsid w:val="00483793"/>
    <w:rsid w:val="00484194"/>
    <w:rsid w:val="004845C5"/>
    <w:rsid w:val="00484FC4"/>
    <w:rsid w:val="004867E2"/>
    <w:rsid w:val="00486992"/>
    <w:rsid w:val="00486D38"/>
    <w:rsid w:val="0048744D"/>
    <w:rsid w:val="004878F4"/>
    <w:rsid w:val="00490B17"/>
    <w:rsid w:val="004910A9"/>
    <w:rsid w:val="00491131"/>
    <w:rsid w:val="004917CD"/>
    <w:rsid w:val="00491AE6"/>
    <w:rsid w:val="00491B3A"/>
    <w:rsid w:val="00492CFD"/>
    <w:rsid w:val="00492E03"/>
    <w:rsid w:val="00494207"/>
    <w:rsid w:val="00494ABA"/>
    <w:rsid w:val="00494DD5"/>
    <w:rsid w:val="004955F1"/>
    <w:rsid w:val="0049576F"/>
    <w:rsid w:val="00495E47"/>
    <w:rsid w:val="004962D2"/>
    <w:rsid w:val="00496D70"/>
    <w:rsid w:val="00497BF3"/>
    <w:rsid w:val="004A003E"/>
    <w:rsid w:val="004A0DA1"/>
    <w:rsid w:val="004A0FD4"/>
    <w:rsid w:val="004A13D6"/>
    <w:rsid w:val="004A15BE"/>
    <w:rsid w:val="004A1CEC"/>
    <w:rsid w:val="004A1F17"/>
    <w:rsid w:val="004A231F"/>
    <w:rsid w:val="004A23B6"/>
    <w:rsid w:val="004A2B9E"/>
    <w:rsid w:val="004A2BC7"/>
    <w:rsid w:val="004A43EF"/>
    <w:rsid w:val="004A5054"/>
    <w:rsid w:val="004A52E9"/>
    <w:rsid w:val="004A6040"/>
    <w:rsid w:val="004A6597"/>
    <w:rsid w:val="004A6F3D"/>
    <w:rsid w:val="004A7848"/>
    <w:rsid w:val="004A7B04"/>
    <w:rsid w:val="004A7E9E"/>
    <w:rsid w:val="004B1CB4"/>
    <w:rsid w:val="004B2130"/>
    <w:rsid w:val="004B2B79"/>
    <w:rsid w:val="004B2F18"/>
    <w:rsid w:val="004B3123"/>
    <w:rsid w:val="004B3DDB"/>
    <w:rsid w:val="004B3EFE"/>
    <w:rsid w:val="004B44FD"/>
    <w:rsid w:val="004B4D7A"/>
    <w:rsid w:val="004B5CFC"/>
    <w:rsid w:val="004B6D55"/>
    <w:rsid w:val="004B6F79"/>
    <w:rsid w:val="004B7550"/>
    <w:rsid w:val="004B774D"/>
    <w:rsid w:val="004C070D"/>
    <w:rsid w:val="004C232D"/>
    <w:rsid w:val="004C267D"/>
    <w:rsid w:val="004C2E40"/>
    <w:rsid w:val="004C3CC2"/>
    <w:rsid w:val="004C4921"/>
    <w:rsid w:val="004C4A9C"/>
    <w:rsid w:val="004C4AED"/>
    <w:rsid w:val="004C5259"/>
    <w:rsid w:val="004C55C5"/>
    <w:rsid w:val="004C5D06"/>
    <w:rsid w:val="004C6727"/>
    <w:rsid w:val="004C7FAB"/>
    <w:rsid w:val="004D11B3"/>
    <w:rsid w:val="004D2966"/>
    <w:rsid w:val="004D2C2D"/>
    <w:rsid w:val="004D3148"/>
    <w:rsid w:val="004D3BC8"/>
    <w:rsid w:val="004D4D70"/>
    <w:rsid w:val="004D6270"/>
    <w:rsid w:val="004D69B5"/>
    <w:rsid w:val="004D6AD7"/>
    <w:rsid w:val="004D7227"/>
    <w:rsid w:val="004D73B4"/>
    <w:rsid w:val="004E0627"/>
    <w:rsid w:val="004E09BF"/>
    <w:rsid w:val="004E0E7F"/>
    <w:rsid w:val="004E0EB8"/>
    <w:rsid w:val="004E142A"/>
    <w:rsid w:val="004E18E9"/>
    <w:rsid w:val="004E2ADC"/>
    <w:rsid w:val="004E31D5"/>
    <w:rsid w:val="004E43B2"/>
    <w:rsid w:val="004E712E"/>
    <w:rsid w:val="004F01F0"/>
    <w:rsid w:val="004F0487"/>
    <w:rsid w:val="004F07C3"/>
    <w:rsid w:val="004F0EE0"/>
    <w:rsid w:val="004F1264"/>
    <w:rsid w:val="004F1D02"/>
    <w:rsid w:val="004F260F"/>
    <w:rsid w:val="004F2679"/>
    <w:rsid w:val="004F274F"/>
    <w:rsid w:val="004F2F21"/>
    <w:rsid w:val="004F332E"/>
    <w:rsid w:val="004F39A1"/>
    <w:rsid w:val="004F3DE5"/>
    <w:rsid w:val="004F3F1A"/>
    <w:rsid w:val="004F43D6"/>
    <w:rsid w:val="004F4807"/>
    <w:rsid w:val="004F5DA0"/>
    <w:rsid w:val="004F617B"/>
    <w:rsid w:val="004F6913"/>
    <w:rsid w:val="004F691C"/>
    <w:rsid w:val="004F7865"/>
    <w:rsid w:val="004F79B6"/>
    <w:rsid w:val="00500455"/>
    <w:rsid w:val="0050066D"/>
    <w:rsid w:val="00501611"/>
    <w:rsid w:val="0050174E"/>
    <w:rsid w:val="00501854"/>
    <w:rsid w:val="00501EC5"/>
    <w:rsid w:val="0050219B"/>
    <w:rsid w:val="005021A7"/>
    <w:rsid w:val="005022B3"/>
    <w:rsid w:val="00502418"/>
    <w:rsid w:val="005025CE"/>
    <w:rsid w:val="00502DAF"/>
    <w:rsid w:val="00503D85"/>
    <w:rsid w:val="00503DA6"/>
    <w:rsid w:val="00503F17"/>
    <w:rsid w:val="00504295"/>
    <w:rsid w:val="005052B9"/>
    <w:rsid w:val="005055C6"/>
    <w:rsid w:val="00505E81"/>
    <w:rsid w:val="00505F5A"/>
    <w:rsid w:val="00505FFE"/>
    <w:rsid w:val="0050645E"/>
    <w:rsid w:val="00506928"/>
    <w:rsid w:val="00506EB7"/>
    <w:rsid w:val="005077EF"/>
    <w:rsid w:val="00507AA1"/>
    <w:rsid w:val="00507F86"/>
    <w:rsid w:val="00507FBC"/>
    <w:rsid w:val="00510A02"/>
    <w:rsid w:val="00511AD5"/>
    <w:rsid w:val="00511CDA"/>
    <w:rsid w:val="00511DC7"/>
    <w:rsid w:val="0051322A"/>
    <w:rsid w:val="005136F8"/>
    <w:rsid w:val="005142C5"/>
    <w:rsid w:val="0051440F"/>
    <w:rsid w:val="0051501B"/>
    <w:rsid w:val="005152B5"/>
    <w:rsid w:val="00515A9B"/>
    <w:rsid w:val="00516DCB"/>
    <w:rsid w:val="0051709A"/>
    <w:rsid w:val="00517BBD"/>
    <w:rsid w:val="005207E3"/>
    <w:rsid w:val="005209C6"/>
    <w:rsid w:val="0052123C"/>
    <w:rsid w:val="0052128B"/>
    <w:rsid w:val="00521319"/>
    <w:rsid w:val="00522471"/>
    <w:rsid w:val="00522BC8"/>
    <w:rsid w:val="00523C28"/>
    <w:rsid w:val="00524001"/>
    <w:rsid w:val="00524AD0"/>
    <w:rsid w:val="005267D2"/>
    <w:rsid w:val="0052745C"/>
    <w:rsid w:val="005274E2"/>
    <w:rsid w:val="00530264"/>
    <w:rsid w:val="00530861"/>
    <w:rsid w:val="00530F89"/>
    <w:rsid w:val="005310AB"/>
    <w:rsid w:val="00531699"/>
    <w:rsid w:val="0053176B"/>
    <w:rsid w:val="00532805"/>
    <w:rsid w:val="005328E5"/>
    <w:rsid w:val="0053414B"/>
    <w:rsid w:val="00534831"/>
    <w:rsid w:val="00534CEB"/>
    <w:rsid w:val="00535A7C"/>
    <w:rsid w:val="00535AD2"/>
    <w:rsid w:val="00536F42"/>
    <w:rsid w:val="00537182"/>
    <w:rsid w:val="005416A7"/>
    <w:rsid w:val="00541EDD"/>
    <w:rsid w:val="00542121"/>
    <w:rsid w:val="00542743"/>
    <w:rsid w:val="00542804"/>
    <w:rsid w:val="00542C2D"/>
    <w:rsid w:val="00543937"/>
    <w:rsid w:val="00543A1A"/>
    <w:rsid w:val="005442C8"/>
    <w:rsid w:val="00544428"/>
    <w:rsid w:val="00545161"/>
    <w:rsid w:val="0054599C"/>
    <w:rsid w:val="00546779"/>
    <w:rsid w:val="00546934"/>
    <w:rsid w:val="00547029"/>
    <w:rsid w:val="005478BD"/>
    <w:rsid w:val="005479E3"/>
    <w:rsid w:val="00551985"/>
    <w:rsid w:val="00552BD3"/>
    <w:rsid w:val="00552E9D"/>
    <w:rsid w:val="005532A0"/>
    <w:rsid w:val="00553734"/>
    <w:rsid w:val="00554ED0"/>
    <w:rsid w:val="00554EF2"/>
    <w:rsid w:val="00554F17"/>
    <w:rsid w:val="00554F58"/>
    <w:rsid w:val="00555109"/>
    <w:rsid w:val="005551CF"/>
    <w:rsid w:val="0055656E"/>
    <w:rsid w:val="00556A90"/>
    <w:rsid w:val="00556B35"/>
    <w:rsid w:val="00556DA0"/>
    <w:rsid w:val="00557182"/>
    <w:rsid w:val="0055741A"/>
    <w:rsid w:val="00557BC3"/>
    <w:rsid w:val="00557F8C"/>
    <w:rsid w:val="0056081A"/>
    <w:rsid w:val="005611B7"/>
    <w:rsid w:val="005618D4"/>
    <w:rsid w:val="005618DA"/>
    <w:rsid w:val="005635A5"/>
    <w:rsid w:val="0056432F"/>
    <w:rsid w:val="00565250"/>
    <w:rsid w:val="005656C1"/>
    <w:rsid w:val="00565DF0"/>
    <w:rsid w:val="0056696F"/>
    <w:rsid w:val="00570D1A"/>
    <w:rsid w:val="005714BF"/>
    <w:rsid w:val="0057219C"/>
    <w:rsid w:val="00572269"/>
    <w:rsid w:val="0057244A"/>
    <w:rsid w:val="00572793"/>
    <w:rsid w:val="00572F26"/>
    <w:rsid w:val="005731E6"/>
    <w:rsid w:val="00573E41"/>
    <w:rsid w:val="00573E54"/>
    <w:rsid w:val="00573E75"/>
    <w:rsid w:val="00574EFF"/>
    <w:rsid w:val="00574F30"/>
    <w:rsid w:val="005750C5"/>
    <w:rsid w:val="005752DE"/>
    <w:rsid w:val="00575D6A"/>
    <w:rsid w:val="00575D8D"/>
    <w:rsid w:val="00576972"/>
    <w:rsid w:val="00576F86"/>
    <w:rsid w:val="00576FEE"/>
    <w:rsid w:val="00577397"/>
    <w:rsid w:val="00577A44"/>
    <w:rsid w:val="00580EEC"/>
    <w:rsid w:val="005813D6"/>
    <w:rsid w:val="0058192F"/>
    <w:rsid w:val="005819E0"/>
    <w:rsid w:val="00582060"/>
    <w:rsid w:val="00582086"/>
    <w:rsid w:val="00582638"/>
    <w:rsid w:val="00583699"/>
    <w:rsid w:val="005839AC"/>
    <w:rsid w:val="00584173"/>
    <w:rsid w:val="005844A3"/>
    <w:rsid w:val="00584531"/>
    <w:rsid w:val="005849F9"/>
    <w:rsid w:val="00585C6D"/>
    <w:rsid w:val="00585CDD"/>
    <w:rsid w:val="00586D5E"/>
    <w:rsid w:val="00587058"/>
    <w:rsid w:val="00587200"/>
    <w:rsid w:val="00590B3D"/>
    <w:rsid w:val="00591957"/>
    <w:rsid w:val="00591B04"/>
    <w:rsid w:val="00591D02"/>
    <w:rsid w:val="00591D46"/>
    <w:rsid w:val="00592B4E"/>
    <w:rsid w:val="00593392"/>
    <w:rsid w:val="00593A0A"/>
    <w:rsid w:val="00593CC6"/>
    <w:rsid w:val="00596255"/>
    <w:rsid w:val="00596B02"/>
    <w:rsid w:val="0059702C"/>
    <w:rsid w:val="0059773A"/>
    <w:rsid w:val="00597BF9"/>
    <w:rsid w:val="005A22DB"/>
    <w:rsid w:val="005A2464"/>
    <w:rsid w:val="005A309A"/>
    <w:rsid w:val="005A373D"/>
    <w:rsid w:val="005A47B9"/>
    <w:rsid w:val="005A49C9"/>
    <w:rsid w:val="005A6888"/>
    <w:rsid w:val="005A6AD1"/>
    <w:rsid w:val="005B0B58"/>
    <w:rsid w:val="005B181F"/>
    <w:rsid w:val="005B2CF5"/>
    <w:rsid w:val="005B305B"/>
    <w:rsid w:val="005B31EF"/>
    <w:rsid w:val="005B3567"/>
    <w:rsid w:val="005B3572"/>
    <w:rsid w:val="005B3B6D"/>
    <w:rsid w:val="005B467F"/>
    <w:rsid w:val="005B4E53"/>
    <w:rsid w:val="005B5857"/>
    <w:rsid w:val="005B6D5E"/>
    <w:rsid w:val="005B7F07"/>
    <w:rsid w:val="005C1B83"/>
    <w:rsid w:val="005C25BB"/>
    <w:rsid w:val="005C25FF"/>
    <w:rsid w:val="005C2A28"/>
    <w:rsid w:val="005C2D55"/>
    <w:rsid w:val="005C3356"/>
    <w:rsid w:val="005C346B"/>
    <w:rsid w:val="005C3694"/>
    <w:rsid w:val="005C645A"/>
    <w:rsid w:val="005C73A8"/>
    <w:rsid w:val="005C78C5"/>
    <w:rsid w:val="005D044D"/>
    <w:rsid w:val="005D056F"/>
    <w:rsid w:val="005D0ABD"/>
    <w:rsid w:val="005D0DD4"/>
    <w:rsid w:val="005D18AD"/>
    <w:rsid w:val="005D1DE7"/>
    <w:rsid w:val="005D22B5"/>
    <w:rsid w:val="005D2385"/>
    <w:rsid w:val="005D26B4"/>
    <w:rsid w:val="005D34E9"/>
    <w:rsid w:val="005D3B2E"/>
    <w:rsid w:val="005D3D3E"/>
    <w:rsid w:val="005D402A"/>
    <w:rsid w:val="005D4793"/>
    <w:rsid w:val="005D4AF3"/>
    <w:rsid w:val="005D4C7F"/>
    <w:rsid w:val="005D4C91"/>
    <w:rsid w:val="005D72B1"/>
    <w:rsid w:val="005E0A6C"/>
    <w:rsid w:val="005E149C"/>
    <w:rsid w:val="005E1561"/>
    <w:rsid w:val="005E34D7"/>
    <w:rsid w:val="005E487B"/>
    <w:rsid w:val="005E491D"/>
    <w:rsid w:val="005E6CBC"/>
    <w:rsid w:val="005E6CBE"/>
    <w:rsid w:val="005E6DAD"/>
    <w:rsid w:val="005E6E94"/>
    <w:rsid w:val="005E72FF"/>
    <w:rsid w:val="005E73C0"/>
    <w:rsid w:val="005E745A"/>
    <w:rsid w:val="005E768A"/>
    <w:rsid w:val="005E7B0A"/>
    <w:rsid w:val="005F1DE2"/>
    <w:rsid w:val="005F2706"/>
    <w:rsid w:val="005F3C3A"/>
    <w:rsid w:val="005F4799"/>
    <w:rsid w:val="005F4D53"/>
    <w:rsid w:val="005F4E4E"/>
    <w:rsid w:val="005F51F4"/>
    <w:rsid w:val="005F52D4"/>
    <w:rsid w:val="005F6465"/>
    <w:rsid w:val="005F6A09"/>
    <w:rsid w:val="005F6A8F"/>
    <w:rsid w:val="005F6B43"/>
    <w:rsid w:val="005F6BB7"/>
    <w:rsid w:val="005F6EC2"/>
    <w:rsid w:val="005F6FE5"/>
    <w:rsid w:val="005F7588"/>
    <w:rsid w:val="005F7724"/>
    <w:rsid w:val="005F7A4C"/>
    <w:rsid w:val="00600620"/>
    <w:rsid w:val="00600B67"/>
    <w:rsid w:val="00601D9D"/>
    <w:rsid w:val="006031E7"/>
    <w:rsid w:val="00603DB2"/>
    <w:rsid w:val="00603DB9"/>
    <w:rsid w:val="006047FA"/>
    <w:rsid w:val="00604D21"/>
    <w:rsid w:val="00604D44"/>
    <w:rsid w:val="00605376"/>
    <w:rsid w:val="00605915"/>
    <w:rsid w:val="00606308"/>
    <w:rsid w:val="00606FBA"/>
    <w:rsid w:val="006071E2"/>
    <w:rsid w:val="00607669"/>
    <w:rsid w:val="006076F4"/>
    <w:rsid w:val="00607AFD"/>
    <w:rsid w:val="00607D23"/>
    <w:rsid w:val="00610ADC"/>
    <w:rsid w:val="0061147E"/>
    <w:rsid w:val="00612F97"/>
    <w:rsid w:val="0061345D"/>
    <w:rsid w:val="006138DD"/>
    <w:rsid w:val="00614217"/>
    <w:rsid w:val="0061549B"/>
    <w:rsid w:val="00615514"/>
    <w:rsid w:val="0061631E"/>
    <w:rsid w:val="00616802"/>
    <w:rsid w:val="00616F3E"/>
    <w:rsid w:val="0061786E"/>
    <w:rsid w:val="006178EB"/>
    <w:rsid w:val="00617E12"/>
    <w:rsid w:val="0062004C"/>
    <w:rsid w:val="00620543"/>
    <w:rsid w:val="00620C25"/>
    <w:rsid w:val="00620EA1"/>
    <w:rsid w:val="00621477"/>
    <w:rsid w:val="00621632"/>
    <w:rsid w:val="006216FB"/>
    <w:rsid w:val="00621A1E"/>
    <w:rsid w:val="00621ADA"/>
    <w:rsid w:val="00621B77"/>
    <w:rsid w:val="0062207C"/>
    <w:rsid w:val="006235D8"/>
    <w:rsid w:val="00623AF1"/>
    <w:rsid w:val="00623C72"/>
    <w:rsid w:val="00623F7B"/>
    <w:rsid w:val="0062490E"/>
    <w:rsid w:val="00625B4D"/>
    <w:rsid w:val="00625DE2"/>
    <w:rsid w:val="00625E4B"/>
    <w:rsid w:val="00625F5E"/>
    <w:rsid w:val="006260FD"/>
    <w:rsid w:val="0062691E"/>
    <w:rsid w:val="00626C05"/>
    <w:rsid w:val="0062731D"/>
    <w:rsid w:val="00627EDF"/>
    <w:rsid w:val="00631231"/>
    <w:rsid w:val="006314C3"/>
    <w:rsid w:val="006314C4"/>
    <w:rsid w:val="0063158F"/>
    <w:rsid w:val="0063185B"/>
    <w:rsid w:val="00631D6B"/>
    <w:rsid w:val="00631F67"/>
    <w:rsid w:val="00632183"/>
    <w:rsid w:val="00632226"/>
    <w:rsid w:val="006330A1"/>
    <w:rsid w:val="0063479F"/>
    <w:rsid w:val="00634953"/>
    <w:rsid w:val="0063534D"/>
    <w:rsid w:val="006353F0"/>
    <w:rsid w:val="00635482"/>
    <w:rsid w:val="00635580"/>
    <w:rsid w:val="006357B5"/>
    <w:rsid w:val="00635D7C"/>
    <w:rsid w:val="0063617E"/>
    <w:rsid w:val="006364A1"/>
    <w:rsid w:val="0063672A"/>
    <w:rsid w:val="0063678E"/>
    <w:rsid w:val="00637938"/>
    <w:rsid w:val="00637993"/>
    <w:rsid w:val="00637BFD"/>
    <w:rsid w:val="00640B5D"/>
    <w:rsid w:val="00640FEE"/>
    <w:rsid w:val="00641C4E"/>
    <w:rsid w:val="00641FB3"/>
    <w:rsid w:val="00643583"/>
    <w:rsid w:val="0064399F"/>
    <w:rsid w:val="0064434C"/>
    <w:rsid w:val="00644445"/>
    <w:rsid w:val="00644641"/>
    <w:rsid w:val="00646950"/>
    <w:rsid w:val="00646ECC"/>
    <w:rsid w:val="006471CC"/>
    <w:rsid w:val="006475D4"/>
    <w:rsid w:val="00647A29"/>
    <w:rsid w:val="00647EDB"/>
    <w:rsid w:val="00650156"/>
    <w:rsid w:val="0065079F"/>
    <w:rsid w:val="006520B4"/>
    <w:rsid w:val="006524EC"/>
    <w:rsid w:val="00652A28"/>
    <w:rsid w:val="0065379F"/>
    <w:rsid w:val="00655E80"/>
    <w:rsid w:val="00656188"/>
    <w:rsid w:val="0065669A"/>
    <w:rsid w:val="0065686F"/>
    <w:rsid w:val="0065715A"/>
    <w:rsid w:val="0066063F"/>
    <w:rsid w:val="00660FD4"/>
    <w:rsid w:val="006610F1"/>
    <w:rsid w:val="006613FD"/>
    <w:rsid w:val="00661C6B"/>
    <w:rsid w:val="00661CEA"/>
    <w:rsid w:val="006620DF"/>
    <w:rsid w:val="006627EE"/>
    <w:rsid w:val="00665A31"/>
    <w:rsid w:val="00666C67"/>
    <w:rsid w:val="006670A1"/>
    <w:rsid w:val="00667515"/>
    <w:rsid w:val="00667C74"/>
    <w:rsid w:val="00671004"/>
    <w:rsid w:val="00671244"/>
    <w:rsid w:val="00671A97"/>
    <w:rsid w:val="006724AE"/>
    <w:rsid w:val="00672646"/>
    <w:rsid w:val="006727D7"/>
    <w:rsid w:val="006729E1"/>
    <w:rsid w:val="006746D5"/>
    <w:rsid w:val="006747D6"/>
    <w:rsid w:val="00674E42"/>
    <w:rsid w:val="00676A1F"/>
    <w:rsid w:val="00676B85"/>
    <w:rsid w:val="0068000B"/>
    <w:rsid w:val="00680C29"/>
    <w:rsid w:val="006813F8"/>
    <w:rsid w:val="00682112"/>
    <w:rsid w:val="0068271A"/>
    <w:rsid w:val="00682BA6"/>
    <w:rsid w:val="00682E88"/>
    <w:rsid w:val="00684872"/>
    <w:rsid w:val="00685EF8"/>
    <w:rsid w:val="00686295"/>
    <w:rsid w:val="00686957"/>
    <w:rsid w:val="00686F19"/>
    <w:rsid w:val="006872BA"/>
    <w:rsid w:val="00687341"/>
    <w:rsid w:val="00690442"/>
    <w:rsid w:val="00690795"/>
    <w:rsid w:val="006913CC"/>
    <w:rsid w:val="00691648"/>
    <w:rsid w:val="006917D7"/>
    <w:rsid w:val="006926AB"/>
    <w:rsid w:val="00693D27"/>
    <w:rsid w:val="0069434C"/>
    <w:rsid w:val="00694515"/>
    <w:rsid w:val="00694C8F"/>
    <w:rsid w:val="00694EBA"/>
    <w:rsid w:val="00694F44"/>
    <w:rsid w:val="0069549E"/>
    <w:rsid w:val="006964CC"/>
    <w:rsid w:val="00696F51"/>
    <w:rsid w:val="006979A5"/>
    <w:rsid w:val="00697B24"/>
    <w:rsid w:val="006A0FC1"/>
    <w:rsid w:val="006A1C83"/>
    <w:rsid w:val="006A23C8"/>
    <w:rsid w:val="006A2769"/>
    <w:rsid w:val="006A2F4A"/>
    <w:rsid w:val="006A4B24"/>
    <w:rsid w:val="006A5C48"/>
    <w:rsid w:val="006A5E81"/>
    <w:rsid w:val="006A6069"/>
    <w:rsid w:val="006A62BF"/>
    <w:rsid w:val="006A6B99"/>
    <w:rsid w:val="006A7A18"/>
    <w:rsid w:val="006A7D67"/>
    <w:rsid w:val="006A7E5F"/>
    <w:rsid w:val="006B0381"/>
    <w:rsid w:val="006B0AC5"/>
    <w:rsid w:val="006B261B"/>
    <w:rsid w:val="006B2C90"/>
    <w:rsid w:val="006B35E6"/>
    <w:rsid w:val="006B4069"/>
    <w:rsid w:val="006B419A"/>
    <w:rsid w:val="006B4555"/>
    <w:rsid w:val="006B465A"/>
    <w:rsid w:val="006B469C"/>
    <w:rsid w:val="006B5174"/>
    <w:rsid w:val="006B6DD0"/>
    <w:rsid w:val="006C0399"/>
    <w:rsid w:val="006C0559"/>
    <w:rsid w:val="006C0A0B"/>
    <w:rsid w:val="006C0FEB"/>
    <w:rsid w:val="006C101F"/>
    <w:rsid w:val="006C1265"/>
    <w:rsid w:val="006C1D7C"/>
    <w:rsid w:val="006C290F"/>
    <w:rsid w:val="006C2A04"/>
    <w:rsid w:val="006C2A8E"/>
    <w:rsid w:val="006C2DA1"/>
    <w:rsid w:val="006C3255"/>
    <w:rsid w:val="006C3F26"/>
    <w:rsid w:val="006C49EE"/>
    <w:rsid w:val="006C4B64"/>
    <w:rsid w:val="006C4FC4"/>
    <w:rsid w:val="006C54CC"/>
    <w:rsid w:val="006C563F"/>
    <w:rsid w:val="006C5CE7"/>
    <w:rsid w:val="006C5E21"/>
    <w:rsid w:val="006C687C"/>
    <w:rsid w:val="006C6EDC"/>
    <w:rsid w:val="006C6EE5"/>
    <w:rsid w:val="006C7234"/>
    <w:rsid w:val="006C7DFD"/>
    <w:rsid w:val="006D0D17"/>
    <w:rsid w:val="006D2BD3"/>
    <w:rsid w:val="006D2EF5"/>
    <w:rsid w:val="006D30E0"/>
    <w:rsid w:val="006D3710"/>
    <w:rsid w:val="006D3C7D"/>
    <w:rsid w:val="006D4659"/>
    <w:rsid w:val="006D5189"/>
    <w:rsid w:val="006D5A94"/>
    <w:rsid w:val="006D5D5F"/>
    <w:rsid w:val="006D664E"/>
    <w:rsid w:val="006D68FB"/>
    <w:rsid w:val="006D744C"/>
    <w:rsid w:val="006D7677"/>
    <w:rsid w:val="006D7CDA"/>
    <w:rsid w:val="006E0A27"/>
    <w:rsid w:val="006E0CB2"/>
    <w:rsid w:val="006E10AD"/>
    <w:rsid w:val="006E15BD"/>
    <w:rsid w:val="006E1707"/>
    <w:rsid w:val="006E235C"/>
    <w:rsid w:val="006E23D5"/>
    <w:rsid w:val="006E2868"/>
    <w:rsid w:val="006E33B7"/>
    <w:rsid w:val="006E465D"/>
    <w:rsid w:val="006E4706"/>
    <w:rsid w:val="006E4E58"/>
    <w:rsid w:val="006E62E6"/>
    <w:rsid w:val="006E7C4D"/>
    <w:rsid w:val="006F088E"/>
    <w:rsid w:val="006F13E3"/>
    <w:rsid w:val="006F306C"/>
    <w:rsid w:val="006F353C"/>
    <w:rsid w:val="006F38DD"/>
    <w:rsid w:val="006F43B9"/>
    <w:rsid w:val="006F4D2B"/>
    <w:rsid w:val="006F5265"/>
    <w:rsid w:val="006F5D1E"/>
    <w:rsid w:val="006F63A5"/>
    <w:rsid w:val="006F6ADB"/>
    <w:rsid w:val="006F71C9"/>
    <w:rsid w:val="006F72A3"/>
    <w:rsid w:val="006F74F0"/>
    <w:rsid w:val="006F7645"/>
    <w:rsid w:val="006F7F47"/>
    <w:rsid w:val="0070038C"/>
    <w:rsid w:val="0070142B"/>
    <w:rsid w:val="0070276E"/>
    <w:rsid w:val="00702DC6"/>
    <w:rsid w:val="00702F8F"/>
    <w:rsid w:val="0070322B"/>
    <w:rsid w:val="00703EDB"/>
    <w:rsid w:val="007040B3"/>
    <w:rsid w:val="00704EC7"/>
    <w:rsid w:val="00705165"/>
    <w:rsid w:val="00705469"/>
    <w:rsid w:val="0070754F"/>
    <w:rsid w:val="0070760D"/>
    <w:rsid w:val="007079FC"/>
    <w:rsid w:val="00707BA2"/>
    <w:rsid w:val="00710E68"/>
    <w:rsid w:val="00711A36"/>
    <w:rsid w:val="00711D28"/>
    <w:rsid w:val="0071215A"/>
    <w:rsid w:val="0071406C"/>
    <w:rsid w:val="00714815"/>
    <w:rsid w:val="00714C26"/>
    <w:rsid w:val="0071529C"/>
    <w:rsid w:val="007155E3"/>
    <w:rsid w:val="00715924"/>
    <w:rsid w:val="00715BBC"/>
    <w:rsid w:val="00716F79"/>
    <w:rsid w:val="007170DA"/>
    <w:rsid w:val="007172AD"/>
    <w:rsid w:val="00720801"/>
    <w:rsid w:val="007209BE"/>
    <w:rsid w:val="00721FC5"/>
    <w:rsid w:val="0072274D"/>
    <w:rsid w:val="00722B1B"/>
    <w:rsid w:val="007230EB"/>
    <w:rsid w:val="007239B8"/>
    <w:rsid w:val="00723C84"/>
    <w:rsid w:val="0072416F"/>
    <w:rsid w:val="0072423E"/>
    <w:rsid w:val="00724B20"/>
    <w:rsid w:val="00724BC2"/>
    <w:rsid w:val="00725142"/>
    <w:rsid w:val="00725606"/>
    <w:rsid w:val="00725626"/>
    <w:rsid w:val="007259CF"/>
    <w:rsid w:val="00726B41"/>
    <w:rsid w:val="0072724B"/>
    <w:rsid w:val="00727AF8"/>
    <w:rsid w:val="00727C94"/>
    <w:rsid w:val="00731083"/>
    <w:rsid w:val="00731B0A"/>
    <w:rsid w:val="00731EAE"/>
    <w:rsid w:val="00733073"/>
    <w:rsid w:val="0073350D"/>
    <w:rsid w:val="00733CF2"/>
    <w:rsid w:val="00734CA0"/>
    <w:rsid w:val="00735033"/>
    <w:rsid w:val="00735328"/>
    <w:rsid w:val="0073566B"/>
    <w:rsid w:val="0073685B"/>
    <w:rsid w:val="007370B4"/>
    <w:rsid w:val="00737792"/>
    <w:rsid w:val="00740858"/>
    <w:rsid w:val="007409A6"/>
    <w:rsid w:val="00741C9D"/>
    <w:rsid w:val="0074205B"/>
    <w:rsid w:val="00743D2C"/>
    <w:rsid w:val="007449BF"/>
    <w:rsid w:val="00745792"/>
    <w:rsid w:val="0074591F"/>
    <w:rsid w:val="00745D30"/>
    <w:rsid w:val="00746551"/>
    <w:rsid w:val="00746BC0"/>
    <w:rsid w:val="00746D3B"/>
    <w:rsid w:val="00750BB1"/>
    <w:rsid w:val="007510B4"/>
    <w:rsid w:val="00751629"/>
    <w:rsid w:val="00752142"/>
    <w:rsid w:val="0075230D"/>
    <w:rsid w:val="007523F9"/>
    <w:rsid w:val="007531EB"/>
    <w:rsid w:val="0075357E"/>
    <w:rsid w:val="007542EC"/>
    <w:rsid w:val="0075468B"/>
    <w:rsid w:val="007561AD"/>
    <w:rsid w:val="00756D30"/>
    <w:rsid w:val="00757219"/>
    <w:rsid w:val="007573E8"/>
    <w:rsid w:val="00760C26"/>
    <w:rsid w:val="00760C4E"/>
    <w:rsid w:val="00760F9E"/>
    <w:rsid w:val="00762227"/>
    <w:rsid w:val="007627BE"/>
    <w:rsid w:val="00762C7E"/>
    <w:rsid w:val="00763276"/>
    <w:rsid w:val="0076377B"/>
    <w:rsid w:val="00763FB2"/>
    <w:rsid w:val="00764490"/>
    <w:rsid w:val="007644E2"/>
    <w:rsid w:val="00764B42"/>
    <w:rsid w:val="00764F03"/>
    <w:rsid w:val="00765314"/>
    <w:rsid w:val="00765572"/>
    <w:rsid w:val="00765995"/>
    <w:rsid w:val="00765B1A"/>
    <w:rsid w:val="0076750B"/>
    <w:rsid w:val="00767C53"/>
    <w:rsid w:val="00771476"/>
    <w:rsid w:val="007715CD"/>
    <w:rsid w:val="00772C0B"/>
    <w:rsid w:val="007733CA"/>
    <w:rsid w:val="00773BF0"/>
    <w:rsid w:val="00773FCC"/>
    <w:rsid w:val="00774134"/>
    <w:rsid w:val="00774AB3"/>
    <w:rsid w:val="00775059"/>
    <w:rsid w:val="00775E0F"/>
    <w:rsid w:val="0077606B"/>
    <w:rsid w:val="0077650A"/>
    <w:rsid w:val="00776EF6"/>
    <w:rsid w:val="00777335"/>
    <w:rsid w:val="00777CDC"/>
    <w:rsid w:val="00780068"/>
    <w:rsid w:val="00781005"/>
    <w:rsid w:val="00781528"/>
    <w:rsid w:val="0078259E"/>
    <w:rsid w:val="00782616"/>
    <w:rsid w:val="007832BD"/>
    <w:rsid w:val="00783487"/>
    <w:rsid w:val="007843F2"/>
    <w:rsid w:val="00785A9F"/>
    <w:rsid w:val="00787ECD"/>
    <w:rsid w:val="007908BC"/>
    <w:rsid w:val="007911A5"/>
    <w:rsid w:val="00791AB1"/>
    <w:rsid w:val="00791CA0"/>
    <w:rsid w:val="007920A8"/>
    <w:rsid w:val="0079225C"/>
    <w:rsid w:val="007924A3"/>
    <w:rsid w:val="007925DF"/>
    <w:rsid w:val="007926B9"/>
    <w:rsid w:val="00792980"/>
    <w:rsid w:val="00792B7D"/>
    <w:rsid w:val="00792C26"/>
    <w:rsid w:val="00792D04"/>
    <w:rsid w:val="00793CF2"/>
    <w:rsid w:val="007944DE"/>
    <w:rsid w:val="00795E29"/>
    <w:rsid w:val="00797B37"/>
    <w:rsid w:val="007A08AA"/>
    <w:rsid w:val="007A0A12"/>
    <w:rsid w:val="007A132D"/>
    <w:rsid w:val="007A1345"/>
    <w:rsid w:val="007A2558"/>
    <w:rsid w:val="007A27BA"/>
    <w:rsid w:val="007A2DDB"/>
    <w:rsid w:val="007A547E"/>
    <w:rsid w:val="007A55B1"/>
    <w:rsid w:val="007A5D35"/>
    <w:rsid w:val="007A5D59"/>
    <w:rsid w:val="007A6A75"/>
    <w:rsid w:val="007A70BA"/>
    <w:rsid w:val="007B0D68"/>
    <w:rsid w:val="007B0FF2"/>
    <w:rsid w:val="007B1E75"/>
    <w:rsid w:val="007B251D"/>
    <w:rsid w:val="007B3B06"/>
    <w:rsid w:val="007B3C0E"/>
    <w:rsid w:val="007B4F58"/>
    <w:rsid w:val="007B528D"/>
    <w:rsid w:val="007B5D41"/>
    <w:rsid w:val="007B6175"/>
    <w:rsid w:val="007B63CA"/>
    <w:rsid w:val="007B70B2"/>
    <w:rsid w:val="007B7614"/>
    <w:rsid w:val="007B77D1"/>
    <w:rsid w:val="007B7834"/>
    <w:rsid w:val="007C07C7"/>
    <w:rsid w:val="007C0897"/>
    <w:rsid w:val="007C0AAB"/>
    <w:rsid w:val="007C1CD9"/>
    <w:rsid w:val="007C3037"/>
    <w:rsid w:val="007C32EF"/>
    <w:rsid w:val="007C3509"/>
    <w:rsid w:val="007C361D"/>
    <w:rsid w:val="007C3C80"/>
    <w:rsid w:val="007C3E64"/>
    <w:rsid w:val="007C4292"/>
    <w:rsid w:val="007C46C1"/>
    <w:rsid w:val="007C4B84"/>
    <w:rsid w:val="007C4C72"/>
    <w:rsid w:val="007C5524"/>
    <w:rsid w:val="007C5C56"/>
    <w:rsid w:val="007C70FF"/>
    <w:rsid w:val="007C7C25"/>
    <w:rsid w:val="007C7E6A"/>
    <w:rsid w:val="007D004F"/>
    <w:rsid w:val="007D0906"/>
    <w:rsid w:val="007D0B38"/>
    <w:rsid w:val="007D0D9D"/>
    <w:rsid w:val="007D2A07"/>
    <w:rsid w:val="007D2DC0"/>
    <w:rsid w:val="007D34CA"/>
    <w:rsid w:val="007D35B0"/>
    <w:rsid w:val="007D364A"/>
    <w:rsid w:val="007D5374"/>
    <w:rsid w:val="007D5440"/>
    <w:rsid w:val="007D59B3"/>
    <w:rsid w:val="007D5A78"/>
    <w:rsid w:val="007D665C"/>
    <w:rsid w:val="007D69EB"/>
    <w:rsid w:val="007D7764"/>
    <w:rsid w:val="007E1220"/>
    <w:rsid w:val="007E128F"/>
    <w:rsid w:val="007E161A"/>
    <w:rsid w:val="007E1F6A"/>
    <w:rsid w:val="007E3069"/>
    <w:rsid w:val="007E58CA"/>
    <w:rsid w:val="007E5CAB"/>
    <w:rsid w:val="007E6115"/>
    <w:rsid w:val="007E70C2"/>
    <w:rsid w:val="007E742E"/>
    <w:rsid w:val="007E7916"/>
    <w:rsid w:val="007F1017"/>
    <w:rsid w:val="007F1363"/>
    <w:rsid w:val="007F2DD3"/>
    <w:rsid w:val="007F3929"/>
    <w:rsid w:val="007F4437"/>
    <w:rsid w:val="007F4A3F"/>
    <w:rsid w:val="007F4A61"/>
    <w:rsid w:val="007F5255"/>
    <w:rsid w:val="007F5375"/>
    <w:rsid w:val="007F56CC"/>
    <w:rsid w:val="007F5D0B"/>
    <w:rsid w:val="007F61C2"/>
    <w:rsid w:val="007F6330"/>
    <w:rsid w:val="007F6598"/>
    <w:rsid w:val="007F69E0"/>
    <w:rsid w:val="007F6E30"/>
    <w:rsid w:val="008002AC"/>
    <w:rsid w:val="0080144D"/>
    <w:rsid w:val="008019A0"/>
    <w:rsid w:val="00801FD2"/>
    <w:rsid w:val="0080328F"/>
    <w:rsid w:val="00804171"/>
    <w:rsid w:val="008045E7"/>
    <w:rsid w:val="00805142"/>
    <w:rsid w:val="008058B6"/>
    <w:rsid w:val="00805D2D"/>
    <w:rsid w:val="00805FCE"/>
    <w:rsid w:val="00805FD6"/>
    <w:rsid w:val="00806501"/>
    <w:rsid w:val="00806B75"/>
    <w:rsid w:val="00807369"/>
    <w:rsid w:val="00807A8B"/>
    <w:rsid w:val="00807BB9"/>
    <w:rsid w:val="008109AE"/>
    <w:rsid w:val="00810B85"/>
    <w:rsid w:val="00810CC2"/>
    <w:rsid w:val="00810EE6"/>
    <w:rsid w:val="008110CE"/>
    <w:rsid w:val="008112CD"/>
    <w:rsid w:val="00811383"/>
    <w:rsid w:val="00812149"/>
    <w:rsid w:val="00812CAC"/>
    <w:rsid w:val="00813594"/>
    <w:rsid w:val="0081464A"/>
    <w:rsid w:val="00814728"/>
    <w:rsid w:val="00814B74"/>
    <w:rsid w:val="00814BB3"/>
    <w:rsid w:val="00815FC3"/>
    <w:rsid w:val="00816361"/>
    <w:rsid w:val="008166EF"/>
    <w:rsid w:val="00816FEF"/>
    <w:rsid w:val="00817FF7"/>
    <w:rsid w:val="00820036"/>
    <w:rsid w:val="0082015A"/>
    <w:rsid w:val="00820A8C"/>
    <w:rsid w:val="008215FB"/>
    <w:rsid w:val="008216A4"/>
    <w:rsid w:val="00821A8B"/>
    <w:rsid w:val="00821B29"/>
    <w:rsid w:val="00822BFD"/>
    <w:rsid w:val="00823174"/>
    <w:rsid w:val="008232B6"/>
    <w:rsid w:val="008250DB"/>
    <w:rsid w:val="00825751"/>
    <w:rsid w:val="00825CE3"/>
    <w:rsid w:val="00825CF0"/>
    <w:rsid w:val="00825EFC"/>
    <w:rsid w:val="008264EB"/>
    <w:rsid w:val="008305DC"/>
    <w:rsid w:val="00832C71"/>
    <w:rsid w:val="008333F5"/>
    <w:rsid w:val="00833B05"/>
    <w:rsid w:val="008362B4"/>
    <w:rsid w:val="00840CA2"/>
    <w:rsid w:val="00842799"/>
    <w:rsid w:val="0084303B"/>
    <w:rsid w:val="00843139"/>
    <w:rsid w:val="0084374F"/>
    <w:rsid w:val="00843857"/>
    <w:rsid w:val="00844A22"/>
    <w:rsid w:val="00845296"/>
    <w:rsid w:val="00845309"/>
    <w:rsid w:val="008453C3"/>
    <w:rsid w:val="00845A0E"/>
    <w:rsid w:val="00845E08"/>
    <w:rsid w:val="00847703"/>
    <w:rsid w:val="00847DF5"/>
    <w:rsid w:val="00850765"/>
    <w:rsid w:val="008507D2"/>
    <w:rsid w:val="0085191D"/>
    <w:rsid w:val="0085309D"/>
    <w:rsid w:val="008538F5"/>
    <w:rsid w:val="00853FD0"/>
    <w:rsid w:val="00854829"/>
    <w:rsid w:val="00854ABF"/>
    <w:rsid w:val="00854EA7"/>
    <w:rsid w:val="008558CB"/>
    <w:rsid w:val="0085594F"/>
    <w:rsid w:val="00855E2E"/>
    <w:rsid w:val="00856060"/>
    <w:rsid w:val="0085623D"/>
    <w:rsid w:val="0085678B"/>
    <w:rsid w:val="00856897"/>
    <w:rsid w:val="00856CC7"/>
    <w:rsid w:val="00856E9A"/>
    <w:rsid w:val="00857819"/>
    <w:rsid w:val="00860448"/>
    <w:rsid w:val="0086075D"/>
    <w:rsid w:val="00861243"/>
    <w:rsid w:val="008621F4"/>
    <w:rsid w:val="008623A7"/>
    <w:rsid w:val="00862502"/>
    <w:rsid w:val="00862CC1"/>
    <w:rsid w:val="00865789"/>
    <w:rsid w:val="008660D4"/>
    <w:rsid w:val="00866464"/>
    <w:rsid w:val="0086684A"/>
    <w:rsid w:val="00871E52"/>
    <w:rsid w:val="00871FA9"/>
    <w:rsid w:val="008728DA"/>
    <w:rsid w:val="008728E9"/>
    <w:rsid w:val="0087330F"/>
    <w:rsid w:val="0087389D"/>
    <w:rsid w:val="00873E72"/>
    <w:rsid w:val="0087485F"/>
    <w:rsid w:val="0087569E"/>
    <w:rsid w:val="00875E7A"/>
    <w:rsid w:val="00875EA9"/>
    <w:rsid w:val="00876AFF"/>
    <w:rsid w:val="00880E35"/>
    <w:rsid w:val="00882352"/>
    <w:rsid w:val="00882874"/>
    <w:rsid w:val="00882BAB"/>
    <w:rsid w:val="00882E3C"/>
    <w:rsid w:val="00883787"/>
    <w:rsid w:val="00883834"/>
    <w:rsid w:val="008855E4"/>
    <w:rsid w:val="00886CD2"/>
    <w:rsid w:val="00891E6F"/>
    <w:rsid w:val="0089275D"/>
    <w:rsid w:val="008928B6"/>
    <w:rsid w:val="008928F0"/>
    <w:rsid w:val="00892A36"/>
    <w:rsid w:val="00892F00"/>
    <w:rsid w:val="00893239"/>
    <w:rsid w:val="008934BF"/>
    <w:rsid w:val="00893764"/>
    <w:rsid w:val="00894489"/>
    <w:rsid w:val="00894930"/>
    <w:rsid w:val="008954B5"/>
    <w:rsid w:val="008959FC"/>
    <w:rsid w:val="00895B22"/>
    <w:rsid w:val="00896289"/>
    <w:rsid w:val="008963A5"/>
    <w:rsid w:val="008969FA"/>
    <w:rsid w:val="00896D5D"/>
    <w:rsid w:val="00897936"/>
    <w:rsid w:val="008A0061"/>
    <w:rsid w:val="008A0363"/>
    <w:rsid w:val="008A0705"/>
    <w:rsid w:val="008A0778"/>
    <w:rsid w:val="008A0E3D"/>
    <w:rsid w:val="008A2B31"/>
    <w:rsid w:val="008A2B64"/>
    <w:rsid w:val="008A3014"/>
    <w:rsid w:val="008A3363"/>
    <w:rsid w:val="008A3371"/>
    <w:rsid w:val="008A3866"/>
    <w:rsid w:val="008A3C3E"/>
    <w:rsid w:val="008A3CE1"/>
    <w:rsid w:val="008A470F"/>
    <w:rsid w:val="008A4A93"/>
    <w:rsid w:val="008A4BF7"/>
    <w:rsid w:val="008A5103"/>
    <w:rsid w:val="008A5161"/>
    <w:rsid w:val="008A5620"/>
    <w:rsid w:val="008A79DE"/>
    <w:rsid w:val="008B0531"/>
    <w:rsid w:val="008B093C"/>
    <w:rsid w:val="008B095C"/>
    <w:rsid w:val="008B11D3"/>
    <w:rsid w:val="008B1234"/>
    <w:rsid w:val="008B16AE"/>
    <w:rsid w:val="008B1757"/>
    <w:rsid w:val="008B1CC9"/>
    <w:rsid w:val="008B3064"/>
    <w:rsid w:val="008B3338"/>
    <w:rsid w:val="008B4857"/>
    <w:rsid w:val="008B5EE4"/>
    <w:rsid w:val="008B64F8"/>
    <w:rsid w:val="008B65F9"/>
    <w:rsid w:val="008B693A"/>
    <w:rsid w:val="008B74AC"/>
    <w:rsid w:val="008B7992"/>
    <w:rsid w:val="008B7CB4"/>
    <w:rsid w:val="008B7D7E"/>
    <w:rsid w:val="008B7E9C"/>
    <w:rsid w:val="008C06E1"/>
    <w:rsid w:val="008C1E18"/>
    <w:rsid w:val="008C2372"/>
    <w:rsid w:val="008C285B"/>
    <w:rsid w:val="008C5610"/>
    <w:rsid w:val="008C5739"/>
    <w:rsid w:val="008C6A4A"/>
    <w:rsid w:val="008C6B24"/>
    <w:rsid w:val="008C6F3C"/>
    <w:rsid w:val="008C7ECB"/>
    <w:rsid w:val="008D2DFA"/>
    <w:rsid w:val="008D31E7"/>
    <w:rsid w:val="008D3225"/>
    <w:rsid w:val="008D3B86"/>
    <w:rsid w:val="008D4755"/>
    <w:rsid w:val="008D4A68"/>
    <w:rsid w:val="008D4AC7"/>
    <w:rsid w:val="008D4C3D"/>
    <w:rsid w:val="008D526A"/>
    <w:rsid w:val="008D6F5C"/>
    <w:rsid w:val="008D743C"/>
    <w:rsid w:val="008D7E2A"/>
    <w:rsid w:val="008E0D3C"/>
    <w:rsid w:val="008E1157"/>
    <w:rsid w:val="008E13EC"/>
    <w:rsid w:val="008E1B9E"/>
    <w:rsid w:val="008E1CB2"/>
    <w:rsid w:val="008E2018"/>
    <w:rsid w:val="008E2343"/>
    <w:rsid w:val="008E2AA6"/>
    <w:rsid w:val="008E322F"/>
    <w:rsid w:val="008E34EE"/>
    <w:rsid w:val="008E3A0C"/>
    <w:rsid w:val="008E3E26"/>
    <w:rsid w:val="008E4397"/>
    <w:rsid w:val="008E4A9E"/>
    <w:rsid w:val="008E4E46"/>
    <w:rsid w:val="008E55AB"/>
    <w:rsid w:val="008E6054"/>
    <w:rsid w:val="008E73B4"/>
    <w:rsid w:val="008E7BB0"/>
    <w:rsid w:val="008E7C34"/>
    <w:rsid w:val="008E7E05"/>
    <w:rsid w:val="008F0F2D"/>
    <w:rsid w:val="008F0F97"/>
    <w:rsid w:val="008F120A"/>
    <w:rsid w:val="008F27E0"/>
    <w:rsid w:val="008F3FDA"/>
    <w:rsid w:val="008F41DB"/>
    <w:rsid w:val="008F48EB"/>
    <w:rsid w:val="008F4A33"/>
    <w:rsid w:val="008F4F0B"/>
    <w:rsid w:val="008F591F"/>
    <w:rsid w:val="008F723A"/>
    <w:rsid w:val="008F777D"/>
    <w:rsid w:val="008F7A19"/>
    <w:rsid w:val="00900A77"/>
    <w:rsid w:val="00900D48"/>
    <w:rsid w:val="00900E79"/>
    <w:rsid w:val="00901134"/>
    <w:rsid w:val="009046C4"/>
    <w:rsid w:val="00904D67"/>
    <w:rsid w:val="00904DFC"/>
    <w:rsid w:val="009060E0"/>
    <w:rsid w:val="009062A5"/>
    <w:rsid w:val="00910CD7"/>
    <w:rsid w:val="00910FA7"/>
    <w:rsid w:val="00911272"/>
    <w:rsid w:val="00911B7E"/>
    <w:rsid w:val="009133FA"/>
    <w:rsid w:val="009135D6"/>
    <w:rsid w:val="00913C38"/>
    <w:rsid w:val="009148BB"/>
    <w:rsid w:val="00914C77"/>
    <w:rsid w:val="00915268"/>
    <w:rsid w:val="00915A37"/>
    <w:rsid w:val="0091606B"/>
    <w:rsid w:val="00920756"/>
    <w:rsid w:val="00921220"/>
    <w:rsid w:val="009216FF"/>
    <w:rsid w:val="00921ACB"/>
    <w:rsid w:val="00923477"/>
    <w:rsid w:val="0092369B"/>
    <w:rsid w:val="00923FF5"/>
    <w:rsid w:val="009242E1"/>
    <w:rsid w:val="009249A3"/>
    <w:rsid w:val="009253FC"/>
    <w:rsid w:val="00925749"/>
    <w:rsid w:val="00926123"/>
    <w:rsid w:val="00926642"/>
    <w:rsid w:val="009266BE"/>
    <w:rsid w:val="00930BDB"/>
    <w:rsid w:val="00934988"/>
    <w:rsid w:val="00934C83"/>
    <w:rsid w:val="009358F0"/>
    <w:rsid w:val="00936438"/>
    <w:rsid w:val="0093667E"/>
    <w:rsid w:val="00937089"/>
    <w:rsid w:val="009403D8"/>
    <w:rsid w:val="00940534"/>
    <w:rsid w:val="00943580"/>
    <w:rsid w:val="00943C7F"/>
    <w:rsid w:val="00943F64"/>
    <w:rsid w:val="009442F7"/>
    <w:rsid w:val="0094476C"/>
    <w:rsid w:val="00944F8A"/>
    <w:rsid w:val="0094524C"/>
    <w:rsid w:val="009456F5"/>
    <w:rsid w:val="00947198"/>
    <w:rsid w:val="009504DF"/>
    <w:rsid w:val="009510A2"/>
    <w:rsid w:val="00953257"/>
    <w:rsid w:val="0095474C"/>
    <w:rsid w:val="009575D7"/>
    <w:rsid w:val="009602E2"/>
    <w:rsid w:val="009616D8"/>
    <w:rsid w:val="00962CB9"/>
    <w:rsid w:val="00962E43"/>
    <w:rsid w:val="00963945"/>
    <w:rsid w:val="00964312"/>
    <w:rsid w:val="009653FA"/>
    <w:rsid w:val="00965603"/>
    <w:rsid w:val="00965B8A"/>
    <w:rsid w:val="00966A77"/>
    <w:rsid w:val="00966E83"/>
    <w:rsid w:val="009672AF"/>
    <w:rsid w:val="00970361"/>
    <w:rsid w:val="0097054D"/>
    <w:rsid w:val="0097071F"/>
    <w:rsid w:val="00970B13"/>
    <w:rsid w:val="009710AA"/>
    <w:rsid w:val="00971377"/>
    <w:rsid w:val="009717AC"/>
    <w:rsid w:val="009726DC"/>
    <w:rsid w:val="00972E0C"/>
    <w:rsid w:val="009748EC"/>
    <w:rsid w:val="00974F8B"/>
    <w:rsid w:val="009751C1"/>
    <w:rsid w:val="009763D3"/>
    <w:rsid w:val="0097642C"/>
    <w:rsid w:val="00976FF1"/>
    <w:rsid w:val="00977392"/>
    <w:rsid w:val="00977D17"/>
    <w:rsid w:val="00980902"/>
    <w:rsid w:val="00980C53"/>
    <w:rsid w:val="00980F85"/>
    <w:rsid w:val="009811F1"/>
    <w:rsid w:val="009816C5"/>
    <w:rsid w:val="00981FD9"/>
    <w:rsid w:val="00983CAC"/>
    <w:rsid w:val="00983E57"/>
    <w:rsid w:val="009844AE"/>
    <w:rsid w:val="00985DE2"/>
    <w:rsid w:val="0098675D"/>
    <w:rsid w:val="00986C00"/>
    <w:rsid w:val="00987E6C"/>
    <w:rsid w:val="00987FD5"/>
    <w:rsid w:val="009913AE"/>
    <w:rsid w:val="00992569"/>
    <w:rsid w:val="009926E0"/>
    <w:rsid w:val="009928C0"/>
    <w:rsid w:val="00993883"/>
    <w:rsid w:val="009941D5"/>
    <w:rsid w:val="009944B4"/>
    <w:rsid w:val="0099451E"/>
    <w:rsid w:val="00994F1D"/>
    <w:rsid w:val="00995B7F"/>
    <w:rsid w:val="00996B1A"/>
    <w:rsid w:val="009979B0"/>
    <w:rsid w:val="009A0042"/>
    <w:rsid w:val="009A00A8"/>
    <w:rsid w:val="009A091F"/>
    <w:rsid w:val="009A16A4"/>
    <w:rsid w:val="009A2DCC"/>
    <w:rsid w:val="009A4F6D"/>
    <w:rsid w:val="009A5ABC"/>
    <w:rsid w:val="009A6D09"/>
    <w:rsid w:val="009A7036"/>
    <w:rsid w:val="009A7F10"/>
    <w:rsid w:val="009B09A8"/>
    <w:rsid w:val="009B0DD8"/>
    <w:rsid w:val="009B2016"/>
    <w:rsid w:val="009B3E26"/>
    <w:rsid w:val="009B499C"/>
    <w:rsid w:val="009B6413"/>
    <w:rsid w:val="009B6564"/>
    <w:rsid w:val="009B678E"/>
    <w:rsid w:val="009B77FE"/>
    <w:rsid w:val="009B792D"/>
    <w:rsid w:val="009C030A"/>
    <w:rsid w:val="009C065D"/>
    <w:rsid w:val="009C0724"/>
    <w:rsid w:val="009C0D49"/>
    <w:rsid w:val="009C0F61"/>
    <w:rsid w:val="009C1779"/>
    <w:rsid w:val="009C2153"/>
    <w:rsid w:val="009C2D3F"/>
    <w:rsid w:val="009C36D6"/>
    <w:rsid w:val="009C3706"/>
    <w:rsid w:val="009C3A3A"/>
    <w:rsid w:val="009C4BC0"/>
    <w:rsid w:val="009C5855"/>
    <w:rsid w:val="009C62A4"/>
    <w:rsid w:val="009C6CEA"/>
    <w:rsid w:val="009C6EA5"/>
    <w:rsid w:val="009C7822"/>
    <w:rsid w:val="009C79EB"/>
    <w:rsid w:val="009C7B85"/>
    <w:rsid w:val="009D0254"/>
    <w:rsid w:val="009D195C"/>
    <w:rsid w:val="009D1A64"/>
    <w:rsid w:val="009D240A"/>
    <w:rsid w:val="009D3EF4"/>
    <w:rsid w:val="009D46C9"/>
    <w:rsid w:val="009D4FFF"/>
    <w:rsid w:val="009D5318"/>
    <w:rsid w:val="009D5B91"/>
    <w:rsid w:val="009D61CC"/>
    <w:rsid w:val="009D75E9"/>
    <w:rsid w:val="009D792E"/>
    <w:rsid w:val="009E0DFE"/>
    <w:rsid w:val="009E1941"/>
    <w:rsid w:val="009E1D77"/>
    <w:rsid w:val="009E31F6"/>
    <w:rsid w:val="009E4C07"/>
    <w:rsid w:val="009E4F18"/>
    <w:rsid w:val="009E589D"/>
    <w:rsid w:val="009E5BCF"/>
    <w:rsid w:val="009E6651"/>
    <w:rsid w:val="009E7008"/>
    <w:rsid w:val="009F02BC"/>
    <w:rsid w:val="009F03EA"/>
    <w:rsid w:val="009F0781"/>
    <w:rsid w:val="009F0783"/>
    <w:rsid w:val="009F1E12"/>
    <w:rsid w:val="009F251D"/>
    <w:rsid w:val="009F2686"/>
    <w:rsid w:val="009F2865"/>
    <w:rsid w:val="009F2A1B"/>
    <w:rsid w:val="009F4DD0"/>
    <w:rsid w:val="009F615D"/>
    <w:rsid w:val="009F6607"/>
    <w:rsid w:val="009F7D87"/>
    <w:rsid w:val="00A00477"/>
    <w:rsid w:val="00A009E4"/>
    <w:rsid w:val="00A01184"/>
    <w:rsid w:val="00A021AB"/>
    <w:rsid w:val="00A028CD"/>
    <w:rsid w:val="00A03254"/>
    <w:rsid w:val="00A037C2"/>
    <w:rsid w:val="00A03D43"/>
    <w:rsid w:val="00A04380"/>
    <w:rsid w:val="00A05472"/>
    <w:rsid w:val="00A05487"/>
    <w:rsid w:val="00A05C32"/>
    <w:rsid w:val="00A063A7"/>
    <w:rsid w:val="00A0653F"/>
    <w:rsid w:val="00A06D93"/>
    <w:rsid w:val="00A06DAF"/>
    <w:rsid w:val="00A11452"/>
    <w:rsid w:val="00A11B8E"/>
    <w:rsid w:val="00A11CD0"/>
    <w:rsid w:val="00A13948"/>
    <w:rsid w:val="00A13B63"/>
    <w:rsid w:val="00A1555B"/>
    <w:rsid w:val="00A155C5"/>
    <w:rsid w:val="00A15B19"/>
    <w:rsid w:val="00A16073"/>
    <w:rsid w:val="00A1661E"/>
    <w:rsid w:val="00A16AD8"/>
    <w:rsid w:val="00A21188"/>
    <w:rsid w:val="00A21B7E"/>
    <w:rsid w:val="00A21C95"/>
    <w:rsid w:val="00A21CF3"/>
    <w:rsid w:val="00A2332D"/>
    <w:rsid w:val="00A24813"/>
    <w:rsid w:val="00A25114"/>
    <w:rsid w:val="00A25488"/>
    <w:rsid w:val="00A254BA"/>
    <w:rsid w:val="00A2720F"/>
    <w:rsid w:val="00A27AEC"/>
    <w:rsid w:val="00A305BC"/>
    <w:rsid w:val="00A30969"/>
    <w:rsid w:val="00A3117C"/>
    <w:rsid w:val="00A31504"/>
    <w:rsid w:val="00A320DB"/>
    <w:rsid w:val="00A32450"/>
    <w:rsid w:val="00A327F6"/>
    <w:rsid w:val="00A328C9"/>
    <w:rsid w:val="00A336B3"/>
    <w:rsid w:val="00A33C3E"/>
    <w:rsid w:val="00A33D98"/>
    <w:rsid w:val="00A33EDD"/>
    <w:rsid w:val="00A34E7E"/>
    <w:rsid w:val="00A350ED"/>
    <w:rsid w:val="00A35D16"/>
    <w:rsid w:val="00A36B92"/>
    <w:rsid w:val="00A36C00"/>
    <w:rsid w:val="00A36F4A"/>
    <w:rsid w:val="00A373D0"/>
    <w:rsid w:val="00A378F4"/>
    <w:rsid w:val="00A3790E"/>
    <w:rsid w:val="00A379C7"/>
    <w:rsid w:val="00A37BCD"/>
    <w:rsid w:val="00A41689"/>
    <w:rsid w:val="00A41A7E"/>
    <w:rsid w:val="00A42592"/>
    <w:rsid w:val="00A4279C"/>
    <w:rsid w:val="00A43A18"/>
    <w:rsid w:val="00A43C59"/>
    <w:rsid w:val="00A44920"/>
    <w:rsid w:val="00A44FE4"/>
    <w:rsid w:val="00A45004"/>
    <w:rsid w:val="00A45CAE"/>
    <w:rsid w:val="00A4657B"/>
    <w:rsid w:val="00A50362"/>
    <w:rsid w:val="00A50ECD"/>
    <w:rsid w:val="00A518F3"/>
    <w:rsid w:val="00A51DE5"/>
    <w:rsid w:val="00A52729"/>
    <w:rsid w:val="00A53675"/>
    <w:rsid w:val="00A537B6"/>
    <w:rsid w:val="00A53C1D"/>
    <w:rsid w:val="00A53CF3"/>
    <w:rsid w:val="00A544EF"/>
    <w:rsid w:val="00A5492D"/>
    <w:rsid w:val="00A55640"/>
    <w:rsid w:val="00A55FE8"/>
    <w:rsid w:val="00A564D7"/>
    <w:rsid w:val="00A56B6A"/>
    <w:rsid w:val="00A578DC"/>
    <w:rsid w:val="00A60BD8"/>
    <w:rsid w:val="00A62B22"/>
    <w:rsid w:val="00A63BC0"/>
    <w:rsid w:val="00A640E2"/>
    <w:rsid w:val="00A644DF"/>
    <w:rsid w:val="00A64892"/>
    <w:rsid w:val="00A64D65"/>
    <w:rsid w:val="00A6520A"/>
    <w:rsid w:val="00A65F07"/>
    <w:rsid w:val="00A6725B"/>
    <w:rsid w:val="00A675BF"/>
    <w:rsid w:val="00A7025A"/>
    <w:rsid w:val="00A70605"/>
    <w:rsid w:val="00A709C3"/>
    <w:rsid w:val="00A70E60"/>
    <w:rsid w:val="00A73134"/>
    <w:rsid w:val="00A731CD"/>
    <w:rsid w:val="00A73362"/>
    <w:rsid w:val="00A74351"/>
    <w:rsid w:val="00A74B7C"/>
    <w:rsid w:val="00A755D2"/>
    <w:rsid w:val="00A755E9"/>
    <w:rsid w:val="00A76001"/>
    <w:rsid w:val="00A7628B"/>
    <w:rsid w:val="00A777B2"/>
    <w:rsid w:val="00A810A3"/>
    <w:rsid w:val="00A821B3"/>
    <w:rsid w:val="00A82521"/>
    <w:rsid w:val="00A825D4"/>
    <w:rsid w:val="00A828F6"/>
    <w:rsid w:val="00A82B73"/>
    <w:rsid w:val="00A83378"/>
    <w:rsid w:val="00A8418F"/>
    <w:rsid w:val="00A84299"/>
    <w:rsid w:val="00A84B02"/>
    <w:rsid w:val="00A84B17"/>
    <w:rsid w:val="00A8539E"/>
    <w:rsid w:val="00A86E8B"/>
    <w:rsid w:val="00A8707D"/>
    <w:rsid w:val="00A87164"/>
    <w:rsid w:val="00A87BCC"/>
    <w:rsid w:val="00A9096A"/>
    <w:rsid w:val="00A9113A"/>
    <w:rsid w:val="00A91C6E"/>
    <w:rsid w:val="00A9254E"/>
    <w:rsid w:val="00A925B1"/>
    <w:rsid w:val="00A9306D"/>
    <w:rsid w:val="00A93072"/>
    <w:rsid w:val="00A938BD"/>
    <w:rsid w:val="00A93953"/>
    <w:rsid w:val="00A94101"/>
    <w:rsid w:val="00A944D9"/>
    <w:rsid w:val="00A959D8"/>
    <w:rsid w:val="00A97057"/>
    <w:rsid w:val="00AA0824"/>
    <w:rsid w:val="00AA113D"/>
    <w:rsid w:val="00AA2BCE"/>
    <w:rsid w:val="00AA2C7D"/>
    <w:rsid w:val="00AA2CE5"/>
    <w:rsid w:val="00AA3E31"/>
    <w:rsid w:val="00AA4F9E"/>
    <w:rsid w:val="00AA6BD5"/>
    <w:rsid w:val="00AA6BD8"/>
    <w:rsid w:val="00AA6C7D"/>
    <w:rsid w:val="00AA6E74"/>
    <w:rsid w:val="00AA70AA"/>
    <w:rsid w:val="00AA7926"/>
    <w:rsid w:val="00AA7977"/>
    <w:rsid w:val="00AA7FD6"/>
    <w:rsid w:val="00AB042A"/>
    <w:rsid w:val="00AB166F"/>
    <w:rsid w:val="00AB19EF"/>
    <w:rsid w:val="00AB2432"/>
    <w:rsid w:val="00AB25D9"/>
    <w:rsid w:val="00AB2ABF"/>
    <w:rsid w:val="00AB2D34"/>
    <w:rsid w:val="00AB33AD"/>
    <w:rsid w:val="00AB3430"/>
    <w:rsid w:val="00AB37B9"/>
    <w:rsid w:val="00AB4809"/>
    <w:rsid w:val="00AB4832"/>
    <w:rsid w:val="00AB4AD1"/>
    <w:rsid w:val="00AB5866"/>
    <w:rsid w:val="00AB5E07"/>
    <w:rsid w:val="00AB6BBD"/>
    <w:rsid w:val="00AB6C37"/>
    <w:rsid w:val="00AB7CFA"/>
    <w:rsid w:val="00AC0D8E"/>
    <w:rsid w:val="00AC2093"/>
    <w:rsid w:val="00AC34F4"/>
    <w:rsid w:val="00AC46FF"/>
    <w:rsid w:val="00AC5B48"/>
    <w:rsid w:val="00AC6A21"/>
    <w:rsid w:val="00AC6D6C"/>
    <w:rsid w:val="00AC77DF"/>
    <w:rsid w:val="00AC7C97"/>
    <w:rsid w:val="00AD0497"/>
    <w:rsid w:val="00AD0B03"/>
    <w:rsid w:val="00AD0B79"/>
    <w:rsid w:val="00AD1450"/>
    <w:rsid w:val="00AD1788"/>
    <w:rsid w:val="00AD1F1C"/>
    <w:rsid w:val="00AD287F"/>
    <w:rsid w:val="00AD297F"/>
    <w:rsid w:val="00AD2F4F"/>
    <w:rsid w:val="00AD34D4"/>
    <w:rsid w:val="00AD4BFE"/>
    <w:rsid w:val="00AD5AC1"/>
    <w:rsid w:val="00AD5E58"/>
    <w:rsid w:val="00AD6286"/>
    <w:rsid w:val="00AD6308"/>
    <w:rsid w:val="00AD6502"/>
    <w:rsid w:val="00AD6523"/>
    <w:rsid w:val="00AD6526"/>
    <w:rsid w:val="00AD73E5"/>
    <w:rsid w:val="00AE0365"/>
    <w:rsid w:val="00AE0695"/>
    <w:rsid w:val="00AE0A66"/>
    <w:rsid w:val="00AE15FA"/>
    <w:rsid w:val="00AE2B42"/>
    <w:rsid w:val="00AE3360"/>
    <w:rsid w:val="00AE3C57"/>
    <w:rsid w:val="00AE3E7E"/>
    <w:rsid w:val="00AE3F3B"/>
    <w:rsid w:val="00AE43AD"/>
    <w:rsid w:val="00AE4E9B"/>
    <w:rsid w:val="00AE5EE8"/>
    <w:rsid w:val="00AE5F91"/>
    <w:rsid w:val="00AE655B"/>
    <w:rsid w:val="00AE6620"/>
    <w:rsid w:val="00AE70E9"/>
    <w:rsid w:val="00AE72A2"/>
    <w:rsid w:val="00AF05DF"/>
    <w:rsid w:val="00AF1315"/>
    <w:rsid w:val="00AF19A6"/>
    <w:rsid w:val="00AF19BF"/>
    <w:rsid w:val="00AF2DC3"/>
    <w:rsid w:val="00AF35F8"/>
    <w:rsid w:val="00AF52E4"/>
    <w:rsid w:val="00AF7DDE"/>
    <w:rsid w:val="00B0073B"/>
    <w:rsid w:val="00B01FCA"/>
    <w:rsid w:val="00B02558"/>
    <w:rsid w:val="00B02A1B"/>
    <w:rsid w:val="00B033E5"/>
    <w:rsid w:val="00B0373D"/>
    <w:rsid w:val="00B03A63"/>
    <w:rsid w:val="00B03D43"/>
    <w:rsid w:val="00B04063"/>
    <w:rsid w:val="00B047C7"/>
    <w:rsid w:val="00B058C2"/>
    <w:rsid w:val="00B061A4"/>
    <w:rsid w:val="00B063B0"/>
    <w:rsid w:val="00B06F11"/>
    <w:rsid w:val="00B07FFB"/>
    <w:rsid w:val="00B109A3"/>
    <w:rsid w:val="00B10BB3"/>
    <w:rsid w:val="00B110CC"/>
    <w:rsid w:val="00B12C24"/>
    <w:rsid w:val="00B13550"/>
    <w:rsid w:val="00B1541D"/>
    <w:rsid w:val="00B154D1"/>
    <w:rsid w:val="00B1576D"/>
    <w:rsid w:val="00B15F82"/>
    <w:rsid w:val="00B164F2"/>
    <w:rsid w:val="00B201A4"/>
    <w:rsid w:val="00B201D1"/>
    <w:rsid w:val="00B213A6"/>
    <w:rsid w:val="00B21616"/>
    <w:rsid w:val="00B235B0"/>
    <w:rsid w:val="00B24881"/>
    <w:rsid w:val="00B24916"/>
    <w:rsid w:val="00B24C56"/>
    <w:rsid w:val="00B24DF6"/>
    <w:rsid w:val="00B25026"/>
    <w:rsid w:val="00B27604"/>
    <w:rsid w:val="00B3015E"/>
    <w:rsid w:val="00B30410"/>
    <w:rsid w:val="00B30488"/>
    <w:rsid w:val="00B309D6"/>
    <w:rsid w:val="00B30EA5"/>
    <w:rsid w:val="00B316F6"/>
    <w:rsid w:val="00B33347"/>
    <w:rsid w:val="00B335D0"/>
    <w:rsid w:val="00B33A34"/>
    <w:rsid w:val="00B33E7E"/>
    <w:rsid w:val="00B34508"/>
    <w:rsid w:val="00B3457F"/>
    <w:rsid w:val="00B34FE2"/>
    <w:rsid w:val="00B35166"/>
    <w:rsid w:val="00B3537D"/>
    <w:rsid w:val="00B357D8"/>
    <w:rsid w:val="00B35D97"/>
    <w:rsid w:val="00B360F4"/>
    <w:rsid w:val="00B36A00"/>
    <w:rsid w:val="00B37077"/>
    <w:rsid w:val="00B37BFC"/>
    <w:rsid w:val="00B40358"/>
    <w:rsid w:val="00B409E2"/>
    <w:rsid w:val="00B40B89"/>
    <w:rsid w:val="00B41614"/>
    <w:rsid w:val="00B417F5"/>
    <w:rsid w:val="00B42188"/>
    <w:rsid w:val="00B42851"/>
    <w:rsid w:val="00B42F80"/>
    <w:rsid w:val="00B42FB2"/>
    <w:rsid w:val="00B435CB"/>
    <w:rsid w:val="00B45EBF"/>
    <w:rsid w:val="00B505C8"/>
    <w:rsid w:val="00B50DB8"/>
    <w:rsid w:val="00B53654"/>
    <w:rsid w:val="00B53905"/>
    <w:rsid w:val="00B53DC5"/>
    <w:rsid w:val="00B54676"/>
    <w:rsid w:val="00B54B5B"/>
    <w:rsid w:val="00B5562E"/>
    <w:rsid w:val="00B55AB4"/>
    <w:rsid w:val="00B55D65"/>
    <w:rsid w:val="00B56496"/>
    <w:rsid w:val="00B567B8"/>
    <w:rsid w:val="00B57000"/>
    <w:rsid w:val="00B571D2"/>
    <w:rsid w:val="00B572FF"/>
    <w:rsid w:val="00B60939"/>
    <w:rsid w:val="00B60AFD"/>
    <w:rsid w:val="00B61BA7"/>
    <w:rsid w:val="00B62715"/>
    <w:rsid w:val="00B643E0"/>
    <w:rsid w:val="00B65611"/>
    <w:rsid w:val="00B65C43"/>
    <w:rsid w:val="00B66159"/>
    <w:rsid w:val="00B663F3"/>
    <w:rsid w:val="00B6707C"/>
    <w:rsid w:val="00B67B5B"/>
    <w:rsid w:val="00B67BBD"/>
    <w:rsid w:val="00B67C32"/>
    <w:rsid w:val="00B705C9"/>
    <w:rsid w:val="00B70E8E"/>
    <w:rsid w:val="00B71EC3"/>
    <w:rsid w:val="00B733E4"/>
    <w:rsid w:val="00B73E27"/>
    <w:rsid w:val="00B74077"/>
    <w:rsid w:val="00B747B8"/>
    <w:rsid w:val="00B74C64"/>
    <w:rsid w:val="00B74DDF"/>
    <w:rsid w:val="00B76C92"/>
    <w:rsid w:val="00B77066"/>
    <w:rsid w:val="00B77783"/>
    <w:rsid w:val="00B813E5"/>
    <w:rsid w:val="00B8141D"/>
    <w:rsid w:val="00B818A4"/>
    <w:rsid w:val="00B81E20"/>
    <w:rsid w:val="00B8224D"/>
    <w:rsid w:val="00B84117"/>
    <w:rsid w:val="00B858F0"/>
    <w:rsid w:val="00B859BE"/>
    <w:rsid w:val="00B85AA2"/>
    <w:rsid w:val="00B8649C"/>
    <w:rsid w:val="00B8695D"/>
    <w:rsid w:val="00B86FA6"/>
    <w:rsid w:val="00B871A0"/>
    <w:rsid w:val="00B87F0A"/>
    <w:rsid w:val="00B9011E"/>
    <w:rsid w:val="00B904BE"/>
    <w:rsid w:val="00B90906"/>
    <w:rsid w:val="00B91356"/>
    <w:rsid w:val="00B913AE"/>
    <w:rsid w:val="00B9141A"/>
    <w:rsid w:val="00B9142F"/>
    <w:rsid w:val="00B91586"/>
    <w:rsid w:val="00B91ED3"/>
    <w:rsid w:val="00B9233F"/>
    <w:rsid w:val="00B92423"/>
    <w:rsid w:val="00B92B6E"/>
    <w:rsid w:val="00B92C12"/>
    <w:rsid w:val="00B92D0B"/>
    <w:rsid w:val="00B938FB"/>
    <w:rsid w:val="00B94913"/>
    <w:rsid w:val="00B94945"/>
    <w:rsid w:val="00B94B9D"/>
    <w:rsid w:val="00B94DD6"/>
    <w:rsid w:val="00B950C2"/>
    <w:rsid w:val="00B95154"/>
    <w:rsid w:val="00B952F1"/>
    <w:rsid w:val="00B953B8"/>
    <w:rsid w:val="00B95698"/>
    <w:rsid w:val="00B96C6D"/>
    <w:rsid w:val="00B96E77"/>
    <w:rsid w:val="00B96F1D"/>
    <w:rsid w:val="00B97A47"/>
    <w:rsid w:val="00BA1CCF"/>
    <w:rsid w:val="00BA20D5"/>
    <w:rsid w:val="00BA26EE"/>
    <w:rsid w:val="00BA2E2A"/>
    <w:rsid w:val="00BA3093"/>
    <w:rsid w:val="00BA322D"/>
    <w:rsid w:val="00BA48BF"/>
    <w:rsid w:val="00BA4A69"/>
    <w:rsid w:val="00BA598A"/>
    <w:rsid w:val="00BA63FA"/>
    <w:rsid w:val="00BA660A"/>
    <w:rsid w:val="00BA6DA8"/>
    <w:rsid w:val="00BA7077"/>
    <w:rsid w:val="00BA74C6"/>
    <w:rsid w:val="00BA781E"/>
    <w:rsid w:val="00BA7FB9"/>
    <w:rsid w:val="00BB00B3"/>
    <w:rsid w:val="00BB02D6"/>
    <w:rsid w:val="00BB031F"/>
    <w:rsid w:val="00BB08B0"/>
    <w:rsid w:val="00BB0BDD"/>
    <w:rsid w:val="00BB0C61"/>
    <w:rsid w:val="00BB176C"/>
    <w:rsid w:val="00BB1E65"/>
    <w:rsid w:val="00BB2A73"/>
    <w:rsid w:val="00BB3220"/>
    <w:rsid w:val="00BB3A45"/>
    <w:rsid w:val="00BB437E"/>
    <w:rsid w:val="00BB4ACC"/>
    <w:rsid w:val="00BB6A23"/>
    <w:rsid w:val="00BB703E"/>
    <w:rsid w:val="00BB729A"/>
    <w:rsid w:val="00BB732D"/>
    <w:rsid w:val="00BB7405"/>
    <w:rsid w:val="00BB7510"/>
    <w:rsid w:val="00BC0A33"/>
    <w:rsid w:val="00BC17DC"/>
    <w:rsid w:val="00BC185E"/>
    <w:rsid w:val="00BC19D0"/>
    <w:rsid w:val="00BC2E48"/>
    <w:rsid w:val="00BC304D"/>
    <w:rsid w:val="00BC3631"/>
    <w:rsid w:val="00BC3C2F"/>
    <w:rsid w:val="00BC3CCC"/>
    <w:rsid w:val="00BC3FE6"/>
    <w:rsid w:val="00BC41FC"/>
    <w:rsid w:val="00BC4FB7"/>
    <w:rsid w:val="00BC52A6"/>
    <w:rsid w:val="00BC547E"/>
    <w:rsid w:val="00BC5531"/>
    <w:rsid w:val="00BC591F"/>
    <w:rsid w:val="00BC5D8B"/>
    <w:rsid w:val="00BC6584"/>
    <w:rsid w:val="00BC7BCE"/>
    <w:rsid w:val="00BC7CED"/>
    <w:rsid w:val="00BC7D32"/>
    <w:rsid w:val="00BC7D6D"/>
    <w:rsid w:val="00BD07D8"/>
    <w:rsid w:val="00BD0ADE"/>
    <w:rsid w:val="00BD0DFD"/>
    <w:rsid w:val="00BD1DB7"/>
    <w:rsid w:val="00BD2040"/>
    <w:rsid w:val="00BD2108"/>
    <w:rsid w:val="00BD306A"/>
    <w:rsid w:val="00BD3762"/>
    <w:rsid w:val="00BD37EF"/>
    <w:rsid w:val="00BD3AC8"/>
    <w:rsid w:val="00BD3E44"/>
    <w:rsid w:val="00BD516B"/>
    <w:rsid w:val="00BD5372"/>
    <w:rsid w:val="00BD6042"/>
    <w:rsid w:val="00BD6534"/>
    <w:rsid w:val="00BD6821"/>
    <w:rsid w:val="00BD68A3"/>
    <w:rsid w:val="00BD6938"/>
    <w:rsid w:val="00BD69BE"/>
    <w:rsid w:val="00BD6CF3"/>
    <w:rsid w:val="00BD7608"/>
    <w:rsid w:val="00BE008D"/>
    <w:rsid w:val="00BE0ECA"/>
    <w:rsid w:val="00BE154D"/>
    <w:rsid w:val="00BE1853"/>
    <w:rsid w:val="00BE2180"/>
    <w:rsid w:val="00BE21F2"/>
    <w:rsid w:val="00BE2CAA"/>
    <w:rsid w:val="00BE4275"/>
    <w:rsid w:val="00BE4734"/>
    <w:rsid w:val="00BE650A"/>
    <w:rsid w:val="00BE6C0F"/>
    <w:rsid w:val="00BF00E1"/>
    <w:rsid w:val="00BF03ED"/>
    <w:rsid w:val="00BF06AE"/>
    <w:rsid w:val="00BF0F95"/>
    <w:rsid w:val="00BF1206"/>
    <w:rsid w:val="00BF2432"/>
    <w:rsid w:val="00BF2433"/>
    <w:rsid w:val="00BF28D1"/>
    <w:rsid w:val="00BF3A6A"/>
    <w:rsid w:val="00BF3AAD"/>
    <w:rsid w:val="00BF4068"/>
    <w:rsid w:val="00BF4F58"/>
    <w:rsid w:val="00BF5611"/>
    <w:rsid w:val="00BF56BB"/>
    <w:rsid w:val="00BF575F"/>
    <w:rsid w:val="00BF5F7C"/>
    <w:rsid w:val="00BF61C9"/>
    <w:rsid w:val="00BF69EE"/>
    <w:rsid w:val="00BF6C94"/>
    <w:rsid w:val="00BF6D16"/>
    <w:rsid w:val="00BF7C11"/>
    <w:rsid w:val="00C00424"/>
    <w:rsid w:val="00C00A01"/>
    <w:rsid w:val="00C01295"/>
    <w:rsid w:val="00C01524"/>
    <w:rsid w:val="00C01E2B"/>
    <w:rsid w:val="00C03069"/>
    <w:rsid w:val="00C03853"/>
    <w:rsid w:val="00C0416D"/>
    <w:rsid w:val="00C04EE6"/>
    <w:rsid w:val="00C059DF"/>
    <w:rsid w:val="00C05E35"/>
    <w:rsid w:val="00C079B9"/>
    <w:rsid w:val="00C10297"/>
    <w:rsid w:val="00C10B23"/>
    <w:rsid w:val="00C11353"/>
    <w:rsid w:val="00C1179F"/>
    <w:rsid w:val="00C12179"/>
    <w:rsid w:val="00C12488"/>
    <w:rsid w:val="00C12C14"/>
    <w:rsid w:val="00C14C37"/>
    <w:rsid w:val="00C14F0D"/>
    <w:rsid w:val="00C15BA0"/>
    <w:rsid w:val="00C15F04"/>
    <w:rsid w:val="00C16087"/>
    <w:rsid w:val="00C179B3"/>
    <w:rsid w:val="00C17E3F"/>
    <w:rsid w:val="00C200AA"/>
    <w:rsid w:val="00C20361"/>
    <w:rsid w:val="00C2157D"/>
    <w:rsid w:val="00C22165"/>
    <w:rsid w:val="00C228D9"/>
    <w:rsid w:val="00C22F82"/>
    <w:rsid w:val="00C237ED"/>
    <w:rsid w:val="00C23988"/>
    <w:rsid w:val="00C23A39"/>
    <w:rsid w:val="00C23E5F"/>
    <w:rsid w:val="00C24632"/>
    <w:rsid w:val="00C249C0"/>
    <w:rsid w:val="00C25418"/>
    <w:rsid w:val="00C259DB"/>
    <w:rsid w:val="00C25CA2"/>
    <w:rsid w:val="00C25D9C"/>
    <w:rsid w:val="00C2778B"/>
    <w:rsid w:val="00C3131F"/>
    <w:rsid w:val="00C31649"/>
    <w:rsid w:val="00C31AC0"/>
    <w:rsid w:val="00C3434C"/>
    <w:rsid w:val="00C34430"/>
    <w:rsid w:val="00C34726"/>
    <w:rsid w:val="00C34999"/>
    <w:rsid w:val="00C34A9B"/>
    <w:rsid w:val="00C4032F"/>
    <w:rsid w:val="00C40385"/>
    <w:rsid w:val="00C41768"/>
    <w:rsid w:val="00C41B2B"/>
    <w:rsid w:val="00C41C12"/>
    <w:rsid w:val="00C42410"/>
    <w:rsid w:val="00C42906"/>
    <w:rsid w:val="00C42E6D"/>
    <w:rsid w:val="00C43201"/>
    <w:rsid w:val="00C43691"/>
    <w:rsid w:val="00C45671"/>
    <w:rsid w:val="00C45D7B"/>
    <w:rsid w:val="00C4692A"/>
    <w:rsid w:val="00C46DCB"/>
    <w:rsid w:val="00C47156"/>
    <w:rsid w:val="00C475AA"/>
    <w:rsid w:val="00C5162B"/>
    <w:rsid w:val="00C517FF"/>
    <w:rsid w:val="00C52764"/>
    <w:rsid w:val="00C5285F"/>
    <w:rsid w:val="00C531BD"/>
    <w:rsid w:val="00C53C98"/>
    <w:rsid w:val="00C541A6"/>
    <w:rsid w:val="00C5479F"/>
    <w:rsid w:val="00C55970"/>
    <w:rsid w:val="00C55BFC"/>
    <w:rsid w:val="00C56F66"/>
    <w:rsid w:val="00C56FCF"/>
    <w:rsid w:val="00C571A7"/>
    <w:rsid w:val="00C578A6"/>
    <w:rsid w:val="00C57B6C"/>
    <w:rsid w:val="00C57F03"/>
    <w:rsid w:val="00C62169"/>
    <w:rsid w:val="00C627BC"/>
    <w:rsid w:val="00C628A6"/>
    <w:rsid w:val="00C63E5F"/>
    <w:rsid w:val="00C64344"/>
    <w:rsid w:val="00C64DD1"/>
    <w:rsid w:val="00C64E31"/>
    <w:rsid w:val="00C65108"/>
    <w:rsid w:val="00C65315"/>
    <w:rsid w:val="00C65576"/>
    <w:rsid w:val="00C66165"/>
    <w:rsid w:val="00C66B8B"/>
    <w:rsid w:val="00C677EB"/>
    <w:rsid w:val="00C67A68"/>
    <w:rsid w:val="00C7060A"/>
    <w:rsid w:val="00C71090"/>
    <w:rsid w:val="00C7151A"/>
    <w:rsid w:val="00C717E3"/>
    <w:rsid w:val="00C71F60"/>
    <w:rsid w:val="00C72241"/>
    <w:rsid w:val="00C7255E"/>
    <w:rsid w:val="00C73216"/>
    <w:rsid w:val="00C73C70"/>
    <w:rsid w:val="00C742AD"/>
    <w:rsid w:val="00C743BD"/>
    <w:rsid w:val="00C744D5"/>
    <w:rsid w:val="00C74B25"/>
    <w:rsid w:val="00C74F96"/>
    <w:rsid w:val="00C750C8"/>
    <w:rsid w:val="00C7560F"/>
    <w:rsid w:val="00C75C45"/>
    <w:rsid w:val="00C76DA7"/>
    <w:rsid w:val="00C76DBC"/>
    <w:rsid w:val="00C778D0"/>
    <w:rsid w:val="00C77E98"/>
    <w:rsid w:val="00C805E3"/>
    <w:rsid w:val="00C80A0E"/>
    <w:rsid w:val="00C80B4E"/>
    <w:rsid w:val="00C80F2E"/>
    <w:rsid w:val="00C81853"/>
    <w:rsid w:val="00C8213F"/>
    <w:rsid w:val="00C82E9A"/>
    <w:rsid w:val="00C83742"/>
    <w:rsid w:val="00C837D6"/>
    <w:rsid w:val="00C83901"/>
    <w:rsid w:val="00C84304"/>
    <w:rsid w:val="00C85154"/>
    <w:rsid w:val="00C85F0D"/>
    <w:rsid w:val="00C86923"/>
    <w:rsid w:val="00C872CC"/>
    <w:rsid w:val="00C8777B"/>
    <w:rsid w:val="00C8797A"/>
    <w:rsid w:val="00C900B8"/>
    <w:rsid w:val="00C90C5D"/>
    <w:rsid w:val="00C90C71"/>
    <w:rsid w:val="00C90D67"/>
    <w:rsid w:val="00C91F99"/>
    <w:rsid w:val="00C91FD1"/>
    <w:rsid w:val="00C926CD"/>
    <w:rsid w:val="00C9298A"/>
    <w:rsid w:val="00C931CF"/>
    <w:rsid w:val="00C938CF"/>
    <w:rsid w:val="00C93D1C"/>
    <w:rsid w:val="00C94053"/>
    <w:rsid w:val="00C949CA"/>
    <w:rsid w:val="00C94D11"/>
    <w:rsid w:val="00C956E9"/>
    <w:rsid w:val="00C95C4B"/>
    <w:rsid w:val="00C9624D"/>
    <w:rsid w:val="00C962B9"/>
    <w:rsid w:val="00C96986"/>
    <w:rsid w:val="00C969DA"/>
    <w:rsid w:val="00C96C0B"/>
    <w:rsid w:val="00CA0FC5"/>
    <w:rsid w:val="00CA1B9F"/>
    <w:rsid w:val="00CA1FE0"/>
    <w:rsid w:val="00CA2C77"/>
    <w:rsid w:val="00CA35F4"/>
    <w:rsid w:val="00CA444F"/>
    <w:rsid w:val="00CA45A1"/>
    <w:rsid w:val="00CA4BA5"/>
    <w:rsid w:val="00CA5245"/>
    <w:rsid w:val="00CA5E4A"/>
    <w:rsid w:val="00CA6230"/>
    <w:rsid w:val="00CA6781"/>
    <w:rsid w:val="00CA71F4"/>
    <w:rsid w:val="00CA7B09"/>
    <w:rsid w:val="00CB1143"/>
    <w:rsid w:val="00CB12A5"/>
    <w:rsid w:val="00CB1CAC"/>
    <w:rsid w:val="00CB2F2A"/>
    <w:rsid w:val="00CB30BD"/>
    <w:rsid w:val="00CB5B1A"/>
    <w:rsid w:val="00CB6B22"/>
    <w:rsid w:val="00CB7F5F"/>
    <w:rsid w:val="00CC11B4"/>
    <w:rsid w:val="00CC1204"/>
    <w:rsid w:val="00CC137E"/>
    <w:rsid w:val="00CC1B39"/>
    <w:rsid w:val="00CC2257"/>
    <w:rsid w:val="00CC35EA"/>
    <w:rsid w:val="00CC3848"/>
    <w:rsid w:val="00CC3879"/>
    <w:rsid w:val="00CC44E6"/>
    <w:rsid w:val="00CC4F6F"/>
    <w:rsid w:val="00CC5811"/>
    <w:rsid w:val="00CC6DBE"/>
    <w:rsid w:val="00CC6F93"/>
    <w:rsid w:val="00CC786F"/>
    <w:rsid w:val="00CC7D29"/>
    <w:rsid w:val="00CD1242"/>
    <w:rsid w:val="00CD3107"/>
    <w:rsid w:val="00CD3F77"/>
    <w:rsid w:val="00CD4360"/>
    <w:rsid w:val="00CD4F61"/>
    <w:rsid w:val="00CD6ADC"/>
    <w:rsid w:val="00CD7193"/>
    <w:rsid w:val="00CE0125"/>
    <w:rsid w:val="00CE3169"/>
    <w:rsid w:val="00CE38C8"/>
    <w:rsid w:val="00CE3BC0"/>
    <w:rsid w:val="00CE591E"/>
    <w:rsid w:val="00CE5D31"/>
    <w:rsid w:val="00CE6274"/>
    <w:rsid w:val="00CE66C4"/>
    <w:rsid w:val="00CE77B6"/>
    <w:rsid w:val="00CF0F04"/>
    <w:rsid w:val="00CF1503"/>
    <w:rsid w:val="00CF2252"/>
    <w:rsid w:val="00CF248F"/>
    <w:rsid w:val="00CF2B8D"/>
    <w:rsid w:val="00CF3D29"/>
    <w:rsid w:val="00CF456B"/>
    <w:rsid w:val="00CF5A22"/>
    <w:rsid w:val="00CF60AA"/>
    <w:rsid w:val="00CF6CDB"/>
    <w:rsid w:val="00CF6DF6"/>
    <w:rsid w:val="00CF6ECE"/>
    <w:rsid w:val="00D01891"/>
    <w:rsid w:val="00D025E9"/>
    <w:rsid w:val="00D0262E"/>
    <w:rsid w:val="00D0325E"/>
    <w:rsid w:val="00D03400"/>
    <w:rsid w:val="00D048ED"/>
    <w:rsid w:val="00D05919"/>
    <w:rsid w:val="00D05AD5"/>
    <w:rsid w:val="00D05E3D"/>
    <w:rsid w:val="00D06139"/>
    <w:rsid w:val="00D105C5"/>
    <w:rsid w:val="00D110BD"/>
    <w:rsid w:val="00D11D50"/>
    <w:rsid w:val="00D13675"/>
    <w:rsid w:val="00D141E1"/>
    <w:rsid w:val="00D14395"/>
    <w:rsid w:val="00D14C8B"/>
    <w:rsid w:val="00D15314"/>
    <w:rsid w:val="00D167AE"/>
    <w:rsid w:val="00D16D0C"/>
    <w:rsid w:val="00D16E17"/>
    <w:rsid w:val="00D17D6C"/>
    <w:rsid w:val="00D2006D"/>
    <w:rsid w:val="00D2026D"/>
    <w:rsid w:val="00D20CDB"/>
    <w:rsid w:val="00D2155B"/>
    <w:rsid w:val="00D21AB6"/>
    <w:rsid w:val="00D22475"/>
    <w:rsid w:val="00D23597"/>
    <w:rsid w:val="00D23BC8"/>
    <w:rsid w:val="00D23D11"/>
    <w:rsid w:val="00D24324"/>
    <w:rsid w:val="00D244B6"/>
    <w:rsid w:val="00D24A8D"/>
    <w:rsid w:val="00D24E5D"/>
    <w:rsid w:val="00D25C5D"/>
    <w:rsid w:val="00D266BB"/>
    <w:rsid w:val="00D2754D"/>
    <w:rsid w:val="00D2755C"/>
    <w:rsid w:val="00D27B27"/>
    <w:rsid w:val="00D27D59"/>
    <w:rsid w:val="00D31934"/>
    <w:rsid w:val="00D31C4D"/>
    <w:rsid w:val="00D31F52"/>
    <w:rsid w:val="00D322E0"/>
    <w:rsid w:val="00D327C3"/>
    <w:rsid w:val="00D3371E"/>
    <w:rsid w:val="00D33BE9"/>
    <w:rsid w:val="00D33F93"/>
    <w:rsid w:val="00D3435B"/>
    <w:rsid w:val="00D3479D"/>
    <w:rsid w:val="00D3487F"/>
    <w:rsid w:val="00D352F0"/>
    <w:rsid w:val="00D357FF"/>
    <w:rsid w:val="00D35A24"/>
    <w:rsid w:val="00D35AF5"/>
    <w:rsid w:val="00D36C0F"/>
    <w:rsid w:val="00D374A8"/>
    <w:rsid w:val="00D41DBA"/>
    <w:rsid w:val="00D421B4"/>
    <w:rsid w:val="00D424C7"/>
    <w:rsid w:val="00D432AD"/>
    <w:rsid w:val="00D43B2A"/>
    <w:rsid w:val="00D43D83"/>
    <w:rsid w:val="00D46E13"/>
    <w:rsid w:val="00D46E1B"/>
    <w:rsid w:val="00D47575"/>
    <w:rsid w:val="00D47F18"/>
    <w:rsid w:val="00D505E1"/>
    <w:rsid w:val="00D50F34"/>
    <w:rsid w:val="00D5243B"/>
    <w:rsid w:val="00D533EC"/>
    <w:rsid w:val="00D55738"/>
    <w:rsid w:val="00D55DDE"/>
    <w:rsid w:val="00D561E0"/>
    <w:rsid w:val="00D56A95"/>
    <w:rsid w:val="00D57079"/>
    <w:rsid w:val="00D571F6"/>
    <w:rsid w:val="00D60034"/>
    <w:rsid w:val="00D60ECD"/>
    <w:rsid w:val="00D60F35"/>
    <w:rsid w:val="00D613D7"/>
    <w:rsid w:val="00D62041"/>
    <w:rsid w:val="00D62DDF"/>
    <w:rsid w:val="00D62FF9"/>
    <w:rsid w:val="00D63E16"/>
    <w:rsid w:val="00D63E8E"/>
    <w:rsid w:val="00D64905"/>
    <w:rsid w:val="00D664CD"/>
    <w:rsid w:val="00D669CD"/>
    <w:rsid w:val="00D66AAE"/>
    <w:rsid w:val="00D67409"/>
    <w:rsid w:val="00D70318"/>
    <w:rsid w:val="00D70F16"/>
    <w:rsid w:val="00D7112D"/>
    <w:rsid w:val="00D72E99"/>
    <w:rsid w:val="00D72F57"/>
    <w:rsid w:val="00D73675"/>
    <w:rsid w:val="00D739A6"/>
    <w:rsid w:val="00D74104"/>
    <w:rsid w:val="00D7498E"/>
    <w:rsid w:val="00D74A88"/>
    <w:rsid w:val="00D76A44"/>
    <w:rsid w:val="00D77698"/>
    <w:rsid w:val="00D77C69"/>
    <w:rsid w:val="00D80F9A"/>
    <w:rsid w:val="00D8144F"/>
    <w:rsid w:val="00D815EF"/>
    <w:rsid w:val="00D81F26"/>
    <w:rsid w:val="00D820A8"/>
    <w:rsid w:val="00D820DE"/>
    <w:rsid w:val="00D82FEB"/>
    <w:rsid w:val="00D831F0"/>
    <w:rsid w:val="00D85398"/>
    <w:rsid w:val="00D85FD4"/>
    <w:rsid w:val="00D86231"/>
    <w:rsid w:val="00D91056"/>
    <w:rsid w:val="00D91923"/>
    <w:rsid w:val="00D93753"/>
    <w:rsid w:val="00D93D11"/>
    <w:rsid w:val="00D943FC"/>
    <w:rsid w:val="00D95CD6"/>
    <w:rsid w:val="00D9634C"/>
    <w:rsid w:val="00DA05EF"/>
    <w:rsid w:val="00DA0A3E"/>
    <w:rsid w:val="00DA1C49"/>
    <w:rsid w:val="00DA2098"/>
    <w:rsid w:val="00DA3141"/>
    <w:rsid w:val="00DA3167"/>
    <w:rsid w:val="00DA36D0"/>
    <w:rsid w:val="00DA4B3C"/>
    <w:rsid w:val="00DA4C86"/>
    <w:rsid w:val="00DA4DC3"/>
    <w:rsid w:val="00DA543F"/>
    <w:rsid w:val="00DA6739"/>
    <w:rsid w:val="00DA767C"/>
    <w:rsid w:val="00DA77A5"/>
    <w:rsid w:val="00DA7EB9"/>
    <w:rsid w:val="00DB1DFC"/>
    <w:rsid w:val="00DB2618"/>
    <w:rsid w:val="00DB261D"/>
    <w:rsid w:val="00DB2BB4"/>
    <w:rsid w:val="00DB3DBF"/>
    <w:rsid w:val="00DB464A"/>
    <w:rsid w:val="00DB484F"/>
    <w:rsid w:val="00DB7152"/>
    <w:rsid w:val="00DB7204"/>
    <w:rsid w:val="00DB786B"/>
    <w:rsid w:val="00DC04F6"/>
    <w:rsid w:val="00DC0690"/>
    <w:rsid w:val="00DC08F7"/>
    <w:rsid w:val="00DC0B0A"/>
    <w:rsid w:val="00DC0FB1"/>
    <w:rsid w:val="00DC11CB"/>
    <w:rsid w:val="00DC1D65"/>
    <w:rsid w:val="00DC2949"/>
    <w:rsid w:val="00DC3741"/>
    <w:rsid w:val="00DC3C57"/>
    <w:rsid w:val="00DC4FBD"/>
    <w:rsid w:val="00DC5168"/>
    <w:rsid w:val="00DC5501"/>
    <w:rsid w:val="00DC573F"/>
    <w:rsid w:val="00DC5875"/>
    <w:rsid w:val="00DC608E"/>
    <w:rsid w:val="00DC6705"/>
    <w:rsid w:val="00DC6838"/>
    <w:rsid w:val="00DC7154"/>
    <w:rsid w:val="00DC71C1"/>
    <w:rsid w:val="00DC7E8A"/>
    <w:rsid w:val="00DD0693"/>
    <w:rsid w:val="00DD06B9"/>
    <w:rsid w:val="00DD0E42"/>
    <w:rsid w:val="00DD0F78"/>
    <w:rsid w:val="00DD21BF"/>
    <w:rsid w:val="00DD273C"/>
    <w:rsid w:val="00DD2BD3"/>
    <w:rsid w:val="00DD2CEA"/>
    <w:rsid w:val="00DD3200"/>
    <w:rsid w:val="00DD384D"/>
    <w:rsid w:val="00DD3F28"/>
    <w:rsid w:val="00DD447D"/>
    <w:rsid w:val="00DD4537"/>
    <w:rsid w:val="00DD4E15"/>
    <w:rsid w:val="00DD534C"/>
    <w:rsid w:val="00DD62E0"/>
    <w:rsid w:val="00DD6707"/>
    <w:rsid w:val="00DD6EF0"/>
    <w:rsid w:val="00DD6F24"/>
    <w:rsid w:val="00DD7CC6"/>
    <w:rsid w:val="00DE17A3"/>
    <w:rsid w:val="00DE2304"/>
    <w:rsid w:val="00DE285D"/>
    <w:rsid w:val="00DE2B84"/>
    <w:rsid w:val="00DE3138"/>
    <w:rsid w:val="00DE37F8"/>
    <w:rsid w:val="00DE3985"/>
    <w:rsid w:val="00DE4FCB"/>
    <w:rsid w:val="00DE5D07"/>
    <w:rsid w:val="00DE72A7"/>
    <w:rsid w:val="00DE7832"/>
    <w:rsid w:val="00DE7C2F"/>
    <w:rsid w:val="00DE7C5F"/>
    <w:rsid w:val="00DF0CF5"/>
    <w:rsid w:val="00DF11EB"/>
    <w:rsid w:val="00DF18FC"/>
    <w:rsid w:val="00DF19C9"/>
    <w:rsid w:val="00DF19ED"/>
    <w:rsid w:val="00DF1E7B"/>
    <w:rsid w:val="00DF2D03"/>
    <w:rsid w:val="00DF3272"/>
    <w:rsid w:val="00DF5635"/>
    <w:rsid w:val="00DF5D2B"/>
    <w:rsid w:val="00DF74B9"/>
    <w:rsid w:val="00E002C2"/>
    <w:rsid w:val="00E00E8E"/>
    <w:rsid w:val="00E0110D"/>
    <w:rsid w:val="00E01BB3"/>
    <w:rsid w:val="00E034F4"/>
    <w:rsid w:val="00E0375F"/>
    <w:rsid w:val="00E04313"/>
    <w:rsid w:val="00E05630"/>
    <w:rsid w:val="00E0571E"/>
    <w:rsid w:val="00E058AF"/>
    <w:rsid w:val="00E06B60"/>
    <w:rsid w:val="00E06DBB"/>
    <w:rsid w:val="00E10149"/>
    <w:rsid w:val="00E112C4"/>
    <w:rsid w:val="00E11340"/>
    <w:rsid w:val="00E1186F"/>
    <w:rsid w:val="00E122A1"/>
    <w:rsid w:val="00E13438"/>
    <w:rsid w:val="00E13460"/>
    <w:rsid w:val="00E13842"/>
    <w:rsid w:val="00E14E47"/>
    <w:rsid w:val="00E15FF8"/>
    <w:rsid w:val="00E16372"/>
    <w:rsid w:val="00E16672"/>
    <w:rsid w:val="00E1685D"/>
    <w:rsid w:val="00E206D3"/>
    <w:rsid w:val="00E20E4D"/>
    <w:rsid w:val="00E20ED6"/>
    <w:rsid w:val="00E21358"/>
    <w:rsid w:val="00E2249B"/>
    <w:rsid w:val="00E22A0D"/>
    <w:rsid w:val="00E234DF"/>
    <w:rsid w:val="00E23D3B"/>
    <w:rsid w:val="00E24465"/>
    <w:rsid w:val="00E244F6"/>
    <w:rsid w:val="00E2459A"/>
    <w:rsid w:val="00E246B5"/>
    <w:rsid w:val="00E25340"/>
    <w:rsid w:val="00E25FDD"/>
    <w:rsid w:val="00E2637B"/>
    <w:rsid w:val="00E26742"/>
    <w:rsid w:val="00E26A4F"/>
    <w:rsid w:val="00E270BE"/>
    <w:rsid w:val="00E2746F"/>
    <w:rsid w:val="00E2771E"/>
    <w:rsid w:val="00E2773E"/>
    <w:rsid w:val="00E305D8"/>
    <w:rsid w:val="00E311EF"/>
    <w:rsid w:val="00E32180"/>
    <w:rsid w:val="00E33F8A"/>
    <w:rsid w:val="00E340F0"/>
    <w:rsid w:val="00E341BC"/>
    <w:rsid w:val="00E34948"/>
    <w:rsid w:val="00E35F3F"/>
    <w:rsid w:val="00E37569"/>
    <w:rsid w:val="00E401B2"/>
    <w:rsid w:val="00E40604"/>
    <w:rsid w:val="00E41D7D"/>
    <w:rsid w:val="00E41E1F"/>
    <w:rsid w:val="00E41E30"/>
    <w:rsid w:val="00E41E5E"/>
    <w:rsid w:val="00E424EC"/>
    <w:rsid w:val="00E42F73"/>
    <w:rsid w:val="00E43D70"/>
    <w:rsid w:val="00E45057"/>
    <w:rsid w:val="00E4526A"/>
    <w:rsid w:val="00E45ABB"/>
    <w:rsid w:val="00E464FA"/>
    <w:rsid w:val="00E466F3"/>
    <w:rsid w:val="00E468E7"/>
    <w:rsid w:val="00E47159"/>
    <w:rsid w:val="00E4721C"/>
    <w:rsid w:val="00E47B2C"/>
    <w:rsid w:val="00E50C1D"/>
    <w:rsid w:val="00E51560"/>
    <w:rsid w:val="00E529C8"/>
    <w:rsid w:val="00E5336B"/>
    <w:rsid w:val="00E53CE5"/>
    <w:rsid w:val="00E53FC8"/>
    <w:rsid w:val="00E54347"/>
    <w:rsid w:val="00E55424"/>
    <w:rsid w:val="00E556C3"/>
    <w:rsid w:val="00E558F2"/>
    <w:rsid w:val="00E55915"/>
    <w:rsid w:val="00E55BB5"/>
    <w:rsid w:val="00E56DE0"/>
    <w:rsid w:val="00E60103"/>
    <w:rsid w:val="00E64B26"/>
    <w:rsid w:val="00E64D57"/>
    <w:rsid w:val="00E64F6B"/>
    <w:rsid w:val="00E650C0"/>
    <w:rsid w:val="00E656B2"/>
    <w:rsid w:val="00E65E79"/>
    <w:rsid w:val="00E66249"/>
    <w:rsid w:val="00E6653C"/>
    <w:rsid w:val="00E66BA2"/>
    <w:rsid w:val="00E67416"/>
    <w:rsid w:val="00E71090"/>
    <w:rsid w:val="00E718B6"/>
    <w:rsid w:val="00E71C1F"/>
    <w:rsid w:val="00E723BA"/>
    <w:rsid w:val="00E723D9"/>
    <w:rsid w:val="00E73538"/>
    <w:rsid w:val="00E73581"/>
    <w:rsid w:val="00E75775"/>
    <w:rsid w:val="00E75782"/>
    <w:rsid w:val="00E830E6"/>
    <w:rsid w:val="00E833F7"/>
    <w:rsid w:val="00E83BDF"/>
    <w:rsid w:val="00E84A3A"/>
    <w:rsid w:val="00E853CD"/>
    <w:rsid w:val="00E85CF8"/>
    <w:rsid w:val="00E87A1D"/>
    <w:rsid w:val="00E9094A"/>
    <w:rsid w:val="00E91BA7"/>
    <w:rsid w:val="00E91CDB"/>
    <w:rsid w:val="00E91D35"/>
    <w:rsid w:val="00E925E5"/>
    <w:rsid w:val="00E926A5"/>
    <w:rsid w:val="00E92887"/>
    <w:rsid w:val="00E93BDB"/>
    <w:rsid w:val="00E96967"/>
    <w:rsid w:val="00EA01AE"/>
    <w:rsid w:val="00EA043F"/>
    <w:rsid w:val="00EA0449"/>
    <w:rsid w:val="00EA15AD"/>
    <w:rsid w:val="00EA17C3"/>
    <w:rsid w:val="00EA1C91"/>
    <w:rsid w:val="00EA1E6B"/>
    <w:rsid w:val="00EA2009"/>
    <w:rsid w:val="00EA2CAA"/>
    <w:rsid w:val="00EA2F1C"/>
    <w:rsid w:val="00EA3864"/>
    <w:rsid w:val="00EA3F9B"/>
    <w:rsid w:val="00EA46EF"/>
    <w:rsid w:val="00EA493A"/>
    <w:rsid w:val="00EA5684"/>
    <w:rsid w:val="00EA7A08"/>
    <w:rsid w:val="00EA7F1C"/>
    <w:rsid w:val="00EB05A7"/>
    <w:rsid w:val="00EB06F0"/>
    <w:rsid w:val="00EB0C4E"/>
    <w:rsid w:val="00EB0E2A"/>
    <w:rsid w:val="00EB15B6"/>
    <w:rsid w:val="00EB1A25"/>
    <w:rsid w:val="00EB3820"/>
    <w:rsid w:val="00EB3D06"/>
    <w:rsid w:val="00EB4255"/>
    <w:rsid w:val="00EB45B5"/>
    <w:rsid w:val="00EB4916"/>
    <w:rsid w:val="00EB54B2"/>
    <w:rsid w:val="00EB5E48"/>
    <w:rsid w:val="00EB6903"/>
    <w:rsid w:val="00EB6D00"/>
    <w:rsid w:val="00EB7AE1"/>
    <w:rsid w:val="00EC00C9"/>
    <w:rsid w:val="00EC0188"/>
    <w:rsid w:val="00EC0DD9"/>
    <w:rsid w:val="00EC16D7"/>
    <w:rsid w:val="00EC1C52"/>
    <w:rsid w:val="00EC2368"/>
    <w:rsid w:val="00EC2649"/>
    <w:rsid w:val="00EC2761"/>
    <w:rsid w:val="00EC31ED"/>
    <w:rsid w:val="00EC4634"/>
    <w:rsid w:val="00EC5836"/>
    <w:rsid w:val="00EC5C23"/>
    <w:rsid w:val="00EC5F3B"/>
    <w:rsid w:val="00EC688C"/>
    <w:rsid w:val="00EC71C7"/>
    <w:rsid w:val="00EC7673"/>
    <w:rsid w:val="00ED22EB"/>
    <w:rsid w:val="00ED27F9"/>
    <w:rsid w:val="00ED2FE2"/>
    <w:rsid w:val="00ED57EA"/>
    <w:rsid w:val="00ED5BD4"/>
    <w:rsid w:val="00ED7120"/>
    <w:rsid w:val="00ED71A1"/>
    <w:rsid w:val="00ED7A8E"/>
    <w:rsid w:val="00ED7F69"/>
    <w:rsid w:val="00EE033F"/>
    <w:rsid w:val="00EE073E"/>
    <w:rsid w:val="00EE07D3"/>
    <w:rsid w:val="00EE145E"/>
    <w:rsid w:val="00EE1996"/>
    <w:rsid w:val="00EE1C01"/>
    <w:rsid w:val="00EE22AF"/>
    <w:rsid w:val="00EE2DFD"/>
    <w:rsid w:val="00EE3187"/>
    <w:rsid w:val="00EE6EEA"/>
    <w:rsid w:val="00EF0171"/>
    <w:rsid w:val="00EF017B"/>
    <w:rsid w:val="00EF0B8C"/>
    <w:rsid w:val="00EF0D8E"/>
    <w:rsid w:val="00EF1B25"/>
    <w:rsid w:val="00EF1DA0"/>
    <w:rsid w:val="00EF215A"/>
    <w:rsid w:val="00EF2BF1"/>
    <w:rsid w:val="00EF3BCA"/>
    <w:rsid w:val="00EF4747"/>
    <w:rsid w:val="00EF4BF8"/>
    <w:rsid w:val="00EF589D"/>
    <w:rsid w:val="00EF5C85"/>
    <w:rsid w:val="00EF62EA"/>
    <w:rsid w:val="00EF67C2"/>
    <w:rsid w:val="00EF6EBE"/>
    <w:rsid w:val="00F0035B"/>
    <w:rsid w:val="00F01448"/>
    <w:rsid w:val="00F01534"/>
    <w:rsid w:val="00F01B81"/>
    <w:rsid w:val="00F01CDA"/>
    <w:rsid w:val="00F02253"/>
    <w:rsid w:val="00F025B5"/>
    <w:rsid w:val="00F02FF9"/>
    <w:rsid w:val="00F03C2E"/>
    <w:rsid w:val="00F04A66"/>
    <w:rsid w:val="00F04B4B"/>
    <w:rsid w:val="00F0516C"/>
    <w:rsid w:val="00F05398"/>
    <w:rsid w:val="00F05EF8"/>
    <w:rsid w:val="00F067A2"/>
    <w:rsid w:val="00F0691E"/>
    <w:rsid w:val="00F07B9E"/>
    <w:rsid w:val="00F10A31"/>
    <w:rsid w:val="00F10CC9"/>
    <w:rsid w:val="00F1116F"/>
    <w:rsid w:val="00F11ADA"/>
    <w:rsid w:val="00F1263A"/>
    <w:rsid w:val="00F148DD"/>
    <w:rsid w:val="00F15B77"/>
    <w:rsid w:val="00F164C1"/>
    <w:rsid w:val="00F173E7"/>
    <w:rsid w:val="00F22B25"/>
    <w:rsid w:val="00F23697"/>
    <w:rsid w:val="00F24837"/>
    <w:rsid w:val="00F25282"/>
    <w:rsid w:val="00F25618"/>
    <w:rsid w:val="00F2575F"/>
    <w:rsid w:val="00F25ED2"/>
    <w:rsid w:val="00F25F96"/>
    <w:rsid w:val="00F264F9"/>
    <w:rsid w:val="00F26B0D"/>
    <w:rsid w:val="00F27565"/>
    <w:rsid w:val="00F310D4"/>
    <w:rsid w:val="00F312E2"/>
    <w:rsid w:val="00F31D5A"/>
    <w:rsid w:val="00F33975"/>
    <w:rsid w:val="00F33CCB"/>
    <w:rsid w:val="00F33DE9"/>
    <w:rsid w:val="00F348C9"/>
    <w:rsid w:val="00F34DD4"/>
    <w:rsid w:val="00F350EE"/>
    <w:rsid w:val="00F351DF"/>
    <w:rsid w:val="00F35E6D"/>
    <w:rsid w:val="00F3619A"/>
    <w:rsid w:val="00F367BF"/>
    <w:rsid w:val="00F374E3"/>
    <w:rsid w:val="00F375D0"/>
    <w:rsid w:val="00F4055F"/>
    <w:rsid w:val="00F40AAA"/>
    <w:rsid w:val="00F40B50"/>
    <w:rsid w:val="00F40BA7"/>
    <w:rsid w:val="00F40D4E"/>
    <w:rsid w:val="00F40E20"/>
    <w:rsid w:val="00F40F9D"/>
    <w:rsid w:val="00F414A3"/>
    <w:rsid w:val="00F41ACD"/>
    <w:rsid w:val="00F427B2"/>
    <w:rsid w:val="00F43016"/>
    <w:rsid w:val="00F430C4"/>
    <w:rsid w:val="00F44517"/>
    <w:rsid w:val="00F448B7"/>
    <w:rsid w:val="00F44D91"/>
    <w:rsid w:val="00F4546E"/>
    <w:rsid w:val="00F458C8"/>
    <w:rsid w:val="00F46CB6"/>
    <w:rsid w:val="00F4756D"/>
    <w:rsid w:val="00F47DE8"/>
    <w:rsid w:val="00F53564"/>
    <w:rsid w:val="00F538D9"/>
    <w:rsid w:val="00F53D29"/>
    <w:rsid w:val="00F542C1"/>
    <w:rsid w:val="00F543D3"/>
    <w:rsid w:val="00F546B2"/>
    <w:rsid w:val="00F55E73"/>
    <w:rsid w:val="00F55EDA"/>
    <w:rsid w:val="00F56C80"/>
    <w:rsid w:val="00F571B4"/>
    <w:rsid w:val="00F60092"/>
    <w:rsid w:val="00F61C18"/>
    <w:rsid w:val="00F61F06"/>
    <w:rsid w:val="00F630E2"/>
    <w:rsid w:val="00F636C9"/>
    <w:rsid w:val="00F638F5"/>
    <w:rsid w:val="00F63C9E"/>
    <w:rsid w:val="00F64EFE"/>
    <w:rsid w:val="00F65519"/>
    <w:rsid w:val="00F65F4B"/>
    <w:rsid w:val="00F66E8F"/>
    <w:rsid w:val="00F674F4"/>
    <w:rsid w:val="00F67A32"/>
    <w:rsid w:val="00F67A69"/>
    <w:rsid w:val="00F67B28"/>
    <w:rsid w:val="00F70A46"/>
    <w:rsid w:val="00F70BFF"/>
    <w:rsid w:val="00F70C9D"/>
    <w:rsid w:val="00F70FA9"/>
    <w:rsid w:val="00F715F1"/>
    <w:rsid w:val="00F71D68"/>
    <w:rsid w:val="00F723C4"/>
    <w:rsid w:val="00F72752"/>
    <w:rsid w:val="00F734F3"/>
    <w:rsid w:val="00F74CD9"/>
    <w:rsid w:val="00F75DE5"/>
    <w:rsid w:val="00F75E49"/>
    <w:rsid w:val="00F764D6"/>
    <w:rsid w:val="00F7665C"/>
    <w:rsid w:val="00F80630"/>
    <w:rsid w:val="00F80A7B"/>
    <w:rsid w:val="00F80E2C"/>
    <w:rsid w:val="00F80E5D"/>
    <w:rsid w:val="00F81E78"/>
    <w:rsid w:val="00F837DF"/>
    <w:rsid w:val="00F83900"/>
    <w:rsid w:val="00F851CE"/>
    <w:rsid w:val="00F870CA"/>
    <w:rsid w:val="00F91219"/>
    <w:rsid w:val="00F91DF2"/>
    <w:rsid w:val="00F92444"/>
    <w:rsid w:val="00F9393E"/>
    <w:rsid w:val="00F946E5"/>
    <w:rsid w:val="00F95344"/>
    <w:rsid w:val="00F95F09"/>
    <w:rsid w:val="00F96FD0"/>
    <w:rsid w:val="00F97924"/>
    <w:rsid w:val="00F97A78"/>
    <w:rsid w:val="00F97D06"/>
    <w:rsid w:val="00FA0B20"/>
    <w:rsid w:val="00FA0F22"/>
    <w:rsid w:val="00FA0FA4"/>
    <w:rsid w:val="00FA24E7"/>
    <w:rsid w:val="00FA2AF9"/>
    <w:rsid w:val="00FA2CD8"/>
    <w:rsid w:val="00FA4D9B"/>
    <w:rsid w:val="00FA5919"/>
    <w:rsid w:val="00FA5EE6"/>
    <w:rsid w:val="00FA5F2D"/>
    <w:rsid w:val="00FA76D7"/>
    <w:rsid w:val="00FA7956"/>
    <w:rsid w:val="00FB0335"/>
    <w:rsid w:val="00FB07A1"/>
    <w:rsid w:val="00FB1D5F"/>
    <w:rsid w:val="00FB2522"/>
    <w:rsid w:val="00FB2FCB"/>
    <w:rsid w:val="00FB3807"/>
    <w:rsid w:val="00FB3EB4"/>
    <w:rsid w:val="00FB4D3D"/>
    <w:rsid w:val="00FB6AB7"/>
    <w:rsid w:val="00FB6FB2"/>
    <w:rsid w:val="00FB7808"/>
    <w:rsid w:val="00FB7C55"/>
    <w:rsid w:val="00FC0604"/>
    <w:rsid w:val="00FC068C"/>
    <w:rsid w:val="00FC101E"/>
    <w:rsid w:val="00FC1074"/>
    <w:rsid w:val="00FC1763"/>
    <w:rsid w:val="00FC1884"/>
    <w:rsid w:val="00FC2580"/>
    <w:rsid w:val="00FC371D"/>
    <w:rsid w:val="00FC38F9"/>
    <w:rsid w:val="00FC3990"/>
    <w:rsid w:val="00FC4282"/>
    <w:rsid w:val="00FC5D4B"/>
    <w:rsid w:val="00FC5F0B"/>
    <w:rsid w:val="00FC6395"/>
    <w:rsid w:val="00FC7431"/>
    <w:rsid w:val="00FC7FDD"/>
    <w:rsid w:val="00FD0265"/>
    <w:rsid w:val="00FD142C"/>
    <w:rsid w:val="00FD1512"/>
    <w:rsid w:val="00FD2100"/>
    <w:rsid w:val="00FD2591"/>
    <w:rsid w:val="00FD28EC"/>
    <w:rsid w:val="00FD33E6"/>
    <w:rsid w:val="00FD4282"/>
    <w:rsid w:val="00FD4315"/>
    <w:rsid w:val="00FD436C"/>
    <w:rsid w:val="00FD446D"/>
    <w:rsid w:val="00FD4CD3"/>
    <w:rsid w:val="00FD4F2C"/>
    <w:rsid w:val="00FD5383"/>
    <w:rsid w:val="00FD6394"/>
    <w:rsid w:val="00FD6D02"/>
    <w:rsid w:val="00FD7F55"/>
    <w:rsid w:val="00FE0073"/>
    <w:rsid w:val="00FE0AA0"/>
    <w:rsid w:val="00FE0E6C"/>
    <w:rsid w:val="00FE1B7B"/>
    <w:rsid w:val="00FE1CDC"/>
    <w:rsid w:val="00FE22DA"/>
    <w:rsid w:val="00FE23DA"/>
    <w:rsid w:val="00FE3939"/>
    <w:rsid w:val="00FE439F"/>
    <w:rsid w:val="00FE4B64"/>
    <w:rsid w:val="00FE4DB0"/>
    <w:rsid w:val="00FE4E0D"/>
    <w:rsid w:val="00FE52D9"/>
    <w:rsid w:val="00FE5D90"/>
    <w:rsid w:val="00FE656D"/>
    <w:rsid w:val="00FE70C3"/>
    <w:rsid w:val="00FE7BCF"/>
    <w:rsid w:val="00FF0907"/>
    <w:rsid w:val="00FF15D5"/>
    <w:rsid w:val="00FF2AD9"/>
    <w:rsid w:val="00FF2F8A"/>
    <w:rsid w:val="00FF359F"/>
    <w:rsid w:val="00FF3DCF"/>
    <w:rsid w:val="00FF4162"/>
    <w:rsid w:val="00FF492C"/>
    <w:rsid w:val="00FF4A21"/>
    <w:rsid w:val="00FF4BE7"/>
    <w:rsid w:val="00FF52C0"/>
    <w:rsid w:val="00FF5349"/>
    <w:rsid w:val="00FF5AA3"/>
    <w:rsid w:val="00FF5AD8"/>
    <w:rsid w:val="00FF5D28"/>
    <w:rsid w:val="00FF69FC"/>
    <w:rsid w:val="00FF710E"/>
    <w:rsid w:val="052F7AB8"/>
    <w:rsid w:val="05B7A22E"/>
    <w:rsid w:val="24DFE912"/>
    <w:rsid w:val="786A20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D7A"/>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Dossier table,Section 3- footnotes,Header Table,Table Grid No Lin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510A02"/>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10A0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uiPriority w:val="99"/>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340E3E"/>
    <w:pPr>
      <w:numPr>
        <w:ilvl w:val="1"/>
        <w:numId w:val="4"/>
      </w:num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340E3E"/>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uiPriority w:val="99"/>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4144C0"/>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4144C0"/>
    <w:rPr>
      <w:rFonts w:ascii="Calibri" w:hAnsi="Calibri" w:cs="Arial"/>
      <w:sz w:val="24"/>
      <w:szCs w:val="24"/>
    </w:rPr>
  </w:style>
  <w:style w:type="paragraph" w:styleId="Footer">
    <w:name w:val="footer"/>
    <w:basedOn w:val="Normal"/>
    <w:link w:val="FooterChar"/>
    <w:uiPriority w:val="99"/>
    <w:unhideWhenUsed/>
    <w:rsid w:val="004144C0"/>
    <w:pPr>
      <w:tabs>
        <w:tab w:val="center" w:pos="4513"/>
        <w:tab w:val="right" w:pos="9026"/>
      </w:tabs>
    </w:pPr>
  </w:style>
  <w:style w:type="character" w:customStyle="1" w:styleId="FooterChar">
    <w:name w:val="Footer Char"/>
    <w:basedOn w:val="DefaultParagraphFont"/>
    <w:link w:val="Footer"/>
    <w:uiPriority w:val="99"/>
    <w:rsid w:val="004144C0"/>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3E4415"/>
    <w:rPr>
      <w:sz w:val="16"/>
      <w:szCs w:val="16"/>
    </w:rPr>
  </w:style>
  <w:style w:type="paragraph" w:customStyle="1" w:styleId="PBACTableText">
    <w:name w:val="PBAC Table Text"/>
    <w:basedOn w:val="Normal"/>
    <w:link w:val="PBACTableTextChar"/>
    <w:qFormat/>
    <w:rsid w:val="005B3567"/>
    <w:pPr>
      <w:jc w:val="center"/>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5B3567"/>
    <w:rPr>
      <w:rFonts w:ascii="Arial Narrow" w:hAnsi="Arial Narrow"/>
      <w:lang w:eastAsia="en-US"/>
    </w:rPr>
  </w:style>
  <w:style w:type="paragraph" w:customStyle="1" w:styleId="TableHeading">
    <w:name w:val="Table Heading"/>
    <w:basedOn w:val="Normal"/>
    <w:link w:val="TableHeadingChar"/>
    <w:qFormat/>
    <w:rsid w:val="00765995"/>
    <w:pPr>
      <w:keepNext/>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765995"/>
    <w:rPr>
      <w:rFonts w:ascii="Arial Narrow" w:eastAsiaTheme="minorHAnsi" w:hAnsi="Arial Narrow" w:cstheme="minorBidi"/>
      <w:b/>
      <w:szCs w:val="22"/>
      <w:lang w:eastAsia="en-US"/>
    </w:rPr>
  </w:style>
  <w:style w:type="table" w:customStyle="1" w:styleId="MSDTableGrid1">
    <w:name w:val="MSD Table Grid1"/>
    <w:basedOn w:val="TableNormal"/>
    <w:next w:val="TableGrid"/>
    <w:uiPriority w:val="59"/>
    <w:rsid w:val="003E4415"/>
    <w:rPr>
      <w:rFonts w:ascii="Arial Narrow" w:eastAsia="Calibri" w:hAnsi="Arial Narrow" w:cs="Arial"/>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ahoma" w:hAnsi="Tahoma"/>
        <w:b/>
        <w:sz w:val="20"/>
      </w:rPr>
      <w:tblPr/>
      <w:tcPr>
        <w:vAlign w:val="center"/>
      </w:tcPr>
    </w:tblStylePr>
    <w:tblStylePr w:type="firstCol">
      <w:pPr>
        <w:wordWrap/>
        <w:spacing w:beforeLines="0" w:before="0" w:beforeAutospacing="0" w:afterLines="0" w:after="0" w:afterAutospacing="0"/>
        <w:ind w:leftChars="0" w:left="0" w:rightChars="0" w:right="0"/>
        <w:jc w:val="left"/>
      </w:pPr>
      <w:rPr>
        <w:rFonts w:ascii="Tahoma" w:hAnsi="Tahoma"/>
        <w:b w:val="0"/>
        <w:sz w:val="20"/>
      </w:rPr>
      <w:tblPr/>
      <w:tcPr>
        <w:vAlign w:val="center"/>
      </w:tcPr>
    </w:tblStylePr>
  </w:style>
  <w:style w:type="paragraph" w:styleId="CommentText">
    <w:name w:val="annotation text"/>
    <w:basedOn w:val="Normal"/>
    <w:link w:val="CommentTextChar"/>
    <w:uiPriority w:val="99"/>
    <w:unhideWhenUsed/>
    <w:rsid w:val="003E4415"/>
    <w:rPr>
      <w:sz w:val="20"/>
      <w:szCs w:val="20"/>
    </w:rPr>
  </w:style>
  <w:style w:type="character" w:customStyle="1" w:styleId="CommentTextChar">
    <w:name w:val="Comment Text Char"/>
    <w:basedOn w:val="DefaultParagraphFont"/>
    <w:link w:val="CommentText"/>
    <w:uiPriority w:val="99"/>
    <w:rsid w:val="003E4415"/>
    <w:rPr>
      <w:rFonts w:ascii="Calibri" w:hAnsi="Calibri" w:cs="Arial"/>
    </w:rPr>
  </w:style>
  <w:style w:type="paragraph" w:styleId="CommentSubject">
    <w:name w:val="annotation subject"/>
    <w:basedOn w:val="CommentText"/>
    <w:next w:val="CommentText"/>
    <w:link w:val="CommentSubjectChar"/>
    <w:semiHidden/>
    <w:unhideWhenUsed/>
    <w:rsid w:val="003E4415"/>
    <w:rPr>
      <w:b/>
      <w:bCs/>
    </w:rPr>
  </w:style>
  <w:style w:type="character" w:customStyle="1" w:styleId="CommentSubjectChar">
    <w:name w:val="Comment Subject Char"/>
    <w:basedOn w:val="CommentTextChar"/>
    <w:link w:val="CommentSubject"/>
    <w:semiHidden/>
    <w:rsid w:val="003E4415"/>
    <w:rPr>
      <w:rFonts w:ascii="Calibri" w:hAnsi="Calibri" w:cs="Arial"/>
      <w:b/>
      <w:bCs/>
    </w:rPr>
  </w:style>
  <w:style w:type="paragraph" w:styleId="ListParagraph">
    <w:name w:val="List Paragraph"/>
    <w:aliases w:val="Numbered para,BulletPoints,Styl moj,Akapit z listą11,Table Legend,Footnote,Bullet point,List Paragraph1,List Paragraph11,Recommendation,ES Paragraph,PBAC ES Paragraph,PBAC normal points,Bullet List,Body Text Bullet Points,Section heading"/>
    <w:basedOn w:val="Normal"/>
    <w:link w:val="ListParagraphChar"/>
    <w:uiPriority w:val="34"/>
    <w:qFormat/>
    <w:rsid w:val="00AB6C37"/>
    <w:pPr>
      <w:ind w:left="720"/>
      <w:contextualSpacing/>
    </w:pPr>
  </w:style>
  <w:style w:type="paragraph" w:customStyle="1" w:styleId="TableFooter">
    <w:name w:val="Table Footer"/>
    <w:basedOn w:val="Normal"/>
    <w:link w:val="TableFooterChar"/>
    <w:qFormat/>
    <w:rsid w:val="00CC4F6F"/>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CC4F6F"/>
    <w:rPr>
      <w:rFonts w:ascii="Arial Narrow" w:hAnsi="Arial Narrow" w:cs="Arial"/>
      <w:snapToGrid w:val="0"/>
      <w:sz w:val="18"/>
      <w:szCs w:val="22"/>
      <w:lang w:eastAsia="en-US"/>
    </w:rPr>
  </w:style>
  <w:style w:type="character" w:customStyle="1" w:styleId="ListParagraphChar">
    <w:name w:val="List Paragraph Char"/>
    <w:aliases w:val="Numbered para Char,BulletPoints Char,Styl moj Char,Akapit z listą11 Char,Table Legend Char,Footnote Char,Bullet point Char,List Paragraph1 Char,List Paragraph11 Char,Recommendation Char,ES Paragraph Char,PBAC ES Paragraph Char"/>
    <w:basedOn w:val="DefaultParagraphFont"/>
    <w:link w:val="ListParagraph"/>
    <w:uiPriority w:val="34"/>
    <w:qFormat/>
    <w:locked/>
    <w:rsid w:val="00C96C0B"/>
    <w:rPr>
      <w:rFonts w:ascii="Calibri" w:hAnsi="Calibri" w:cs="Arial"/>
      <w:sz w:val="24"/>
      <w:szCs w:val="24"/>
    </w:rPr>
  </w:style>
  <w:style w:type="paragraph" w:customStyle="1" w:styleId="Tabletext0">
    <w:name w:val="Table text"/>
    <w:basedOn w:val="Normal"/>
    <w:link w:val="TabletextChar0"/>
    <w:uiPriority w:val="99"/>
    <w:qFormat/>
    <w:rsid w:val="0042031B"/>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42031B"/>
    <w:rPr>
      <w:rFonts w:ascii="Arial Narrow" w:hAnsi="Arial Narrow"/>
      <w:szCs w:val="22"/>
      <w:lang w:eastAsia="en-US"/>
    </w:rPr>
  </w:style>
  <w:style w:type="table" w:customStyle="1" w:styleId="TableGridbeth2">
    <w:name w:val="Table Gridbeth2"/>
    <w:basedOn w:val="TableNormal"/>
    <w:next w:val="TableGrid"/>
    <w:uiPriority w:val="59"/>
    <w:rsid w:val="00360F72"/>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ListNos0">
    <w:name w:val="ListNos+0"/>
    <w:basedOn w:val="BodyText"/>
    <w:uiPriority w:val="2"/>
    <w:qFormat/>
    <w:rsid w:val="00AC2093"/>
    <w:pPr>
      <w:numPr>
        <w:numId w:val="15"/>
      </w:numPr>
      <w:spacing w:after="0" w:line="360" w:lineRule="auto"/>
      <w:ind w:hanging="720"/>
    </w:pPr>
    <w:rPr>
      <w:rFonts w:asciiTheme="minorHAnsi" w:eastAsiaTheme="minorHAnsi" w:hAnsiTheme="minorHAnsi" w:cs="Tahoma"/>
      <w:sz w:val="22"/>
      <w:szCs w:val="22"/>
      <w:lang w:eastAsia="en-US"/>
    </w:rPr>
  </w:style>
  <w:style w:type="paragraph" w:styleId="BodyText">
    <w:name w:val="Body Text"/>
    <w:basedOn w:val="Normal"/>
    <w:link w:val="BodyTextChar"/>
    <w:semiHidden/>
    <w:unhideWhenUsed/>
    <w:rsid w:val="00AC2093"/>
    <w:pPr>
      <w:spacing w:after="120"/>
    </w:pPr>
  </w:style>
  <w:style w:type="character" w:customStyle="1" w:styleId="BodyTextChar">
    <w:name w:val="Body Text Char"/>
    <w:basedOn w:val="DefaultParagraphFont"/>
    <w:link w:val="BodyText"/>
    <w:semiHidden/>
    <w:rsid w:val="00AC2093"/>
    <w:rPr>
      <w:rFonts w:ascii="Calibri" w:hAnsi="Calibri" w:cs="Arial"/>
      <w:sz w:val="24"/>
      <w:szCs w:val="24"/>
    </w:rPr>
  </w:style>
  <w:style w:type="paragraph" w:customStyle="1" w:styleId="Default">
    <w:name w:val="Default"/>
    <w:rsid w:val="0065669A"/>
    <w:pPr>
      <w:autoSpaceDE w:val="0"/>
      <w:autoSpaceDN w:val="0"/>
      <w:adjustRightInd w:val="0"/>
    </w:pPr>
    <w:rPr>
      <w:rFonts w:ascii="Calibri" w:hAnsi="Calibri" w:cs="Calibri"/>
      <w:color w:val="000000"/>
      <w:sz w:val="24"/>
      <w:szCs w:val="24"/>
    </w:rPr>
  </w:style>
  <w:style w:type="table" w:customStyle="1" w:styleId="ASDTable2">
    <w:name w:val="ASD Table2"/>
    <w:basedOn w:val="TableNormal"/>
    <w:next w:val="TableGrid"/>
    <w:uiPriority w:val="39"/>
    <w:rsid w:val="00843857"/>
    <w:pPr>
      <w:jc w:val="center"/>
    </w:pPr>
    <w:rPr>
      <w:rFonts w:ascii="Arial Narrow" w:eastAsia="Calibri" w:hAnsi="Arial Narrow"/>
      <w:szCs w:val="22"/>
      <w:lang w:val="en-US"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FFFFFF"/>
      <w:vAlign w:val="center"/>
    </w:tcPr>
    <w:tblStylePr w:type="firstRow">
      <w:rPr>
        <w:rFonts w:ascii="Arial Narrow" w:hAnsi="Arial Narrow"/>
        <w:b/>
        <w:sz w:val="20"/>
      </w:rPr>
    </w:tblStylePr>
  </w:style>
  <w:style w:type="paragraph" w:customStyle="1" w:styleId="Tabletextleft">
    <w:name w:val="Table text left"/>
    <w:basedOn w:val="Normal"/>
    <w:link w:val="TabletextleftChar"/>
    <w:qFormat/>
    <w:rsid w:val="00A87BCC"/>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A87BCC"/>
    <w:rPr>
      <w:rFonts w:asciiTheme="minorHAnsi" w:hAnsiTheme="minorHAnsi"/>
      <w:sz w:val="18"/>
    </w:rPr>
  </w:style>
  <w:style w:type="paragraph" w:customStyle="1" w:styleId="Tabletextcent">
    <w:name w:val="Table text cent"/>
    <w:basedOn w:val="Tabletextleft"/>
    <w:qFormat/>
    <w:rsid w:val="00A87BCC"/>
    <w:pPr>
      <w:ind w:left="113" w:right="113"/>
      <w:jc w:val="center"/>
    </w:pPr>
    <w:rPr>
      <w:rFonts w:ascii="Calibri" w:hAnsi="Calibri"/>
      <w:sz w:val="20"/>
      <w:lang w:val="de-DE"/>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 Q"/>
    <w:basedOn w:val="Normal"/>
    <w:next w:val="Normal"/>
    <w:link w:val="CaptionChar"/>
    <w:uiPriority w:val="99"/>
    <w:unhideWhenUsed/>
    <w:qFormat/>
    <w:rsid w:val="007E58CA"/>
    <w:pPr>
      <w:spacing w:after="120" w:line="360" w:lineRule="auto"/>
    </w:pPr>
    <w:rPr>
      <w:rFonts w:eastAsiaTheme="minorHAnsi" w:cstheme="minorBidi"/>
      <w:b/>
      <w:bCs/>
      <w:sz w:val="22"/>
      <w:szCs w:val="18"/>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 Char"/>
    <w:basedOn w:val="DefaultParagraphFont"/>
    <w:link w:val="Caption"/>
    <w:uiPriority w:val="99"/>
    <w:rsid w:val="007E58CA"/>
    <w:rPr>
      <w:rFonts w:ascii="Calibri" w:eastAsiaTheme="minorHAnsi" w:hAnsi="Calibri" w:cstheme="minorBidi"/>
      <w:b/>
      <w:bCs/>
      <w:sz w:val="22"/>
      <w:szCs w:val="18"/>
      <w:lang w:eastAsia="en-US"/>
    </w:rPr>
  </w:style>
  <w:style w:type="numbering" w:customStyle="1" w:styleId="Lists">
    <w:name w:val="Lists"/>
    <w:uiPriority w:val="99"/>
    <w:rsid w:val="007E58CA"/>
    <w:pPr>
      <w:numPr>
        <w:numId w:val="17"/>
      </w:numPr>
    </w:pPr>
  </w:style>
  <w:style w:type="table" w:customStyle="1" w:styleId="TableGrid401">
    <w:name w:val="Table Grid401"/>
    <w:basedOn w:val="TableNormal"/>
    <w:next w:val="TableGrid"/>
    <w:uiPriority w:val="59"/>
    <w:rsid w:val="007E58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
    <w:name w:val="ASD Table1"/>
    <w:basedOn w:val="TableNormal"/>
    <w:next w:val="TableGrid"/>
    <w:uiPriority w:val="39"/>
    <w:rsid w:val="007E58CA"/>
    <w:pPr>
      <w:jc w:val="center"/>
    </w:pPr>
    <w:rPr>
      <w:rFonts w:ascii="Arial Narrow" w:eastAsia="Calibri" w:hAnsi="Arial Narrow"/>
      <w:szCs w:val="22"/>
      <w:lang w:val="en-US"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FFFFFF"/>
      <w:vAlign w:val="center"/>
    </w:tcPr>
    <w:tblStylePr w:type="firstRow">
      <w:rPr>
        <w:rFonts w:ascii="Cambria" w:hAnsi="Cambria"/>
        <w:b/>
        <w:sz w:val="20"/>
      </w:rPr>
    </w:tblStylePr>
  </w:style>
  <w:style w:type="character" w:customStyle="1" w:styleId="UnresolvedMention1">
    <w:name w:val="Unresolved Mention1"/>
    <w:basedOn w:val="DefaultParagraphFont"/>
    <w:uiPriority w:val="99"/>
    <w:semiHidden/>
    <w:unhideWhenUsed/>
    <w:rsid w:val="000012BA"/>
    <w:rPr>
      <w:color w:val="605E5C"/>
      <w:shd w:val="clear" w:color="auto" w:fill="E1DFDD"/>
    </w:rPr>
  </w:style>
  <w:style w:type="paragraph" w:customStyle="1" w:styleId="TableFigNoteLast">
    <w:name w:val="TableFigNote Last"/>
    <w:basedOn w:val="Normal"/>
    <w:qFormat/>
    <w:rsid w:val="00825CF0"/>
    <w:pPr>
      <w:spacing w:after="360"/>
    </w:pPr>
    <w:rPr>
      <w:rFonts w:asciiTheme="minorHAnsi" w:eastAsiaTheme="minorHAnsi" w:hAnsiTheme="minorHAnsi" w:cstheme="minorBidi"/>
      <w:sz w:val="18"/>
      <w:szCs w:val="22"/>
      <w:lang w:eastAsia="en-US"/>
    </w:rPr>
  </w:style>
  <w:style w:type="paragraph" w:styleId="NormalWeb">
    <w:name w:val="Normal (Web)"/>
    <w:basedOn w:val="Normal"/>
    <w:uiPriority w:val="99"/>
    <w:semiHidden/>
    <w:unhideWhenUsed/>
    <w:rsid w:val="00AE43AD"/>
    <w:pPr>
      <w:spacing w:before="100" w:beforeAutospacing="1" w:after="100" w:afterAutospacing="1"/>
      <w:jc w:val="left"/>
    </w:pPr>
    <w:rPr>
      <w:rFonts w:ascii="Times New Roman" w:hAnsi="Times New Roman" w:cs="Times New Roman"/>
    </w:rPr>
  </w:style>
  <w:style w:type="paragraph" w:styleId="FootnoteText">
    <w:name w:val="footnote text"/>
    <w:basedOn w:val="Normal"/>
    <w:link w:val="FootnoteTextChar"/>
    <w:semiHidden/>
    <w:unhideWhenUsed/>
    <w:rsid w:val="00FE1B7B"/>
    <w:rPr>
      <w:sz w:val="20"/>
      <w:szCs w:val="20"/>
    </w:rPr>
  </w:style>
  <w:style w:type="character" w:customStyle="1" w:styleId="FootnoteTextChar">
    <w:name w:val="Footnote Text Char"/>
    <w:basedOn w:val="DefaultParagraphFont"/>
    <w:link w:val="FootnoteText"/>
    <w:semiHidden/>
    <w:rsid w:val="00FE1B7B"/>
    <w:rPr>
      <w:rFonts w:ascii="Calibri" w:hAnsi="Calibri" w:cs="Arial"/>
    </w:rPr>
  </w:style>
  <w:style w:type="character" w:styleId="FootnoteReference">
    <w:name w:val="footnote reference"/>
    <w:basedOn w:val="DefaultParagraphFont"/>
    <w:semiHidden/>
    <w:unhideWhenUsed/>
    <w:rsid w:val="00FE1B7B"/>
    <w:rPr>
      <w:vertAlign w:val="superscript"/>
    </w:rPr>
  </w:style>
  <w:style w:type="character" w:customStyle="1" w:styleId="UnresolvedMention2">
    <w:name w:val="Unresolved Mention2"/>
    <w:basedOn w:val="DefaultParagraphFont"/>
    <w:uiPriority w:val="99"/>
    <w:semiHidden/>
    <w:unhideWhenUsed/>
    <w:rsid w:val="00297413"/>
    <w:rPr>
      <w:color w:val="605E5C"/>
      <w:shd w:val="clear" w:color="auto" w:fill="E1DFDD"/>
    </w:rPr>
  </w:style>
  <w:style w:type="paragraph" w:customStyle="1" w:styleId="3-BodyText">
    <w:name w:val="3-Body Text"/>
    <w:basedOn w:val="ListParagraph"/>
    <w:qFormat/>
    <w:rsid w:val="00294BC8"/>
    <w:pPr>
      <w:spacing w:after="120"/>
      <w:ind w:hanging="720"/>
      <w:contextualSpacing w:val="0"/>
    </w:pPr>
    <w:rPr>
      <w:rFonts w:asciiTheme="minorHAnsi" w:hAnsiTheme="minorHAns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271543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63106656">
      <w:bodyDiv w:val="1"/>
      <w:marLeft w:val="0"/>
      <w:marRight w:val="0"/>
      <w:marTop w:val="0"/>
      <w:marBottom w:val="0"/>
      <w:divBdr>
        <w:top w:val="none" w:sz="0" w:space="0" w:color="auto"/>
        <w:left w:val="none" w:sz="0" w:space="0" w:color="auto"/>
        <w:bottom w:val="none" w:sz="0" w:space="0" w:color="auto"/>
        <w:right w:val="none" w:sz="0" w:space="0" w:color="auto"/>
      </w:divBdr>
    </w:div>
    <w:div w:id="603461297">
      <w:bodyDiv w:val="1"/>
      <w:marLeft w:val="0"/>
      <w:marRight w:val="0"/>
      <w:marTop w:val="0"/>
      <w:marBottom w:val="0"/>
      <w:divBdr>
        <w:top w:val="none" w:sz="0" w:space="0" w:color="auto"/>
        <w:left w:val="none" w:sz="0" w:space="0" w:color="auto"/>
        <w:bottom w:val="none" w:sz="0" w:space="0" w:color="auto"/>
        <w:right w:val="none" w:sz="0" w:space="0" w:color="auto"/>
      </w:divBdr>
    </w:div>
    <w:div w:id="850678582">
      <w:bodyDiv w:val="1"/>
      <w:marLeft w:val="0"/>
      <w:marRight w:val="0"/>
      <w:marTop w:val="0"/>
      <w:marBottom w:val="0"/>
      <w:divBdr>
        <w:top w:val="none" w:sz="0" w:space="0" w:color="auto"/>
        <w:left w:val="none" w:sz="0" w:space="0" w:color="auto"/>
        <w:bottom w:val="none" w:sz="0" w:space="0" w:color="auto"/>
        <w:right w:val="none" w:sz="0" w:space="0" w:color="auto"/>
      </w:divBdr>
    </w:div>
    <w:div w:id="985474306">
      <w:bodyDiv w:val="1"/>
      <w:marLeft w:val="0"/>
      <w:marRight w:val="0"/>
      <w:marTop w:val="0"/>
      <w:marBottom w:val="0"/>
      <w:divBdr>
        <w:top w:val="none" w:sz="0" w:space="0" w:color="auto"/>
        <w:left w:val="none" w:sz="0" w:space="0" w:color="auto"/>
        <w:bottom w:val="none" w:sz="0" w:space="0" w:color="auto"/>
        <w:right w:val="none" w:sz="0" w:space="0" w:color="auto"/>
      </w:divBdr>
    </w:div>
    <w:div w:id="99919284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8176">
      <w:bodyDiv w:val="1"/>
      <w:marLeft w:val="0"/>
      <w:marRight w:val="0"/>
      <w:marTop w:val="0"/>
      <w:marBottom w:val="0"/>
      <w:divBdr>
        <w:top w:val="none" w:sz="0" w:space="0" w:color="auto"/>
        <w:left w:val="none" w:sz="0" w:space="0" w:color="auto"/>
        <w:bottom w:val="none" w:sz="0" w:space="0" w:color="auto"/>
        <w:right w:val="none" w:sz="0" w:space="0" w:color="auto"/>
      </w:divBdr>
    </w:div>
    <w:div w:id="1382633306">
      <w:bodyDiv w:val="1"/>
      <w:marLeft w:val="0"/>
      <w:marRight w:val="0"/>
      <w:marTop w:val="0"/>
      <w:marBottom w:val="0"/>
      <w:divBdr>
        <w:top w:val="none" w:sz="0" w:space="0" w:color="auto"/>
        <w:left w:val="none" w:sz="0" w:space="0" w:color="auto"/>
        <w:bottom w:val="none" w:sz="0" w:space="0" w:color="auto"/>
        <w:right w:val="none" w:sz="0" w:space="0" w:color="auto"/>
      </w:divBdr>
    </w:div>
    <w:div w:id="1413234494">
      <w:bodyDiv w:val="1"/>
      <w:marLeft w:val="0"/>
      <w:marRight w:val="0"/>
      <w:marTop w:val="0"/>
      <w:marBottom w:val="0"/>
      <w:divBdr>
        <w:top w:val="none" w:sz="0" w:space="0" w:color="auto"/>
        <w:left w:val="none" w:sz="0" w:space="0" w:color="auto"/>
        <w:bottom w:val="none" w:sz="0" w:space="0" w:color="auto"/>
        <w:right w:val="none" w:sz="0" w:space="0" w:color="auto"/>
      </w:divBdr>
    </w:div>
    <w:div w:id="1782846192">
      <w:bodyDiv w:val="1"/>
      <w:marLeft w:val="0"/>
      <w:marRight w:val="0"/>
      <w:marTop w:val="0"/>
      <w:marBottom w:val="0"/>
      <w:divBdr>
        <w:top w:val="none" w:sz="0" w:space="0" w:color="auto"/>
        <w:left w:val="none" w:sz="0" w:space="0" w:color="auto"/>
        <w:bottom w:val="none" w:sz="0" w:space="0" w:color="auto"/>
        <w:right w:val="none" w:sz="0" w:space="0" w:color="auto"/>
      </w:divBdr>
    </w:div>
    <w:div w:id="181738206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bs.gov.au/medicine/item/12469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medicine/item/12478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bac.pbs.gov.au/information/checklist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pb197\Desktop\Evaluation\2022\1%20March%202022\galcanezumab%20(Emgality)\A4.1_Galcanezumab%20Section%203%20Model%20MHD%20distribution.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pb197\Desktop\Evaluation\2022\1%20March%202022\galcanezumab%20(Emgality)\Model%20trace.xlsm"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Gal responders</c:v>
          </c:tx>
          <c:spPr>
            <a:solidFill>
              <a:schemeClr val="accent1"/>
            </a:solidFill>
            <a:ln>
              <a:noFill/>
            </a:ln>
            <a:effectLst/>
          </c:spPr>
          <c:invertIfNegative val="0"/>
          <c:cat>
            <c:numRef>
              <c:f>[1]Sheet6!$C$10:$AG$10</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'Calc - tx1'!$AE$26:$BI$26</c:f>
              <c:numCache>
                <c:formatCode>0.000</c:formatCode>
                <c:ptCount val="31"/>
                <c:pt idx="0">
                  <c:v>0.1843049264430526</c:v>
                </c:pt>
                <c:pt idx="1">
                  <c:v>0.17384817148334661</c:v>
                </c:pt>
                <c:pt idx="2">
                  <c:v>0.14542292311320673</c:v>
                </c:pt>
                <c:pt idx="3">
                  <c:v>0.11646977625905541</c:v>
                </c:pt>
                <c:pt idx="4">
                  <c:v>9.1208510314244137E-2</c:v>
                </c:pt>
                <c:pt idx="5">
                  <c:v>7.0452356592782039E-2</c:v>
                </c:pt>
                <c:pt idx="6">
                  <c:v>5.3918162893350455E-2</c:v>
                </c:pt>
                <c:pt idx="7">
                  <c:v>4.0990180428431264E-2</c:v>
                </c:pt>
                <c:pt idx="8">
                  <c:v>3.1005641860646138E-2</c:v>
                </c:pt>
                <c:pt idx="9">
                  <c:v>2.3361216269036103E-2</c:v>
                </c:pt>
                <c:pt idx="10">
                  <c:v>1.7546091627804728E-2</c:v>
                </c:pt>
                <c:pt idx="11">
                  <c:v>1.3144418679769575E-2</c:v>
                </c:pt>
                <c:pt idx="12">
                  <c:v>9.8257004752433947E-3</c:v>
                </c:pt>
                <c:pt idx="13">
                  <c:v>7.3314462526682736E-3</c:v>
                </c:pt>
                <c:pt idx="14">
                  <c:v>5.4617565424602164E-3</c:v>
                </c:pt>
                <c:pt idx="15">
                  <c:v>4.063327469611651E-3</c:v>
                </c:pt>
                <c:pt idx="16">
                  <c:v>3.0193370684277712E-3</c:v>
                </c:pt>
                <c:pt idx="17">
                  <c:v>2.2412086357170269E-3</c:v>
                </c:pt>
                <c:pt idx="18">
                  <c:v>1.6620515548258182E-3</c:v>
                </c:pt>
                <c:pt idx="19">
                  <c:v>1.2315183363425988E-3</c:v>
                </c:pt>
                <c:pt idx="20">
                  <c:v>9.1181719848665418E-4</c:v>
                </c:pt>
                <c:pt idx="21">
                  <c:v>6.7464661671676651E-4</c:v>
                </c:pt>
                <c:pt idx="22">
                  <c:v>4.9885407847725818E-4</c:v>
                </c:pt>
                <c:pt idx="23">
                  <c:v>3.6865724356410036E-4</c:v>
                </c:pt>
                <c:pt idx="24">
                  <c:v>2.7229810357325222E-4</c:v>
                </c:pt>
                <c:pt idx="25">
                  <c:v>2.0102827653411374E-4</c:v>
                </c:pt>
                <c:pt idx="26">
                  <c:v>1.4834618459692083E-4</c:v>
                </c:pt>
                <c:pt idx="27">
                  <c:v>1.0942499948557699E-4</c:v>
                </c:pt>
                <c:pt idx="28">
                  <c:v>8.0684551667680493E-5</c:v>
                </c:pt>
                <c:pt idx="29">
                  <c:v>5.9471556589336124E-5</c:v>
                </c:pt>
                <c:pt idx="30">
                  <c:v>1.6604889028581926E-4</c:v>
                </c:pt>
              </c:numCache>
            </c:numRef>
          </c:val>
          <c:extLst>
            <c:ext xmlns:c16="http://schemas.microsoft.com/office/drawing/2014/chart" uri="{C3380CC4-5D6E-409C-BE32-E72D297353CC}">
              <c16:uniqueId val="{00000000-1247-4D7D-B933-2175428308AB}"/>
            </c:ext>
          </c:extLst>
        </c:ser>
        <c:ser>
          <c:idx val="3"/>
          <c:order val="1"/>
          <c:tx>
            <c:v>Gal discontinue AE</c:v>
          </c:tx>
          <c:spPr>
            <a:solidFill>
              <a:srgbClr val="C00000"/>
            </a:solidFill>
            <a:ln>
              <a:noFill/>
            </a:ln>
            <a:effectLst/>
          </c:spPr>
          <c:invertIfNegative val="0"/>
          <c:cat>
            <c:numRef>
              <c:f>[1]Sheet6!$C$10:$AG$10</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'Calc - tx1'!$BV$20:$CZ$20</c:f>
              <c:numCache>
                <c:formatCode>0.000</c:formatCode>
                <c:ptCount val="31"/>
                <c:pt idx="0">
                  <c:v>3.1438545446258462E-4</c:v>
                </c:pt>
                <c:pt idx="1">
                  <c:v>1.9084474111893067E-3</c:v>
                </c:pt>
                <c:pt idx="2">
                  <c:v>6.2219542234776245E-3</c:v>
                </c:pt>
                <c:pt idx="3">
                  <c:v>1.4456638067576751E-2</c:v>
                </c:pt>
                <c:pt idx="4">
                  <c:v>2.6818850509369066E-2</c:v>
                </c:pt>
                <c:pt idx="5">
                  <c:v>4.2215680354869146E-2</c:v>
                </c:pt>
                <c:pt idx="6">
                  <c:v>5.8542969229718758E-2</c:v>
                </c:pt>
                <c:pt idx="7">
                  <c:v>7.3350849879532484E-2</c:v>
                </c:pt>
                <c:pt idx="8">
                  <c:v>8.4542466173109954E-2</c:v>
                </c:pt>
                <c:pt idx="9">
                  <c:v>9.0842208568588226E-2</c:v>
                </c:pt>
                <c:pt idx="10">
                  <c:v>9.193840921506069E-2</c:v>
                </c:pt>
                <c:pt idx="11">
                  <c:v>8.8350305976685375E-2</c:v>
                </c:pt>
                <c:pt idx="12">
                  <c:v>8.1140403135277109E-2</c:v>
                </c:pt>
                <c:pt idx="13">
                  <c:v>7.1595539610216266E-2</c:v>
                </c:pt>
                <c:pt idx="14">
                  <c:v>6.0962520232759498E-2</c:v>
                </c:pt>
                <c:pt idx="15">
                  <c:v>5.0277082346070583E-2</c:v>
                </c:pt>
                <c:pt idx="16">
                  <c:v>4.0287174664881978E-2</c:v>
                </c:pt>
                <c:pt idx="17">
                  <c:v>3.1449772185383529E-2</c:v>
                </c:pt>
                <c:pt idx="18">
                  <c:v>2.3973298382063302E-2</c:v>
                </c:pt>
                <c:pt idx="19">
                  <c:v>1.7880213953789199E-2</c:v>
                </c:pt>
                <c:pt idx="20">
                  <c:v>1.3071299037314028E-2</c:v>
                </c:pt>
                <c:pt idx="21">
                  <c:v>9.3808320690677537E-3</c:v>
                </c:pt>
                <c:pt idx="22">
                  <c:v>6.6181871382937196E-3</c:v>
                </c:pt>
                <c:pt idx="23">
                  <c:v>4.5956268857124437E-3</c:v>
                </c:pt>
                <c:pt idx="24">
                  <c:v>3.1443820152928315E-3</c:v>
                </c:pt>
                <c:pt idx="25">
                  <c:v>2.1219688379419022E-3</c:v>
                </c:pt>
                <c:pt idx="26">
                  <c:v>1.4136508524659323E-3</c:v>
                </c:pt>
                <c:pt idx="27">
                  <c:v>9.3045298800314687E-4</c:v>
                </c:pt>
                <c:pt idx="28">
                  <c:v>6.0549893311832295E-4</c:v>
                </c:pt>
                <c:pt idx="29">
                  <c:v>3.8984170957936297E-4</c:v>
                </c:pt>
                <c:pt idx="30">
                  <c:v>6.5908995912911106E-4</c:v>
                </c:pt>
              </c:numCache>
            </c:numRef>
          </c:val>
          <c:extLst>
            <c:ext xmlns:c16="http://schemas.microsoft.com/office/drawing/2014/chart" uri="{C3380CC4-5D6E-409C-BE32-E72D297353CC}">
              <c16:uniqueId val="{00000001-1247-4D7D-B933-2175428308AB}"/>
            </c:ext>
          </c:extLst>
        </c:ser>
        <c:ser>
          <c:idx val="1"/>
          <c:order val="2"/>
          <c:tx>
            <c:v>Gal non responders</c:v>
          </c:tx>
          <c:spPr>
            <a:solidFill>
              <a:schemeClr val="accent3"/>
            </a:solidFill>
            <a:ln>
              <a:noFill/>
            </a:ln>
            <a:effectLst/>
          </c:spPr>
          <c:invertIfNegative val="0"/>
          <c:cat>
            <c:numRef>
              <c:f>[1]Sheet6!$C$10:$AG$10</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'Calc - tx1'!$DM$16:$EQ$16</c:f>
              <c:numCache>
                <c:formatCode>0.000</c:formatCode>
                <c:ptCount val="31"/>
                <c:pt idx="0">
                  <c:v>3.8030209951870491E-4</c:v>
                </c:pt>
                <c:pt idx="1">
                  <c:v>2.24003298048772E-3</c:v>
                </c:pt>
                <c:pt idx="2">
                  <c:v>7.1096078853989317E-3</c:v>
                </c:pt>
                <c:pt idx="3">
                  <c:v>1.6127909606873322E-2</c:v>
                </c:pt>
                <c:pt idx="4">
                  <c:v>2.9284373677838173E-2</c:v>
                </c:pt>
                <c:pt idx="5">
                  <c:v>4.5218938232056964E-2</c:v>
                </c:pt>
                <c:pt idx="6">
                  <c:v>6.1635596124779021E-2</c:v>
                </c:pt>
                <c:pt idx="7">
                  <c:v>7.6040006139078339E-2</c:v>
                </c:pt>
                <c:pt idx="8">
                  <c:v>8.6434192005242244E-2</c:v>
                </c:pt>
                <c:pt idx="9">
                  <c:v>9.1727603739461566E-2</c:v>
                </c:pt>
                <c:pt idx="10">
                  <c:v>9.1808403612080217E-2</c:v>
                </c:pt>
                <c:pt idx="11">
                  <c:v>8.7355182076827992E-2</c:v>
                </c:pt>
                <c:pt idx="12">
                  <c:v>7.9522830291835586E-2</c:v>
                </c:pt>
                <c:pt idx="13">
                  <c:v>6.9623448553811237E-2</c:v>
                </c:pt>
                <c:pt idx="14">
                  <c:v>5.8878201409152411E-2</c:v>
                </c:pt>
                <c:pt idx="15">
                  <c:v>4.8268182288232132E-2</c:v>
                </c:pt>
                <c:pt idx="16">
                  <c:v>3.8477546070476834E-2</c:v>
                </c:pt>
                <c:pt idx="17">
                  <c:v>2.9904334346368886E-2</c:v>
                </c:pt>
                <c:pt idx="18">
                  <c:v>2.2710425781358477E-2</c:v>
                </c:pt>
                <c:pt idx="19">
                  <c:v>1.6886368613496412E-2</c:v>
                </c:pt>
                <c:pt idx="20">
                  <c:v>1.2314473908434126E-2</c:v>
                </c:pt>
                <c:pt idx="21">
                  <c:v>8.8211132514881708E-3</c:v>
                </c:pt>
                <c:pt idx="22">
                  <c:v>6.2150218386154482E-3</c:v>
                </c:pt>
                <c:pt idx="23">
                  <c:v>4.3121430261542793E-3</c:v>
                </c:pt>
                <c:pt idx="24">
                  <c:v>2.9494384695979946E-3</c:v>
                </c:pt>
                <c:pt idx="25">
                  <c:v>1.9906650771173828E-3</c:v>
                </c:pt>
                <c:pt idx="26">
                  <c:v>1.3269225651631319E-3</c:v>
                </c:pt>
                <c:pt idx="27">
                  <c:v>8.7422152077770319E-4</c:v>
                </c:pt>
                <c:pt idx="28">
                  <c:v>5.696847077887073E-4</c:v>
                </c:pt>
                <c:pt idx="29">
                  <c:v>3.6742254898097928E-4</c:v>
                </c:pt>
                <c:pt idx="30">
                  <c:v>6.2540755150697347E-4</c:v>
                </c:pt>
              </c:numCache>
            </c:numRef>
          </c:val>
          <c:extLst>
            <c:ext xmlns:c16="http://schemas.microsoft.com/office/drawing/2014/chart" uri="{C3380CC4-5D6E-409C-BE32-E72D297353CC}">
              <c16:uniqueId val="{00000002-1247-4D7D-B933-2175428308AB}"/>
            </c:ext>
          </c:extLst>
        </c:ser>
        <c:ser>
          <c:idx val="5"/>
          <c:order val="3"/>
          <c:tx>
            <c:v>BSC responders</c:v>
          </c:tx>
          <c:spPr>
            <a:solidFill>
              <a:srgbClr val="7030A0"/>
            </a:solidFill>
            <a:ln>
              <a:noFill/>
            </a:ln>
            <a:effectLst/>
          </c:spPr>
          <c:invertIfNegative val="0"/>
          <c:val>
            <c:numRef>
              <c:f>'Calc - tx2'!$AE$18:$BI$18</c:f>
              <c:numCache>
                <c:formatCode>0.000</c:formatCode>
                <c:ptCount val="31"/>
                <c:pt idx="0">
                  <c:v>0.23852454800388584</c:v>
                </c:pt>
                <c:pt idx="1">
                  <c:v>0.2543256095363341</c:v>
                </c:pt>
                <c:pt idx="2">
                  <c:v>0.19461548779656024</c:v>
                </c:pt>
                <c:pt idx="3">
                  <c:v>0.12939607428797326</c:v>
                </c:pt>
                <c:pt idx="4">
                  <c:v>7.9541076072389638E-2</c:v>
                </c:pt>
                <c:pt idx="5">
                  <c:v>4.6500332820683388E-2</c:v>
                </c:pt>
                <c:pt idx="6">
                  <c:v>2.6251278083300755E-2</c:v>
                </c:pt>
                <c:pt idx="7">
                  <c:v>1.4443587948107723E-2</c:v>
                </c:pt>
                <c:pt idx="8">
                  <c:v>7.7916556570084569E-3</c:v>
                </c:pt>
                <c:pt idx="9">
                  <c:v>4.1380902314442159E-3</c:v>
                </c:pt>
                <c:pt idx="10">
                  <c:v>2.1700275068643922E-3</c:v>
                </c:pt>
                <c:pt idx="11">
                  <c:v>1.1260923497796145E-3</c:v>
                </c:pt>
                <c:pt idx="12">
                  <c:v>5.7922702992699933E-4</c:v>
                </c:pt>
                <c:pt idx="13">
                  <c:v>2.9570105067221533E-4</c:v>
                </c:pt>
                <c:pt idx="14">
                  <c:v>1.4998010803335347E-4</c:v>
                </c:pt>
                <c:pt idx="15">
                  <c:v>7.5640206010193944E-5</c:v>
                </c:pt>
                <c:pt idx="16">
                  <c:v>3.7958251846305391E-5</c:v>
                </c:pt>
                <c:pt idx="17">
                  <c:v>1.8964435622580526E-5</c:v>
                </c:pt>
                <c:pt idx="18">
                  <c:v>9.4375663444500895E-6</c:v>
                </c:pt>
                <c:pt idx="19">
                  <c:v>4.6799489617193494E-6</c:v>
                </c:pt>
                <c:pt idx="20">
                  <c:v>2.3133025753254475E-6</c:v>
                </c:pt>
                <c:pt idx="21">
                  <c:v>1.1401513531326982E-6</c:v>
                </c:pt>
                <c:pt idx="22">
                  <c:v>5.6045763067048143E-7</c:v>
                </c:pt>
                <c:pt idx="23">
                  <c:v>2.7483408689116864E-7</c:v>
                </c:pt>
                <c:pt idx="24">
                  <c:v>1.344718549577989E-7</c:v>
                </c:pt>
                <c:pt idx="25">
                  <c:v>6.5659964064779037E-8</c:v>
                </c:pt>
                <c:pt idx="26">
                  <c:v>3.199965414088583E-8</c:v>
                </c:pt>
                <c:pt idx="27">
                  <c:v>1.5567719930215134E-8</c:v>
                </c:pt>
                <c:pt idx="28">
                  <c:v>7.5612438754175676E-9</c:v>
                </c:pt>
                <c:pt idx="29">
                  <c:v>3.6668910869716244E-9</c:v>
                </c:pt>
                <c:pt idx="30">
                  <c:v>3.435276729746306E-9</c:v>
                </c:pt>
              </c:numCache>
            </c:numRef>
          </c:val>
          <c:extLst>
            <c:ext xmlns:c16="http://schemas.microsoft.com/office/drawing/2014/chart" uri="{C3380CC4-5D6E-409C-BE32-E72D297353CC}">
              <c16:uniqueId val="{00000003-1247-4D7D-B933-2175428308AB}"/>
            </c:ext>
          </c:extLst>
        </c:ser>
        <c:ser>
          <c:idx val="2"/>
          <c:order val="4"/>
          <c:tx>
            <c:v>BSC non-responders</c:v>
          </c:tx>
          <c:spPr>
            <a:solidFill>
              <a:srgbClr val="00B0F0"/>
            </a:solidFill>
            <a:ln>
              <a:noFill/>
            </a:ln>
            <a:effectLst/>
          </c:spPr>
          <c:invertIfNegative val="0"/>
          <c:cat>
            <c:numRef>
              <c:f>[1]Sheet6!$C$10:$AG$10</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'Calc - tx2'!$DM$20:$EQ$20</c:f>
              <c:numCache>
                <c:formatCode>0.000</c:formatCode>
                <c:ptCount val="31"/>
                <c:pt idx="0">
                  <c:v>3.8030209951870491E-4</c:v>
                </c:pt>
                <c:pt idx="1">
                  <c:v>2.24003298048772E-3</c:v>
                </c:pt>
                <c:pt idx="2">
                  <c:v>7.1096078853989317E-3</c:v>
                </c:pt>
                <c:pt idx="3">
                  <c:v>1.6127909606873322E-2</c:v>
                </c:pt>
                <c:pt idx="4">
                  <c:v>2.9284373677838173E-2</c:v>
                </c:pt>
                <c:pt idx="5">
                  <c:v>4.5218938232056964E-2</c:v>
                </c:pt>
                <c:pt idx="6">
                  <c:v>6.1635596124779021E-2</c:v>
                </c:pt>
                <c:pt idx="7">
                  <c:v>7.6040006139078339E-2</c:v>
                </c:pt>
                <c:pt idx="8">
                  <c:v>8.6434192005242244E-2</c:v>
                </c:pt>
                <c:pt idx="9">
                  <c:v>9.1727603739461566E-2</c:v>
                </c:pt>
                <c:pt idx="10">
                  <c:v>9.1808403612080217E-2</c:v>
                </c:pt>
                <c:pt idx="11">
                  <c:v>8.7355182076827992E-2</c:v>
                </c:pt>
                <c:pt idx="12">
                  <c:v>7.9522830291835586E-2</c:v>
                </c:pt>
                <c:pt idx="13">
                  <c:v>6.9623448553811237E-2</c:v>
                </c:pt>
                <c:pt idx="14">
                  <c:v>5.8878201409152411E-2</c:v>
                </c:pt>
                <c:pt idx="15">
                  <c:v>4.8268182288232132E-2</c:v>
                </c:pt>
                <c:pt idx="16">
                  <c:v>3.8477546070476834E-2</c:v>
                </c:pt>
                <c:pt idx="17">
                  <c:v>2.9904334346368886E-2</c:v>
                </c:pt>
                <c:pt idx="18">
                  <c:v>2.2710425781358477E-2</c:v>
                </c:pt>
                <c:pt idx="19">
                  <c:v>1.6886368613496412E-2</c:v>
                </c:pt>
                <c:pt idx="20">
                  <c:v>1.2314473908434126E-2</c:v>
                </c:pt>
                <c:pt idx="21">
                  <c:v>8.8211132514881708E-3</c:v>
                </c:pt>
                <c:pt idx="22">
                  <c:v>6.2150218386154482E-3</c:v>
                </c:pt>
                <c:pt idx="23">
                  <c:v>4.3121430261542793E-3</c:v>
                </c:pt>
                <c:pt idx="24">
                  <c:v>2.9494384695979946E-3</c:v>
                </c:pt>
                <c:pt idx="25">
                  <c:v>1.9906650771173828E-3</c:v>
                </c:pt>
                <c:pt idx="26">
                  <c:v>1.3269225651631319E-3</c:v>
                </c:pt>
                <c:pt idx="27">
                  <c:v>8.7422152077770319E-4</c:v>
                </c:pt>
                <c:pt idx="28">
                  <c:v>5.696847077887073E-4</c:v>
                </c:pt>
                <c:pt idx="29">
                  <c:v>3.6742254898097928E-4</c:v>
                </c:pt>
                <c:pt idx="30">
                  <c:v>6.2540755150697347E-4</c:v>
                </c:pt>
              </c:numCache>
            </c:numRef>
          </c:val>
          <c:extLst>
            <c:ext xmlns:c16="http://schemas.microsoft.com/office/drawing/2014/chart" uri="{C3380CC4-5D6E-409C-BE32-E72D297353CC}">
              <c16:uniqueId val="{00000004-1247-4D7D-B933-2175428308AB}"/>
            </c:ext>
          </c:extLst>
        </c:ser>
        <c:dLbls>
          <c:showLegendKey val="0"/>
          <c:showVal val="0"/>
          <c:showCatName val="0"/>
          <c:showSerName val="0"/>
          <c:showPercent val="0"/>
          <c:showBubbleSize val="0"/>
        </c:dLbls>
        <c:gapWidth val="219"/>
        <c:overlap val="-27"/>
        <c:axId val="634481504"/>
        <c:axId val="634481832"/>
      </c:barChart>
      <c:catAx>
        <c:axId val="634481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AU">
                    <a:solidFill>
                      <a:sysClr val="windowText" lastClr="000000"/>
                    </a:solidFill>
                    <a:latin typeface="Arial Narrow" panose="020B0606020202030204" pitchFamily="34" charset="0"/>
                  </a:rPr>
                  <a:t>MHDs per cycle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634481832"/>
        <c:crosses val="autoZero"/>
        <c:auto val="1"/>
        <c:lblAlgn val="ctr"/>
        <c:lblOffset val="100"/>
        <c:noMultiLvlLbl val="0"/>
      </c:catAx>
      <c:valAx>
        <c:axId val="634481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solidFill>
                      <a:sysClr val="windowText" lastClr="000000"/>
                    </a:solidFill>
                    <a:latin typeface="Arial Narrow" panose="020B0606020202030204" pitchFamily="34" charset="0"/>
                  </a:rPr>
                  <a:t>Proportion of patients</a:t>
                </a:r>
              </a:p>
            </c:rich>
          </c:tx>
          <c:layout>
            <c:manualLayout>
              <c:xMode val="edge"/>
              <c:yMode val="edge"/>
              <c:x val="1.6666666666666666E-2"/>
              <c:y val="0.263692364035890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63448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785955144364615E-2"/>
          <c:y val="3.3872209391839873E-2"/>
          <c:w val="0.88619049558739893"/>
          <c:h val="0.7060527480254345"/>
        </c:manualLayout>
      </c:layout>
      <c:lineChart>
        <c:grouping val="standard"/>
        <c:varyColors val="0"/>
        <c:ser>
          <c:idx val="0"/>
          <c:order val="0"/>
          <c:tx>
            <c:v>Galc On Tx/Responder</c:v>
          </c:tx>
          <c:spPr>
            <a:ln w="28575" cap="rnd">
              <a:solidFill>
                <a:schemeClr val="accent1"/>
              </a:solidFill>
              <a:round/>
            </a:ln>
            <a:effectLst/>
          </c:spPr>
          <c:marker>
            <c:symbol val="none"/>
          </c:marker>
          <c:cat>
            <c:numRef>
              <c:f>'Calc - tx1'!$F$6:$F$67</c:f>
              <c:numCache>
                <c:formatCode>0.00</c:formatCode>
                <c:ptCount val="62"/>
                <c:pt idx="0">
                  <c:v>0</c:v>
                </c:pt>
                <c:pt idx="1">
                  <c:v>8.2135523613963035E-2</c:v>
                </c:pt>
                <c:pt idx="2">
                  <c:v>0.16427104722792607</c:v>
                </c:pt>
                <c:pt idx="3">
                  <c:v>0.24640657084188911</c:v>
                </c:pt>
                <c:pt idx="4">
                  <c:v>0.32854209445585214</c:v>
                </c:pt>
                <c:pt idx="5">
                  <c:v>0.41067761806981518</c:v>
                </c:pt>
                <c:pt idx="6">
                  <c:v>0.49281314168377821</c:v>
                </c:pt>
                <c:pt idx="7">
                  <c:v>0.57494866529774125</c:v>
                </c:pt>
                <c:pt idx="8">
                  <c:v>0.65708418891170428</c:v>
                </c:pt>
                <c:pt idx="9">
                  <c:v>0.73921971252566732</c:v>
                </c:pt>
                <c:pt idx="10">
                  <c:v>0.82135523613963035</c:v>
                </c:pt>
                <c:pt idx="11">
                  <c:v>0.90349075975359339</c:v>
                </c:pt>
                <c:pt idx="12">
                  <c:v>0.98562628336755642</c:v>
                </c:pt>
                <c:pt idx="13">
                  <c:v>1.0677618069815196</c:v>
                </c:pt>
                <c:pt idx="14">
                  <c:v>1.1498973305954825</c:v>
                </c:pt>
                <c:pt idx="15">
                  <c:v>1.2320328542094456</c:v>
                </c:pt>
                <c:pt idx="16">
                  <c:v>1.3141683778234086</c:v>
                </c:pt>
                <c:pt idx="17">
                  <c:v>1.3963039014373717</c:v>
                </c:pt>
                <c:pt idx="18">
                  <c:v>1.4784394250513346</c:v>
                </c:pt>
                <c:pt idx="19">
                  <c:v>1.5605749486652978</c:v>
                </c:pt>
                <c:pt idx="20">
                  <c:v>1.6427104722792607</c:v>
                </c:pt>
                <c:pt idx="21">
                  <c:v>1.7248459958932238</c:v>
                </c:pt>
                <c:pt idx="22">
                  <c:v>1.8069815195071868</c:v>
                </c:pt>
                <c:pt idx="23">
                  <c:v>1.8891170431211499</c:v>
                </c:pt>
                <c:pt idx="24">
                  <c:v>1.9712525667351128</c:v>
                </c:pt>
                <c:pt idx="25">
                  <c:v>2.0533880903490758</c:v>
                </c:pt>
                <c:pt idx="26">
                  <c:v>2.1355236139630391</c:v>
                </c:pt>
                <c:pt idx="27">
                  <c:v>2.2176591375770021</c:v>
                </c:pt>
                <c:pt idx="28">
                  <c:v>2.299794661190965</c:v>
                </c:pt>
                <c:pt idx="29">
                  <c:v>2.3819301848049284</c:v>
                </c:pt>
                <c:pt idx="30">
                  <c:v>2.4640657084188913</c:v>
                </c:pt>
                <c:pt idx="31">
                  <c:v>2.5462012320328542</c:v>
                </c:pt>
                <c:pt idx="32">
                  <c:v>2.6283367556468171</c:v>
                </c:pt>
                <c:pt idx="33">
                  <c:v>2.7104722792607805</c:v>
                </c:pt>
                <c:pt idx="34">
                  <c:v>2.7926078028747434</c:v>
                </c:pt>
                <c:pt idx="35">
                  <c:v>2.8747433264887063</c:v>
                </c:pt>
                <c:pt idx="36">
                  <c:v>2.9568788501026693</c:v>
                </c:pt>
                <c:pt idx="37">
                  <c:v>3.0390143737166326</c:v>
                </c:pt>
                <c:pt idx="38">
                  <c:v>3.1211498973305956</c:v>
                </c:pt>
                <c:pt idx="39">
                  <c:v>3.2032854209445585</c:v>
                </c:pt>
                <c:pt idx="40">
                  <c:v>3.2854209445585214</c:v>
                </c:pt>
                <c:pt idx="41">
                  <c:v>3.3675564681724848</c:v>
                </c:pt>
                <c:pt idx="42">
                  <c:v>3.4496919917864477</c:v>
                </c:pt>
                <c:pt idx="43">
                  <c:v>3.5318275154004106</c:v>
                </c:pt>
                <c:pt idx="44">
                  <c:v>3.6139630390143735</c:v>
                </c:pt>
                <c:pt idx="45">
                  <c:v>3.6960985626283369</c:v>
                </c:pt>
                <c:pt idx="46">
                  <c:v>3.7782340862422998</c:v>
                </c:pt>
                <c:pt idx="47">
                  <c:v>3.8603696098562628</c:v>
                </c:pt>
                <c:pt idx="48">
                  <c:v>3.9425051334702257</c:v>
                </c:pt>
                <c:pt idx="49">
                  <c:v>4.0246406570841886</c:v>
                </c:pt>
                <c:pt idx="50">
                  <c:v>4.1067761806981515</c:v>
                </c:pt>
                <c:pt idx="51">
                  <c:v>4.1889117043121153</c:v>
                </c:pt>
                <c:pt idx="52">
                  <c:v>4.2710472279260783</c:v>
                </c:pt>
                <c:pt idx="53">
                  <c:v>4.3531827515400412</c:v>
                </c:pt>
                <c:pt idx="54">
                  <c:v>4.4353182751540041</c:v>
                </c:pt>
                <c:pt idx="55">
                  <c:v>4.517453798767967</c:v>
                </c:pt>
                <c:pt idx="56">
                  <c:v>4.59958932238193</c:v>
                </c:pt>
                <c:pt idx="57">
                  <c:v>4.6817248459958929</c:v>
                </c:pt>
                <c:pt idx="58">
                  <c:v>4.7638603696098567</c:v>
                </c:pt>
                <c:pt idx="59">
                  <c:v>4.8459958932238196</c:v>
                </c:pt>
                <c:pt idx="60">
                  <c:v>4.9281314168377826</c:v>
                </c:pt>
                <c:pt idx="61">
                  <c:v>5.0102669404517455</c:v>
                </c:pt>
              </c:numCache>
            </c:numRef>
          </c:cat>
          <c:val>
            <c:numRef>
              <c:f>'Calc - tx1'!$K$6:$K$67</c:f>
              <c:numCache>
                <c:formatCode>0.00</c:formatCode>
                <c:ptCount val="62"/>
                <c:pt idx="0">
                  <c:v>1</c:v>
                </c:pt>
                <c:pt idx="1">
                  <c:v>0.99559132680327567</c:v>
                </c:pt>
                <c:pt idx="2">
                  <c:v>0.99548266546741671</c:v>
                </c:pt>
                <c:pt idx="3">
                  <c:v>0.37525273240885915</c:v>
                </c:pt>
                <c:pt idx="4">
                  <c:v>0.37520850514973808</c:v>
                </c:pt>
                <c:pt idx="5">
                  <c:v>0.37516428310323846</c:v>
                </c:pt>
                <c:pt idx="6">
                  <c:v>0.375120066268746</c:v>
                </c:pt>
                <c:pt idx="7" formatCode="0.0000">
                  <c:v>0.37346302847067009</c:v>
                </c:pt>
                <c:pt idx="8" formatCode="0.0000">
                  <c:v>0.37181331039369453</c:v>
                </c:pt>
                <c:pt idx="9" formatCode="0.0000">
                  <c:v>0.37017087970402646</c:v>
                </c:pt>
                <c:pt idx="10" formatCode="0.0000">
                  <c:v>0.36853570421070281</c:v>
                </c:pt>
                <c:pt idx="11" formatCode="0.0000">
                  <c:v>0.36690775186495928</c:v>
                </c:pt>
                <c:pt idx="12" formatCode="0.0000">
                  <c:v>0.3652869907596023</c:v>
                </c:pt>
                <c:pt idx="13" formatCode="0.0000">
                  <c:v>0.36367338912838371</c:v>
                </c:pt>
                <c:pt idx="14" formatCode="0.0000">
                  <c:v>0.36206691534537799</c:v>
                </c:pt>
                <c:pt idx="15" formatCode="0.0000">
                  <c:v>0.36046397976320382</c:v>
                </c:pt>
                <c:pt idx="16" formatCode="0.0000">
                  <c:v>0.35886814066615902</c:v>
                </c:pt>
                <c:pt idx="17" formatCode="0.0000">
                  <c:v>0.35727936663682319</c:v>
                </c:pt>
                <c:pt idx="18" formatCode="0.0000">
                  <c:v>0.35569762639686642</c:v>
                </c:pt>
                <c:pt idx="19" formatCode="0.0000">
                  <c:v>0.35412288880643361</c:v>
                </c:pt>
                <c:pt idx="20" formatCode="0.0000">
                  <c:v>0.35255512286353141</c:v>
                </c:pt>
                <c:pt idx="21" formatCode="0.0000">
                  <c:v>0.35099429770341795</c:v>
                </c:pt>
                <c:pt idx="22" formatCode="0.0000">
                  <c:v>0.34944038259799509</c:v>
                </c:pt>
                <c:pt idx="23" formatCode="0.0000">
                  <c:v>0.34789334695520352</c:v>
                </c:pt>
                <c:pt idx="24" formatCode="0.0000">
                  <c:v>0.34635316031842062</c:v>
                </c:pt>
                <c:pt idx="25" formatCode="0.0000">
                  <c:v>0.34481979236586058</c:v>
                </c:pt>
                <c:pt idx="26" formatCode="0.0000">
                  <c:v>0.34329321290997766</c:v>
                </c:pt>
                <c:pt idx="27" formatCode="0.0000">
                  <c:v>0.34176973667282851</c:v>
                </c:pt>
                <c:pt idx="28" formatCode="0.0000">
                  <c:v>0.34025302136120272</c:v>
                </c:pt>
                <c:pt idx="29" formatCode="0.0000">
                  <c:v>0.33874303697127561</c:v>
                </c:pt>
                <c:pt idx="30" formatCode="0.0000">
                  <c:v>0.3372397536323743</c:v>
                </c:pt>
                <c:pt idx="31" formatCode="0.0000">
                  <c:v>0.3357431416063868</c:v>
                </c:pt>
                <c:pt idx="32" formatCode="0.0000">
                  <c:v>0.33425317128717374</c:v>
                </c:pt>
                <c:pt idx="33" formatCode="0.0000">
                  <c:v>0.33276981319998289</c:v>
                </c:pt>
                <c:pt idx="34" formatCode="0.0000">
                  <c:v>0.33129303800086557</c:v>
                </c:pt>
                <c:pt idx="35" formatCode="0.0000">
                  <c:v>0.32982281647609679</c:v>
                </c:pt>
                <c:pt idx="36" formatCode="0.0000">
                  <c:v>0.32835911954159691</c:v>
                </c:pt>
                <c:pt idx="37" formatCode="0.0000">
                  <c:v>0.32690191824235648</c:v>
                </c:pt>
                <c:pt idx="38" formatCode="0.0000">
                  <c:v>0.32545118375186338</c:v>
                </c:pt>
                <c:pt idx="39" formatCode="0.0000">
                  <c:v>0.32400294181286282</c:v>
                </c:pt>
                <c:pt idx="40" formatCode="0.0000">
                  <c:v>0.32256114448005385</c:v>
                </c:pt>
                <c:pt idx="41" formatCode="0.0000">
                  <c:v>0.32112576307525248</c:v>
                </c:pt>
                <c:pt idx="42" formatCode="0.0000">
                  <c:v>0.31969676904789102</c:v>
                </c:pt>
                <c:pt idx="43" formatCode="0.0000">
                  <c:v>0.31827413397445048</c:v>
                </c:pt>
                <c:pt idx="44" formatCode="0.0000">
                  <c:v>0.31685782955789527</c:v>
                </c:pt>
                <c:pt idx="45" formatCode="0.0000">
                  <c:v>0.3154478276271101</c:v>
                </c:pt>
                <c:pt idx="46" formatCode="0.0000">
                  <c:v>0.31404410013633993</c:v>
                </c:pt>
                <c:pt idx="47" formatCode="0.0000">
                  <c:v>0.31264661916463171</c:v>
                </c:pt>
                <c:pt idx="48" formatCode="0.0000">
                  <c:v>0.3112553569152795</c:v>
                </c:pt>
                <c:pt idx="49" formatCode="0.0000">
                  <c:v>0.30987028571527125</c:v>
                </c:pt>
                <c:pt idx="50" formatCode="0.0000">
                  <c:v>0.30849137801473853</c:v>
                </c:pt>
                <c:pt idx="51" formatCode="0.0000">
                  <c:v>0.30711481537816976</c:v>
                </c:pt>
                <c:pt idx="52" formatCode="0.0000">
                  <c:v>0.30574439529477243</c:v>
                </c:pt>
                <c:pt idx="53" formatCode="0.0000">
                  <c:v>0.30438009035499874</c:v>
                </c:pt>
                <c:pt idx="54" formatCode="0.0000">
                  <c:v>0.30302187327160884</c:v>
                </c:pt>
                <c:pt idx="55" formatCode="0.0000">
                  <c:v>0.30166971687912497</c:v>
                </c:pt>
                <c:pt idx="56" formatCode="0.0000">
                  <c:v>0.30032359413328846</c:v>
                </c:pt>
                <c:pt idx="57" formatCode="0.0000">
                  <c:v>0.29898347811051851</c:v>
                </c:pt>
                <c:pt idx="58" formatCode="0.0000">
                  <c:v>0.29764934200737381</c:v>
                </c:pt>
                <c:pt idx="59" formatCode="0.0000">
                  <c:v>0.29632115914001644</c:v>
                </c:pt>
                <c:pt idx="60" formatCode="0.0000">
                  <c:v>0.2949989029436782</c:v>
                </c:pt>
                <c:pt idx="61" formatCode="0.0000">
                  <c:v>0.29368254697212925</c:v>
                </c:pt>
              </c:numCache>
            </c:numRef>
          </c:val>
          <c:smooth val="0"/>
          <c:extLst>
            <c:ext xmlns:c16="http://schemas.microsoft.com/office/drawing/2014/chart" uri="{C3380CC4-5D6E-409C-BE32-E72D297353CC}">
              <c16:uniqueId val="{00000000-8FCE-4436-8FDE-C554E95D12D3}"/>
            </c:ext>
          </c:extLst>
        </c:ser>
        <c:ser>
          <c:idx val="2"/>
          <c:order val="1"/>
          <c:tx>
            <c:v>Galc Discon_AE</c:v>
          </c:tx>
          <c:spPr>
            <a:ln w="28575" cap="rnd">
              <a:solidFill>
                <a:schemeClr val="accent1"/>
              </a:solidFill>
              <a:prstDash val="lgDashDotDot"/>
              <a:round/>
            </a:ln>
            <a:effectLst/>
          </c:spPr>
          <c:marker>
            <c:symbol val="none"/>
          </c:marker>
          <c:cat>
            <c:numRef>
              <c:f>'Calc - tx1'!$F$6:$F$67</c:f>
              <c:numCache>
                <c:formatCode>0.00</c:formatCode>
                <c:ptCount val="62"/>
                <c:pt idx="0">
                  <c:v>0</c:v>
                </c:pt>
                <c:pt idx="1">
                  <c:v>8.2135523613963035E-2</c:v>
                </c:pt>
                <c:pt idx="2">
                  <c:v>0.16427104722792607</c:v>
                </c:pt>
                <c:pt idx="3">
                  <c:v>0.24640657084188911</c:v>
                </c:pt>
                <c:pt idx="4">
                  <c:v>0.32854209445585214</c:v>
                </c:pt>
                <c:pt idx="5">
                  <c:v>0.41067761806981518</c:v>
                </c:pt>
                <c:pt idx="6">
                  <c:v>0.49281314168377821</c:v>
                </c:pt>
                <c:pt idx="7">
                  <c:v>0.57494866529774125</c:v>
                </c:pt>
                <c:pt idx="8">
                  <c:v>0.65708418891170428</c:v>
                </c:pt>
                <c:pt idx="9">
                  <c:v>0.73921971252566732</c:v>
                </c:pt>
                <c:pt idx="10">
                  <c:v>0.82135523613963035</c:v>
                </c:pt>
                <c:pt idx="11">
                  <c:v>0.90349075975359339</c:v>
                </c:pt>
                <c:pt idx="12">
                  <c:v>0.98562628336755642</c:v>
                </c:pt>
                <c:pt idx="13">
                  <c:v>1.0677618069815196</c:v>
                </c:pt>
                <c:pt idx="14">
                  <c:v>1.1498973305954825</c:v>
                </c:pt>
                <c:pt idx="15">
                  <c:v>1.2320328542094456</c:v>
                </c:pt>
                <c:pt idx="16">
                  <c:v>1.3141683778234086</c:v>
                </c:pt>
                <c:pt idx="17">
                  <c:v>1.3963039014373717</c:v>
                </c:pt>
                <c:pt idx="18">
                  <c:v>1.4784394250513346</c:v>
                </c:pt>
                <c:pt idx="19">
                  <c:v>1.5605749486652978</c:v>
                </c:pt>
                <c:pt idx="20">
                  <c:v>1.6427104722792607</c:v>
                </c:pt>
                <c:pt idx="21">
                  <c:v>1.7248459958932238</c:v>
                </c:pt>
                <c:pt idx="22">
                  <c:v>1.8069815195071868</c:v>
                </c:pt>
                <c:pt idx="23">
                  <c:v>1.8891170431211499</c:v>
                </c:pt>
                <c:pt idx="24">
                  <c:v>1.9712525667351128</c:v>
                </c:pt>
                <c:pt idx="25">
                  <c:v>2.0533880903490758</c:v>
                </c:pt>
                <c:pt idx="26">
                  <c:v>2.1355236139630391</c:v>
                </c:pt>
                <c:pt idx="27">
                  <c:v>2.2176591375770021</c:v>
                </c:pt>
                <c:pt idx="28">
                  <c:v>2.299794661190965</c:v>
                </c:pt>
                <c:pt idx="29">
                  <c:v>2.3819301848049284</c:v>
                </c:pt>
                <c:pt idx="30">
                  <c:v>2.4640657084188913</c:v>
                </c:pt>
                <c:pt idx="31">
                  <c:v>2.5462012320328542</c:v>
                </c:pt>
                <c:pt idx="32">
                  <c:v>2.6283367556468171</c:v>
                </c:pt>
                <c:pt idx="33">
                  <c:v>2.7104722792607805</c:v>
                </c:pt>
                <c:pt idx="34">
                  <c:v>2.7926078028747434</c:v>
                </c:pt>
                <c:pt idx="35">
                  <c:v>2.8747433264887063</c:v>
                </c:pt>
                <c:pt idx="36">
                  <c:v>2.9568788501026693</c:v>
                </c:pt>
                <c:pt idx="37">
                  <c:v>3.0390143737166326</c:v>
                </c:pt>
                <c:pt idx="38">
                  <c:v>3.1211498973305956</c:v>
                </c:pt>
                <c:pt idx="39">
                  <c:v>3.2032854209445585</c:v>
                </c:pt>
                <c:pt idx="40">
                  <c:v>3.2854209445585214</c:v>
                </c:pt>
                <c:pt idx="41">
                  <c:v>3.3675564681724848</c:v>
                </c:pt>
                <c:pt idx="42">
                  <c:v>3.4496919917864477</c:v>
                </c:pt>
                <c:pt idx="43">
                  <c:v>3.5318275154004106</c:v>
                </c:pt>
                <c:pt idx="44">
                  <c:v>3.6139630390143735</c:v>
                </c:pt>
                <c:pt idx="45">
                  <c:v>3.6960985626283369</c:v>
                </c:pt>
                <c:pt idx="46">
                  <c:v>3.7782340862422998</c:v>
                </c:pt>
                <c:pt idx="47">
                  <c:v>3.8603696098562628</c:v>
                </c:pt>
                <c:pt idx="48">
                  <c:v>3.9425051334702257</c:v>
                </c:pt>
                <c:pt idx="49">
                  <c:v>4.0246406570841886</c:v>
                </c:pt>
                <c:pt idx="50">
                  <c:v>4.1067761806981515</c:v>
                </c:pt>
                <c:pt idx="51">
                  <c:v>4.1889117043121153</c:v>
                </c:pt>
                <c:pt idx="52">
                  <c:v>4.2710472279260783</c:v>
                </c:pt>
                <c:pt idx="53">
                  <c:v>4.3531827515400412</c:v>
                </c:pt>
                <c:pt idx="54">
                  <c:v>4.4353182751540041</c:v>
                </c:pt>
                <c:pt idx="55">
                  <c:v>4.517453798767967</c:v>
                </c:pt>
                <c:pt idx="56">
                  <c:v>4.59958932238193</c:v>
                </c:pt>
                <c:pt idx="57">
                  <c:v>4.6817248459958929</c:v>
                </c:pt>
                <c:pt idx="58">
                  <c:v>4.7638603696098567</c:v>
                </c:pt>
                <c:pt idx="59">
                  <c:v>4.8459958932238196</c:v>
                </c:pt>
                <c:pt idx="60">
                  <c:v>4.9281314168377826</c:v>
                </c:pt>
                <c:pt idx="61">
                  <c:v>5.0102669404517455</c:v>
                </c:pt>
              </c:numCache>
            </c:numRef>
          </c:cat>
          <c:val>
            <c:numRef>
              <c:f>'Calc - tx1'!$L$6:$L$67</c:f>
              <c:numCache>
                <c:formatCode>0.00</c:formatCode>
                <c:ptCount val="62"/>
                <c:pt idx="0">
                  <c:v>0</c:v>
                </c:pt>
                <c:pt idx="1">
                  <c:v>4.2995306872090841E-3</c:v>
                </c:pt>
                <c:pt idx="2">
                  <c:v>4.2990614256401436E-3</c:v>
                </c:pt>
                <c:pt idx="3">
                  <c:v>4.2985547385803891E-3</c:v>
                </c:pt>
                <c:pt idx="4">
                  <c:v>4.298048111238734E-3</c:v>
                </c:pt>
                <c:pt idx="5">
                  <c:v>4.2975415436081396E-3</c:v>
                </c:pt>
                <c:pt idx="6">
                  <c:v>4.2970350356815682E-3</c:v>
                </c:pt>
                <c:pt idx="7">
                  <c:v>5.9093547624282624E-3</c:v>
                </c:pt>
                <c:pt idx="8">
                  <c:v>7.5143600385431117E-3</c:v>
                </c:pt>
                <c:pt idx="9">
                  <c:v>9.1120831971978379E-3</c:v>
                </c:pt>
                <c:pt idx="10">
                  <c:v>1.0702556428734453E-2</c:v>
                </c:pt>
                <c:pt idx="11">
                  <c:v>1.2285811781296195E-2</c:v>
                </c:pt>
                <c:pt idx="12">
                  <c:v>1.3861881161455661E-2</c:v>
                </c:pt>
                <c:pt idx="13">
                  <c:v>1.543079633484018E-2</c:v>
                </c:pt>
                <c:pt idx="14">
                  <c:v>1.6992588926754426E-2</c:v>
                </c:pt>
                <c:pt idx="15">
                  <c:v>1.8547107343212108E-2</c:v>
                </c:pt>
                <c:pt idx="16">
                  <c:v>2.0094535458851578E-2</c:v>
                </c:pt>
                <c:pt idx="17">
                  <c:v>2.1634904690303398E-2</c:v>
                </c:pt>
                <c:pt idx="18">
                  <c:v>2.3168246315107634E-2</c:v>
                </c:pt>
                <c:pt idx="19">
                  <c:v>2.4694591472329653E-2</c:v>
                </c:pt>
                <c:pt idx="20">
                  <c:v>2.6213971163173158E-2</c:v>
                </c:pt>
                <c:pt idx="21">
                  <c:v>2.772641625159053E-2</c:v>
                </c:pt>
                <c:pt idx="22">
                  <c:v>2.9231957464890476E-2</c:v>
                </c:pt>
                <c:pt idx="23">
                  <c:v>3.0730625394342959E-2</c:v>
                </c:pt>
                <c:pt idx="24">
                  <c:v>3.2222450495781478E-2</c:v>
                </c:pt>
                <c:pt idx="25">
                  <c:v>3.3707463090202679E-2</c:v>
                </c:pt>
                <c:pt idx="26">
                  <c:v>3.5185693364363266E-2</c:v>
                </c:pt>
                <c:pt idx="27">
                  <c:v>3.6656779327472348E-2</c:v>
                </c:pt>
                <c:pt idx="28">
                  <c:v>3.8121111617089212E-2</c:v>
                </c:pt>
                <c:pt idx="29">
                  <c:v>3.9578720236034697E-2</c:v>
                </c:pt>
                <c:pt idx="30">
                  <c:v>4.1029635053977963E-2</c:v>
                </c:pt>
                <c:pt idx="31">
                  <c:v>4.2473885808027398E-2</c:v>
                </c:pt>
                <c:pt idx="32">
                  <c:v>4.3911502103318914E-2</c:v>
                </c:pt>
                <c:pt idx="33">
                  <c:v>4.5342513413601591E-2</c:v>
                </c:pt>
                <c:pt idx="34">
                  <c:v>4.6766949081820781E-2</c:v>
                </c:pt>
                <c:pt idx="35">
                  <c:v>4.8184838320698559E-2</c:v>
                </c:pt>
                <c:pt idx="36">
                  <c:v>4.9596210213311689E-2</c:v>
                </c:pt>
                <c:pt idx="37">
                  <c:v>5.100109371366688E-2</c:v>
                </c:pt>
                <c:pt idx="38">
                  <c:v>5.2399517647273665E-2</c:v>
                </c:pt>
                <c:pt idx="39">
                  <c:v>5.3790855671437009E-2</c:v>
                </c:pt>
                <c:pt idx="40">
                  <c:v>5.5175757659077944E-2</c:v>
                </c:pt>
                <c:pt idx="41">
                  <c:v>5.655425228708999E-2</c:v>
                </c:pt>
                <c:pt idx="42">
                  <c:v>5.7926368104750353E-2</c:v>
                </c:pt>
                <c:pt idx="43">
                  <c:v>5.9292133534287778E-2</c:v>
                </c:pt>
                <c:pt idx="44">
                  <c:v>6.0651576871447954E-2</c:v>
                </c:pt>
                <c:pt idx="45">
                  <c:v>6.2004726286056307E-2</c:v>
                </c:pt>
                <c:pt idx="46">
                  <c:v>6.335160982257837E-2</c:v>
                </c:pt>
                <c:pt idx="47">
                  <c:v>6.4692255400677634E-2</c:v>
                </c:pt>
                <c:pt idx="48">
                  <c:v>6.6026690815770894E-2</c:v>
                </c:pt>
                <c:pt idx="49">
                  <c:v>6.7354943739581161E-2</c:v>
                </c:pt>
                <c:pt idx="50">
                  <c:v>6.8677041720688045E-2</c:v>
                </c:pt>
                <c:pt idx="51">
                  <c:v>6.9992148205882371E-2</c:v>
                </c:pt>
                <c:pt idx="52">
                  <c:v>7.1301122151624138E-2</c:v>
                </c:pt>
                <c:pt idx="53">
                  <c:v>7.2603990965829562E-2</c:v>
                </c:pt>
                <c:pt idx="54">
                  <c:v>7.3900781934107151E-2</c:v>
                </c:pt>
                <c:pt idx="55">
                  <c:v>7.5191522220303425E-2</c:v>
                </c:pt>
                <c:pt idx="56">
                  <c:v>7.6476238867046298E-2</c:v>
                </c:pt>
                <c:pt idx="57">
                  <c:v>7.7754958796285981E-2</c:v>
                </c:pt>
                <c:pt idx="58">
                  <c:v>7.9027708809833452E-2</c:v>
                </c:pt>
                <c:pt idx="59">
                  <c:v>8.0294515589896587E-2</c:v>
                </c:pt>
                <c:pt idx="60">
                  <c:v>8.1555405699613767E-2</c:v>
                </c:pt>
                <c:pt idx="61">
                  <c:v>8.2810405583585336E-2</c:v>
                </c:pt>
              </c:numCache>
            </c:numRef>
          </c:val>
          <c:smooth val="0"/>
          <c:extLst>
            <c:ext xmlns:c16="http://schemas.microsoft.com/office/drawing/2014/chart" uri="{C3380CC4-5D6E-409C-BE32-E72D297353CC}">
              <c16:uniqueId val="{00000001-8FCE-4436-8FDE-C554E95D12D3}"/>
            </c:ext>
          </c:extLst>
        </c:ser>
        <c:ser>
          <c:idx val="6"/>
          <c:order val="2"/>
          <c:tx>
            <c:v>Galc Non-responder</c:v>
          </c:tx>
          <c:spPr>
            <a:ln w="28575" cap="rnd">
              <a:solidFill>
                <a:schemeClr val="accent1"/>
              </a:solidFill>
              <a:prstDash val="dash"/>
              <a:round/>
            </a:ln>
            <a:effectLst/>
          </c:spPr>
          <c:marker>
            <c:symbol val="none"/>
          </c:marker>
          <c:cat>
            <c:numRef>
              <c:f>'Calc - tx1'!$F$6:$F$67</c:f>
              <c:numCache>
                <c:formatCode>0.00</c:formatCode>
                <c:ptCount val="62"/>
                <c:pt idx="0">
                  <c:v>0</c:v>
                </c:pt>
                <c:pt idx="1">
                  <c:v>8.2135523613963035E-2</c:v>
                </c:pt>
                <c:pt idx="2">
                  <c:v>0.16427104722792607</c:v>
                </c:pt>
                <c:pt idx="3">
                  <c:v>0.24640657084188911</c:v>
                </c:pt>
                <c:pt idx="4">
                  <c:v>0.32854209445585214</c:v>
                </c:pt>
                <c:pt idx="5">
                  <c:v>0.41067761806981518</c:v>
                </c:pt>
                <c:pt idx="6">
                  <c:v>0.49281314168377821</c:v>
                </c:pt>
                <c:pt idx="7">
                  <c:v>0.57494866529774125</c:v>
                </c:pt>
                <c:pt idx="8">
                  <c:v>0.65708418891170428</c:v>
                </c:pt>
                <c:pt idx="9">
                  <c:v>0.73921971252566732</c:v>
                </c:pt>
                <c:pt idx="10">
                  <c:v>0.82135523613963035</c:v>
                </c:pt>
                <c:pt idx="11">
                  <c:v>0.90349075975359339</c:v>
                </c:pt>
                <c:pt idx="12">
                  <c:v>0.98562628336755642</c:v>
                </c:pt>
                <c:pt idx="13">
                  <c:v>1.0677618069815196</c:v>
                </c:pt>
                <c:pt idx="14">
                  <c:v>1.1498973305954825</c:v>
                </c:pt>
                <c:pt idx="15">
                  <c:v>1.2320328542094456</c:v>
                </c:pt>
                <c:pt idx="16">
                  <c:v>1.3141683778234086</c:v>
                </c:pt>
                <c:pt idx="17">
                  <c:v>1.3963039014373717</c:v>
                </c:pt>
                <c:pt idx="18">
                  <c:v>1.4784394250513346</c:v>
                </c:pt>
                <c:pt idx="19">
                  <c:v>1.5605749486652978</c:v>
                </c:pt>
                <c:pt idx="20">
                  <c:v>1.6427104722792607</c:v>
                </c:pt>
                <c:pt idx="21">
                  <c:v>1.7248459958932238</c:v>
                </c:pt>
                <c:pt idx="22">
                  <c:v>1.8069815195071868</c:v>
                </c:pt>
                <c:pt idx="23">
                  <c:v>1.8891170431211499</c:v>
                </c:pt>
                <c:pt idx="24">
                  <c:v>1.9712525667351128</c:v>
                </c:pt>
                <c:pt idx="25">
                  <c:v>2.0533880903490758</c:v>
                </c:pt>
                <c:pt idx="26">
                  <c:v>2.1355236139630391</c:v>
                </c:pt>
                <c:pt idx="27">
                  <c:v>2.2176591375770021</c:v>
                </c:pt>
                <c:pt idx="28">
                  <c:v>2.299794661190965</c:v>
                </c:pt>
                <c:pt idx="29">
                  <c:v>2.3819301848049284</c:v>
                </c:pt>
                <c:pt idx="30">
                  <c:v>2.4640657084188913</c:v>
                </c:pt>
                <c:pt idx="31">
                  <c:v>2.5462012320328542</c:v>
                </c:pt>
                <c:pt idx="32">
                  <c:v>2.6283367556468171</c:v>
                </c:pt>
                <c:pt idx="33">
                  <c:v>2.7104722792607805</c:v>
                </c:pt>
                <c:pt idx="34">
                  <c:v>2.7926078028747434</c:v>
                </c:pt>
                <c:pt idx="35">
                  <c:v>2.8747433264887063</c:v>
                </c:pt>
                <c:pt idx="36">
                  <c:v>2.9568788501026693</c:v>
                </c:pt>
                <c:pt idx="37">
                  <c:v>3.0390143737166326</c:v>
                </c:pt>
                <c:pt idx="38">
                  <c:v>3.1211498973305956</c:v>
                </c:pt>
                <c:pt idx="39">
                  <c:v>3.2032854209445585</c:v>
                </c:pt>
                <c:pt idx="40">
                  <c:v>3.2854209445585214</c:v>
                </c:pt>
                <c:pt idx="41">
                  <c:v>3.3675564681724848</c:v>
                </c:pt>
                <c:pt idx="42">
                  <c:v>3.4496919917864477</c:v>
                </c:pt>
                <c:pt idx="43">
                  <c:v>3.5318275154004106</c:v>
                </c:pt>
                <c:pt idx="44">
                  <c:v>3.6139630390143735</c:v>
                </c:pt>
                <c:pt idx="45">
                  <c:v>3.6960985626283369</c:v>
                </c:pt>
                <c:pt idx="46">
                  <c:v>3.7782340862422998</c:v>
                </c:pt>
                <c:pt idx="47">
                  <c:v>3.8603696098562628</c:v>
                </c:pt>
                <c:pt idx="48">
                  <c:v>3.9425051334702257</c:v>
                </c:pt>
                <c:pt idx="49">
                  <c:v>4.0246406570841886</c:v>
                </c:pt>
                <c:pt idx="50">
                  <c:v>4.1067761806981515</c:v>
                </c:pt>
                <c:pt idx="51">
                  <c:v>4.1889117043121153</c:v>
                </c:pt>
                <c:pt idx="52">
                  <c:v>4.2710472279260783</c:v>
                </c:pt>
                <c:pt idx="53">
                  <c:v>4.3531827515400412</c:v>
                </c:pt>
                <c:pt idx="54">
                  <c:v>4.4353182751540041</c:v>
                </c:pt>
                <c:pt idx="55">
                  <c:v>4.517453798767967</c:v>
                </c:pt>
                <c:pt idx="56">
                  <c:v>4.59958932238193</c:v>
                </c:pt>
                <c:pt idx="57">
                  <c:v>4.6817248459958929</c:v>
                </c:pt>
                <c:pt idx="58">
                  <c:v>4.7638603696098567</c:v>
                </c:pt>
                <c:pt idx="59">
                  <c:v>4.8459958932238196</c:v>
                </c:pt>
                <c:pt idx="60">
                  <c:v>4.9281314168377826</c:v>
                </c:pt>
                <c:pt idx="61">
                  <c:v>5.0102669404517455</c:v>
                </c:pt>
              </c:numCache>
            </c:numRef>
          </c:cat>
          <c:val>
            <c:numRef>
              <c:f>'Calc - tx1'!$M$6:$M$67</c:f>
              <c:numCache>
                <c:formatCode>0.00</c:formatCode>
                <c:ptCount val="62"/>
                <c:pt idx="0">
                  <c:v>0</c:v>
                </c:pt>
                <c:pt idx="1">
                  <c:v>0</c:v>
                </c:pt>
                <c:pt idx="2">
                  <c:v>0</c:v>
                </c:pt>
                <c:pt idx="3">
                  <c:v>0.62011260554567438</c:v>
                </c:pt>
                <c:pt idx="4">
                  <c:v>0.62003951912012423</c:v>
                </c:pt>
                <c:pt idx="5">
                  <c:v>0.61996644130853473</c:v>
                </c:pt>
                <c:pt idx="6">
                  <c:v>0.61989337210989071</c:v>
                </c:pt>
                <c:pt idx="7">
                  <c:v>0.61982031152317696</c:v>
                </c:pt>
                <c:pt idx="8">
                  <c:v>0.61974725954737853</c:v>
                </c:pt>
                <c:pt idx="9">
                  <c:v>0.61967421618148055</c:v>
                </c:pt>
                <c:pt idx="10">
                  <c:v>0.61960118142446818</c:v>
                </c:pt>
                <c:pt idx="11">
                  <c:v>0.6195281552753269</c:v>
                </c:pt>
                <c:pt idx="12">
                  <c:v>0.61945513773304206</c:v>
                </c:pt>
                <c:pt idx="13">
                  <c:v>0.61938212879659937</c:v>
                </c:pt>
                <c:pt idx="14">
                  <c:v>0.61930912846498443</c:v>
                </c:pt>
                <c:pt idx="15">
                  <c:v>0.6192300242811698</c:v>
                </c:pt>
                <c:pt idx="16">
                  <c:v>0.61915093020131073</c:v>
                </c:pt>
                <c:pt idx="17">
                  <c:v>0.6190718462241166</c:v>
                </c:pt>
                <c:pt idx="18">
                  <c:v>0.61899277234829697</c:v>
                </c:pt>
                <c:pt idx="19">
                  <c:v>0.61891370857256167</c:v>
                </c:pt>
                <c:pt idx="20">
                  <c:v>0.61883465489562062</c:v>
                </c:pt>
                <c:pt idx="21">
                  <c:v>0.61875561131618384</c:v>
                </c:pt>
                <c:pt idx="22">
                  <c:v>0.61867657783296159</c:v>
                </c:pt>
                <c:pt idx="23">
                  <c:v>0.61859755444466435</c:v>
                </c:pt>
                <c:pt idx="24">
                  <c:v>0.61851854115000271</c:v>
                </c:pt>
                <c:pt idx="25">
                  <c:v>0.61843953794768736</c:v>
                </c:pt>
                <c:pt idx="26">
                  <c:v>0.61836054483642922</c:v>
                </c:pt>
                <c:pt idx="27">
                  <c:v>0.61827494937030814</c:v>
                </c:pt>
                <c:pt idx="28">
                  <c:v>0.6181893657525882</c:v>
                </c:pt>
                <c:pt idx="29">
                  <c:v>0.6181037939816294</c:v>
                </c:pt>
                <c:pt idx="30">
                  <c:v>0.61801823405579182</c:v>
                </c:pt>
                <c:pt idx="31">
                  <c:v>0.61793268597343587</c:v>
                </c:pt>
                <c:pt idx="32">
                  <c:v>0.6178471497329221</c:v>
                </c:pt>
                <c:pt idx="33">
                  <c:v>0.61776162533261125</c:v>
                </c:pt>
                <c:pt idx="34">
                  <c:v>0.61767611277086454</c:v>
                </c:pt>
                <c:pt idx="35">
                  <c:v>0.61759061204604304</c:v>
                </c:pt>
                <c:pt idx="36">
                  <c:v>0.61750512315650841</c:v>
                </c:pt>
                <c:pt idx="37">
                  <c:v>0.61741964610062228</c:v>
                </c:pt>
                <c:pt idx="38">
                  <c:v>0.61733418087674663</c:v>
                </c:pt>
                <c:pt idx="39">
                  <c:v>0.61724121100392482</c:v>
                </c:pt>
                <c:pt idx="40">
                  <c:v>0.61714825513226723</c:v>
                </c:pt>
                <c:pt idx="41">
                  <c:v>0.61705531325966534</c:v>
                </c:pt>
                <c:pt idx="42">
                  <c:v>0.61696238538401083</c:v>
                </c:pt>
                <c:pt idx="43">
                  <c:v>0.61686947150319582</c:v>
                </c:pt>
                <c:pt idx="44">
                  <c:v>0.61677657161511268</c:v>
                </c:pt>
                <c:pt idx="45">
                  <c:v>0.6166836857176542</c:v>
                </c:pt>
                <c:pt idx="46">
                  <c:v>0.61659081380871328</c:v>
                </c:pt>
                <c:pt idx="47">
                  <c:v>0.61649795588618339</c:v>
                </c:pt>
                <c:pt idx="48">
                  <c:v>0.61640511194795811</c:v>
                </c:pt>
                <c:pt idx="49">
                  <c:v>0.61631228199193144</c:v>
                </c:pt>
                <c:pt idx="50">
                  <c:v>0.61621946601599775</c:v>
                </c:pt>
                <c:pt idx="51">
                  <c:v>0.61611905867858086</c:v>
                </c:pt>
                <c:pt idx="52">
                  <c:v>0.61601866770162306</c:v>
                </c:pt>
                <c:pt idx="53">
                  <c:v>0.61591829308245871</c:v>
                </c:pt>
                <c:pt idx="54">
                  <c:v>0.6158179348184224</c:v>
                </c:pt>
                <c:pt idx="55">
                  <c:v>0.61571759290684913</c:v>
                </c:pt>
                <c:pt idx="56">
                  <c:v>0.61561726734507449</c:v>
                </c:pt>
                <c:pt idx="57">
                  <c:v>0.61551695813043439</c:v>
                </c:pt>
                <c:pt idx="58">
                  <c:v>0.61541666526026528</c:v>
                </c:pt>
                <c:pt idx="59">
                  <c:v>0.61531638873190386</c:v>
                </c:pt>
                <c:pt idx="60">
                  <c:v>0.61521612854268748</c:v>
                </c:pt>
                <c:pt idx="61">
                  <c:v>0.61511588468995382</c:v>
                </c:pt>
              </c:numCache>
            </c:numRef>
          </c:val>
          <c:smooth val="0"/>
          <c:extLst>
            <c:ext xmlns:c16="http://schemas.microsoft.com/office/drawing/2014/chart" uri="{C3380CC4-5D6E-409C-BE32-E72D297353CC}">
              <c16:uniqueId val="{00000002-8FCE-4436-8FDE-C554E95D12D3}"/>
            </c:ext>
          </c:extLst>
        </c:ser>
        <c:ser>
          <c:idx val="1"/>
          <c:order val="3"/>
          <c:tx>
            <c:v>Galc Death</c:v>
          </c:tx>
          <c:spPr>
            <a:ln w="28575" cap="rnd">
              <a:solidFill>
                <a:schemeClr val="accent1"/>
              </a:solidFill>
              <a:prstDash val="sysDot"/>
              <a:round/>
            </a:ln>
            <a:effectLst/>
          </c:spPr>
          <c:marker>
            <c:symbol val="none"/>
          </c:marker>
          <c:cat>
            <c:numRef>
              <c:f>'Calc - tx1'!$F$6:$F$67</c:f>
              <c:numCache>
                <c:formatCode>0.00</c:formatCode>
                <c:ptCount val="62"/>
                <c:pt idx="0">
                  <c:v>0</c:v>
                </c:pt>
                <c:pt idx="1">
                  <c:v>8.2135523613963035E-2</c:v>
                </c:pt>
                <c:pt idx="2">
                  <c:v>0.16427104722792607</c:v>
                </c:pt>
                <c:pt idx="3">
                  <c:v>0.24640657084188911</c:v>
                </c:pt>
                <c:pt idx="4">
                  <c:v>0.32854209445585214</c:v>
                </c:pt>
                <c:pt idx="5">
                  <c:v>0.41067761806981518</c:v>
                </c:pt>
                <c:pt idx="6">
                  <c:v>0.49281314168377821</c:v>
                </c:pt>
                <c:pt idx="7">
                  <c:v>0.57494866529774125</c:v>
                </c:pt>
                <c:pt idx="8">
                  <c:v>0.65708418891170428</c:v>
                </c:pt>
                <c:pt idx="9">
                  <c:v>0.73921971252566732</c:v>
                </c:pt>
                <c:pt idx="10">
                  <c:v>0.82135523613963035</c:v>
                </c:pt>
                <c:pt idx="11">
                  <c:v>0.90349075975359339</c:v>
                </c:pt>
                <c:pt idx="12">
                  <c:v>0.98562628336755642</c:v>
                </c:pt>
                <c:pt idx="13">
                  <c:v>1.0677618069815196</c:v>
                </c:pt>
                <c:pt idx="14">
                  <c:v>1.1498973305954825</c:v>
                </c:pt>
                <c:pt idx="15">
                  <c:v>1.2320328542094456</c:v>
                </c:pt>
                <c:pt idx="16">
                  <c:v>1.3141683778234086</c:v>
                </c:pt>
                <c:pt idx="17">
                  <c:v>1.3963039014373717</c:v>
                </c:pt>
                <c:pt idx="18">
                  <c:v>1.4784394250513346</c:v>
                </c:pt>
                <c:pt idx="19">
                  <c:v>1.5605749486652978</c:v>
                </c:pt>
                <c:pt idx="20">
                  <c:v>1.6427104722792607</c:v>
                </c:pt>
                <c:pt idx="21">
                  <c:v>1.7248459958932238</c:v>
                </c:pt>
                <c:pt idx="22">
                  <c:v>1.8069815195071868</c:v>
                </c:pt>
                <c:pt idx="23">
                  <c:v>1.8891170431211499</c:v>
                </c:pt>
                <c:pt idx="24">
                  <c:v>1.9712525667351128</c:v>
                </c:pt>
                <c:pt idx="25">
                  <c:v>2.0533880903490758</c:v>
                </c:pt>
                <c:pt idx="26">
                  <c:v>2.1355236139630391</c:v>
                </c:pt>
                <c:pt idx="27">
                  <c:v>2.2176591375770021</c:v>
                </c:pt>
                <c:pt idx="28">
                  <c:v>2.299794661190965</c:v>
                </c:pt>
                <c:pt idx="29">
                  <c:v>2.3819301848049284</c:v>
                </c:pt>
                <c:pt idx="30">
                  <c:v>2.4640657084188913</c:v>
                </c:pt>
                <c:pt idx="31">
                  <c:v>2.5462012320328542</c:v>
                </c:pt>
                <c:pt idx="32">
                  <c:v>2.6283367556468171</c:v>
                </c:pt>
                <c:pt idx="33">
                  <c:v>2.7104722792607805</c:v>
                </c:pt>
                <c:pt idx="34">
                  <c:v>2.7926078028747434</c:v>
                </c:pt>
                <c:pt idx="35">
                  <c:v>2.8747433264887063</c:v>
                </c:pt>
                <c:pt idx="36">
                  <c:v>2.9568788501026693</c:v>
                </c:pt>
                <c:pt idx="37">
                  <c:v>3.0390143737166326</c:v>
                </c:pt>
                <c:pt idx="38">
                  <c:v>3.1211498973305956</c:v>
                </c:pt>
                <c:pt idx="39">
                  <c:v>3.2032854209445585</c:v>
                </c:pt>
                <c:pt idx="40">
                  <c:v>3.2854209445585214</c:v>
                </c:pt>
                <c:pt idx="41">
                  <c:v>3.3675564681724848</c:v>
                </c:pt>
                <c:pt idx="42">
                  <c:v>3.4496919917864477</c:v>
                </c:pt>
                <c:pt idx="43">
                  <c:v>3.5318275154004106</c:v>
                </c:pt>
                <c:pt idx="44">
                  <c:v>3.6139630390143735</c:v>
                </c:pt>
                <c:pt idx="45">
                  <c:v>3.6960985626283369</c:v>
                </c:pt>
                <c:pt idx="46">
                  <c:v>3.7782340862422998</c:v>
                </c:pt>
                <c:pt idx="47">
                  <c:v>3.8603696098562628</c:v>
                </c:pt>
                <c:pt idx="48">
                  <c:v>3.9425051334702257</c:v>
                </c:pt>
                <c:pt idx="49">
                  <c:v>4.0246406570841886</c:v>
                </c:pt>
                <c:pt idx="50">
                  <c:v>4.1067761806981515</c:v>
                </c:pt>
                <c:pt idx="51">
                  <c:v>4.1889117043121153</c:v>
                </c:pt>
                <c:pt idx="52">
                  <c:v>4.2710472279260783</c:v>
                </c:pt>
                <c:pt idx="53">
                  <c:v>4.3531827515400412</c:v>
                </c:pt>
                <c:pt idx="54">
                  <c:v>4.4353182751540041</c:v>
                </c:pt>
                <c:pt idx="55">
                  <c:v>4.517453798767967</c:v>
                </c:pt>
                <c:pt idx="56">
                  <c:v>4.59958932238193</c:v>
                </c:pt>
                <c:pt idx="57">
                  <c:v>4.6817248459958929</c:v>
                </c:pt>
                <c:pt idx="58">
                  <c:v>4.7638603696098567</c:v>
                </c:pt>
                <c:pt idx="59">
                  <c:v>4.8459958932238196</c:v>
                </c:pt>
                <c:pt idx="60">
                  <c:v>4.9281314168377826</c:v>
                </c:pt>
                <c:pt idx="61">
                  <c:v>5.0102669404517455</c:v>
                </c:pt>
              </c:numCache>
            </c:numRef>
          </c:cat>
          <c:val>
            <c:numRef>
              <c:f>'Calc - tx1'!$N$6:$N$67</c:f>
              <c:numCache>
                <c:formatCode>0.00</c:formatCode>
                <c:ptCount val="62"/>
                <c:pt idx="0">
                  <c:v>0</c:v>
                </c:pt>
                <c:pt idx="1">
                  <c:v>1.0914250951532534E-4</c:v>
                </c:pt>
                <c:pt idx="2">
                  <c:v>2.1827310694326739E-4</c:v>
                </c:pt>
                <c:pt idx="3">
                  <c:v>3.3610730688622215E-4</c:v>
                </c:pt>
                <c:pt idx="4">
                  <c:v>4.539276188991391E-4</c:v>
                </c:pt>
                <c:pt idx="5">
                  <c:v>5.7173404461884861E-4</c:v>
                </c:pt>
                <c:pt idx="6">
                  <c:v>6.8952658568198814E-4</c:v>
                </c:pt>
                <c:pt idx="7" formatCode="0.0000">
                  <c:v>8.0730524372500233E-4</c:v>
                </c:pt>
                <c:pt idx="8" formatCode="0.0000">
                  <c:v>9.2507002038414289E-4</c:v>
                </c:pt>
                <c:pt idx="9">
                  <c:v>1.0428209172954686E-3</c:v>
                </c:pt>
                <c:pt idx="10">
                  <c:v>1.1605579360948457E-3</c:v>
                </c:pt>
                <c:pt idx="11">
                  <c:v>1.2782810784179473E-3</c:v>
                </c:pt>
                <c:pt idx="12">
                  <c:v>1.3959903459002539E-3</c:v>
                </c:pt>
                <c:pt idx="13">
                  <c:v>1.5136857401770532E-3</c:v>
                </c:pt>
                <c:pt idx="14">
                  <c:v>1.6313672628834402E-3</c:v>
                </c:pt>
                <c:pt idx="15">
                  <c:v>1.758888612414568E-3</c:v>
                </c:pt>
                <c:pt idx="16">
                  <c:v>1.8863936736789643E-3</c:v>
                </c:pt>
                <c:pt idx="17">
                  <c:v>2.013882448757125E-3</c:v>
                </c:pt>
                <c:pt idx="18">
                  <c:v>2.1413549397292803E-3</c:v>
                </c:pt>
                <c:pt idx="19">
                  <c:v>2.2688111486753944E-3</c:v>
                </c:pt>
                <c:pt idx="20">
                  <c:v>2.3962510776751661E-3</c:v>
                </c:pt>
                <c:pt idx="21">
                  <c:v>2.5236747288080287E-3</c:v>
                </c:pt>
                <c:pt idx="22">
                  <c:v>2.6510821041531491E-3</c:v>
                </c:pt>
                <c:pt idx="23">
                  <c:v>2.7784732057894294E-3</c:v>
                </c:pt>
                <c:pt idx="24">
                  <c:v>2.9058480357955063E-3</c:v>
                </c:pt>
                <c:pt idx="25">
                  <c:v>3.0332065962497502E-3</c:v>
                </c:pt>
                <c:pt idx="26">
                  <c:v>3.1605488892302662E-3</c:v>
                </c:pt>
                <c:pt idx="27">
                  <c:v>3.2985346293914826E-3</c:v>
                </c:pt>
                <c:pt idx="28">
                  <c:v>3.4365012691203608E-3</c:v>
                </c:pt>
                <c:pt idx="29">
                  <c:v>3.5744488110608444E-3</c:v>
                </c:pt>
                <c:pt idx="30">
                  <c:v>3.7123772578565115E-3</c:v>
                </c:pt>
                <c:pt idx="31">
                  <c:v>3.8502866121505734E-3</c:v>
                </c:pt>
                <c:pt idx="32">
                  <c:v>3.9881768765858755E-3</c:v>
                </c:pt>
                <c:pt idx="33">
                  <c:v>4.1260480538048983E-3</c:v>
                </c:pt>
                <c:pt idx="34">
                  <c:v>4.2639001464497561E-3</c:v>
                </c:pt>
                <c:pt idx="35">
                  <c:v>4.4017331571621979E-3</c:v>
                </c:pt>
                <c:pt idx="36">
                  <c:v>4.5395470885836054E-3</c:v>
                </c:pt>
                <c:pt idx="37">
                  <c:v>4.6773419433549963E-3</c:v>
                </c:pt>
                <c:pt idx="38">
                  <c:v>4.8151177241170223E-3</c:v>
                </c:pt>
                <c:pt idx="39">
                  <c:v>4.96499151177608E-3</c:v>
                </c:pt>
                <c:pt idx="40">
                  <c:v>5.1148427286016899E-3</c:v>
                </c:pt>
                <c:pt idx="41">
                  <c:v>5.2646713779929957E-3</c:v>
                </c:pt>
                <c:pt idx="42">
                  <c:v>5.4144774633486294E-3</c:v>
                </c:pt>
                <c:pt idx="43">
                  <c:v>5.5642609880667106E-3</c:v>
                </c:pt>
                <c:pt idx="44">
                  <c:v>5.7140219555448478E-3</c:v>
                </c:pt>
                <c:pt idx="45">
                  <c:v>5.863760369180137E-3</c:v>
                </c:pt>
                <c:pt idx="46">
                  <c:v>6.0134762323691632E-3</c:v>
                </c:pt>
                <c:pt idx="47">
                  <c:v>6.1631695485079999E-3</c:v>
                </c:pt>
                <c:pt idx="48">
                  <c:v>6.3128403209922086E-3</c:v>
                </c:pt>
                <c:pt idx="49">
                  <c:v>6.4624885532168393E-3</c:v>
                </c:pt>
                <c:pt idx="50">
                  <c:v>6.6121142485764317E-3</c:v>
                </c:pt>
                <c:pt idx="51">
                  <c:v>6.7739777373678209E-3</c:v>
                </c:pt>
                <c:pt idx="52">
                  <c:v>6.9358148519811282E-3</c:v>
                </c:pt>
                <c:pt idx="53">
                  <c:v>7.0976255967137849E-3</c:v>
                </c:pt>
                <c:pt idx="54">
                  <c:v>7.2594099758625215E-3</c:v>
                </c:pt>
                <c:pt idx="55">
                  <c:v>7.4211679937233703E-3</c:v>
                </c:pt>
                <c:pt idx="56">
                  <c:v>7.5828996545916618E-3</c:v>
                </c:pt>
                <c:pt idx="57">
                  <c:v>7.7446049627620276E-3</c:v>
                </c:pt>
                <c:pt idx="58">
                  <c:v>7.9062839225283992E-3</c:v>
                </c:pt>
                <c:pt idx="59">
                  <c:v>8.067936538184009E-3</c:v>
                </c:pt>
                <c:pt idx="60">
                  <c:v>8.2295628140213895E-3</c:v>
                </c:pt>
                <c:pt idx="61">
                  <c:v>8.3911627543323732E-3</c:v>
                </c:pt>
              </c:numCache>
            </c:numRef>
          </c:val>
          <c:smooth val="0"/>
          <c:extLst>
            <c:ext xmlns:c16="http://schemas.microsoft.com/office/drawing/2014/chart" uri="{C3380CC4-5D6E-409C-BE32-E72D297353CC}">
              <c16:uniqueId val="{00000003-8FCE-4436-8FDE-C554E95D12D3}"/>
            </c:ext>
          </c:extLst>
        </c:ser>
        <c:ser>
          <c:idx val="4"/>
          <c:order val="4"/>
          <c:tx>
            <c:v>BSC On Tx</c:v>
          </c:tx>
          <c:spPr>
            <a:ln w="28575" cap="rnd">
              <a:solidFill>
                <a:srgbClr val="FF0000"/>
              </a:solidFill>
              <a:round/>
            </a:ln>
            <a:effectLst/>
          </c:spPr>
          <c:marker>
            <c:symbol val="none"/>
          </c:marker>
          <c:cat>
            <c:numRef>
              <c:f>'Calc - tx1'!$F$6:$F$67</c:f>
              <c:numCache>
                <c:formatCode>0.00</c:formatCode>
                <c:ptCount val="62"/>
                <c:pt idx="0">
                  <c:v>0</c:v>
                </c:pt>
                <c:pt idx="1">
                  <c:v>8.2135523613963035E-2</c:v>
                </c:pt>
                <c:pt idx="2">
                  <c:v>0.16427104722792607</c:v>
                </c:pt>
                <c:pt idx="3">
                  <c:v>0.24640657084188911</c:v>
                </c:pt>
                <c:pt idx="4">
                  <c:v>0.32854209445585214</c:v>
                </c:pt>
                <c:pt idx="5">
                  <c:v>0.41067761806981518</c:v>
                </c:pt>
                <c:pt idx="6">
                  <c:v>0.49281314168377821</c:v>
                </c:pt>
                <c:pt idx="7">
                  <c:v>0.57494866529774125</c:v>
                </c:pt>
                <c:pt idx="8">
                  <c:v>0.65708418891170428</c:v>
                </c:pt>
                <c:pt idx="9">
                  <c:v>0.73921971252566732</c:v>
                </c:pt>
                <c:pt idx="10">
                  <c:v>0.82135523613963035</c:v>
                </c:pt>
                <c:pt idx="11">
                  <c:v>0.90349075975359339</c:v>
                </c:pt>
                <c:pt idx="12">
                  <c:v>0.98562628336755642</c:v>
                </c:pt>
                <c:pt idx="13">
                  <c:v>1.0677618069815196</c:v>
                </c:pt>
                <c:pt idx="14">
                  <c:v>1.1498973305954825</c:v>
                </c:pt>
                <c:pt idx="15">
                  <c:v>1.2320328542094456</c:v>
                </c:pt>
                <c:pt idx="16">
                  <c:v>1.3141683778234086</c:v>
                </c:pt>
                <c:pt idx="17">
                  <c:v>1.3963039014373717</c:v>
                </c:pt>
                <c:pt idx="18">
                  <c:v>1.4784394250513346</c:v>
                </c:pt>
                <c:pt idx="19">
                  <c:v>1.5605749486652978</c:v>
                </c:pt>
                <c:pt idx="20">
                  <c:v>1.6427104722792607</c:v>
                </c:pt>
                <c:pt idx="21">
                  <c:v>1.7248459958932238</c:v>
                </c:pt>
                <c:pt idx="22">
                  <c:v>1.8069815195071868</c:v>
                </c:pt>
                <c:pt idx="23">
                  <c:v>1.8891170431211499</c:v>
                </c:pt>
                <c:pt idx="24">
                  <c:v>1.9712525667351128</c:v>
                </c:pt>
                <c:pt idx="25">
                  <c:v>2.0533880903490758</c:v>
                </c:pt>
                <c:pt idx="26">
                  <c:v>2.1355236139630391</c:v>
                </c:pt>
                <c:pt idx="27">
                  <c:v>2.2176591375770021</c:v>
                </c:pt>
                <c:pt idx="28">
                  <c:v>2.299794661190965</c:v>
                </c:pt>
                <c:pt idx="29">
                  <c:v>2.3819301848049284</c:v>
                </c:pt>
                <c:pt idx="30">
                  <c:v>2.4640657084188913</c:v>
                </c:pt>
                <c:pt idx="31">
                  <c:v>2.5462012320328542</c:v>
                </c:pt>
                <c:pt idx="32">
                  <c:v>2.6283367556468171</c:v>
                </c:pt>
                <c:pt idx="33">
                  <c:v>2.7104722792607805</c:v>
                </c:pt>
                <c:pt idx="34">
                  <c:v>2.7926078028747434</c:v>
                </c:pt>
                <c:pt idx="35">
                  <c:v>2.8747433264887063</c:v>
                </c:pt>
                <c:pt idx="36">
                  <c:v>2.9568788501026693</c:v>
                </c:pt>
                <c:pt idx="37">
                  <c:v>3.0390143737166326</c:v>
                </c:pt>
                <c:pt idx="38">
                  <c:v>3.1211498973305956</c:v>
                </c:pt>
                <c:pt idx="39">
                  <c:v>3.2032854209445585</c:v>
                </c:pt>
                <c:pt idx="40">
                  <c:v>3.2854209445585214</c:v>
                </c:pt>
                <c:pt idx="41">
                  <c:v>3.3675564681724848</c:v>
                </c:pt>
                <c:pt idx="42">
                  <c:v>3.4496919917864477</c:v>
                </c:pt>
                <c:pt idx="43">
                  <c:v>3.5318275154004106</c:v>
                </c:pt>
                <c:pt idx="44">
                  <c:v>3.6139630390143735</c:v>
                </c:pt>
                <c:pt idx="45">
                  <c:v>3.6960985626283369</c:v>
                </c:pt>
                <c:pt idx="46">
                  <c:v>3.7782340862422998</c:v>
                </c:pt>
                <c:pt idx="47">
                  <c:v>3.8603696098562628</c:v>
                </c:pt>
                <c:pt idx="48">
                  <c:v>3.9425051334702257</c:v>
                </c:pt>
                <c:pt idx="49">
                  <c:v>4.0246406570841886</c:v>
                </c:pt>
                <c:pt idx="50">
                  <c:v>4.1067761806981515</c:v>
                </c:pt>
                <c:pt idx="51">
                  <c:v>4.1889117043121153</c:v>
                </c:pt>
                <c:pt idx="52">
                  <c:v>4.2710472279260783</c:v>
                </c:pt>
                <c:pt idx="53">
                  <c:v>4.3531827515400412</c:v>
                </c:pt>
                <c:pt idx="54">
                  <c:v>4.4353182751540041</c:v>
                </c:pt>
                <c:pt idx="55">
                  <c:v>4.517453798767967</c:v>
                </c:pt>
                <c:pt idx="56">
                  <c:v>4.59958932238193</c:v>
                </c:pt>
                <c:pt idx="57">
                  <c:v>4.6817248459958929</c:v>
                </c:pt>
                <c:pt idx="58">
                  <c:v>4.7638603696098567</c:v>
                </c:pt>
                <c:pt idx="59">
                  <c:v>4.8459958932238196</c:v>
                </c:pt>
                <c:pt idx="60">
                  <c:v>4.9281314168377826</c:v>
                </c:pt>
                <c:pt idx="61">
                  <c:v>5.0102669404517455</c:v>
                </c:pt>
              </c:numCache>
            </c:numRef>
          </c:cat>
          <c:val>
            <c:numRef>
              <c:f>'Calc - tx2'!$K$6:$K$67</c:f>
              <c:numCache>
                <c:formatCode>0.00</c:formatCode>
                <c:ptCount val="62"/>
                <c:pt idx="0">
                  <c:v>1</c:v>
                </c:pt>
                <c:pt idx="1">
                  <c:v>0.99989085749048467</c:v>
                </c:pt>
                <c:pt idx="2">
                  <c:v>0.99978172689305678</c:v>
                </c:pt>
                <c:pt idx="3">
                  <c:v>0.14994958390396707</c:v>
                </c:pt>
                <c:pt idx="4">
                  <c:v>0.14993191085716512</c:v>
                </c:pt>
                <c:pt idx="5">
                  <c:v>0.14991423989330716</c:v>
                </c:pt>
                <c:pt idx="6">
                  <c:v>0.14989657101214768</c:v>
                </c:pt>
                <c:pt idx="7">
                  <c:v>0.14987890421344122</c:v>
                </c:pt>
                <c:pt idx="8">
                  <c:v>0.14986123949694236</c:v>
                </c:pt>
                <c:pt idx="9">
                  <c:v>0.14984357686240565</c:v>
                </c:pt>
                <c:pt idx="10">
                  <c:v>0.14982591630958575</c:v>
                </c:pt>
                <c:pt idx="11">
                  <c:v>0.14980825783823729</c:v>
                </c:pt>
                <c:pt idx="12">
                  <c:v>0.14979060144811493</c:v>
                </c:pt>
                <c:pt idx="13">
                  <c:v>0.14977294713897341</c:v>
                </c:pt>
                <c:pt idx="14">
                  <c:v>0.14975529491056744</c:v>
                </c:pt>
                <c:pt idx="15">
                  <c:v>0.14973616670813777</c:v>
                </c:pt>
                <c:pt idx="16">
                  <c:v>0.14971704094894811</c:v>
                </c:pt>
                <c:pt idx="17">
                  <c:v>0.14969791763268639</c:v>
                </c:pt>
                <c:pt idx="18">
                  <c:v>0.14967879675904056</c:v>
                </c:pt>
                <c:pt idx="19">
                  <c:v>0.14965967832769864</c:v>
                </c:pt>
                <c:pt idx="20">
                  <c:v>0.14964056233834866</c:v>
                </c:pt>
                <c:pt idx="21">
                  <c:v>0.14962144879067873</c:v>
                </c:pt>
                <c:pt idx="22">
                  <c:v>0.14960233768437697</c:v>
                </c:pt>
                <c:pt idx="23">
                  <c:v>0.14958322901913154</c:v>
                </c:pt>
                <c:pt idx="24">
                  <c:v>0.14956412279463063</c:v>
                </c:pt>
                <c:pt idx="25">
                  <c:v>0.1495450190105625</c:v>
                </c:pt>
                <c:pt idx="26">
                  <c:v>0.14952591766661541</c:v>
                </c:pt>
                <c:pt idx="27">
                  <c:v>0.14950521980559123</c:v>
                </c:pt>
                <c:pt idx="28">
                  <c:v>0.1494845248096319</c:v>
                </c:pt>
                <c:pt idx="29">
                  <c:v>0.14946383267834082</c:v>
                </c:pt>
                <c:pt idx="30">
                  <c:v>0.14944314341132148</c:v>
                </c:pt>
                <c:pt idx="31">
                  <c:v>0.14942245700817736</c:v>
                </c:pt>
                <c:pt idx="32">
                  <c:v>0.14940177346851205</c:v>
                </c:pt>
                <c:pt idx="33">
                  <c:v>0.14938109279192921</c:v>
                </c:pt>
                <c:pt idx="34">
                  <c:v>0.14936041497803249</c:v>
                </c:pt>
                <c:pt idx="35">
                  <c:v>0.14933974002642561</c:v>
                </c:pt>
                <c:pt idx="36">
                  <c:v>0.1493190679367124</c:v>
                </c:pt>
                <c:pt idx="37">
                  <c:v>0.1492983987084967</c:v>
                </c:pt>
                <c:pt idx="38">
                  <c:v>0.14927773234138239</c:v>
                </c:pt>
                <c:pt idx="39">
                  <c:v>0.14925525127323352</c:v>
                </c:pt>
                <c:pt idx="40">
                  <c:v>0.14923277359070969</c:v>
                </c:pt>
                <c:pt idx="41">
                  <c:v>0.14921029929330099</c:v>
                </c:pt>
                <c:pt idx="42">
                  <c:v>0.14918782838049763</c:v>
                </c:pt>
                <c:pt idx="43">
                  <c:v>0.14916536085178991</c:v>
                </c:pt>
                <c:pt idx="44">
                  <c:v>0.14914289670666819</c:v>
                </c:pt>
                <c:pt idx="45">
                  <c:v>0.1491204359446229</c:v>
                </c:pt>
                <c:pt idx="46">
                  <c:v>0.14909797856514456</c:v>
                </c:pt>
                <c:pt idx="47">
                  <c:v>0.14907552456772374</c:v>
                </c:pt>
                <c:pt idx="48">
                  <c:v>0.14905307395185111</c:v>
                </c:pt>
                <c:pt idx="49">
                  <c:v>0.14903062671701742</c:v>
                </c:pt>
                <c:pt idx="50">
                  <c:v>0.14900818286271347</c:v>
                </c:pt>
                <c:pt idx="51">
                  <c:v>0.14898390333939476</c:v>
                </c:pt>
                <c:pt idx="52">
                  <c:v>0.14895962777220276</c:v>
                </c:pt>
                <c:pt idx="53">
                  <c:v>0.14893535616049286</c:v>
                </c:pt>
                <c:pt idx="54">
                  <c:v>0.14891108850362056</c:v>
                </c:pt>
                <c:pt idx="55">
                  <c:v>0.14888682480094143</c:v>
                </c:pt>
                <c:pt idx="56">
                  <c:v>0.14886256505181117</c:v>
                </c:pt>
                <c:pt idx="57">
                  <c:v>0.14883830925558561</c:v>
                </c:pt>
                <c:pt idx="58">
                  <c:v>0.14881405741162065</c:v>
                </c:pt>
                <c:pt idx="59">
                  <c:v>0.14878980951927231</c:v>
                </c:pt>
                <c:pt idx="60">
                  <c:v>0.14876556557789672</c:v>
                </c:pt>
                <c:pt idx="61">
                  <c:v>0.14874132558685008</c:v>
                </c:pt>
              </c:numCache>
            </c:numRef>
          </c:val>
          <c:smooth val="0"/>
          <c:extLst>
            <c:ext xmlns:c16="http://schemas.microsoft.com/office/drawing/2014/chart" uri="{C3380CC4-5D6E-409C-BE32-E72D297353CC}">
              <c16:uniqueId val="{00000004-8FCE-4436-8FDE-C554E95D12D3}"/>
            </c:ext>
          </c:extLst>
        </c:ser>
        <c:ser>
          <c:idx val="5"/>
          <c:order val="5"/>
          <c:tx>
            <c:v>BSC Non-responder</c:v>
          </c:tx>
          <c:spPr>
            <a:ln w="28575" cap="rnd">
              <a:solidFill>
                <a:srgbClr val="FF0000"/>
              </a:solidFill>
              <a:prstDash val="dash"/>
              <a:round/>
            </a:ln>
            <a:effectLst/>
          </c:spPr>
          <c:marker>
            <c:symbol val="none"/>
          </c:marker>
          <c:cat>
            <c:numRef>
              <c:f>'Calc - tx1'!$F$6:$F$67</c:f>
              <c:numCache>
                <c:formatCode>0.00</c:formatCode>
                <c:ptCount val="62"/>
                <c:pt idx="0">
                  <c:v>0</c:v>
                </c:pt>
                <c:pt idx="1">
                  <c:v>8.2135523613963035E-2</c:v>
                </c:pt>
                <c:pt idx="2">
                  <c:v>0.16427104722792607</c:v>
                </c:pt>
                <c:pt idx="3">
                  <c:v>0.24640657084188911</c:v>
                </c:pt>
                <c:pt idx="4">
                  <c:v>0.32854209445585214</c:v>
                </c:pt>
                <c:pt idx="5">
                  <c:v>0.41067761806981518</c:v>
                </c:pt>
                <c:pt idx="6">
                  <c:v>0.49281314168377821</c:v>
                </c:pt>
                <c:pt idx="7">
                  <c:v>0.57494866529774125</c:v>
                </c:pt>
                <c:pt idx="8">
                  <c:v>0.65708418891170428</c:v>
                </c:pt>
                <c:pt idx="9">
                  <c:v>0.73921971252566732</c:v>
                </c:pt>
                <c:pt idx="10">
                  <c:v>0.82135523613963035</c:v>
                </c:pt>
                <c:pt idx="11">
                  <c:v>0.90349075975359339</c:v>
                </c:pt>
                <c:pt idx="12">
                  <c:v>0.98562628336755642</c:v>
                </c:pt>
                <c:pt idx="13">
                  <c:v>1.0677618069815196</c:v>
                </c:pt>
                <c:pt idx="14">
                  <c:v>1.1498973305954825</c:v>
                </c:pt>
                <c:pt idx="15">
                  <c:v>1.2320328542094456</c:v>
                </c:pt>
                <c:pt idx="16">
                  <c:v>1.3141683778234086</c:v>
                </c:pt>
                <c:pt idx="17">
                  <c:v>1.3963039014373717</c:v>
                </c:pt>
                <c:pt idx="18">
                  <c:v>1.4784394250513346</c:v>
                </c:pt>
                <c:pt idx="19">
                  <c:v>1.5605749486652978</c:v>
                </c:pt>
                <c:pt idx="20">
                  <c:v>1.6427104722792607</c:v>
                </c:pt>
                <c:pt idx="21">
                  <c:v>1.7248459958932238</c:v>
                </c:pt>
                <c:pt idx="22">
                  <c:v>1.8069815195071868</c:v>
                </c:pt>
                <c:pt idx="23">
                  <c:v>1.8891170431211499</c:v>
                </c:pt>
                <c:pt idx="24">
                  <c:v>1.9712525667351128</c:v>
                </c:pt>
                <c:pt idx="25">
                  <c:v>2.0533880903490758</c:v>
                </c:pt>
                <c:pt idx="26">
                  <c:v>2.1355236139630391</c:v>
                </c:pt>
                <c:pt idx="27">
                  <c:v>2.2176591375770021</c:v>
                </c:pt>
                <c:pt idx="28">
                  <c:v>2.299794661190965</c:v>
                </c:pt>
                <c:pt idx="29">
                  <c:v>2.3819301848049284</c:v>
                </c:pt>
                <c:pt idx="30">
                  <c:v>2.4640657084188913</c:v>
                </c:pt>
                <c:pt idx="31">
                  <c:v>2.5462012320328542</c:v>
                </c:pt>
                <c:pt idx="32">
                  <c:v>2.6283367556468171</c:v>
                </c:pt>
                <c:pt idx="33">
                  <c:v>2.7104722792607805</c:v>
                </c:pt>
                <c:pt idx="34">
                  <c:v>2.7926078028747434</c:v>
                </c:pt>
                <c:pt idx="35">
                  <c:v>2.8747433264887063</c:v>
                </c:pt>
                <c:pt idx="36">
                  <c:v>2.9568788501026693</c:v>
                </c:pt>
                <c:pt idx="37">
                  <c:v>3.0390143737166326</c:v>
                </c:pt>
                <c:pt idx="38">
                  <c:v>3.1211498973305956</c:v>
                </c:pt>
                <c:pt idx="39">
                  <c:v>3.2032854209445585</c:v>
                </c:pt>
                <c:pt idx="40">
                  <c:v>3.2854209445585214</c:v>
                </c:pt>
                <c:pt idx="41">
                  <c:v>3.3675564681724848</c:v>
                </c:pt>
                <c:pt idx="42">
                  <c:v>3.4496919917864477</c:v>
                </c:pt>
                <c:pt idx="43">
                  <c:v>3.5318275154004106</c:v>
                </c:pt>
                <c:pt idx="44">
                  <c:v>3.6139630390143735</c:v>
                </c:pt>
                <c:pt idx="45">
                  <c:v>3.6960985626283369</c:v>
                </c:pt>
                <c:pt idx="46">
                  <c:v>3.7782340862422998</c:v>
                </c:pt>
                <c:pt idx="47">
                  <c:v>3.8603696098562628</c:v>
                </c:pt>
                <c:pt idx="48">
                  <c:v>3.9425051334702257</c:v>
                </c:pt>
                <c:pt idx="49">
                  <c:v>4.0246406570841886</c:v>
                </c:pt>
                <c:pt idx="50">
                  <c:v>4.1067761806981515</c:v>
                </c:pt>
                <c:pt idx="51">
                  <c:v>4.1889117043121153</c:v>
                </c:pt>
                <c:pt idx="52">
                  <c:v>4.2710472279260783</c:v>
                </c:pt>
                <c:pt idx="53">
                  <c:v>4.3531827515400412</c:v>
                </c:pt>
                <c:pt idx="54">
                  <c:v>4.4353182751540041</c:v>
                </c:pt>
                <c:pt idx="55">
                  <c:v>4.517453798767967</c:v>
                </c:pt>
                <c:pt idx="56">
                  <c:v>4.59958932238193</c:v>
                </c:pt>
                <c:pt idx="57">
                  <c:v>4.6817248459958929</c:v>
                </c:pt>
                <c:pt idx="58">
                  <c:v>4.7638603696098567</c:v>
                </c:pt>
                <c:pt idx="59">
                  <c:v>4.8459958932238196</c:v>
                </c:pt>
                <c:pt idx="60">
                  <c:v>4.9281314168377826</c:v>
                </c:pt>
                <c:pt idx="61">
                  <c:v>5.0102669404517455</c:v>
                </c:pt>
              </c:numCache>
            </c:numRef>
          </c:cat>
          <c:val>
            <c:numRef>
              <c:f>'Calc - tx2'!$M$6:$M$67</c:f>
              <c:numCache>
                <c:formatCode>0.00</c:formatCode>
                <c:ptCount val="62"/>
                <c:pt idx="0">
                  <c:v>0</c:v>
                </c:pt>
                <c:pt idx="1">
                  <c:v>0</c:v>
                </c:pt>
                <c:pt idx="2">
                  <c:v>0</c:v>
                </c:pt>
                <c:pt idx="3">
                  <c:v>0.84971430878914667</c:v>
                </c:pt>
                <c:pt idx="4">
                  <c:v>0.84961416152393565</c:v>
                </c:pt>
                <c:pt idx="5">
                  <c:v>0.84951402606207393</c:v>
                </c:pt>
                <c:pt idx="6">
                  <c:v>0.8494139024021703</c:v>
                </c:pt>
                <c:pt idx="7">
                  <c:v>0.84931379054283374</c:v>
                </c:pt>
                <c:pt idx="8">
                  <c:v>0.84921369048267348</c:v>
                </c:pt>
                <c:pt idx="9">
                  <c:v>0.84911360222029886</c:v>
                </c:pt>
                <c:pt idx="10">
                  <c:v>0.84901352575431943</c:v>
                </c:pt>
                <c:pt idx="11">
                  <c:v>0.84891346108334476</c:v>
                </c:pt>
                <c:pt idx="12">
                  <c:v>0.84881340820598483</c:v>
                </c:pt>
                <c:pt idx="13">
                  <c:v>0.84871336712084955</c:v>
                </c:pt>
                <c:pt idx="14">
                  <c:v>0.84861333782654913</c:v>
                </c:pt>
                <c:pt idx="15">
                  <c:v>0.8485049446794477</c:v>
                </c:pt>
                <c:pt idx="16">
                  <c:v>0.84839656537737296</c:v>
                </c:pt>
                <c:pt idx="17">
                  <c:v>0.84828819991855653</c:v>
                </c:pt>
                <c:pt idx="18">
                  <c:v>0.84817984830123017</c:v>
                </c:pt>
                <c:pt idx="19">
                  <c:v>0.84807151052362595</c:v>
                </c:pt>
                <c:pt idx="20">
                  <c:v>0.84796318658397618</c:v>
                </c:pt>
                <c:pt idx="21">
                  <c:v>0.84785487648051328</c:v>
                </c:pt>
                <c:pt idx="22">
                  <c:v>0.84774658021146987</c:v>
                </c:pt>
                <c:pt idx="23">
                  <c:v>0.84763829777507904</c:v>
                </c:pt>
                <c:pt idx="24">
                  <c:v>0.84753002916957387</c:v>
                </c:pt>
                <c:pt idx="25">
                  <c:v>0.84742177439318778</c:v>
                </c:pt>
                <c:pt idx="26">
                  <c:v>0.84731353344415439</c:v>
                </c:pt>
                <c:pt idx="27">
                  <c:v>0.84719624556501738</c:v>
                </c:pt>
                <c:pt idx="28">
                  <c:v>0.84707897392124787</c:v>
                </c:pt>
                <c:pt idx="29">
                  <c:v>0.84696171851059843</c:v>
                </c:pt>
                <c:pt idx="30">
                  <c:v>0.84684447933082208</c:v>
                </c:pt>
                <c:pt idx="31">
                  <c:v>0.84672725637967217</c:v>
                </c:pt>
                <c:pt idx="32">
                  <c:v>0.84661004965490216</c:v>
                </c:pt>
                <c:pt idx="33">
                  <c:v>0.84649285915426598</c:v>
                </c:pt>
                <c:pt idx="34">
                  <c:v>0.84637568487551784</c:v>
                </c:pt>
                <c:pt idx="35">
                  <c:v>0.84625852681641223</c:v>
                </c:pt>
                <c:pt idx="36">
                  <c:v>0.84614138497470404</c:v>
                </c:pt>
                <c:pt idx="37">
                  <c:v>0.8460242593481484</c:v>
                </c:pt>
                <c:pt idx="38">
                  <c:v>0.84590714993450067</c:v>
                </c:pt>
                <c:pt idx="39">
                  <c:v>0.84577975721499044</c:v>
                </c:pt>
                <c:pt idx="40">
                  <c:v>0.84565238368068862</c:v>
                </c:pt>
                <c:pt idx="41">
                  <c:v>0.84552502932870599</c:v>
                </c:pt>
                <c:pt idx="42">
                  <c:v>0.84539769415615373</c:v>
                </c:pt>
                <c:pt idx="43">
                  <c:v>0.84527037816014339</c:v>
                </c:pt>
                <c:pt idx="44">
                  <c:v>0.84514308133778693</c:v>
                </c:pt>
                <c:pt idx="45">
                  <c:v>0.84501580368619689</c:v>
                </c:pt>
                <c:pt idx="46">
                  <c:v>0.84488854520248624</c:v>
                </c:pt>
                <c:pt idx="47">
                  <c:v>0.84476130588376819</c:v>
                </c:pt>
                <c:pt idx="48">
                  <c:v>0.84463408572715659</c:v>
                </c:pt>
                <c:pt idx="49">
                  <c:v>0.84450688472976565</c:v>
                </c:pt>
                <c:pt idx="50">
                  <c:v>0.84437970288871</c:v>
                </c:pt>
                <c:pt idx="51">
                  <c:v>0.84424211892323731</c:v>
                </c:pt>
                <c:pt idx="52">
                  <c:v>0.84410455737581602</c:v>
                </c:pt>
                <c:pt idx="53">
                  <c:v>0.8439670182427933</c:v>
                </c:pt>
                <c:pt idx="54">
                  <c:v>0.84382950152051683</c:v>
                </c:pt>
                <c:pt idx="55">
                  <c:v>0.8436920072053351</c:v>
                </c:pt>
                <c:pt idx="56">
                  <c:v>0.84355453529359703</c:v>
                </c:pt>
                <c:pt idx="57">
                  <c:v>0.8434170857816522</c:v>
                </c:pt>
                <c:pt idx="58">
                  <c:v>0.84327965866585075</c:v>
                </c:pt>
                <c:pt idx="59">
                  <c:v>0.8431422539425435</c:v>
                </c:pt>
                <c:pt idx="60">
                  <c:v>0.84300487160808169</c:v>
                </c:pt>
                <c:pt idx="61">
                  <c:v>0.84286751165881735</c:v>
                </c:pt>
              </c:numCache>
            </c:numRef>
          </c:val>
          <c:smooth val="0"/>
          <c:extLst>
            <c:ext xmlns:c16="http://schemas.microsoft.com/office/drawing/2014/chart" uri="{C3380CC4-5D6E-409C-BE32-E72D297353CC}">
              <c16:uniqueId val="{00000005-8FCE-4436-8FDE-C554E95D12D3}"/>
            </c:ext>
          </c:extLst>
        </c:ser>
        <c:ser>
          <c:idx val="3"/>
          <c:order val="6"/>
          <c:tx>
            <c:v>BSC Death</c:v>
          </c:tx>
          <c:spPr>
            <a:ln w="28575" cap="rnd">
              <a:solidFill>
                <a:srgbClr val="FF0000"/>
              </a:solidFill>
              <a:prstDash val="sysDot"/>
              <a:round/>
            </a:ln>
            <a:effectLst/>
          </c:spPr>
          <c:marker>
            <c:symbol val="none"/>
          </c:marker>
          <c:cat>
            <c:numRef>
              <c:f>'Calc - tx1'!$F$6:$F$67</c:f>
              <c:numCache>
                <c:formatCode>0.00</c:formatCode>
                <c:ptCount val="62"/>
                <c:pt idx="0">
                  <c:v>0</c:v>
                </c:pt>
                <c:pt idx="1">
                  <c:v>8.2135523613963035E-2</c:v>
                </c:pt>
                <c:pt idx="2">
                  <c:v>0.16427104722792607</c:v>
                </c:pt>
                <c:pt idx="3">
                  <c:v>0.24640657084188911</c:v>
                </c:pt>
                <c:pt idx="4">
                  <c:v>0.32854209445585214</c:v>
                </c:pt>
                <c:pt idx="5">
                  <c:v>0.41067761806981518</c:v>
                </c:pt>
                <c:pt idx="6">
                  <c:v>0.49281314168377821</c:v>
                </c:pt>
                <c:pt idx="7">
                  <c:v>0.57494866529774125</c:v>
                </c:pt>
                <c:pt idx="8">
                  <c:v>0.65708418891170428</c:v>
                </c:pt>
                <c:pt idx="9">
                  <c:v>0.73921971252566732</c:v>
                </c:pt>
                <c:pt idx="10">
                  <c:v>0.82135523613963035</c:v>
                </c:pt>
                <c:pt idx="11">
                  <c:v>0.90349075975359339</c:v>
                </c:pt>
                <c:pt idx="12">
                  <c:v>0.98562628336755642</c:v>
                </c:pt>
                <c:pt idx="13">
                  <c:v>1.0677618069815196</c:v>
                </c:pt>
                <c:pt idx="14">
                  <c:v>1.1498973305954825</c:v>
                </c:pt>
                <c:pt idx="15">
                  <c:v>1.2320328542094456</c:v>
                </c:pt>
                <c:pt idx="16">
                  <c:v>1.3141683778234086</c:v>
                </c:pt>
                <c:pt idx="17">
                  <c:v>1.3963039014373717</c:v>
                </c:pt>
                <c:pt idx="18">
                  <c:v>1.4784394250513346</c:v>
                </c:pt>
                <c:pt idx="19">
                  <c:v>1.5605749486652978</c:v>
                </c:pt>
                <c:pt idx="20">
                  <c:v>1.6427104722792607</c:v>
                </c:pt>
                <c:pt idx="21">
                  <c:v>1.7248459958932238</c:v>
                </c:pt>
                <c:pt idx="22">
                  <c:v>1.8069815195071868</c:v>
                </c:pt>
                <c:pt idx="23">
                  <c:v>1.8891170431211499</c:v>
                </c:pt>
                <c:pt idx="24">
                  <c:v>1.9712525667351128</c:v>
                </c:pt>
                <c:pt idx="25">
                  <c:v>2.0533880903490758</c:v>
                </c:pt>
                <c:pt idx="26">
                  <c:v>2.1355236139630391</c:v>
                </c:pt>
                <c:pt idx="27">
                  <c:v>2.2176591375770021</c:v>
                </c:pt>
                <c:pt idx="28">
                  <c:v>2.299794661190965</c:v>
                </c:pt>
                <c:pt idx="29">
                  <c:v>2.3819301848049284</c:v>
                </c:pt>
                <c:pt idx="30">
                  <c:v>2.4640657084188913</c:v>
                </c:pt>
                <c:pt idx="31">
                  <c:v>2.5462012320328542</c:v>
                </c:pt>
                <c:pt idx="32">
                  <c:v>2.6283367556468171</c:v>
                </c:pt>
                <c:pt idx="33">
                  <c:v>2.7104722792607805</c:v>
                </c:pt>
                <c:pt idx="34">
                  <c:v>2.7926078028747434</c:v>
                </c:pt>
                <c:pt idx="35">
                  <c:v>2.8747433264887063</c:v>
                </c:pt>
                <c:pt idx="36">
                  <c:v>2.9568788501026693</c:v>
                </c:pt>
                <c:pt idx="37">
                  <c:v>3.0390143737166326</c:v>
                </c:pt>
                <c:pt idx="38">
                  <c:v>3.1211498973305956</c:v>
                </c:pt>
                <c:pt idx="39">
                  <c:v>3.2032854209445585</c:v>
                </c:pt>
                <c:pt idx="40">
                  <c:v>3.2854209445585214</c:v>
                </c:pt>
                <c:pt idx="41">
                  <c:v>3.3675564681724848</c:v>
                </c:pt>
                <c:pt idx="42">
                  <c:v>3.4496919917864477</c:v>
                </c:pt>
                <c:pt idx="43">
                  <c:v>3.5318275154004106</c:v>
                </c:pt>
                <c:pt idx="44">
                  <c:v>3.6139630390143735</c:v>
                </c:pt>
                <c:pt idx="45">
                  <c:v>3.6960985626283369</c:v>
                </c:pt>
                <c:pt idx="46">
                  <c:v>3.7782340862422998</c:v>
                </c:pt>
                <c:pt idx="47">
                  <c:v>3.8603696098562628</c:v>
                </c:pt>
                <c:pt idx="48">
                  <c:v>3.9425051334702257</c:v>
                </c:pt>
                <c:pt idx="49">
                  <c:v>4.0246406570841886</c:v>
                </c:pt>
                <c:pt idx="50">
                  <c:v>4.1067761806981515</c:v>
                </c:pt>
                <c:pt idx="51">
                  <c:v>4.1889117043121153</c:v>
                </c:pt>
                <c:pt idx="52">
                  <c:v>4.2710472279260783</c:v>
                </c:pt>
                <c:pt idx="53">
                  <c:v>4.3531827515400412</c:v>
                </c:pt>
                <c:pt idx="54">
                  <c:v>4.4353182751540041</c:v>
                </c:pt>
                <c:pt idx="55">
                  <c:v>4.517453798767967</c:v>
                </c:pt>
                <c:pt idx="56">
                  <c:v>4.59958932238193</c:v>
                </c:pt>
                <c:pt idx="57">
                  <c:v>4.6817248459958929</c:v>
                </c:pt>
                <c:pt idx="58">
                  <c:v>4.7638603696098567</c:v>
                </c:pt>
                <c:pt idx="59">
                  <c:v>4.8459958932238196</c:v>
                </c:pt>
                <c:pt idx="60">
                  <c:v>4.9281314168377826</c:v>
                </c:pt>
                <c:pt idx="61">
                  <c:v>5.0102669404517455</c:v>
                </c:pt>
              </c:numCache>
            </c:numRef>
          </c:cat>
          <c:val>
            <c:numRef>
              <c:f>'Calc - tx2'!$N$6:$N$67</c:f>
              <c:numCache>
                <c:formatCode>0.00</c:formatCode>
                <c:ptCount val="62"/>
                <c:pt idx="0">
                  <c:v>0</c:v>
                </c:pt>
                <c:pt idx="1">
                  <c:v>1.0914250951532534E-4</c:v>
                </c:pt>
                <c:pt idx="2">
                  <c:v>2.1827310694326737E-4</c:v>
                </c:pt>
                <c:pt idx="3">
                  <c:v>3.3610730688622215E-4</c:v>
                </c:pt>
                <c:pt idx="4">
                  <c:v>4.539276188991391E-4</c:v>
                </c:pt>
                <c:pt idx="5">
                  <c:v>5.7173404461884861E-4</c:v>
                </c:pt>
                <c:pt idx="6">
                  <c:v>6.8952658568198814E-4</c:v>
                </c:pt>
                <c:pt idx="7">
                  <c:v>8.0730524372500233E-4</c:v>
                </c:pt>
                <c:pt idx="8">
                  <c:v>9.2507002038414289E-4</c:v>
                </c:pt>
                <c:pt idx="9">
                  <c:v>1.0428209172954686E-3</c:v>
                </c:pt>
                <c:pt idx="10">
                  <c:v>1.1605579360948457E-3</c:v>
                </c:pt>
                <c:pt idx="11">
                  <c:v>1.2782810784179473E-3</c:v>
                </c:pt>
                <c:pt idx="12">
                  <c:v>1.3959903459002539E-3</c:v>
                </c:pt>
                <c:pt idx="13">
                  <c:v>1.5136857401770532E-3</c:v>
                </c:pt>
                <c:pt idx="14">
                  <c:v>1.6313672628834402E-3</c:v>
                </c:pt>
                <c:pt idx="15">
                  <c:v>1.758888612414568E-3</c:v>
                </c:pt>
                <c:pt idx="16">
                  <c:v>1.8863936736789643E-3</c:v>
                </c:pt>
                <c:pt idx="17">
                  <c:v>2.013882448757125E-3</c:v>
                </c:pt>
                <c:pt idx="18">
                  <c:v>2.1413549397292803E-3</c:v>
                </c:pt>
                <c:pt idx="19">
                  <c:v>2.2688111486753944E-3</c:v>
                </c:pt>
                <c:pt idx="20">
                  <c:v>2.3962510776751661E-3</c:v>
                </c:pt>
                <c:pt idx="21">
                  <c:v>2.5236747288080283E-3</c:v>
                </c:pt>
                <c:pt idx="22">
                  <c:v>2.6510821041531487E-3</c:v>
                </c:pt>
                <c:pt idx="23">
                  <c:v>2.778473205789429E-3</c:v>
                </c:pt>
                <c:pt idx="24">
                  <c:v>2.9058480357955054E-3</c:v>
                </c:pt>
                <c:pt idx="25">
                  <c:v>3.0332065962497493E-3</c:v>
                </c:pt>
                <c:pt idx="26">
                  <c:v>3.1605488892302654E-3</c:v>
                </c:pt>
                <c:pt idx="27">
                  <c:v>3.2985346293914817E-3</c:v>
                </c:pt>
                <c:pt idx="28">
                  <c:v>3.4365012691203599E-3</c:v>
                </c:pt>
                <c:pt idx="29">
                  <c:v>3.5744488110608435E-3</c:v>
                </c:pt>
                <c:pt idx="30">
                  <c:v>3.7123772578565102E-3</c:v>
                </c:pt>
                <c:pt idx="31">
                  <c:v>3.8502866121505721E-3</c:v>
                </c:pt>
                <c:pt idx="32">
                  <c:v>3.9881768765858746E-3</c:v>
                </c:pt>
                <c:pt idx="33">
                  <c:v>4.1260480538048974E-3</c:v>
                </c:pt>
                <c:pt idx="34">
                  <c:v>4.2639001464497553E-3</c:v>
                </c:pt>
                <c:pt idx="35">
                  <c:v>4.4017331571621961E-3</c:v>
                </c:pt>
                <c:pt idx="36">
                  <c:v>4.5395470885836037E-3</c:v>
                </c:pt>
                <c:pt idx="37">
                  <c:v>4.6773419433549946E-3</c:v>
                </c:pt>
                <c:pt idx="38">
                  <c:v>4.8151177241170205E-3</c:v>
                </c:pt>
                <c:pt idx="39">
                  <c:v>4.9649915117760774E-3</c:v>
                </c:pt>
                <c:pt idx="40">
                  <c:v>5.1148427286016873E-3</c:v>
                </c:pt>
                <c:pt idx="41">
                  <c:v>5.2646713779929931E-3</c:v>
                </c:pt>
                <c:pt idx="42">
                  <c:v>5.4144774633486268E-3</c:v>
                </c:pt>
                <c:pt idx="43">
                  <c:v>5.564260988066708E-3</c:v>
                </c:pt>
                <c:pt idx="44">
                  <c:v>5.7140219555448452E-3</c:v>
                </c:pt>
                <c:pt idx="45">
                  <c:v>5.8637603691801344E-3</c:v>
                </c:pt>
                <c:pt idx="46">
                  <c:v>6.0134762323691606E-3</c:v>
                </c:pt>
                <c:pt idx="47">
                  <c:v>6.1631695485079973E-3</c:v>
                </c:pt>
                <c:pt idx="48">
                  <c:v>6.312840320992206E-3</c:v>
                </c:pt>
                <c:pt idx="49">
                  <c:v>6.4624885532168367E-3</c:v>
                </c:pt>
                <c:pt idx="50">
                  <c:v>6.6121142485764291E-3</c:v>
                </c:pt>
                <c:pt idx="51">
                  <c:v>6.7739777373678183E-3</c:v>
                </c:pt>
                <c:pt idx="52">
                  <c:v>6.9358148519811256E-3</c:v>
                </c:pt>
                <c:pt idx="53">
                  <c:v>7.0976255967137815E-3</c:v>
                </c:pt>
                <c:pt idx="54">
                  <c:v>7.2594099758625181E-3</c:v>
                </c:pt>
                <c:pt idx="55">
                  <c:v>7.4211679937233668E-3</c:v>
                </c:pt>
                <c:pt idx="56">
                  <c:v>7.5828996545916584E-3</c:v>
                </c:pt>
                <c:pt idx="57">
                  <c:v>7.7446049627620242E-3</c:v>
                </c:pt>
                <c:pt idx="58">
                  <c:v>7.9062839225283957E-3</c:v>
                </c:pt>
                <c:pt idx="59">
                  <c:v>8.0679365381840056E-3</c:v>
                </c:pt>
                <c:pt idx="60">
                  <c:v>8.229562814021386E-3</c:v>
                </c:pt>
                <c:pt idx="61">
                  <c:v>8.3911627543323698E-3</c:v>
                </c:pt>
              </c:numCache>
            </c:numRef>
          </c:val>
          <c:smooth val="0"/>
          <c:extLst>
            <c:ext xmlns:c16="http://schemas.microsoft.com/office/drawing/2014/chart" uri="{C3380CC4-5D6E-409C-BE32-E72D297353CC}">
              <c16:uniqueId val="{00000006-8FCE-4436-8FDE-C554E95D12D3}"/>
            </c:ext>
          </c:extLst>
        </c:ser>
        <c:dLbls>
          <c:showLegendKey val="0"/>
          <c:showVal val="0"/>
          <c:showCatName val="0"/>
          <c:showSerName val="0"/>
          <c:showPercent val="0"/>
          <c:showBubbleSize val="0"/>
        </c:dLbls>
        <c:smooth val="0"/>
        <c:axId val="831988632"/>
        <c:axId val="831988960"/>
      </c:lineChart>
      <c:catAx>
        <c:axId val="8319886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Arial Narrow" panose="020B0606020202030204" pitchFamily="34" charset="0"/>
                  </a:rPr>
                  <a:t>Time (years)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831988960"/>
        <c:crosses val="autoZero"/>
        <c:auto val="0"/>
        <c:lblAlgn val="ctr"/>
        <c:lblOffset val="100"/>
        <c:tickLblSkip val="10"/>
        <c:tickMarkSkip val="2"/>
        <c:noMultiLvlLbl val="0"/>
      </c:catAx>
      <c:valAx>
        <c:axId val="83198896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latin typeface="Arial Narrow" panose="020B0606020202030204" pitchFamily="34" charset="0"/>
                  </a:rPr>
                  <a:t>Proportion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831988632"/>
        <c:crossesAt val="1"/>
        <c:crossBetween val="midCat"/>
      </c:valAx>
      <c:spPr>
        <a:noFill/>
        <a:ln>
          <a:noFill/>
        </a:ln>
        <a:effectLst/>
      </c:spPr>
    </c:plotArea>
    <c:legend>
      <c:legendPos val="b"/>
      <c:layout>
        <c:manualLayout>
          <c:xMode val="edge"/>
          <c:yMode val="edge"/>
          <c:x val="4.4435687964739408E-2"/>
          <c:y val="0.86523685694022656"/>
          <c:w val="0.90463494825051161"/>
          <c:h val="0.1070495171937226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1647E-0CF7-4138-B932-2D6ADED0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13596</Words>
  <Characters>77503</Characters>
  <Application>Microsoft Office Word</Application>
  <DocSecurity>0</DocSecurity>
  <Lines>645</Lines>
  <Paragraphs>181</Paragraphs>
  <ScaleCrop>false</ScaleCrop>
  <Company/>
  <LinksUpToDate>false</LinksUpToDate>
  <CharactersWithSpaces>90918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2022-06-25T05:38:00Z</dcterms:created>
  <dcterms:modified xsi:type="dcterms:W3CDTF">2022-06-25T05:39:00Z</dcterms:modified>
</cp:coreProperties>
</file>