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49518" w14:textId="770576DA" w:rsidR="00DD6724" w:rsidRDefault="00E228B5" w:rsidP="00DD6724">
      <w:pPr>
        <w:pStyle w:val="1MainTitle"/>
        <w:jc w:val="left"/>
      </w:pPr>
      <w:r>
        <w:t>6.12</w:t>
      </w:r>
      <w:r w:rsidR="00401DAF">
        <w:t xml:space="preserve"> </w:t>
      </w:r>
      <w:r w:rsidR="002A0C1A">
        <w:t>FREMANEZUMAB</w:t>
      </w:r>
      <w:r w:rsidR="002A0C1A">
        <w:br/>
      </w:r>
      <w:bookmarkStart w:id="0" w:name="_Hlk94521588"/>
      <w:bookmarkStart w:id="1" w:name="_Hlk94522150"/>
      <w:r w:rsidR="001A6B99">
        <w:t>I</w:t>
      </w:r>
      <w:r w:rsidR="008C5994" w:rsidRPr="008C5994">
        <w:t>njection 225 mg in 1.5 mL pre-filled syringe</w:t>
      </w:r>
      <w:bookmarkEnd w:id="0"/>
      <w:r w:rsidR="008C5994">
        <w:t>,</w:t>
      </w:r>
    </w:p>
    <w:bookmarkEnd w:id="1"/>
    <w:p w14:paraId="0B97EADF" w14:textId="1F58D370" w:rsidR="00DD6724" w:rsidRDefault="002A0C1A" w:rsidP="00C86C58">
      <w:pPr>
        <w:pStyle w:val="1MainTitle"/>
        <w:ind w:left="1440"/>
        <w:jc w:val="left"/>
        <w:outlineLvl w:val="9"/>
      </w:pPr>
      <w:proofErr w:type="spellStart"/>
      <w:r>
        <w:t>Ajovy</w:t>
      </w:r>
      <w:proofErr w:type="spellEnd"/>
      <w:r>
        <w:t>®,</w:t>
      </w:r>
    </w:p>
    <w:p w14:paraId="081B6743" w14:textId="0D6828AB" w:rsidR="00446F58" w:rsidRPr="00F010F3" w:rsidRDefault="002A0C1A" w:rsidP="00F010F3">
      <w:pPr>
        <w:pStyle w:val="1MainTitle"/>
        <w:ind w:left="1440"/>
        <w:jc w:val="left"/>
        <w:outlineLvl w:val="9"/>
      </w:pPr>
      <w:r>
        <w:t xml:space="preserve">Teva Pharma Australia Pty Ltd </w:t>
      </w:r>
    </w:p>
    <w:p w14:paraId="0B907A70" w14:textId="3A76A17A" w:rsidR="002A0C1A" w:rsidRPr="00E11F44" w:rsidRDefault="002A0C1A" w:rsidP="0000681A">
      <w:pPr>
        <w:pStyle w:val="2-SectionHeading"/>
        <w:jc w:val="both"/>
        <w:rPr>
          <w:rFonts w:cstheme="minorHAnsi"/>
          <w:color w:val="FF0000"/>
        </w:rPr>
      </w:pPr>
      <w:r w:rsidRPr="0033263D">
        <w:t xml:space="preserve">Purpose of </w:t>
      </w:r>
      <w:r>
        <w:t xml:space="preserve">Submission </w:t>
      </w:r>
    </w:p>
    <w:p w14:paraId="0B8B2DEE" w14:textId="3D5F1968" w:rsidR="00515048" w:rsidRPr="00515048" w:rsidRDefault="00515048" w:rsidP="00517E61">
      <w:pPr>
        <w:pStyle w:val="3Bodytext"/>
        <w:jc w:val="both"/>
        <w:rPr>
          <w:rFonts w:cstheme="minorHAnsi"/>
          <w:szCs w:val="24"/>
        </w:rPr>
      </w:pPr>
      <w:bookmarkStart w:id="2" w:name="_Hlk94715243"/>
      <w:r w:rsidRPr="000D4565">
        <w:rPr>
          <w:rFonts w:cstheme="minorHAnsi"/>
          <w:szCs w:val="24"/>
        </w:rPr>
        <w:t xml:space="preserve">The Category 4 submission requested </w:t>
      </w:r>
      <w:r w:rsidR="00670EB4">
        <w:rPr>
          <w:rFonts w:cstheme="minorHAnsi"/>
          <w:szCs w:val="24"/>
        </w:rPr>
        <w:t xml:space="preserve">a new </w:t>
      </w:r>
      <w:r w:rsidRPr="000D4565">
        <w:rPr>
          <w:rFonts w:cstheme="minorHAnsi"/>
          <w:szCs w:val="24"/>
        </w:rPr>
        <w:t xml:space="preserve">listing </w:t>
      </w:r>
      <w:r w:rsidR="00670EB4">
        <w:rPr>
          <w:rFonts w:cstheme="minorHAnsi"/>
          <w:szCs w:val="24"/>
        </w:rPr>
        <w:t xml:space="preserve">of </w:t>
      </w:r>
      <w:r w:rsidRPr="000D4565">
        <w:rPr>
          <w:rFonts w:cstheme="minorHAnsi"/>
        </w:rPr>
        <w:t>f</w:t>
      </w:r>
      <w:r w:rsidRPr="000D4565">
        <w:rPr>
          <w:rFonts w:cstheme="minorHAnsi"/>
          <w:szCs w:val="24"/>
        </w:rPr>
        <w:t xml:space="preserve">remanezumab </w:t>
      </w:r>
      <w:r w:rsidR="00E15D51">
        <w:rPr>
          <w:rFonts w:cstheme="minorHAnsi"/>
          <w:szCs w:val="24"/>
        </w:rPr>
        <w:t xml:space="preserve">225 mg pre-filled syringe (PFS) </w:t>
      </w:r>
      <w:r w:rsidRPr="000D4565">
        <w:rPr>
          <w:rFonts w:cstheme="minorHAnsi"/>
          <w:szCs w:val="24"/>
        </w:rPr>
        <w:t>to</w:t>
      </w:r>
      <w:r w:rsidR="00237AD0">
        <w:rPr>
          <w:rFonts w:cstheme="minorHAnsi"/>
          <w:szCs w:val="24"/>
        </w:rPr>
        <w:t xml:space="preserve"> provide</w:t>
      </w:r>
      <w:bookmarkStart w:id="3" w:name="_Hlk95472198"/>
      <w:r w:rsidR="00237AD0">
        <w:rPr>
          <w:rFonts w:cstheme="minorHAnsi"/>
          <w:szCs w:val="24"/>
        </w:rPr>
        <w:t xml:space="preserve"> a </w:t>
      </w:r>
      <w:r w:rsidR="000C4F6F">
        <w:rPr>
          <w:rFonts w:cstheme="minorHAnsi"/>
          <w:szCs w:val="24"/>
        </w:rPr>
        <w:t>quarterly</w:t>
      </w:r>
      <w:r w:rsidR="00237AD0">
        <w:rPr>
          <w:rFonts w:cstheme="minorHAnsi"/>
          <w:szCs w:val="24"/>
        </w:rPr>
        <w:t xml:space="preserve"> </w:t>
      </w:r>
      <w:r w:rsidRPr="000D4565">
        <w:rPr>
          <w:rFonts w:cstheme="minorHAnsi"/>
          <w:szCs w:val="24"/>
        </w:rPr>
        <w:t>dosing</w:t>
      </w:r>
      <w:r w:rsidR="00237AD0">
        <w:rPr>
          <w:rFonts w:cstheme="minorHAnsi"/>
          <w:szCs w:val="24"/>
        </w:rPr>
        <w:t xml:space="preserve"> regimen</w:t>
      </w:r>
      <w:r w:rsidR="00876E72">
        <w:rPr>
          <w:rFonts w:cstheme="minorHAnsi"/>
          <w:szCs w:val="24"/>
        </w:rPr>
        <w:t>,</w:t>
      </w:r>
      <w:r w:rsidR="00237AD0">
        <w:rPr>
          <w:rFonts w:cstheme="minorHAnsi"/>
          <w:szCs w:val="24"/>
        </w:rPr>
        <w:t xml:space="preserve"> </w:t>
      </w:r>
      <w:r w:rsidR="000C4F6F">
        <w:rPr>
          <w:rFonts w:cstheme="minorHAnsi"/>
          <w:szCs w:val="24"/>
        </w:rPr>
        <w:t xml:space="preserve">in addition to the </w:t>
      </w:r>
      <w:r w:rsidR="00670EB4">
        <w:rPr>
          <w:rFonts w:cstheme="minorHAnsi"/>
          <w:szCs w:val="24"/>
        </w:rPr>
        <w:t xml:space="preserve">existing </w:t>
      </w:r>
      <w:r w:rsidR="00F5372F">
        <w:rPr>
          <w:rFonts w:cstheme="minorHAnsi"/>
          <w:szCs w:val="24"/>
        </w:rPr>
        <w:t>PBS</w:t>
      </w:r>
      <w:r w:rsidR="00C642C9">
        <w:rPr>
          <w:rFonts w:cstheme="minorHAnsi"/>
          <w:szCs w:val="24"/>
        </w:rPr>
        <w:noBreakHyphen/>
      </w:r>
      <w:r w:rsidR="00F5372F">
        <w:rPr>
          <w:rFonts w:cstheme="minorHAnsi"/>
          <w:szCs w:val="24"/>
        </w:rPr>
        <w:t xml:space="preserve">listed </w:t>
      </w:r>
      <w:r w:rsidR="00670EB4">
        <w:rPr>
          <w:rFonts w:cstheme="minorHAnsi"/>
          <w:szCs w:val="24"/>
        </w:rPr>
        <w:t xml:space="preserve">fremanezumab 225 mg PFS </w:t>
      </w:r>
      <w:r w:rsidR="000C4F6F">
        <w:rPr>
          <w:rFonts w:cstheme="minorHAnsi"/>
          <w:szCs w:val="24"/>
        </w:rPr>
        <w:t>monthly dosing regimen</w:t>
      </w:r>
      <w:r w:rsidR="00876E72">
        <w:rPr>
          <w:rFonts w:cstheme="minorHAnsi"/>
          <w:szCs w:val="24"/>
        </w:rPr>
        <w:t>, for the continuing treatment of chronic migraine</w:t>
      </w:r>
      <w:r w:rsidR="00876E72" w:rsidRPr="000D4565">
        <w:rPr>
          <w:rFonts w:cstheme="minorHAnsi"/>
          <w:szCs w:val="24"/>
        </w:rPr>
        <w:t xml:space="preserve"> </w:t>
      </w:r>
      <w:r w:rsidR="00876E72">
        <w:rPr>
          <w:rFonts w:cstheme="minorHAnsi"/>
          <w:szCs w:val="24"/>
        </w:rPr>
        <w:t>(</w:t>
      </w:r>
      <w:r w:rsidR="00876E72" w:rsidRPr="006839AB">
        <w:rPr>
          <w:rFonts w:cstheme="minorHAnsi"/>
          <w:szCs w:val="24"/>
        </w:rPr>
        <w:t>CM</w:t>
      </w:r>
      <w:r w:rsidR="00876E72">
        <w:rPr>
          <w:rFonts w:cstheme="minorHAnsi"/>
          <w:szCs w:val="24"/>
        </w:rPr>
        <w:t>)</w:t>
      </w:r>
      <w:r w:rsidR="009A1A80">
        <w:rPr>
          <w:rFonts w:cstheme="minorHAnsi"/>
          <w:szCs w:val="24"/>
        </w:rPr>
        <w:t xml:space="preserve">. </w:t>
      </w:r>
    </w:p>
    <w:bookmarkEnd w:id="2"/>
    <w:bookmarkEnd w:id="3"/>
    <w:p w14:paraId="0B29332B" w14:textId="45F4CD49" w:rsidR="009C4662" w:rsidRPr="009C4662" w:rsidRDefault="002A0C1A" w:rsidP="00CF5CF2">
      <w:pPr>
        <w:pStyle w:val="2-SectionHeading"/>
      </w:pPr>
      <w:r w:rsidRPr="009E2E8E">
        <w:t>Background</w:t>
      </w:r>
      <w:r>
        <w:t xml:space="preserve"> </w:t>
      </w:r>
    </w:p>
    <w:p w14:paraId="16F6F240" w14:textId="409016EC" w:rsidR="000C4F6F" w:rsidRPr="00F010F3" w:rsidRDefault="000C4F6F" w:rsidP="000C4F6F">
      <w:pPr>
        <w:pStyle w:val="4-SubsectionHeading"/>
      </w:pPr>
      <w:r w:rsidRPr="00F010F3">
        <w:t>Registration status</w:t>
      </w:r>
    </w:p>
    <w:p w14:paraId="1AB85193" w14:textId="27323A9B" w:rsidR="000C4F6F" w:rsidRDefault="000C4F6F" w:rsidP="000C4F6F">
      <w:pPr>
        <w:pStyle w:val="3Bodytext"/>
        <w:jc w:val="both"/>
      </w:pPr>
      <w:r w:rsidRPr="00963A9E">
        <w:t>Fremanezumab PFS</w:t>
      </w:r>
      <w:r>
        <w:t xml:space="preserve"> </w:t>
      </w:r>
      <w:r w:rsidR="0031492D">
        <w:t>was</w:t>
      </w:r>
      <w:r>
        <w:t xml:space="preserve"> </w:t>
      </w:r>
      <w:r w:rsidRPr="00963A9E">
        <w:t>registered</w:t>
      </w:r>
      <w:r>
        <w:t xml:space="preserve"> on</w:t>
      </w:r>
      <w:r w:rsidRPr="00963A9E">
        <w:t xml:space="preserve"> the </w:t>
      </w:r>
      <w:r>
        <w:t xml:space="preserve">Australian Register of Therapeutic Goods (ARTG) </w:t>
      </w:r>
      <w:r w:rsidRPr="00963A9E">
        <w:t>on 2 September 2019</w:t>
      </w:r>
      <w:r>
        <w:t xml:space="preserve"> for </w:t>
      </w:r>
      <w:r w:rsidRPr="00963A9E">
        <w:t xml:space="preserve">the </w:t>
      </w:r>
      <w:r w:rsidR="00F32F43">
        <w:t>‘</w:t>
      </w:r>
      <w:r w:rsidRPr="00963A9E">
        <w:t xml:space="preserve">preventative treatment of migraine in </w:t>
      </w:r>
      <w:proofErr w:type="gramStart"/>
      <w:r w:rsidRPr="00963A9E">
        <w:t>adults</w:t>
      </w:r>
      <w:r w:rsidR="00F32F43">
        <w:t>’</w:t>
      </w:r>
      <w:proofErr w:type="gramEnd"/>
      <w:r w:rsidRPr="00963A9E">
        <w:t xml:space="preserve">. </w:t>
      </w:r>
      <w:r w:rsidRPr="008B102F">
        <w:t>The</w:t>
      </w:r>
      <w:r>
        <w:t xml:space="preserve"> </w:t>
      </w:r>
      <w:r w:rsidRPr="008B102F">
        <w:t xml:space="preserve">recommended dose is 225 mg monthly or 675 mg every </w:t>
      </w:r>
      <w:r w:rsidR="00F32F43">
        <w:t>3</w:t>
      </w:r>
      <w:r w:rsidR="00F32F43" w:rsidRPr="008B102F">
        <w:t xml:space="preserve"> </w:t>
      </w:r>
      <w:r w:rsidRPr="008B102F">
        <w:t>months (quarterly) by subcutaneous injection.</w:t>
      </w:r>
      <w:r w:rsidR="00BE273E">
        <w:t xml:space="preserve"> </w:t>
      </w:r>
    </w:p>
    <w:p w14:paraId="7DA95377" w14:textId="77777777" w:rsidR="00FD07CA" w:rsidRPr="00F010F3" w:rsidRDefault="00FD07CA" w:rsidP="00FD07CA">
      <w:pPr>
        <w:pStyle w:val="4-SubsectionHeading"/>
      </w:pPr>
      <w:r w:rsidRPr="00F010F3">
        <w:t xml:space="preserve">Previous PBAC consideration </w:t>
      </w:r>
    </w:p>
    <w:p w14:paraId="35413CEF" w14:textId="0D071947" w:rsidR="00350A5D" w:rsidRPr="00BD7C2E" w:rsidRDefault="00165D96" w:rsidP="00CF5CF2">
      <w:pPr>
        <w:pStyle w:val="3-BodyText"/>
        <w:numPr>
          <w:ilvl w:val="1"/>
          <w:numId w:val="2"/>
        </w:numPr>
        <w:rPr>
          <w:rFonts w:cstheme="minorHAnsi"/>
          <w:szCs w:val="24"/>
        </w:rPr>
      </w:pPr>
      <w:r w:rsidRPr="00BD7C2E">
        <w:rPr>
          <w:rFonts w:cstheme="minorHAnsi"/>
          <w:szCs w:val="24"/>
        </w:rPr>
        <w:t xml:space="preserve">In </w:t>
      </w:r>
      <w:r w:rsidR="00350A5D" w:rsidRPr="00BD7C2E">
        <w:rPr>
          <w:rFonts w:cstheme="minorHAnsi"/>
          <w:szCs w:val="24"/>
        </w:rPr>
        <w:t xml:space="preserve">November 2019, the </w:t>
      </w:r>
      <w:r w:rsidR="00F32F43">
        <w:rPr>
          <w:rFonts w:cstheme="minorHAnsi"/>
          <w:szCs w:val="24"/>
        </w:rPr>
        <w:t>Pharmaceutical Benefits Advisory Committee (</w:t>
      </w:r>
      <w:r w:rsidR="00350A5D" w:rsidRPr="00BD7C2E">
        <w:rPr>
          <w:rFonts w:cstheme="minorHAnsi"/>
          <w:szCs w:val="24"/>
        </w:rPr>
        <w:t>PBAC</w:t>
      </w:r>
      <w:r w:rsidR="00F32F43">
        <w:rPr>
          <w:rFonts w:cstheme="minorHAnsi"/>
          <w:szCs w:val="24"/>
        </w:rPr>
        <w:t>)</w:t>
      </w:r>
      <w:r w:rsidR="00350A5D" w:rsidRPr="00BD7C2E">
        <w:rPr>
          <w:rFonts w:cstheme="minorHAnsi"/>
          <w:szCs w:val="24"/>
        </w:rPr>
        <w:t xml:space="preserve"> </w:t>
      </w:r>
      <w:r w:rsidR="0077168F" w:rsidRPr="00BD7C2E">
        <w:rPr>
          <w:rFonts w:cstheme="minorHAnsi"/>
          <w:szCs w:val="24"/>
        </w:rPr>
        <w:t>considered the initial submission</w:t>
      </w:r>
      <w:r w:rsidR="00350A5D" w:rsidRPr="00BD7C2E">
        <w:rPr>
          <w:rFonts w:cstheme="minorHAnsi"/>
          <w:szCs w:val="24"/>
        </w:rPr>
        <w:t xml:space="preserve"> for fremanezumab PFS quarterly and </w:t>
      </w:r>
      <w:r w:rsidR="00237AD0" w:rsidRPr="00BD7C2E">
        <w:rPr>
          <w:rFonts w:cstheme="minorHAnsi"/>
          <w:szCs w:val="24"/>
        </w:rPr>
        <w:t>fremanezumab PFS monthly</w:t>
      </w:r>
      <w:r w:rsidRPr="00BD7C2E">
        <w:rPr>
          <w:rFonts w:cstheme="minorHAnsi"/>
          <w:szCs w:val="24"/>
        </w:rPr>
        <w:t>.</w:t>
      </w:r>
      <w:r w:rsidR="000C4F6F" w:rsidRPr="00BD7C2E">
        <w:rPr>
          <w:rFonts w:cstheme="minorHAnsi"/>
          <w:szCs w:val="24"/>
        </w:rPr>
        <w:t xml:space="preserve"> </w:t>
      </w:r>
      <w:r w:rsidR="0077168F">
        <w:t xml:space="preserve">The submission nominated </w:t>
      </w:r>
      <w:r w:rsidR="0077168F" w:rsidRPr="00791B44">
        <w:t>Botox</w:t>
      </w:r>
      <w:r w:rsidR="00F32F43">
        <w:rPr>
          <w:rFonts w:cstheme="minorHAnsi"/>
        </w:rPr>
        <w:t>®</w:t>
      </w:r>
      <w:r w:rsidR="0077168F" w:rsidRPr="00791B44">
        <w:t xml:space="preserve"> and BSC </w:t>
      </w:r>
      <w:r w:rsidR="0077168F">
        <w:t xml:space="preserve">as comparators. </w:t>
      </w:r>
      <w:r w:rsidR="0077168F" w:rsidRPr="00FD5D85">
        <w:t xml:space="preserve">The </w:t>
      </w:r>
      <w:r w:rsidR="0077168F">
        <w:t xml:space="preserve">PBAC noted that </w:t>
      </w:r>
      <w:proofErr w:type="spellStart"/>
      <w:r w:rsidR="0077168F">
        <w:t>galcanezumab</w:t>
      </w:r>
      <w:proofErr w:type="spellEnd"/>
      <w:r w:rsidR="0077168F">
        <w:t xml:space="preserve"> was also a relevant comparator and</w:t>
      </w:r>
      <w:r w:rsidR="0077168F" w:rsidRPr="00FD5D85">
        <w:t xml:space="preserve"> considered the equi-effective doses to be fremanezumab 225 mg every mont</w:t>
      </w:r>
      <w:r w:rsidR="0077168F">
        <w:t xml:space="preserve">h or 675 mg </w:t>
      </w:r>
      <w:r w:rsidR="00BC7947">
        <w:t>every</w:t>
      </w:r>
      <w:r w:rsidR="0077168F">
        <w:t xml:space="preserve"> </w:t>
      </w:r>
      <w:r w:rsidR="00F32F43">
        <w:t xml:space="preserve">3 </w:t>
      </w:r>
      <w:r w:rsidR="0077168F">
        <w:t xml:space="preserve">months </w:t>
      </w:r>
      <w:r w:rsidR="0077168F" w:rsidRPr="00FD5D85">
        <w:t xml:space="preserve">and </w:t>
      </w:r>
      <w:proofErr w:type="spellStart"/>
      <w:r w:rsidR="0077168F" w:rsidRPr="00FD5D85">
        <w:t>galcanezumab</w:t>
      </w:r>
      <w:proofErr w:type="spellEnd"/>
      <w:r w:rsidR="0077168F" w:rsidRPr="00FD5D85">
        <w:t xml:space="preserve"> 240 mg initially followed by 120 mg once monthly</w:t>
      </w:r>
      <w:r w:rsidR="0077168F">
        <w:t>.</w:t>
      </w:r>
      <w:r w:rsidR="0077168F" w:rsidRPr="00FE0C81">
        <w:t xml:space="preserve"> </w:t>
      </w:r>
      <w:r w:rsidR="0077168F">
        <w:t xml:space="preserve">The PBAC advised the cost minimisation analysis (CMA) should be conducted over 2 years of treatment for both medicines. </w:t>
      </w:r>
      <w:r w:rsidR="000C4F6F" w:rsidRPr="00BD7C2E">
        <w:rPr>
          <w:rFonts w:cstheme="minorHAnsi"/>
          <w:szCs w:val="24"/>
        </w:rPr>
        <w:t>T</w:t>
      </w:r>
      <w:r w:rsidR="000C4F6F">
        <w:t xml:space="preserve">he PBAC deferred making a recommendation to address the uncertainties regarding the number of patients who would be treated and the net financial cost of listing fremanezumab on the </w:t>
      </w:r>
      <w:r w:rsidR="00F32F43">
        <w:t>Pharmaceutical Benefits Scheme (</w:t>
      </w:r>
      <w:r w:rsidR="000C4F6F">
        <w:t>PBS</w:t>
      </w:r>
      <w:r w:rsidR="00F32F43">
        <w:t>)</w:t>
      </w:r>
      <w:r w:rsidR="00240A5A">
        <w:t>.</w:t>
      </w:r>
    </w:p>
    <w:p w14:paraId="7330CE89" w14:textId="4F848B86" w:rsidR="00FD07CA" w:rsidRPr="008462C9" w:rsidRDefault="00165D96" w:rsidP="00E0616A">
      <w:pPr>
        <w:pStyle w:val="3Bodytext"/>
        <w:jc w:val="both"/>
        <w:rPr>
          <w:rFonts w:cstheme="minorHAnsi"/>
          <w:szCs w:val="24"/>
        </w:rPr>
      </w:pPr>
      <w:r>
        <w:rPr>
          <w:rFonts w:cstheme="minorHAnsi"/>
          <w:szCs w:val="24"/>
        </w:rPr>
        <w:t>In its March 2020 resubmission, t</w:t>
      </w:r>
      <w:r w:rsidRPr="00165D96">
        <w:rPr>
          <w:rFonts w:cstheme="minorHAnsi"/>
          <w:szCs w:val="24"/>
        </w:rPr>
        <w:t xml:space="preserve">he </w:t>
      </w:r>
      <w:r>
        <w:rPr>
          <w:rFonts w:cstheme="minorHAnsi"/>
          <w:szCs w:val="24"/>
        </w:rPr>
        <w:t>s</w:t>
      </w:r>
      <w:r w:rsidRPr="00165D96">
        <w:rPr>
          <w:rFonts w:cstheme="minorHAnsi"/>
          <w:szCs w:val="24"/>
        </w:rPr>
        <w:t>ponsor</w:t>
      </w:r>
      <w:r>
        <w:rPr>
          <w:rFonts w:cstheme="minorHAnsi"/>
          <w:szCs w:val="24"/>
        </w:rPr>
        <w:t xml:space="preserve"> only requested listing the monthly dosing regimen</w:t>
      </w:r>
      <w:r w:rsidR="00012942">
        <w:rPr>
          <w:rFonts w:cstheme="minorHAnsi"/>
          <w:szCs w:val="24"/>
        </w:rPr>
        <w:t>.</w:t>
      </w:r>
      <w:r>
        <w:rPr>
          <w:rFonts w:cstheme="minorHAnsi"/>
          <w:szCs w:val="24"/>
        </w:rPr>
        <w:t xml:space="preserve"> </w:t>
      </w:r>
      <w:r w:rsidR="000C4F6F">
        <w:rPr>
          <w:rFonts w:cstheme="minorHAnsi"/>
          <w:szCs w:val="24"/>
        </w:rPr>
        <w:t xml:space="preserve">The PBAC recommended listing </w:t>
      </w:r>
      <w:r w:rsidR="001E689C">
        <w:rPr>
          <w:rFonts w:cstheme="minorHAnsi"/>
          <w:szCs w:val="24"/>
        </w:rPr>
        <w:t>f</w:t>
      </w:r>
      <w:r w:rsidR="000C4F6F" w:rsidRPr="00D45245">
        <w:rPr>
          <w:rFonts w:cstheme="minorHAnsi"/>
          <w:szCs w:val="24"/>
        </w:rPr>
        <w:t xml:space="preserve">remanezumab </w:t>
      </w:r>
      <w:r w:rsidR="000C4F6F">
        <w:rPr>
          <w:rFonts w:cstheme="minorHAnsi"/>
          <w:szCs w:val="24"/>
        </w:rPr>
        <w:t xml:space="preserve">225 mg </w:t>
      </w:r>
      <w:r w:rsidR="000C4F6F" w:rsidRPr="00D45245">
        <w:rPr>
          <w:rFonts w:cstheme="minorHAnsi"/>
          <w:szCs w:val="24"/>
        </w:rPr>
        <w:t>PFS</w:t>
      </w:r>
      <w:r w:rsidR="000C4F6F">
        <w:rPr>
          <w:rFonts w:cstheme="minorHAnsi"/>
          <w:szCs w:val="24"/>
        </w:rPr>
        <w:t xml:space="preserve"> </w:t>
      </w:r>
      <w:r w:rsidR="001E689C">
        <w:rPr>
          <w:rFonts w:cstheme="minorHAnsi"/>
          <w:szCs w:val="24"/>
        </w:rPr>
        <w:t xml:space="preserve">with </w:t>
      </w:r>
      <w:r w:rsidR="000C4F6F">
        <w:rPr>
          <w:rFonts w:cstheme="minorHAnsi"/>
          <w:szCs w:val="24"/>
        </w:rPr>
        <w:t xml:space="preserve">the monthly dosing regimen in March 2020. </w:t>
      </w:r>
      <w:r w:rsidR="00B972D3">
        <w:rPr>
          <w:rFonts w:cstheme="minorHAnsi"/>
          <w:szCs w:val="24"/>
        </w:rPr>
        <w:t>Fremanezumab</w:t>
      </w:r>
      <w:r w:rsidR="00BD7C2E">
        <w:rPr>
          <w:rFonts w:cstheme="minorHAnsi"/>
          <w:szCs w:val="24"/>
        </w:rPr>
        <w:t xml:space="preserve"> was first listed on the </w:t>
      </w:r>
      <w:r w:rsidR="00F32F43">
        <w:rPr>
          <w:rFonts w:cstheme="minorHAnsi"/>
          <w:szCs w:val="24"/>
        </w:rPr>
        <w:t>Pharmaceutical Benefits Scheme (</w:t>
      </w:r>
      <w:r w:rsidR="00BD7C2E">
        <w:rPr>
          <w:rFonts w:cstheme="minorHAnsi"/>
          <w:szCs w:val="24"/>
        </w:rPr>
        <w:t>PBS</w:t>
      </w:r>
      <w:r w:rsidR="00F32F43">
        <w:rPr>
          <w:rFonts w:cstheme="minorHAnsi"/>
          <w:szCs w:val="24"/>
        </w:rPr>
        <w:t>)</w:t>
      </w:r>
      <w:r w:rsidR="00BD7C2E">
        <w:rPr>
          <w:rFonts w:cstheme="minorHAnsi"/>
          <w:szCs w:val="24"/>
        </w:rPr>
        <w:t xml:space="preserve"> </w:t>
      </w:r>
      <w:r w:rsidR="000B2F58">
        <w:rPr>
          <w:rFonts w:cstheme="minorHAnsi"/>
          <w:szCs w:val="24"/>
        </w:rPr>
        <w:t xml:space="preserve">on 1 August 2021. </w:t>
      </w:r>
      <w:r w:rsidR="00BD7C2E">
        <w:rPr>
          <w:rFonts w:cstheme="minorHAnsi"/>
          <w:szCs w:val="24"/>
        </w:rPr>
        <w:t xml:space="preserve"> </w:t>
      </w:r>
    </w:p>
    <w:p w14:paraId="5C0C4829" w14:textId="77777777" w:rsidR="002A0C1A" w:rsidRDefault="002A0C1A" w:rsidP="0000681A">
      <w:pPr>
        <w:pStyle w:val="2-SectionHeading"/>
        <w:jc w:val="both"/>
      </w:pPr>
      <w:r w:rsidRPr="009D507A">
        <w:lastRenderedPageBreak/>
        <w:t xml:space="preserve">Requested listing </w:t>
      </w:r>
    </w:p>
    <w:p w14:paraId="2E7D5D92" w14:textId="3E6CB98E" w:rsidR="00CC4FFE" w:rsidRPr="00E0207E" w:rsidRDefault="00AB00BF" w:rsidP="00240A5A">
      <w:pPr>
        <w:pStyle w:val="3Bodytext"/>
        <w:jc w:val="both"/>
      </w:pPr>
      <w:r>
        <w:t xml:space="preserve">The requested listing is shown in the table below. </w:t>
      </w:r>
      <w:r w:rsidR="00670EB4">
        <w:t xml:space="preserve">The submission requested the proposed changes be flown on to the </w:t>
      </w:r>
      <w:r w:rsidR="00670EB4">
        <w:rPr>
          <w:rFonts w:cstheme="minorHAnsi"/>
          <w:szCs w:val="24"/>
        </w:rPr>
        <w:t>autoinjector (AI) form</w:t>
      </w:r>
      <w:r w:rsidR="00BF4904" w:rsidRPr="00BF4904">
        <w:t xml:space="preserve"> </w:t>
      </w:r>
      <w:r w:rsidR="00670EB4">
        <w:t>of fremanezumab 225 mg</w:t>
      </w:r>
      <w:r>
        <w:t xml:space="preserve"> to enable quarterly dosing for the AI form</w:t>
      </w:r>
      <w:r w:rsidR="007A1FCF">
        <w:t>, if recommended</w:t>
      </w:r>
      <w:r>
        <w:t xml:space="preserve">. </w:t>
      </w:r>
      <w:r w:rsidR="00670EB4">
        <w:t xml:space="preserve"> </w:t>
      </w:r>
      <w:r w:rsidR="00BF4904" w:rsidRPr="00BF4904">
        <w:t xml:space="preserve"> </w:t>
      </w:r>
    </w:p>
    <w:p w14:paraId="76105178" w14:textId="3D044FD9" w:rsidR="00CB7ED1" w:rsidRPr="00F010F3" w:rsidRDefault="00BF4904" w:rsidP="00CB7ED1">
      <w:pPr>
        <w:pStyle w:val="2-SectionHeading"/>
        <w:keepNext w:val="0"/>
        <w:widowControl w:val="0"/>
        <w:numPr>
          <w:ilvl w:val="0"/>
          <w:numId w:val="0"/>
        </w:numPr>
        <w:outlineLvl w:val="9"/>
        <w:rPr>
          <w:rFonts w:cstheme="minorBidi"/>
          <w:b w:val="0"/>
          <w:snapToGrid/>
          <w:sz w:val="24"/>
          <w:szCs w:val="22"/>
        </w:rPr>
      </w:pPr>
      <w:r w:rsidRPr="00F010F3">
        <w:rPr>
          <w:rFonts w:cstheme="minorBidi"/>
          <w:b w:val="0"/>
          <w:snapToGrid/>
          <w:sz w:val="24"/>
          <w:szCs w:val="22"/>
        </w:rPr>
        <w:t>Add new medicinal product pack as follows:</w:t>
      </w:r>
    </w:p>
    <w:tbl>
      <w:tblPr>
        <w:tblpPr w:leftFromText="180" w:rightFromText="180" w:vertAnchor="text" w:horzAnchor="margin" w:tblpY="36"/>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2486"/>
        <w:gridCol w:w="990"/>
        <w:gridCol w:w="1285"/>
        <w:gridCol w:w="858"/>
        <w:gridCol w:w="596"/>
        <w:gridCol w:w="1907"/>
        <w:gridCol w:w="20"/>
      </w:tblGrid>
      <w:tr w:rsidR="00E0616A" w:rsidRPr="009A1F23" w14:paraId="476D8BCE" w14:textId="77777777" w:rsidTr="00E0616A">
        <w:trPr>
          <w:cantSplit/>
          <w:trHeight w:val="20"/>
        </w:trPr>
        <w:tc>
          <w:tcPr>
            <w:tcW w:w="1880" w:type="pct"/>
            <w:gridSpan w:val="2"/>
            <w:tcBorders>
              <w:top w:val="single" w:sz="4" w:space="0" w:color="auto"/>
              <w:left w:val="single" w:sz="4" w:space="0" w:color="auto"/>
              <w:bottom w:val="single" w:sz="4" w:space="0" w:color="auto"/>
              <w:right w:val="single" w:sz="4" w:space="0" w:color="auto"/>
            </w:tcBorders>
          </w:tcPr>
          <w:p w14:paraId="65F998D3" w14:textId="77777777" w:rsidR="00E0616A" w:rsidRPr="00F04378" w:rsidRDefault="00E0616A" w:rsidP="00CB7ED1">
            <w:pPr>
              <w:widowControl w:val="0"/>
              <w:ind w:left="-108"/>
              <w:rPr>
                <w:rFonts w:ascii="Arial Narrow" w:hAnsi="Arial Narrow" w:cs="Arial"/>
                <w:b/>
                <w:sz w:val="20"/>
                <w:szCs w:val="20"/>
              </w:rPr>
            </w:pPr>
          </w:p>
          <w:p w14:paraId="3368BAD5" w14:textId="77777777" w:rsidR="00E0616A" w:rsidRPr="00F04378" w:rsidRDefault="00E0616A" w:rsidP="00CB7ED1">
            <w:pPr>
              <w:widowControl w:val="0"/>
              <w:ind w:left="-108"/>
              <w:rPr>
                <w:rFonts w:ascii="Arial Narrow" w:hAnsi="Arial Narrow" w:cs="Arial"/>
                <w:b/>
                <w:sz w:val="20"/>
                <w:szCs w:val="20"/>
              </w:rPr>
            </w:pPr>
            <w:r w:rsidRPr="00F04378">
              <w:rPr>
                <w:rFonts w:ascii="Arial Narrow" w:hAnsi="Arial Narrow" w:cs="Arial"/>
                <w:b/>
                <w:sz w:val="20"/>
                <w:szCs w:val="20"/>
              </w:rPr>
              <w:t>MEDICINAL PRODUCT</w:t>
            </w:r>
          </w:p>
          <w:p w14:paraId="53D45199" w14:textId="77777777" w:rsidR="00E0616A" w:rsidRPr="00F04378" w:rsidRDefault="00E0616A" w:rsidP="00CB7ED1">
            <w:pPr>
              <w:widowControl w:val="0"/>
              <w:ind w:left="-108"/>
              <w:rPr>
                <w:rFonts w:ascii="Arial Narrow" w:hAnsi="Arial Narrow" w:cs="Arial"/>
                <w:b/>
                <w:sz w:val="20"/>
                <w:szCs w:val="20"/>
              </w:rPr>
            </w:pPr>
            <w:r w:rsidRPr="00F04378">
              <w:rPr>
                <w:rFonts w:ascii="Arial Narrow" w:hAnsi="Arial Narrow" w:cs="Arial"/>
                <w:b/>
                <w:sz w:val="20"/>
                <w:szCs w:val="20"/>
              </w:rPr>
              <w:t>medicinal product pack</w:t>
            </w:r>
          </w:p>
        </w:tc>
        <w:tc>
          <w:tcPr>
            <w:tcW w:w="546" w:type="pct"/>
            <w:tcBorders>
              <w:top w:val="single" w:sz="4" w:space="0" w:color="auto"/>
              <w:left w:val="single" w:sz="4" w:space="0" w:color="auto"/>
              <w:bottom w:val="single" w:sz="4" w:space="0" w:color="auto"/>
              <w:right w:val="single" w:sz="4" w:space="0" w:color="auto"/>
            </w:tcBorders>
          </w:tcPr>
          <w:p w14:paraId="134B3AB8" w14:textId="77777777" w:rsidR="00E0616A" w:rsidRPr="00F04378" w:rsidRDefault="00E0616A" w:rsidP="00CB7ED1">
            <w:pPr>
              <w:widowControl w:val="0"/>
              <w:ind w:left="-108"/>
              <w:rPr>
                <w:rFonts w:ascii="Arial Narrow" w:hAnsi="Arial Narrow" w:cs="Arial"/>
                <w:b/>
                <w:sz w:val="20"/>
                <w:szCs w:val="20"/>
              </w:rPr>
            </w:pPr>
            <w:r w:rsidRPr="00F04378">
              <w:rPr>
                <w:rFonts w:ascii="Arial Narrow" w:hAnsi="Arial Narrow" w:cs="Arial"/>
                <w:b/>
                <w:sz w:val="20"/>
                <w:szCs w:val="20"/>
              </w:rPr>
              <w:t>PBS item code</w:t>
            </w:r>
          </w:p>
        </w:tc>
        <w:tc>
          <w:tcPr>
            <w:tcW w:w="709" w:type="pct"/>
            <w:tcBorders>
              <w:top w:val="single" w:sz="4" w:space="0" w:color="auto"/>
              <w:left w:val="single" w:sz="4" w:space="0" w:color="auto"/>
              <w:bottom w:val="single" w:sz="4" w:space="0" w:color="auto"/>
              <w:right w:val="single" w:sz="4" w:space="0" w:color="auto"/>
            </w:tcBorders>
          </w:tcPr>
          <w:p w14:paraId="48185A0B" w14:textId="77777777" w:rsidR="00E0616A" w:rsidRPr="00F04378" w:rsidRDefault="00E0616A" w:rsidP="00CB7ED1">
            <w:pPr>
              <w:widowControl w:val="0"/>
              <w:ind w:left="-108"/>
              <w:rPr>
                <w:rFonts w:ascii="Arial Narrow" w:hAnsi="Arial Narrow" w:cs="Arial"/>
                <w:b/>
                <w:sz w:val="20"/>
                <w:szCs w:val="20"/>
              </w:rPr>
            </w:pPr>
            <w:r w:rsidRPr="00F04378">
              <w:rPr>
                <w:rFonts w:ascii="Arial Narrow" w:hAnsi="Arial Narrow" w:cs="Arial"/>
                <w:b/>
                <w:sz w:val="20"/>
                <w:szCs w:val="20"/>
              </w:rPr>
              <w:t>Max.</w:t>
            </w:r>
          </w:p>
          <w:p w14:paraId="6943307C" w14:textId="77777777" w:rsidR="00E0616A" w:rsidRPr="00F04378" w:rsidRDefault="00E0616A" w:rsidP="00CB7ED1">
            <w:pPr>
              <w:widowControl w:val="0"/>
              <w:ind w:left="-108"/>
              <w:rPr>
                <w:rFonts w:ascii="Arial Narrow" w:hAnsi="Arial Narrow" w:cs="Arial"/>
                <w:b/>
                <w:sz w:val="20"/>
                <w:szCs w:val="20"/>
              </w:rPr>
            </w:pPr>
            <w:r w:rsidRPr="00F04378">
              <w:rPr>
                <w:rFonts w:ascii="Arial Narrow" w:hAnsi="Arial Narrow" w:cs="Arial"/>
                <w:b/>
                <w:sz w:val="20"/>
                <w:szCs w:val="20"/>
              </w:rPr>
              <w:t>Qty Packs</w:t>
            </w:r>
          </w:p>
        </w:tc>
        <w:tc>
          <w:tcPr>
            <w:tcW w:w="473" w:type="pct"/>
            <w:tcBorders>
              <w:top w:val="single" w:sz="4" w:space="0" w:color="auto"/>
              <w:left w:val="single" w:sz="4" w:space="0" w:color="auto"/>
              <w:bottom w:val="single" w:sz="4" w:space="0" w:color="auto"/>
              <w:right w:val="single" w:sz="4" w:space="0" w:color="auto"/>
            </w:tcBorders>
          </w:tcPr>
          <w:p w14:paraId="51A7F2BE" w14:textId="77777777" w:rsidR="00E0616A" w:rsidRPr="00F04378" w:rsidRDefault="00E0616A" w:rsidP="00CB7ED1">
            <w:pPr>
              <w:widowControl w:val="0"/>
              <w:ind w:left="-108"/>
              <w:rPr>
                <w:rFonts w:ascii="Arial Narrow" w:hAnsi="Arial Narrow" w:cs="Arial"/>
                <w:b/>
                <w:sz w:val="20"/>
                <w:szCs w:val="20"/>
              </w:rPr>
            </w:pPr>
            <w:r w:rsidRPr="00F04378">
              <w:rPr>
                <w:rFonts w:ascii="Arial Narrow" w:hAnsi="Arial Narrow" w:cs="Arial"/>
                <w:b/>
                <w:sz w:val="20"/>
                <w:szCs w:val="20"/>
              </w:rPr>
              <w:t>Max qty units</w:t>
            </w:r>
          </w:p>
        </w:tc>
        <w:tc>
          <w:tcPr>
            <w:tcW w:w="329" w:type="pct"/>
            <w:tcBorders>
              <w:top w:val="single" w:sz="4" w:space="0" w:color="auto"/>
              <w:left w:val="single" w:sz="4" w:space="0" w:color="auto"/>
              <w:bottom w:val="single" w:sz="4" w:space="0" w:color="auto"/>
              <w:right w:val="single" w:sz="4" w:space="0" w:color="auto"/>
            </w:tcBorders>
          </w:tcPr>
          <w:p w14:paraId="331839DE" w14:textId="77777777" w:rsidR="00E0616A" w:rsidRPr="00F04378" w:rsidRDefault="00E0616A" w:rsidP="00CB7ED1">
            <w:pPr>
              <w:widowControl w:val="0"/>
              <w:ind w:left="-108"/>
              <w:rPr>
                <w:rFonts w:ascii="Arial Narrow" w:hAnsi="Arial Narrow" w:cs="Arial"/>
                <w:b/>
                <w:sz w:val="20"/>
                <w:szCs w:val="20"/>
              </w:rPr>
            </w:pPr>
            <w:proofErr w:type="gramStart"/>
            <w:r w:rsidRPr="00F04378">
              <w:rPr>
                <w:rFonts w:ascii="Arial Narrow" w:hAnsi="Arial Narrow" w:cs="Arial"/>
                <w:b/>
                <w:sz w:val="20"/>
                <w:szCs w:val="20"/>
              </w:rPr>
              <w:t>№.of</w:t>
            </w:r>
            <w:proofErr w:type="gramEnd"/>
          </w:p>
          <w:p w14:paraId="4370C121" w14:textId="77777777" w:rsidR="00E0616A" w:rsidRPr="00F04378" w:rsidRDefault="00E0616A" w:rsidP="00CB7ED1">
            <w:pPr>
              <w:widowControl w:val="0"/>
              <w:ind w:left="-108"/>
              <w:rPr>
                <w:rFonts w:ascii="Arial Narrow" w:hAnsi="Arial Narrow" w:cs="Arial"/>
                <w:b/>
                <w:sz w:val="20"/>
                <w:szCs w:val="20"/>
              </w:rPr>
            </w:pPr>
            <w:proofErr w:type="spellStart"/>
            <w:r w:rsidRPr="00F04378">
              <w:rPr>
                <w:rFonts w:ascii="Arial Narrow" w:hAnsi="Arial Narrow" w:cs="Arial"/>
                <w:b/>
                <w:sz w:val="20"/>
                <w:szCs w:val="20"/>
              </w:rPr>
              <w:t>Rpts</w:t>
            </w:r>
            <w:proofErr w:type="spellEnd"/>
          </w:p>
        </w:tc>
        <w:tc>
          <w:tcPr>
            <w:tcW w:w="1063" w:type="pct"/>
            <w:gridSpan w:val="2"/>
            <w:tcBorders>
              <w:top w:val="single" w:sz="4" w:space="0" w:color="auto"/>
              <w:left w:val="single" w:sz="4" w:space="0" w:color="auto"/>
              <w:bottom w:val="single" w:sz="4" w:space="0" w:color="auto"/>
              <w:right w:val="single" w:sz="4" w:space="0" w:color="auto"/>
            </w:tcBorders>
          </w:tcPr>
          <w:p w14:paraId="57ADF3C4" w14:textId="77777777" w:rsidR="00E0616A" w:rsidRPr="00F04378" w:rsidRDefault="00E0616A" w:rsidP="00CB7ED1">
            <w:pPr>
              <w:widowControl w:val="0"/>
              <w:rPr>
                <w:rFonts w:ascii="Arial Narrow" w:hAnsi="Arial Narrow" w:cs="Arial"/>
                <w:b/>
                <w:sz w:val="20"/>
                <w:szCs w:val="20"/>
              </w:rPr>
            </w:pPr>
            <w:r w:rsidRPr="00F04378">
              <w:rPr>
                <w:rFonts w:ascii="Arial Narrow" w:hAnsi="Arial Narrow" w:cs="Arial"/>
                <w:b/>
                <w:sz w:val="20"/>
                <w:szCs w:val="20"/>
              </w:rPr>
              <w:t>Available brands</w:t>
            </w:r>
          </w:p>
        </w:tc>
      </w:tr>
      <w:tr w:rsidR="00E0616A" w:rsidRPr="009A1F23" w14:paraId="518C203C" w14:textId="77777777" w:rsidTr="00E0616A">
        <w:trPr>
          <w:cantSplit/>
          <w:trHeight w:val="20"/>
        </w:trPr>
        <w:tc>
          <w:tcPr>
            <w:tcW w:w="1880" w:type="pct"/>
            <w:gridSpan w:val="2"/>
            <w:tcBorders>
              <w:top w:val="single" w:sz="4" w:space="0" w:color="auto"/>
              <w:left w:val="single" w:sz="4" w:space="0" w:color="auto"/>
              <w:bottom w:val="single" w:sz="4" w:space="0" w:color="auto"/>
              <w:right w:val="single" w:sz="4" w:space="0" w:color="auto"/>
            </w:tcBorders>
          </w:tcPr>
          <w:p w14:paraId="5099435D" w14:textId="448935EF" w:rsidR="00E0616A" w:rsidRPr="00F04378" w:rsidRDefault="00E0616A" w:rsidP="00CB7ED1">
            <w:pPr>
              <w:widowControl w:val="0"/>
              <w:ind w:left="-108"/>
              <w:rPr>
                <w:rFonts w:ascii="Arial Narrow" w:hAnsi="Arial Narrow" w:cs="Arial"/>
                <w:bCs/>
                <w:sz w:val="20"/>
                <w:szCs w:val="20"/>
              </w:rPr>
            </w:pPr>
            <w:r w:rsidRPr="00F04378">
              <w:rPr>
                <w:rFonts w:ascii="Arial Narrow" w:hAnsi="Arial Narrow" w:cs="Arial"/>
                <w:bCs/>
                <w:sz w:val="20"/>
                <w:szCs w:val="20"/>
              </w:rPr>
              <w:t>FREMANEZUMAB</w:t>
            </w:r>
          </w:p>
        </w:tc>
        <w:tc>
          <w:tcPr>
            <w:tcW w:w="546" w:type="pct"/>
            <w:tcBorders>
              <w:top w:val="single" w:sz="4" w:space="0" w:color="auto"/>
              <w:left w:val="single" w:sz="4" w:space="0" w:color="auto"/>
              <w:bottom w:val="single" w:sz="4" w:space="0" w:color="auto"/>
              <w:right w:val="single" w:sz="4" w:space="0" w:color="auto"/>
            </w:tcBorders>
          </w:tcPr>
          <w:p w14:paraId="22BA2559" w14:textId="77777777" w:rsidR="00E0616A" w:rsidRPr="00F04378" w:rsidRDefault="00E0616A" w:rsidP="00CB7ED1">
            <w:pPr>
              <w:widowControl w:val="0"/>
              <w:ind w:left="-108"/>
              <w:rPr>
                <w:rFonts w:ascii="Arial Narrow" w:hAnsi="Arial Narrow" w:cs="Arial"/>
                <w:bCs/>
                <w:sz w:val="20"/>
                <w:szCs w:val="20"/>
              </w:rPr>
            </w:pPr>
          </w:p>
        </w:tc>
        <w:tc>
          <w:tcPr>
            <w:tcW w:w="709" w:type="pct"/>
            <w:tcBorders>
              <w:top w:val="single" w:sz="4" w:space="0" w:color="auto"/>
              <w:left w:val="single" w:sz="4" w:space="0" w:color="auto"/>
              <w:bottom w:val="single" w:sz="4" w:space="0" w:color="auto"/>
              <w:right w:val="single" w:sz="4" w:space="0" w:color="auto"/>
            </w:tcBorders>
          </w:tcPr>
          <w:p w14:paraId="5A3783A6" w14:textId="77777777" w:rsidR="00E0616A" w:rsidRPr="00F04378" w:rsidRDefault="00E0616A" w:rsidP="00CB7ED1">
            <w:pPr>
              <w:widowControl w:val="0"/>
              <w:ind w:left="-108"/>
              <w:rPr>
                <w:rFonts w:ascii="Arial Narrow" w:hAnsi="Arial Narrow" w:cs="Arial"/>
                <w:bCs/>
                <w:sz w:val="20"/>
                <w:szCs w:val="20"/>
              </w:rPr>
            </w:pPr>
          </w:p>
        </w:tc>
        <w:tc>
          <w:tcPr>
            <w:tcW w:w="473" w:type="pct"/>
            <w:tcBorders>
              <w:top w:val="single" w:sz="4" w:space="0" w:color="auto"/>
              <w:left w:val="single" w:sz="4" w:space="0" w:color="auto"/>
              <w:bottom w:val="single" w:sz="4" w:space="0" w:color="auto"/>
              <w:right w:val="single" w:sz="4" w:space="0" w:color="auto"/>
            </w:tcBorders>
          </w:tcPr>
          <w:p w14:paraId="1EC2599D" w14:textId="77777777" w:rsidR="00E0616A" w:rsidRPr="00F04378" w:rsidRDefault="00E0616A" w:rsidP="00CB7ED1">
            <w:pPr>
              <w:widowControl w:val="0"/>
              <w:ind w:left="-108"/>
              <w:rPr>
                <w:rFonts w:ascii="Arial Narrow" w:hAnsi="Arial Narrow" w:cs="Arial"/>
                <w:bCs/>
                <w:sz w:val="20"/>
                <w:szCs w:val="20"/>
              </w:rPr>
            </w:pPr>
          </w:p>
        </w:tc>
        <w:tc>
          <w:tcPr>
            <w:tcW w:w="329" w:type="pct"/>
            <w:tcBorders>
              <w:top w:val="single" w:sz="4" w:space="0" w:color="auto"/>
              <w:left w:val="single" w:sz="4" w:space="0" w:color="auto"/>
              <w:bottom w:val="single" w:sz="4" w:space="0" w:color="auto"/>
              <w:right w:val="single" w:sz="4" w:space="0" w:color="auto"/>
            </w:tcBorders>
          </w:tcPr>
          <w:p w14:paraId="20F49B80" w14:textId="77777777" w:rsidR="00E0616A" w:rsidRPr="00F04378" w:rsidRDefault="00E0616A" w:rsidP="00CB7ED1">
            <w:pPr>
              <w:widowControl w:val="0"/>
              <w:ind w:left="-108"/>
              <w:rPr>
                <w:rFonts w:ascii="Arial Narrow" w:hAnsi="Arial Narrow" w:cs="Arial"/>
                <w:bCs/>
                <w:sz w:val="20"/>
                <w:szCs w:val="20"/>
              </w:rPr>
            </w:pPr>
          </w:p>
        </w:tc>
        <w:tc>
          <w:tcPr>
            <w:tcW w:w="1063" w:type="pct"/>
            <w:gridSpan w:val="2"/>
            <w:tcBorders>
              <w:top w:val="single" w:sz="4" w:space="0" w:color="auto"/>
              <w:left w:val="single" w:sz="4" w:space="0" w:color="auto"/>
              <w:bottom w:val="single" w:sz="4" w:space="0" w:color="auto"/>
              <w:right w:val="single" w:sz="4" w:space="0" w:color="auto"/>
            </w:tcBorders>
          </w:tcPr>
          <w:p w14:paraId="62FE5191" w14:textId="77777777" w:rsidR="00E0616A" w:rsidRPr="00F04378" w:rsidRDefault="00E0616A" w:rsidP="00CB7ED1">
            <w:pPr>
              <w:widowControl w:val="0"/>
              <w:rPr>
                <w:rFonts w:ascii="Arial Narrow" w:hAnsi="Arial Narrow" w:cs="Arial"/>
                <w:bCs/>
                <w:sz w:val="20"/>
                <w:szCs w:val="20"/>
              </w:rPr>
            </w:pPr>
          </w:p>
        </w:tc>
      </w:tr>
      <w:tr w:rsidR="00E0616A" w:rsidRPr="00A14AE8" w14:paraId="196870E2" w14:textId="77777777" w:rsidTr="00E0616A">
        <w:trPr>
          <w:cantSplit/>
          <w:trHeight w:val="20"/>
        </w:trPr>
        <w:tc>
          <w:tcPr>
            <w:tcW w:w="1880" w:type="pct"/>
            <w:gridSpan w:val="2"/>
            <w:tcBorders>
              <w:top w:val="single" w:sz="4" w:space="0" w:color="auto"/>
              <w:left w:val="single" w:sz="4" w:space="0" w:color="auto"/>
              <w:bottom w:val="single" w:sz="4" w:space="0" w:color="auto"/>
              <w:right w:val="single" w:sz="4" w:space="0" w:color="auto"/>
            </w:tcBorders>
          </w:tcPr>
          <w:p w14:paraId="07BD819B" w14:textId="77777777" w:rsidR="00E0616A" w:rsidRPr="003E643F" w:rsidRDefault="00E0616A" w:rsidP="00CB7ED1">
            <w:pPr>
              <w:widowControl w:val="0"/>
              <w:ind w:left="-108"/>
              <w:rPr>
                <w:rFonts w:ascii="Arial Narrow" w:hAnsi="Arial Narrow" w:cs="Arial"/>
                <w:bCs/>
                <w:i/>
                <w:iCs/>
                <w:sz w:val="20"/>
                <w:szCs w:val="20"/>
              </w:rPr>
            </w:pPr>
          </w:p>
          <w:p w14:paraId="0C21C8B1" w14:textId="77777777" w:rsidR="00E0616A" w:rsidRPr="003E643F" w:rsidRDefault="00E0616A" w:rsidP="00CB7ED1">
            <w:pPr>
              <w:widowControl w:val="0"/>
              <w:ind w:left="-108"/>
              <w:rPr>
                <w:rFonts w:ascii="Arial Narrow" w:hAnsi="Arial Narrow" w:cs="Arial"/>
                <w:bCs/>
                <w:i/>
                <w:iCs/>
                <w:sz w:val="20"/>
                <w:szCs w:val="20"/>
              </w:rPr>
            </w:pPr>
            <w:r w:rsidRPr="003E643F">
              <w:rPr>
                <w:rFonts w:ascii="Arial Narrow" w:hAnsi="Arial Narrow" w:cs="Arial"/>
                <w:bCs/>
                <w:i/>
                <w:iCs/>
                <w:sz w:val="20"/>
                <w:szCs w:val="20"/>
              </w:rPr>
              <w:t>fremanezumab 225 mg/1.5 mL injection, 1.5 mL syringe</w:t>
            </w:r>
          </w:p>
        </w:tc>
        <w:tc>
          <w:tcPr>
            <w:tcW w:w="546" w:type="pct"/>
            <w:tcBorders>
              <w:top w:val="single" w:sz="4" w:space="0" w:color="auto"/>
              <w:left w:val="single" w:sz="4" w:space="0" w:color="auto"/>
              <w:bottom w:val="single" w:sz="4" w:space="0" w:color="auto"/>
              <w:right w:val="single" w:sz="4" w:space="0" w:color="auto"/>
            </w:tcBorders>
          </w:tcPr>
          <w:p w14:paraId="071CD651" w14:textId="77777777" w:rsidR="00E0616A" w:rsidRPr="003E643F" w:rsidRDefault="00E0616A" w:rsidP="00CB7ED1">
            <w:pPr>
              <w:widowControl w:val="0"/>
              <w:ind w:left="-108"/>
              <w:rPr>
                <w:rFonts w:ascii="Arial Narrow" w:hAnsi="Arial Narrow" w:cs="Arial"/>
                <w:bCs/>
                <w:i/>
                <w:iCs/>
                <w:sz w:val="20"/>
                <w:szCs w:val="20"/>
              </w:rPr>
            </w:pPr>
            <w:r w:rsidRPr="003E643F">
              <w:rPr>
                <w:rFonts w:ascii="Arial Narrow" w:hAnsi="Arial Narrow" w:cs="Arial"/>
                <w:bCs/>
                <w:i/>
                <w:iCs/>
                <w:sz w:val="20"/>
                <w:szCs w:val="20"/>
              </w:rPr>
              <w:t xml:space="preserve"> </w:t>
            </w:r>
          </w:p>
          <w:p w14:paraId="785694C0" w14:textId="77777777" w:rsidR="00E0616A" w:rsidRPr="003E643F" w:rsidRDefault="00E0616A" w:rsidP="00CB7ED1">
            <w:pPr>
              <w:widowControl w:val="0"/>
              <w:ind w:left="-108"/>
              <w:rPr>
                <w:rFonts w:ascii="Arial Narrow" w:hAnsi="Arial Narrow" w:cs="Arial"/>
                <w:bCs/>
                <w:i/>
                <w:iCs/>
                <w:sz w:val="20"/>
                <w:szCs w:val="20"/>
              </w:rPr>
            </w:pPr>
            <w:r w:rsidRPr="003E643F">
              <w:rPr>
                <w:rFonts w:ascii="Arial Narrow" w:hAnsi="Arial Narrow" w:cs="Arial"/>
                <w:bCs/>
                <w:i/>
                <w:iCs/>
                <w:sz w:val="20"/>
                <w:szCs w:val="20"/>
              </w:rPr>
              <w:t>NEW</w:t>
            </w:r>
          </w:p>
        </w:tc>
        <w:tc>
          <w:tcPr>
            <w:tcW w:w="709" w:type="pct"/>
            <w:tcBorders>
              <w:top w:val="single" w:sz="4" w:space="0" w:color="auto"/>
              <w:left w:val="single" w:sz="4" w:space="0" w:color="auto"/>
              <w:bottom w:val="single" w:sz="4" w:space="0" w:color="auto"/>
              <w:right w:val="single" w:sz="4" w:space="0" w:color="auto"/>
            </w:tcBorders>
          </w:tcPr>
          <w:p w14:paraId="2C9573DA" w14:textId="77777777" w:rsidR="00E0616A" w:rsidRPr="003E643F" w:rsidRDefault="00E0616A" w:rsidP="00CB7ED1">
            <w:pPr>
              <w:widowControl w:val="0"/>
              <w:ind w:left="-108"/>
              <w:rPr>
                <w:rFonts w:ascii="Arial Narrow" w:hAnsi="Arial Narrow" w:cs="Arial"/>
                <w:bCs/>
                <w:i/>
                <w:iCs/>
                <w:sz w:val="20"/>
                <w:szCs w:val="20"/>
              </w:rPr>
            </w:pPr>
          </w:p>
          <w:p w14:paraId="7C8A2D76" w14:textId="77777777" w:rsidR="00E0616A" w:rsidRPr="003E643F" w:rsidRDefault="00E0616A" w:rsidP="00CB7ED1">
            <w:pPr>
              <w:widowControl w:val="0"/>
              <w:ind w:left="-108"/>
              <w:rPr>
                <w:rFonts w:ascii="Arial Narrow" w:hAnsi="Arial Narrow" w:cs="Arial"/>
                <w:bCs/>
                <w:i/>
                <w:iCs/>
                <w:sz w:val="20"/>
                <w:szCs w:val="20"/>
              </w:rPr>
            </w:pPr>
            <w:r w:rsidRPr="003E643F">
              <w:rPr>
                <w:rFonts w:ascii="Arial Narrow" w:hAnsi="Arial Narrow" w:cs="Arial"/>
                <w:bCs/>
                <w:i/>
                <w:iCs/>
                <w:sz w:val="20"/>
                <w:szCs w:val="20"/>
              </w:rPr>
              <w:t>3</w:t>
            </w:r>
          </w:p>
        </w:tc>
        <w:tc>
          <w:tcPr>
            <w:tcW w:w="473" w:type="pct"/>
            <w:tcBorders>
              <w:top w:val="single" w:sz="4" w:space="0" w:color="auto"/>
              <w:left w:val="single" w:sz="4" w:space="0" w:color="auto"/>
              <w:bottom w:val="single" w:sz="4" w:space="0" w:color="auto"/>
              <w:right w:val="single" w:sz="4" w:space="0" w:color="auto"/>
            </w:tcBorders>
          </w:tcPr>
          <w:p w14:paraId="5BFEFBB4" w14:textId="77777777" w:rsidR="00E0616A" w:rsidRPr="003E643F" w:rsidRDefault="00E0616A" w:rsidP="00CB7ED1">
            <w:pPr>
              <w:widowControl w:val="0"/>
              <w:ind w:left="-108"/>
              <w:rPr>
                <w:rFonts w:ascii="Arial Narrow" w:hAnsi="Arial Narrow" w:cs="Arial"/>
                <w:bCs/>
                <w:i/>
                <w:iCs/>
                <w:sz w:val="20"/>
                <w:szCs w:val="20"/>
              </w:rPr>
            </w:pPr>
          </w:p>
          <w:p w14:paraId="600B21B3" w14:textId="77777777" w:rsidR="00E0616A" w:rsidRPr="003E643F" w:rsidRDefault="00E0616A" w:rsidP="00CB7ED1">
            <w:pPr>
              <w:widowControl w:val="0"/>
              <w:ind w:left="-108"/>
              <w:rPr>
                <w:rFonts w:ascii="Arial Narrow" w:hAnsi="Arial Narrow" w:cs="Arial"/>
                <w:bCs/>
                <w:i/>
                <w:iCs/>
                <w:sz w:val="20"/>
                <w:szCs w:val="20"/>
              </w:rPr>
            </w:pPr>
            <w:r w:rsidRPr="003E643F">
              <w:rPr>
                <w:rFonts w:ascii="Arial Narrow" w:hAnsi="Arial Narrow" w:cs="Arial"/>
                <w:bCs/>
                <w:i/>
                <w:iCs/>
                <w:sz w:val="20"/>
                <w:szCs w:val="20"/>
              </w:rPr>
              <w:t>3</w:t>
            </w:r>
          </w:p>
        </w:tc>
        <w:tc>
          <w:tcPr>
            <w:tcW w:w="329" w:type="pct"/>
            <w:tcBorders>
              <w:top w:val="single" w:sz="4" w:space="0" w:color="auto"/>
              <w:left w:val="single" w:sz="4" w:space="0" w:color="auto"/>
              <w:bottom w:val="single" w:sz="4" w:space="0" w:color="auto"/>
              <w:right w:val="single" w:sz="4" w:space="0" w:color="auto"/>
            </w:tcBorders>
          </w:tcPr>
          <w:p w14:paraId="2618ACCA" w14:textId="77777777" w:rsidR="00E0616A" w:rsidRPr="003E643F" w:rsidRDefault="00E0616A" w:rsidP="00CB7ED1">
            <w:pPr>
              <w:widowControl w:val="0"/>
              <w:ind w:left="-108"/>
              <w:rPr>
                <w:rFonts w:ascii="Arial Narrow" w:hAnsi="Arial Narrow" w:cs="Arial"/>
                <w:bCs/>
                <w:i/>
                <w:iCs/>
                <w:sz w:val="20"/>
                <w:szCs w:val="20"/>
              </w:rPr>
            </w:pPr>
          </w:p>
          <w:p w14:paraId="1BA99647" w14:textId="77777777" w:rsidR="00E0616A" w:rsidRPr="003E643F" w:rsidRDefault="00E0616A" w:rsidP="00CB7ED1">
            <w:pPr>
              <w:widowControl w:val="0"/>
              <w:ind w:left="-108"/>
              <w:rPr>
                <w:rFonts w:ascii="Arial Narrow" w:hAnsi="Arial Narrow" w:cs="Arial"/>
                <w:bCs/>
                <w:i/>
                <w:iCs/>
                <w:sz w:val="20"/>
                <w:szCs w:val="20"/>
              </w:rPr>
            </w:pPr>
            <w:r w:rsidRPr="003E643F">
              <w:rPr>
                <w:rFonts w:ascii="Arial Narrow" w:hAnsi="Arial Narrow" w:cs="Arial"/>
                <w:bCs/>
                <w:i/>
                <w:iCs/>
                <w:sz w:val="20"/>
                <w:szCs w:val="20"/>
              </w:rPr>
              <w:t>1</w:t>
            </w:r>
          </w:p>
          <w:p w14:paraId="53F6F3EA" w14:textId="77777777" w:rsidR="00E0616A" w:rsidRPr="003E643F" w:rsidRDefault="00E0616A" w:rsidP="00CB7ED1">
            <w:pPr>
              <w:widowControl w:val="0"/>
              <w:ind w:left="-108"/>
              <w:rPr>
                <w:rFonts w:ascii="Arial Narrow" w:hAnsi="Arial Narrow" w:cs="Arial"/>
                <w:bCs/>
                <w:i/>
                <w:iCs/>
                <w:sz w:val="20"/>
                <w:szCs w:val="20"/>
              </w:rPr>
            </w:pPr>
          </w:p>
        </w:tc>
        <w:tc>
          <w:tcPr>
            <w:tcW w:w="1063" w:type="pct"/>
            <w:gridSpan w:val="2"/>
            <w:tcBorders>
              <w:top w:val="single" w:sz="4" w:space="0" w:color="auto"/>
              <w:left w:val="single" w:sz="4" w:space="0" w:color="auto"/>
              <w:bottom w:val="single" w:sz="4" w:space="0" w:color="auto"/>
              <w:right w:val="single" w:sz="4" w:space="0" w:color="auto"/>
            </w:tcBorders>
          </w:tcPr>
          <w:p w14:paraId="43F834D8" w14:textId="77777777" w:rsidR="00E0616A" w:rsidRPr="003E643F" w:rsidRDefault="00E0616A" w:rsidP="00CB7ED1">
            <w:pPr>
              <w:widowControl w:val="0"/>
              <w:rPr>
                <w:rFonts w:ascii="Arial Narrow" w:hAnsi="Arial Narrow" w:cs="Arial"/>
                <w:bCs/>
                <w:i/>
                <w:iCs/>
                <w:sz w:val="20"/>
                <w:szCs w:val="20"/>
              </w:rPr>
            </w:pPr>
          </w:p>
          <w:p w14:paraId="24101E55" w14:textId="7B5C2A3F" w:rsidR="00E0616A" w:rsidRPr="003E643F" w:rsidRDefault="003E643F" w:rsidP="00CB7ED1">
            <w:pPr>
              <w:widowControl w:val="0"/>
              <w:rPr>
                <w:rFonts w:ascii="Arial Narrow" w:hAnsi="Arial Narrow" w:cs="Arial"/>
                <w:bCs/>
                <w:i/>
                <w:iCs/>
                <w:sz w:val="20"/>
                <w:szCs w:val="20"/>
              </w:rPr>
            </w:pPr>
            <w:proofErr w:type="spellStart"/>
            <w:r w:rsidRPr="003E643F">
              <w:rPr>
                <w:rFonts w:ascii="Arial Narrow" w:hAnsi="Arial Narrow" w:cs="Arial"/>
                <w:bCs/>
                <w:i/>
                <w:iCs/>
                <w:sz w:val="20"/>
                <w:szCs w:val="20"/>
              </w:rPr>
              <w:t>A</w:t>
            </w:r>
            <w:r w:rsidR="00E0616A" w:rsidRPr="003E643F">
              <w:rPr>
                <w:rFonts w:ascii="Arial Narrow" w:hAnsi="Arial Narrow" w:cs="Arial"/>
                <w:bCs/>
                <w:i/>
                <w:iCs/>
                <w:sz w:val="20"/>
                <w:szCs w:val="20"/>
              </w:rPr>
              <w:t>jovy</w:t>
            </w:r>
            <w:proofErr w:type="spellEnd"/>
          </w:p>
        </w:tc>
      </w:tr>
      <w:tr w:rsidR="00E0616A" w14:paraId="315AB615" w14:textId="77777777" w:rsidTr="00E0616A">
        <w:trPr>
          <w:cantSplit/>
          <w:trHeight w:val="20"/>
        </w:trPr>
        <w:tc>
          <w:tcPr>
            <w:tcW w:w="5000" w:type="pct"/>
            <w:gridSpan w:val="8"/>
          </w:tcPr>
          <w:p w14:paraId="084099D8" w14:textId="77777777" w:rsidR="00E0616A" w:rsidRPr="00F04378" w:rsidRDefault="00E0616A" w:rsidP="00CB7ED1">
            <w:pPr>
              <w:widowControl w:val="0"/>
              <w:rPr>
                <w:rFonts w:ascii="Arial Narrow" w:hAnsi="Arial Narrow" w:cs="Arial"/>
                <w:sz w:val="20"/>
                <w:szCs w:val="20"/>
              </w:rPr>
            </w:pPr>
          </w:p>
        </w:tc>
      </w:tr>
      <w:tr w:rsidR="00E0616A" w14:paraId="4F5FD8CC" w14:textId="77777777" w:rsidTr="00E0616A">
        <w:trPr>
          <w:cantSplit/>
          <w:trHeight w:val="20"/>
        </w:trPr>
        <w:tc>
          <w:tcPr>
            <w:tcW w:w="5000" w:type="pct"/>
            <w:gridSpan w:val="8"/>
          </w:tcPr>
          <w:p w14:paraId="00080977" w14:textId="77777777" w:rsidR="00E0616A" w:rsidRPr="00F04378" w:rsidRDefault="00E0616A" w:rsidP="00CB7ED1">
            <w:pPr>
              <w:widowControl w:val="0"/>
              <w:rPr>
                <w:rFonts w:ascii="Arial Narrow" w:hAnsi="Arial Narrow" w:cs="Arial"/>
                <w:sz w:val="20"/>
                <w:szCs w:val="20"/>
              </w:rPr>
            </w:pPr>
            <w:r w:rsidRPr="00F04378">
              <w:rPr>
                <w:rFonts w:ascii="Arial Narrow" w:hAnsi="Arial Narrow" w:cs="Arial"/>
                <w:sz w:val="20"/>
                <w:szCs w:val="20"/>
              </w:rPr>
              <w:t>Create new prescribing rule with new Restriction Summary / Treatment of Concept: [NEW 1]</w:t>
            </w:r>
          </w:p>
        </w:tc>
      </w:tr>
      <w:tr w:rsidR="00E0616A" w:rsidRPr="00BD759E" w14:paraId="26ABF672" w14:textId="77777777" w:rsidTr="00E0616A">
        <w:trPr>
          <w:cantSplit/>
          <w:trHeight w:val="20"/>
        </w:trPr>
        <w:tc>
          <w:tcPr>
            <w:tcW w:w="5000" w:type="pct"/>
            <w:gridSpan w:val="8"/>
          </w:tcPr>
          <w:p w14:paraId="2B0CD74A" w14:textId="77777777" w:rsidR="00E0616A" w:rsidRPr="00F04378" w:rsidRDefault="00E0616A" w:rsidP="00CB7ED1">
            <w:pPr>
              <w:widowControl w:val="0"/>
              <w:rPr>
                <w:rFonts w:ascii="Arial Narrow" w:hAnsi="Arial Narrow" w:cs="Arial"/>
                <w:sz w:val="20"/>
                <w:szCs w:val="20"/>
              </w:rPr>
            </w:pPr>
          </w:p>
        </w:tc>
      </w:tr>
      <w:tr w:rsidR="00E0616A" w:rsidRPr="00B14553" w14:paraId="228A71D9"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Merge w:val="restart"/>
            <w:tcBorders>
              <w:top w:val="single" w:sz="4" w:space="0" w:color="auto"/>
              <w:left w:val="single" w:sz="4" w:space="0" w:color="auto"/>
              <w:right w:val="single" w:sz="4" w:space="0" w:color="auto"/>
            </w:tcBorders>
          </w:tcPr>
          <w:p w14:paraId="2E1A2E9C" w14:textId="77777777" w:rsidR="00E0616A" w:rsidRPr="00F04378" w:rsidRDefault="00E0616A" w:rsidP="00CB7ED1">
            <w:pPr>
              <w:widowControl w:val="0"/>
              <w:rPr>
                <w:rFonts w:ascii="Arial Narrow" w:hAnsi="Arial Narrow" w:cs="Arial"/>
                <w:b/>
                <w:sz w:val="20"/>
                <w:szCs w:val="20"/>
              </w:rPr>
            </w:pPr>
            <w:r w:rsidRPr="00F04378">
              <w:rPr>
                <w:rFonts w:ascii="Arial Narrow" w:hAnsi="Arial Narrow" w:cs="Arial"/>
                <w:b/>
                <w:sz w:val="20"/>
                <w:szCs w:val="20"/>
              </w:rPr>
              <w:t>Concept ID</w:t>
            </w:r>
          </w:p>
          <w:p w14:paraId="3D7ADD2E" w14:textId="77777777" w:rsidR="00E0616A" w:rsidRPr="00F04378" w:rsidRDefault="00E0616A" w:rsidP="00CB7ED1">
            <w:pPr>
              <w:widowControl w:val="0"/>
              <w:rPr>
                <w:rFonts w:ascii="Arial Narrow" w:hAnsi="Arial Narrow" w:cs="Arial"/>
                <w:b/>
                <w:sz w:val="20"/>
                <w:szCs w:val="20"/>
              </w:rPr>
            </w:pPr>
          </w:p>
        </w:tc>
        <w:tc>
          <w:tcPr>
            <w:tcW w:w="4480" w:type="pct"/>
            <w:gridSpan w:val="6"/>
            <w:tcBorders>
              <w:top w:val="single" w:sz="4" w:space="0" w:color="auto"/>
              <w:left w:val="single" w:sz="4" w:space="0" w:color="auto"/>
              <w:bottom w:val="single" w:sz="4" w:space="0" w:color="auto"/>
              <w:right w:val="single" w:sz="4" w:space="0" w:color="auto"/>
            </w:tcBorders>
          </w:tcPr>
          <w:p w14:paraId="2D8404A1" w14:textId="77777777" w:rsidR="00E0616A" w:rsidRPr="00F04378" w:rsidRDefault="00E0616A" w:rsidP="00CB7ED1">
            <w:pPr>
              <w:widowControl w:val="0"/>
              <w:rPr>
                <w:rFonts w:ascii="Arial Narrow" w:hAnsi="Arial Narrow" w:cs="Arial"/>
                <w:sz w:val="20"/>
                <w:szCs w:val="20"/>
              </w:rPr>
            </w:pPr>
            <w:r w:rsidRPr="00F04378">
              <w:rPr>
                <w:rFonts w:ascii="Arial Narrow" w:hAnsi="Arial Narrow" w:cs="Arial"/>
                <w:b/>
                <w:sz w:val="20"/>
                <w:szCs w:val="20"/>
              </w:rPr>
              <w:t xml:space="preserve">Category / Program:   </w:t>
            </w:r>
          </w:p>
          <w:p w14:paraId="3CB262F0" w14:textId="77777777" w:rsidR="00E0616A" w:rsidRPr="00F04378" w:rsidRDefault="00E0616A" w:rsidP="00CB7ED1">
            <w:pPr>
              <w:widowControl w:val="0"/>
              <w:rPr>
                <w:rFonts w:ascii="Arial Narrow" w:hAnsi="Arial Narrow" w:cs="Arial"/>
                <w:sz w:val="20"/>
                <w:szCs w:val="20"/>
              </w:rPr>
            </w:pPr>
            <w:r w:rsidRPr="00F04378">
              <w:rPr>
                <w:rFonts w:ascii="Arial Narrow" w:hAnsi="Arial Narrow" w:cs="Arial"/>
                <w:sz w:val="20"/>
                <w:szCs w:val="20"/>
              </w:rPr>
              <w:t>GENERAL – General Schedule (Code GE)</w:t>
            </w:r>
          </w:p>
        </w:tc>
      </w:tr>
      <w:tr w:rsidR="00E0616A" w:rsidRPr="00B14553" w14:paraId="5D644D30"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Merge/>
            <w:tcBorders>
              <w:left w:val="single" w:sz="4" w:space="0" w:color="auto"/>
              <w:right w:val="single" w:sz="4" w:space="0" w:color="auto"/>
            </w:tcBorders>
          </w:tcPr>
          <w:p w14:paraId="343E5172" w14:textId="77777777" w:rsidR="00E0616A" w:rsidRPr="00F04378" w:rsidRDefault="00E0616A" w:rsidP="00CB7ED1">
            <w:pPr>
              <w:widowControl w:val="0"/>
              <w:rPr>
                <w:rFonts w:ascii="Arial Narrow" w:hAnsi="Arial Narrow" w:cs="Arial"/>
                <w:sz w:val="20"/>
                <w:szCs w:val="20"/>
              </w:rPr>
            </w:pPr>
          </w:p>
        </w:tc>
        <w:tc>
          <w:tcPr>
            <w:tcW w:w="4480" w:type="pct"/>
            <w:gridSpan w:val="6"/>
            <w:tcBorders>
              <w:top w:val="single" w:sz="4" w:space="0" w:color="auto"/>
              <w:left w:val="single" w:sz="4" w:space="0" w:color="auto"/>
              <w:bottom w:val="single" w:sz="4" w:space="0" w:color="auto"/>
              <w:right w:val="single" w:sz="4" w:space="0" w:color="auto"/>
            </w:tcBorders>
          </w:tcPr>
          <w:p w14:paraId="55C7646B" w14:textId="182E6F26" w:rsidR="00E0616A" w:rsidRPr="00F04378" w:rsidRDefault="00E0616A" w:rsidP="00CB7ED1">
            <w:pPr>
              <w:widowControl w:val="0"/>
              <w:rPr>
                <w:rFonts w:ascii="Arial Narrow" w:hAnsi="Arial Narrow" w:cs="Arial"/>
                <w:b/>
                <w:sz w:val="20"/>
                <w:szCs w:val="20"/>
              </w:rPr>
            </w:pPr>
            <w:r w:rsidRPr="00F04378">
              <w:rPr>
                <w:rFonts w:ascii="Arial Narrow" w:hAnsi="Arial Narrow" w:cs="Arial"/>
                <w:b/>
                <w:sz w:val="20"/>
                <w:szCs w:val="20"/>
              </w:rPr>
              <w:t xml:space="preserve">Prescriber type:   </w:t>
            </w:r>
            <w:r w:rsidRPr="00F04378">
              <w:rPr>
                <w:rFonts w:ascii="Arial Narrow" w:hAnsi="Arial Narrow" w:cs="Arial"/>
                <w:sz w:val="20"/>
                <w:szCs w:val="20"/>
              </w:rPr>
              <w:t xml:space="preserve">    </w:t>
            </w:r>
            <w:r w:rsidRPr="00F04378">
              <w:rPr>
                <w:rFonts w:ascii="Arial Narrow" w:hAnsi="Arial Narrow" w:cs="Arial"/>
                <w:sz w:val="20"/>
                <w:szCs w:val="20"/>
              </w:rPr>
              <w:fldChar w:fldCharType="begin">
                <w:ffData>
                  <w:name w:val=""/>
                  <w:enabled/>
                  <w:calcOnExit w:val="0"/>
                  <w:checkBox>
                    <w:sizeAuto/>
                    <w:default w:val="1"/>
                  </w:checkBox>
                </w:ffData>
              </w:fldChar>
            </w:r>
            <w:r w:rsidRPr="00F04378">
              <w:rPr>
                <w:rFonts w:ascii="Arial Narrow" w:hAnsi="Arial Narrow" w:cs="Arial"/>
                <w:sz w:val="20"/>
                <w:szCs w:val="20"/>
              </w:rPr>
              <w:instrText xml:space="preserve"> FORMCHECKBOX </w:instrText>
            </w:r>
            <w:r w:rsidR="00EF5EB1">
              <w:rPr>
                <w:rFonts w:ascii="Arial Narrow" w:hAnsi="Arial Narrow" w:cs="Arial"/>
                <w:sz w:val="20"/>
                <w:szCs w:val="20"/>
              </w:rPr>
            </w:r>
            <w:r w:rsidR="00EF5EB1">
              <w:rPr>
                <w:rFonts w:ascii="Arial Narrow" w:hAnsi="Arial Narrow" w:cs="Arial"/>
                <w:sz w:val="20"/>
                <w:szCs w:val="20"/>
              </w:rPr>
              <w:fldChar w:fldCharType="separate"/>
            </w:r>
            <w:r w:rsidRPr="00F04378">
              <w:rPr>
                <w:rFonts w:ascii="Arial Narrow" w:hAnsi="Arial Narrow" w:cs="Arial"/>
                <w:sz w:val="20"/>
                <w:szCs w:val="20"/>
              </w:rPr>
              <w:fldChar w:fldCharType="end"/>
            </w:r>
            <w:r w:rsidRPr="00F04378">
              <w:rPr>
                <w:rFonts w:ascii="Arial Narrow" w:hAnsi="Arial Narrow" w:cs="Arial"/>
                <w:sz w:val="20"/>
                <w:szCs w:val="20"/>
              </w:rPr>
              <w:t xml:space="preserve">Medical Practitioners    </w:t>
            </w:r>
          </w:p>
        </w:tc>
      </w:tr>
      <w:tr w:rsidR="00E0616A" w:rsidRPr="00B14553" w14:paraId="376775DB"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Merge/>
            <w:tcBorders>
              <w:left w:val="single" w:sz="4" w:space="0" w:color="auto"/>
              <w:bottom w:val="single" w:sz="4" w:space="0" w:color="auto"/>
              <w:right w:val="single" w:sz="4" w:space="0" w:color="auto"/>
            </w:tcBorders>
          </w:tcPr>
          <w:p w14:paraId="6BF20EFD" w14:textId="77777777" w:rsidR="00E0616A" w:rsidRPr="00F04378" w:rsidRDefault="00E0616A" w:rsidP="00CB7ED1">
            <w:pPr>
              <w:widowControl w:val="0"/>
              <w:rPr>
                <w:rFonts w:ascii="Arial Narrow" w:hAnsi="Arial Narrow" w:cs="Arial"/>
                <w:sz w:val="20"/>
                <w:szCs w:val="20"/>
              </w:rPr>
            </w:pPr>
          </w:p>
        </w:tc>
        <w:tc>
          <w:tcPr>
            <w:tcW w:w="4480" w:type="pct"/>
            <w:gridSpan w:val="6"/>
            <w:tcBorders>
              <w:top w:val="single" w:sz="4" w:space="0" w:color="auto"/>
              <w:left w:val="single" w:sz="4" w:space="0" w:color="auto"/>
              <w:bottom w:val="single" w:sz="4" w:space="0" w:color="auto"/>
              <w:right w:val="single" w:sz="4" w:space="0" w:color="auto"/>
            </w:tcBorders>
          </w:tcPr>
          <w:p w14:paraId="4035F6F9" w14:textId="77777777" w:rsidR="00E0616A" w:rsidRPr="00F04378" w:rsidRDefault="00E0616A" w:rsidP="00CB7ED1">
            <w:pPr>
              <w:widowControl w:val="0"/>
              <w:rPr>
                <w:rFonts w:ascii="Arial Narrow" w:hAnsi="Arial Narrow" w:cs="Arial"/>
                <w:b/>
                <w:sz w:val="20"/>
                <w:szCs w:val="20"/>
              </w:rPr>
            </w:pPr>
            <w:r w:rsidRPr="00F04378">
              <w:rPr>
                <w:rFonts w:ascii="Arial Narrow" w:hAnsi="Arial Narrow" w:cs="Arial"/>
                <w:b/>
                <w:sz w:val="20"/>
                <w:szCs w:val="20"/>
              </w:rPr>
              <w:t xml:space="preserve">Restriction Type – </w:t>
            </w:r>
          </w:p>
          <w:p w14:paraId="71507A0F" w14:textId="77777777" w:rsidR="00E0616A" w:rsidRPr="00F04378" w:rsidRDefault="00E0616A" w:rsidP="00CB7ED1">
            <w:pPr>
              <w:widowControl w:val="0"/>
              <w:rPr>
                <w:rFonts w:ascii="Arial Narrow" w:eastAsia="Calibri" w:hAnsi="Arial Narrow" w:cs="Arial"/>
                <w:sz w:val="20"/>
                <w:szCs w:val="20"/>
              </w:rPr>
            </w:pPr>
            <w:r w:rsidRPr="00F04378">
              <w:rPr>
                <w:rFonts w:ascii="Arial Narrow" w:eastAsia="Calibri" w:hAnsi="Arial Narrow" w:cs="Arial"/>
                <w:sz w:val="20"/>
                <w:szCs w:val="20"/>
              </w:rPr>
              <w:fldChar w:fldCharType="begin">
                <w:ffData>
                  <w:name w:val=""/>
                  <w:enabled/>
                  <w:calcOnExit w:val="0"/>
                  <w:checkBox>
                    <w:sizeAuto/>
                    <w:default w:val="1"/>
                  </w:checkBox>
                </w:ffData>
              </w:fldChar>
            </w:r>
            <w:r w:rsidRPr="00F04378">
              <w:rPr>
                <w:rFonts w:ascii="Arial Narrow" w:eastAsia="Calibri" w:hAnsi="Arial Narrow" w:cs="Arial"/>
                <w:sz w:val="20"/>
                <w:szCs w:val="20"/>
              </w:rPr>
              <w:instrText xml:space="preserve"> FORMCHECKBOX </w:instrText>
            </w:r>
            <w:r w:rsidR="00EF5EB1">
              <w:rPr>
                <w:rFonts w:ascii="Arial Narrow" w:eastAsia="Calibri" w:hAnsi="Arial Narrow" w:cs="Arial"/>
                <w:sz w:val="20"/>
                <w:szCs w:val="20"/>
              </w:rPr>
            </w:r>
            <w:r w:rsidR="00EF5EB1">
              <w:rPr>
                <w:rFonts w:ascii="Arial Narrow" w:eastAsia="Calibri" w:hAnsi="Arial Narrow" w:cs="Arial"/>
                <w:sz w:val="20"/>
                <w:szCs w:val="20"/>
              </w:rPr>
              <w:fldChar w:fldCharType="separate"/>
            </w:r>
            <w:r w:rsidRPr="00F04378">
              <w:rPr>
                <w:rFonts w:ascii="Arial Narrow" w:eastAsia="Calibri" w:hAnsi="Arial Narrow" w:cs="Arial"/>
                <w:sz w:val="20"/>
                <w:szCs w:val="20"/>
              </w:rPr>
              <w:fldChar w:fldCharType="end"/>
            </w:r>
            <w:r w:rsidRPr="00F04378">
              <w:rPr>
                <w:rFonts w:ascii="Arial Narrow" w:eastAsia="Calibri" w:hAnsi="Arial Narrow" w:cs="Arial"/>
                <w:sz w:val="20"/>
                <w:szCs w:val="20"/>
              </w:rPr>
              <w:t xml:space="preserve"> Authority Required: Streamlined [New 1]</w:t>
            </w:r>
          </w:p>
        </w:tc>
      </w:tr>
      <w:tr w:rsidR="00E0616A" w:rsidRPr="00B14553" w14:paraId="6E0A50A2"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17211553" w14:textId="77777777" w:rsidR="00E0616A" w:rsidRPr="00F04378" w:rsidRDefault="00E0616A" w:rsidP="00CB7ED1">
            <w:pPr>
              <w:widowControl w:val="0"/>
              <w:rPr>
                <w:rFonts w:ascii="Arial Narrow" w:hAnsi="Arial Narrow"/>
                <w:sz w:val="20"/>
                <w:szCs w:val="20"/>
              </w:rPr>
            </w:pPr>
          </w:p>
        </w:tc>
        <w:tc>
          <w:tcPr>
            <w:tcW w:w="4480" w:type="pct"/>
            <w:gridSpan w:val="6"/>
            <w:vAlign w:val="center"/>
          </w:tcPr>
          <w:p w14:paraId="6B3BBE8E" w14:textId="77777777" w:rsidR="00E0616A" w:rsidRPr="00F04378" w:rsidRDefault="00E0616A" w:rsidP="00CB7ED1">
            <w:pPr>
              <w:widowControl w:val="0"/>
              <w:rPr>
                <w:rFonts w:ascii="Arial Narrow" w:hAnsi="Arial Narrow"/>
                <w:bCs/>
                <w:sz w:val="20"/>
                <w:szCs w:val="20"/>
              </w:rPr>
            </w:pPr>
          </w:p>
        </w:tc>
      </w:tr>
      <w:tr w:rsidR="00E0616A" w:rsidRPr="00CC325C" w14:paraId="17BCC8BB"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1CC44B38" w14:textId="35651BEF" w:rsidR="00E0616A" w:rsidRPr="00F04378" w:rsidRDefault="00E0616A" w:rsidP="00CB7ED1">
            <w:pPr>
              <w:widowControl w:val="0"/>
              <w:rPr>
                <w:rFonts w:ascii="Arial Narrow" w:hAnsi="Arial Narrow"/>
                <w:sz w:val="20"/>
                <w:szCs w:val="20"/>
              </w:rPr>
            </w:pPr>
          </w:p>
        </w:tc>
        <w:tc>
          <w:tcPr>
            <w:tcW w:w="4480" w:type="pct"/>
            <w:gridSpan w:val="6"/>
            <w:vAlign w:val="center"/>
          </w:tcPr>
          <w:p w14:paraId="31865A44" w14:textId="77777777" w:rsidR="00E0616A" w:rsidRPr="00C87C1A" w:rsidRDefault="00E0616A" w:rsidP="00CB7ED1">
            <w:pPr>
              <w:widowControl w:val="0"/>
              <w:rPr>
                <w:rFonts w:ascii="Arial Narrow" w:hAnsi="Arial Narrow"/>
                <w:b/>
                <w:bCs/>
                <w:sz w:val="20"/>
                <w:szCs w:val="20"/>
              </w:rPr>
            </w:pPr>
            <w:r w:rsidRPr="00C87C1A">
              <w:rPr>
                <w:rFonts w:ascii="Arial Narrow" w:hAnsi="Arial Narrow"/>
                <w:b/>
                <w:bCs/>
                <w:sz w:val="20"/>
                <w:szCs w:val="20"/>
              </w:rPr>
              <w:t>Administrative Advice:</w:t>
            </w:r>
          </w:p>
          <w:p w14:paraId="0A41C204" w14:textId="77777777" w:rsidR="00E0616A" w:rsidRPr="00F010F3" w:rsidRDefault="00E0616A" w:rsidP="00CB7ED1">
            <w:pPr>
              <w:widowControl w:val="0"/>
              <w:rPr>
                <w:rFonts w:ascii="Arial Narrow" w:hAnsi="Arial Narrow"/>
                <w:sz w:val="20"/>
                <w:szCs w:val="20"/>
              </w:rPr>
            </w:pPr>
            <w:r w:rsidRPr="00F010F3">
              <w:rPr>
                <w:rFonts w:ascii="Arial Narrow" w:hAnsi="Arial Narrow"/>
                <w:sz w:val="20"/>
                <w:szCs w:val="20"/>
              </w:rPr>
              <w:t>No increase in the maximum quantity or number of units may be authorised.</w:t>
            </w:r>
          </w:p>
        </w:tc>
      </w:tr>
      <w:tr w:rsidR="00E0616A" w:rsidRPr="00B14553" w14:paraId="3950A9DC" w14:textId="77777777" w:rsidTr="00E0616A">
        <w:tblPrEx>
          <w:tblCellMar>
            <w:top w:w="15" w:type="dxa"/>
            <w:left w:w="15" w:type="dxa"/>
            <w:bottom w:w="15" w:type="dxa"/>
            <w:right w:w="15" w:type="dxa"/>
          </w:tblCellMar>
        </w:tblPrEx>
        <w:trPr>
          <w:gridAfter w:val="1"/>
          <w:wAfter w:w="11" w:type="pct"/>
          <w:cantSplit/>
          <w:trHeight w:val="20"/>
        </w:trPr>
        <w:tc>
          <w:tcPr>
            <w:tcW w:w="509" w:type="pct"/>
          </w:tcPr>
          <w:p w14:paraId="406D6707" w14:textId="02ED746C" w:rsidR="00E0616A" w:rsidRPr="00F04378" w:rsidRDefault="00E0616A" w:rsidP="00CB7ED1">
            <w:pPr>
              <w:widowControl w:val="0"/>
              <w:rPr>
                <w:rFonts w:ascii="Arial Narrow" w:hAnsi="Arial Narrow"/>
                <w:sz w:val="20"/>
                <w:szCs w:val="20"/>
              </w:rPr>
            </w:pPr>
          </w:p>
        </w:tc>
        <w:tc>
          <w:tcPr>
            <w:tcW w:w="4480" w:type="pct"/>
            <w:gridSpan w:val="6"/>
            <w:vAlign w:val="center"/>
          </w:tcPr>
          <w:p w14:paraId="4016611E" w14:textId="77777777" w:rsidR="00E0616A" w:rsidRPr="00C87C1A" w:rsidRDefault="00E0616A" w:rsidP="00CB7ED1">
            <w:pPr>
              <w:widowControl w:val="0"/>
              <w:rPr>
                <w:rFonts w:ascii="Arial Narrow" w:hAnsi="Arial Narrow"/>
                <w:b/>
                <w:bCs/>
                <w:sz w:val="20"/>
                <w:szCs w:val="20"/>
              </w:rPr>
            </w:pPr>
            <w:r w:rsidRPr="00C87C1A">
              <w:rPr>
                <w:rFonts w:ascii="Arial Narrow" w:hAnsi="Arial Narrow"/>
                <w:b/>
                <w:bCs/>
                <w:sz w:val="20"/>
                <w:szCs w:val="20"/>
              </w:rPr>
              <w:t>Administrative Advice:</w:t>
            </w:r>
          </w:p>
          <w:p w14:paraId="3598931E" w14:textId="77777777" w:rsidR="00E0616A" w:rsidRPr="00F010F3" w:rsidRDefault="00E0616A" w:rsidP="00CB7ED1">
            <w:pPr>
              <w:widowControl w:val="0"/>
              <w:rPr>
                <w:rFonts w:ascii="Arial Narrow" w:hAnsi="Arial Narrow"/>
                <w:b/>
                <w:bCs/>
                <w:sz w:val="20"/>
                <w:szCs w:val="20"/>
              </w:rPr>
            </w:pPr>
            <w:r w:rsidRPr="00F010F3">
              <w:rPr>
                <w:rFonts w:ascii="Arial Narrow" w:hAnsi="Arial Narrow"/>
                <w:sz w:val="20"/>
                <w:szCs w:val="20"/>
              </w:rPr>
              <w:t>No increase in the maximum number of repeats may be authorised</w:t>
            </w:r>
            <w:r w:rsidRPr="00F010F3">
              <w:rPr>
                <w:rFonts w:ascii="Arial Narrow" w:hAnsi="Arial Narrow"/>
                <w:b/>
                <w:bCs/>
                <w:sz w:val="20"/>
                <w:szCs w:val="20"/>
              </w:rPr>
              <w:t>.</w:t>
            </w:r>
          </w:p>
        </w:tc>
      </w:tr>
      <w:tr w:rsidR="00E0616A" w:rsidRPr="00CC325C" w14:paraId="67103B40" w14:textId="77777777" w:rsidTr="00E0616A">
        <w:tblPrEx>
          <w:tblCellMar>
            <w:top w:w="15" w:type="dxa"/>
            <w:left w:w="15" w:type="dxa"/>
            <w:bottom w:w="15" w:type="dxa"/>
            <w:right w:w="15" w:type="dxa"/>
          </w:tblCellMar>
        </w:tblPrEx>
        <w:trPr>
          <w:gridAfter w:val="1"/>
          <w:wAfter w:w="11" w:type="pct"/>
          <w:cantSplit/>
          <w:trHeight w:val="20"/>
        </w:trPr>
        <w:tc>
          <w:tcPr>
            <w:tcW w:w="509" w:type="pct"/>
          </w:tcPr>
          <w:p w14:paraId="66912D18" w14:textId="6A98097B" w:rsidR="00E0616A" w:rsidRPr="00F04378" w:rsidRDefault="00E0616A" w:rsidP="00CB7ED1">
            <w:pPr>
              <w:widowControl w:val="0"/>
              <w:rPr>
                <w:rFonts w:ascii="Arial Narrow" w:hAnsi="Arial Narrow"/>
                <w:sz w:val="20"/>
                <w:szCs w:val="20"/>
              </w:rPr>
            </w:pPr>
          </w:p>
        </w:tc>
        <w:tc>
          <w:tcPr>
            <w:tcW w:w="4480" w:type="pct"/>
            <w:gridSpan w:val="6"/>
            <w:vAlign w:val="center"/>
          </w:tcPr>
          <w:p w14:paraId="6A7BD931" w14:textId="77777777" w:rsidR="00E0616A" w:rsidRPr="00C87C1A" w:rsidRDefault="00E0616A" w:rsidP="00CB7ED1">
            <w:pPr>
              <w:widowControl w:val="0"/>
              <w:rPr>
                <w:rFonts w:ascii="Arial Narrow" w:hAnsi="Arial Narrow"/>
                <w:b/>
                <w:bCs/>
                <w:sz w:val="20"/>
                <w:szCs w:val="20"/>
              </w:rPr>
            </w:pPr>
            <w:r w:rsidRPr="00C87C1A">
              <w:rPr>
                <w:rFonts w:ascii="Arial Narrow" w:hAnsi="Arial Narrow"/>
                <w:b/>
                <w:bCs/>
                <w:sz w:val="20"/>
                <w:szCs w:val="20"/>
              </w:rPr>
              <w:t>Administrative Advice:</w:t>
            </w:r>
          </w:p>
          <w:p w14:paraId="2C482716" w14:textId="77777777" w:rsidR="00E0616A" w:rsidRPr="00F010F3" w:rsidRDefault="00E0616A" w:rsidP="00CB7ED1">
            <w:pPr>
              <w:widowControl w:val="0"/>
              <w:rPr>
                <w:rFonts w:ascii="Arial Narrow" w:hAnsi="Arial Narrow"/>
                <w:sz w:val="20"/>
                <w:szCs w:val="20"/>
              </w:rPr>
            </w:pPr>
            <w:r w:rsidRPr="00F010F3">
              <w:rPr>
                <w:rFonts w:ascii="Arial Narrow" w:hAnsi="Arial Narrow"/>
                <w:sz w:val="20"/>
                <w:szCs w:val="20"/>
              </w:rPr>
              <w:t>Special Pricing Arrangements apply.</w:t>
            </w:r>
          </w:p>
        </w:tc>
      </w:tr>
      <w:tr w:rsidR="002E3D2F" w:rsidRPr="00B14553" w14:paraId="62B3CD6B"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394D731A" w14:textId="77777777" w:rsidR="002E3D2F" w:rsidRPr="00F04378" w:rsidRDefault="002E3D2F" w:rsidP="00CB7ED1">
            <w:pPr>
              <w:widowControl w:val="0"/>
              <w:rPr>
                <w:rFonts w:ascii="Arial Narrow" w:hAnsi="Arial Narrow"/>
                <w:sz w:val="20"/>
                <w:szCs w:val="20"/>
              </w:rPr>
            </w:pPr>
          </w:p>
        </w:tc>
        <w:tc>
          <w:tcPr>
            <w:tcW w:w="4480" w:type="pct"/>
            <w:gridSpan w:val="6"/>
            <w:vAlign w:val="center"/>
          </w:tcPr>
          <w:p w14:paraId="6B457559" w14:textId="77777777" w:rsidR="002E3D2F" w:rsidRPr="00F04378" w:rsidRDefault="002E3D2F" w:rsidP="00CB7ED1">
            <w:pPr>
              <w:widowControl w:val="0"/>
              <w:rPr>
                <w:rFonts w:ascii="Arial Narrow" w:hAnsi="Arial Narrow"/>
                <w:b/>
                <w:bCs/>
                <w:sz w:val="20"/>
                <w:szCs w:val="20"/>
              </w:rPr>
            </w:pPr>
          </w:p>
        </w:tc>
      </w:tr>
      <w:tr w:rsidR="00E0616A" w:rsidRPr="00B14553" w14:paraId="7E59FD6F"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74BDF24B" w14:textId="65B0A101" w:rsidR="00E0616A" w:rsidRPr="00F04378" w:rsidRDefault="00E0616A" w:rsidP="00CB7ED1">
            <w:pPr>
              <w:widowControl w:val="0"/>
              <w:rPr>
                <w:rFonts w:ascii="Arial Narrow" w:hAnsi="Arial Narrow"/>
                <w:sz w:val="20"/>
                <w:szCs w:val="20"/>
              </w:rPr>
            </w:pPr>
          </w:p>
        </w:tc>
        <w:tc>
          <w:tcPr>
            <w:tcW w:w="4480" w:type="pct"/>
            <w:gridSpan w:val="6"/>
            <w:vAlign w:val="center"/>
            <w:hideMark/>
          </w:tcPr>
          <w:p w14:paraId="3605249A" w14:textId="77777777" w:rsidR="00E0616A" w:rsidRPr="00F04378" w:rsidRDefault="00E0616A" w:rsidP="00CB7ED1">
            <w:pPr>
              <w:widowControl w:val="0"/>
              <w:rPr>
                <w:rFonts w:ascii="Arial Narrow" w:hAnsi="Arial Narrow"/>
                <w:sz w:val="20"/>
                <w:szCs w:val="20"/>
              </w:rPr>
            </w:pPr>
            <w:r w:rsidRPr="00F04378">
              <w:rPr>
                <w:rFonts w:ascii="Arial Narrow" w:hAnsi="Arial Narrow"/>
                <w:b/>
                <w:bCs/>
                <w:sz w:val="20"/>
                <w:szCs w:val="20"/>
              </w:rPr>
              <w:t xml:space="preserve">Indication: </w:t>
            </w:r>
            <w:r w:rsidRPr="00F04378">
              <w:rPr>
                <w:rFonts w:ascii="Arial Narrow" w:hAnsi="Arial Narrow"/>
                <w:sz w:val="20"/>
                <w:szCs w:val="20"/>
              </w:rPr>
              <w:t>Chronic migraine</w:t>
            </w:r>
          </w:p>
        </w:tc>
      </w:tr>
      <w:tr w:rsidR="00E0616A" w:rsidRPr="00B14553" w14:paraId="44B520C4"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5D5C9531" w14:textId="77777777" w:rsidR="00E0616A" w:rsidRPr="00F04378" w:rsidRDefault="00E0616A" w:rsidP="00CB7ED1">
            <w:pPr>
              <w:widowControl w:val="0"/>
              <w:rPr>
                <w:rFonts w:ascii="Arial Narrow" w:hAnsi="Arial Narrow"/>
                <w:sz w:val="20"/>
                <w:szCs w:val="20"/>
              </w:rPr>
            </w:pPr>
          </w:p>
        </w:tc>
        <w:tc>
          <w:tcPr>
            <w:tcW w:w="4480" w:type="pct"/>
            <w:gridSpan w:val="6"/>
            <w:vAlign w:val="center"/>
            <w:hideMark/>
          </w:tcPr>
          <w:p w14:paraId="43D45B08" w14:textId="551973C1" w:rsidR="00E0616A" w:rsidRPr="00F04378" w:rsidRDefault="00E0616A" w:rsidP="00CB7ED1">
            <w:pPr>
              <w:widowControl w:val="0"/>
              <w:rPr>
                <w:rFonts w:ascii="Arial Narrow" w:hAnsi="Arial Narrow"/>
                <w:sz w:val="20"/>
                <w:szCs w:val="20"/>
              </w:rPr>
            </w:pPr>
            <w:r w:rsidRPr="00F04378">
              <w:rPr>
                <w:rFonts w:ascii="Arial Narrow" w:hAnsi="Arial Narrow"/>
                <w:b/>
                <w:bCs/>
                <w:sz w:val="20"/>
                <w:szCs w:val="20"/>
              </w:rPr>
              <w:t>Treatment Phase:</w:t>
            </w:r>
            <w:r w:rsidRPr="00F04378">
              <w:rPr>
                <w:rFonts w:ascii="Arial Narrow" w:hAnsi="Arial Narrow"/>
                <w:sz w:val="20"/>
                <w:szCs w:val="20"/>
              </w:rPr>
              <w:t xml:space="preserve"> Continuing treatment </w:t>
            </w:r>
          </w:p>
        </w:tc>
      </w:tr>
      <w:tr w:rsidR="00E0616A" w:rsidRPr="00B14553" w14:paraId="5AC9FBEA"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73B6D764" w14:textId="441D94BB" w:rsidR="00E0616A" w:rsidRPr="00F04378" w:rsidRDefault="00E0616A" w:rsidP="00CB7ED1">
            <w:pPr>
              <w:widowControl w:val="0"/>
              <w:rPr>
                <w:rFonts w:ascii="Arial Narrow" w:hAnsi="Arial Narrow"/>
                <w:sz w:val="20"/>
                <w:szCs w:val="20"/>
              </w:rPr>
            </w:pPr>
          </w:p>
        </w:tc>
        <w:tc>
          <w:tcPr>
            <w:tcW w:w="4480" w:type="pct"/>
            <w:gridSpan w:val="6"/>
            <w:vAlign w:val="center"/>
          </w:tcPr>
          <w:p w14:paraId="48720F83" w14:textId="77777777" w:rsidR="00E0616A" w:rsidRPr="00F04378" w:rsidRDefault="00E0616A" w:rsidP="00CB7ED1">
            <w:pPr>
              <w:widowControl w:val="0"/>
              <w:rPr>
                <w:rFonts w:ascii="Arial Narrow" w:hAnsi="Arial Narrow"/>
                <w:b/>
                <w:bCs/>
                <w:sz w:val="20"/>
                <w:szCs w:val="20"/>
              </w:rPr>
            </w:pPr>
            <w:r w:rsidRPr="00F04378">
              <w:rPr>
                <w:rFonts w:ascii="Arial Narrow" w:hAnsi="Arial Narrow"/>
                <w:b/>
                <w:bCs/>
                <w:sz w:val="20"/>
                <w:szCs w:val="20"/>
              </w:rPr>
              <w:t>Treatment criteria:</w:t>
            </w:r>
          </w:p>
        </w:tc>
      </w:tr>
      <w:tr w:rsidR="00E0616A" w:rsidRPr="00CC325C" w14:paraId="5CB7383F"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11D22C5B" w14:textId="3DDF9CF4" w:rsidR="00E0616A" w:rsidRPr="00F04378" w:rsidRDefault="00E0616A" w:rsidP="00CB7ED1">
            <w:pPr>
              <w:widowControl w:val="0"/>
              <w:rPr>
                <w:rFonts w:ascii="Arial Narrow" w:hAnsi="Arial Narrow"/>
                <w:sz w:val="20"/>
                <w:szCs w:val="20"/>
              </w:rPr>
            </w:pPr>
          </w:p>
        </w:tc>
        <w:tc>
          <w:tcPr>
            <w:tcW w:w="4480" w:type="pct"/>
            <w:gridSpan w:val="6"/>
            <w:vAlign w:val="center"/>
          </w:tcPr>
          <w:p w14:paraId="46FC6B8F" w14:textId="5A871423" w:rsidR="00E0616A" w:rsidRPr="00C87C1A" w:rsidRDefault="00E0616A" w:rsidP="00CB7ED1">
            <w:pPr>
              <w:widowControl w:val="0"/>
              <w:rPr>
                <w:rFonts w:ascii="Arial Narrow" w:hAnsi="Arial Narrow"/>
                <w:sz w:val="20"/>
                <w:szCs w:val="20"/>
              </w:rPr>
            </w:pPr>
            <w:r w:rsidRPr="00C87C1A">
              <w:rPr>
                <w:rFonts w:ascii="Arial Narrow" w:hAnsi="Arial Narrow"/>
                <w:sz w:val="20"/>
                <w:szCs w:val="20"/>
              </w:rPr>
              <w:t xml:space="preserve">Must be treated by a </w:t>
            </w:r>
            <w:r w:rsidRPr="00F010F3">
              <w:rPr>
                <w:rFonts w:ascii="Arial Narrow" w:hAnsi="Arial Narrow"/>
                <w:sz w:val="20"/>
                <w:szCs w:val="20"/>
              </w:rPr>
              <w:t>specialist neurologist or in consultation with a specialist neurologist</w:t>
            </w:r>
          </w:p>
        </w:tc>
      </w:tr>
      <w:tr w:rsidR="00E0616A" w:rsidRPr="00B14553" w14:paraId="2D01CCF1"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7BF5A6EB" w14:textId="77777777" w:rsidR="00E0616A" w:rsidRPr="00F04378" w:rsidRDefault="00E0616A" w:rsidP="00CB7ED1">
            <w:pPr>
              <w:widowControl w:val="0"/>
              <w:rPr>
                <w:rFonts w:ascii="Arial Narrow" w:hAnsi="Arial Narrow"/>
                <w:sz w:val="20"/>
                <w:szCs w:val="20"/>
              </w:rPr>
            </w:pPr>
          </w:p>
        </w:tc>
        <w:tc>
          <w:tcPr>
            <w:tcW w:w="4480" w:type="pct"/>
            <w:gridSpan w:val="6"/>
            <w:vAlign w:val="center"/>
          </w:tcPr>
          <w:p w14:paraId="1A118401" w14:textId="77777777" w:rsidR="00E0616A" w:rsidRPr="00F04378" w:rsidRDefault="00E0616A" w:rsidP="00CB7ED1">
            <w:pPr>
              <w:widowControl w:val="0"/>
              <w:rPr>
                <w:rFonts w:ascii="Arial Narrow" w:hAnsi="Arial Narrow"/>
                <w:b/>
                <w:bCs/>
                <w:sz w:val="20"/>
                <w:szCs w:val="20"/>
              </w:rPr>
            </w:pPr>
            <w:r w:rsidRPr="00F04378">
              <w:rPr>
                <w:rFonts w:ascii="Arial Narrow" w:hAnsi="Arial Narrow"/>
                <w:b/>
                <w:bCs/>
                <w:sz w:val="20"/>
                <w:szCs w:val="20"/>
              </w:rPr>
              <w:t>AND</w:t>
            </w:r>
          </w:p>
        </w:tc>
      </w:tr>
      <w:tr w:rsidR="00E0616A" w:rsidRPr="00B14553" w14:paraId="34A7765E"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39200454" w14:textId="4695205F" w:rsidR="00E0616A" w:rsidRPr="00F04378" w:rsidRDefault="00E0616A" w:rsidP="00CB7ED1">
            <w:pPr>
              <w:widowControl w:val="0"/>
              <w:rPr>
                <w:rFonts w:ascii="Arial Narrow" w:hAnsi="Arial Narrow"/>
                <w:sz w:val="20"/>
                <w:szCs w:val="20"/>
              </w:rPr>
            </w:pPr>
          </w:p>
        </w:tc>
        <w:tc>
          <w:tcPr>
            <w:tcW w:w="4480" w:type="pct"/>
            <w:gridSpan w:val="6"/>
            <w:vAlign w:val="center"/>
          </w:tcPr>
          <w:p w14:paraId="1C52EEFF" w14:textId="77777777" w:rsidR="00E0616A" w:rsidRPr="00F04378" w:rsidRDefault="00E0616A" w:rsidP="00CB7ED1">
            <w:pPr>
              <w:widowControl w:val="0"/>
              <w:rPr>
                <w:rFonts w:ascii="Arial Narrow" w:hAnsi="Arial Narrow"/>
                <w:b/>
                <w:bCs/>
                <w:sz w:val="20"/>
                <w:szCs w:val="20"/>
              </w:rPr>
            </w:pPr>
            <w:r w:rsidRPr="00F04378">
              <w:rPr>
                <w:rFonts w:ascii="Arial Narrow" w:hAnsi="Arial Narrow"/>
                <w:b/>
                <w:bCs/>
                <w:sz w:val="20"/>
                <w:szCs w:val="20"/>
              </w:rPr>
              <w:t>Treatment criteria:</w:t>
            </w:r>
          </w:p>
        </w:tc>
      </w:tr>
      <w:tr w:rsidR="00E0616A" w:rsidRPr="00CC325C" w14:paraId="6F5F4E0A"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7588462B" w14:textId="77777777" w:rsidR="00E0616A" w:rsidRPr="00F04378" w:rsidRDefault="00E0616A" w:rsidP="00CB7ED1">
            <w:pPr>
              <w:widowControl w:val="0"/>
              <w:rPr>
                <w:rFonts w:ascii="Arial Narrow" w:hAnsi="Arial Narrow"/>
                <w:sz w:val="20"/>
                <w:szCs w:val="20"/>
              </w:rPr>
            </w:pPr>
          </w:p>
        </w:tc>
        <w:tc>
          <w:tcPr>
            <w:tcW w:w="4480" w:type="pct"/>
            <w:gridSpan w:val="6"/>
            <w:vAlign w:val="center"/>
          </w:tcPr>
          <w:p w14:paraId="07F8D064" w14:textId="77777777" w:rsidR="00E0616A" w:rsidRPr="00F04378" w:rsidRDefault="00E0616A" w:rsidP="00CB7ED1">
            <w:pPr>
              <w:widowControl w:val="0"/>
              <w:rPr>
                <w:rFonts w:ascii="Arial Narrow" w:hAnsi="Arial Narrow"/>
                <w:sz w:val="20"/>
                <w:szCs w:val="20"/>
              </w:rPr>
            </w:pPr>
            <w:r w:rsidRPr="00F04378">
              <w:rPr>
                <w:rFonts w:ascii="Arial Narrow" w:hAnsi="Arial Narrow"/>
                <w:sz w:val="20"/>
                <w:szCs w:val="20"/>
              </w:rPr>
              <w:t>Patient must not be undergoing concurrent treatment with the following PBS benefits: (</w:t>
            </w:r>
            <w:proofErr w:type="spellStart"/>
            <w:r w:rsidRPr="00F04378">
              <w:rPr>
                <w:rFonts w:ascii="Arial Narrow" w:hAnsi="Arial Narrow"/>
                <w:sz w:val="20"/>
                <w:szCs w:val="20"/>
              </w:rPr>
              <w:t>i</w:t>
            </w:r>
            <w:proofErr w:type="spellEnd"/>
            <w:r w:rsidRPr="00F04378">
              <w:rPr>
                <w:rFonts w:ascii="Arial Narrow" w:hAnsi="Arial Narrow"/>
                <w:sz w:val="20"/>
                <w:szCs w:val="20"/>
              </w:rPr>
              <w:t>) botulinum toxin type A listed for this PBS indication, (ii) another drug in the same pharmacological class as this drug listed for this PBS indication</w:t>
            </w:r>
          </w:p>
        </w:tc>
      </w:tr>
      <w:tr w:rsidR="00E0616A" w:rsidRPr="00945683" w14:paraId="1E4FF127"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3641BAF0" w14:textId="77777777" w:rsidR="00E0616A" w:rsidRPr="00F04378" w:rsidRDefault="00E0616A" w:rsidP="00CB7ED1">
            <w:pPr>
              <w:widowControl w:val="0"/>
              <w:rPr>
                <w:rFonts w:ascii="Arial Narrow" w:hAnsi="Arial Narrow"/>
                <w:sz w:val="20"/>
                <w:szCs w:val="20"/>
              </w:rPr>
            </w:pPr>
          </w:p>
        </w:tc>
        <w:tc>
          <w:tcPr>
            <w:tcW w:w="4480" w:type="pct"/>
            <w:gridSpan w:val="6"/>
            <w:vAlign w:val="center"/>
          </w:tcPr>
          <w:p w14:paraId="12AD52D8" w14:textId="77777777" w:rsidR="00E0616A" w:rsidRPr="00F04378" w:rsidRDefault="00E0616A" w:rsidP="00CB7ED1">
            <w:pPr>
              <w:widowControl w:val="0"/>
              <w:rPr>
                <w:rFonts w:ascii="Arial Narrow" w:hAnsi="Arial Narrow"/>
                <w:b/>
                <w:bCs/>
                <w:sz w:val="20"/>
                <w:szCs w:val="20"/>
              </w:rPr>
            </w:pPr>
            <w:r w:rsidRPr="00F04378">
              <w:rPr>
                <w:rFonts w:ascii="Arial Narrow" w:hAnsi="Arial Narrow"/>
                <w:b/>
                <w:bCs/>
                <w:sz w:val="20"/>
                <w:szCs w:val="20"/>
              </w:rPr>
              <w:t>AND</w:t>
            </w:r>
          </w:p>
        </w:tc>
      </w:tr>
      <w:tr w:rsidR="00E0616A" w:rsidRPr="00B14553" w14:paraId="176440B6"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7BE31FFC" w14:textId="6207AD48" w:rsidR="00E0616A" w:rsidRPr="00C82A30" w:rsidRDefault="00E0616A" w:rsidP="00CB7ED1">
            <w:pPr>
              <w:widowControl w:val="0"/>
              <w:rPr>
                <w:rFonts w:ascii="Arial Narrow" w:hAnsi="Arial Narrow"/>
                <w:sz w:val="20"/>
                <w:szCs w:val="20"/>
              </w:rPr>
            </w:pPr>
          </w:p>
        </w:tc>
        <w:tc>
          <w:tcPr>
            <w:tcW w:w="4480" w:type="pct"/>
            <w:gridSpan w:val="6"/>
            <w:vAlign w:val="center"/>
            <w:hideMark/>
          </w:tcPr>
          <w:p w14:paraId="534EF6F0" w14:textId="77777777" w:rsidR="00E0616A" w:rsidRPr="00C82A30" w:rsidRDefault="00E0616A" w:rsidP="00CB7ED1">
            <w:pPr>
              <w:widowControl w:val="0"/>
              <w:rPr>
                <w:rFonts w:ascii="Arial Narrow" w:hAnsi="Arial Narrow"/>
                <w:sz w:val="20"/>
                <w:szCs w:val="20"/>
              </w:rPr>
            </w:pPr>
            <w:r w:rsidRPr="00C82A30">
              <w:rPr>
                <w:rFonts w:ascii="Arial Narrow" w:hAnsi="Arial Narrow"/>
                <w:b/>
                <w:bCs/>
                <w:sz w:val="20"/>
                <w:szCs w:val="20"/>
              </w:rPr>
              <w:t>Clinical criteria:</w:t>
            </w:r>
          </w:p>
        </w:tc>
      </w:tr>
      <w:tr w:rsidR="00E0616A" w:rsidRPr="00B14553" w14:paraId="30FE8EAA"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7C1352B1" w14:textId="5B8F9C04" w:rsidR="00E0616A" w:rsidRPr="00C82A30" w:rsidRDefault="00E0616A" w:rsidP="00CB7ED1">
            <w:pPr>
              <w:widowControl w:val="0"/>
              <w:rPr>
                <w:rFonts w:ascii="Arial Narrow" w:hAnsi="Arial Narrow"/>
                <w:sz w:val="20"/>
                <w:szCs w:val="20"/>
              </w:rPr>
            </w:pPr>
          </w:p>
        </w:tc>
        <w:tc>
          <w:tcPr>
            <w:tcW w:w="4480" w:type="pct"/>
            <w:gridSpan w:val="6"/>
            <w:vAlign w:val="center"/>
            <w:hideMark/>
          </w:tcPr>
          <w:p w14:paraId="0C584292" w14:textId="7BEB31CA" w:rsidR="00E0616A" w:rsidRPr="00C82A30" w:rsidRDefault="00E0616A" w:rsidP="00CB7ED1">
            <w:pPr>
              <w:widowControl w:val="0"/>
              <w:rPr>
                <w:rFonts w:ascii="Arial Narrow" w:hAnsi="Arial Narrow"/>
                <w:sz w:val="20"/>
                <w:szCs w:val="20"/>
              </w:rPr>
            </w:pPr>
            <w:r w:rsidRPr="00C82A30">
              <w:rPr>
                <w:rFonts w:ascii="Arial Narrow" w:hAnsi="Arial Narrow"/>
                <w:sz w:val="20"/>
                <w:szCs w:val="20"/>
              </w:rPr>
              <w:t>Patient must have previously received PBS-subsidised treatment with this drug for this condition,</w:t>
            </w:r>
          </w:p>
        </w:tc>
      </w:tr>
      <w:tr w:rsidR="00E0616A" w:rsidRPr="00B14553" w14:paraId="57E1C495"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30B3EF5E" w14:textId="77777777" w:rsidR="00E0616A" w:rsidRPr="00F04378" w:rsidRDefault="00E0616A" w:rsidP="00CB7ED1">
            <w:pPr>
              <w:widowControl w:val="0"/>
              <w:rPr>
                <w:rFonts w:ascii="Arial Narrow" w:hAnsi="Arial Narrow"/>
                <w:sz w:val="20"/>
                <w:szCs w:val="20"/>
              </w:rPr>
            </w:pPr>
          </w:p>
        </w:tc>
        <w:tc>
          <w:tcPr>
            <w:tcW w:w="4480" w:type="pct"/>
            <w:gridSpan w:val="6"/>
            <w:vAlign w:val="center"/>
            <w:hideMark/>
          </w:tcPr>
          <w:p w14:paraId="01F2BA4D" w14:textId="77777777" w:rsidR="00E0616A" w:rsidRPr="00F04378" w:rsidRDefault="00E0616A" w:rsidP="00CB7ED1">
            <w:pPr>
              <w:widowControl w:val="0"/>
              <w:rPr>
                <w:rFonts w:ascii="Arial Narrow" w:hAnsi="Arial Narrow"/>
                <w:sz w:val="20"/>
                <w:szCs w:val="20"/>
              </w:rPr>
            </w:pPr>
            <w:r w:rsidRPr="00F04378">
              <w:rPr>
                <w:rFonts w:ascii="Arial Narrow" w:hAnsi="Arial Narrow"/>
                <w:b/>
                <w:bCs/>
                <w:sz w:val="20"/>
                <w:szCs w:val="20"/>
              </w:rPr>
              <w:t>AND</w:t>
            </w:r>
          </w:p>
        </w:tc>
      </w:tr>
      <w:tr w:rsidR="00E0616A" w:rsidRPr="000C2D3A" w14:paraId="7CAA2BBD"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0B3F7335" w14:textId="2F611EC5" w:rsidR="00E0616A" w:rsidRPr="00F04378" w:rsidRDefault="00E0616A" w:rsidP="00CB7ED1">
            <w:pPr>
              <w:widowControl w:val="0"/>
              <w:rPr>
                <w:rFonts w:ascii="Arial Narrow" w:hAnsi="Arial Narrow"/>
                <w:sz w:val="20"/>
                <w:szCs w:val="20"/>
              </w:rPr>
            </w:pPr>
          </w:p>
        </w:tc>
        <w:tc>
          <w:tcPr>
            <w:tcW w:w="4480" w:type="pct"/>
            <w:gridSpan w:val="6"/>
            <w:vAlign w:val="center"/>
          </w:tcPr>
          <w:p w14:paraId="1C337207" w14:textId="77777777" w:rsidR="00E0616A" w:rsidRPr="00F04378" w:rsidRDefault="00E0616A" w:rsidP="00CB7ED1">
            <w:pPr>
              <w:widowControl w:val="0"/>
              <w:rPr>
                <w:rFonts w:ascii="Arial Narrow" w:hAnsi="Arial Narrow"/>
                <w:sz w:val="20"/>
                <w:szCs w:val="20"/>
              </w:rPr>
            </w:pPr>
            <w:r w:rsidRPr="00F04378">
              <w:rPr>
                <w:rFonts w:ascii="Arial Narrow" w:hAnsi="Arial Narrow"/>
                <w:b/>
                <w:bCs/>
                <w:sz w:val="20"/>
                <w:szCs w:val="20"/>
              </w:rPr>
              <w:t>Clinical criteria:</w:t>
            </w:r>
          </w:p>
        </w:tc>
      </w:tr>
      <w:tr w:rsidR="00E0616A" w:rsidRPr="00B14553" w14:paraId="60510A3B"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275CF084" w14:textId="3BE632D3" w:rsidR="00E0616A" w:rsidRPr="00F04378" w:rsidRDefault="00E0616A" w:rsidP="00CB7ED1">
            <w:pPr>
              <w:widowControl w:val="0"/>
              <w:rPr>
                <w:rFonts w:ascii="Arial Narrow" w:hAnsi="Arial Narrow"/>
                <w:sz w:val="20"/>
                <w:szCs w:val="20"/>
              </w:rPr>
            </w:pPr>
          </w:p>
        </w:tc>
        <w:tc>
          <w:tcPr>
            <w:tcW w:w="4480" w:type="pct"/>
            <w:gridSpan w:val="6"/>
            <w:vAlign w:val="center"/>
            <w:hideMark/>
          </w:tcPr>
          <w:p w14:paraId="3383BF5C" w14:textId="77777777" w:rsidR="00E0616A" w:rsidRPr="00F04378" w:rsidRDefault="00E0616A" w:rsidP="00CB7ED1">
            <w:pPr>
              <w:widowControl w:val="0"/>
              <w:rPr>
                <w:rFonts w:ascii="Arial Narrow" w:hAnsi="Arial Narrow"/>
                <w:sz w:val="20"/>
                <w:szCs w:val="20"/>
              </w:rPr>
            </w:pPr>
            <w:r w:rsidRPr="00F04378">
              <w:rPr>
                <w:rFonts w:ascii="Arial Narrow" w:hAnsi="Arial Narrow"/>
                <w:sz w:val="20"/>
                <w:szCs w:val="20"/>
              </w:rPr>
              <w:t>Patient must have achieved and maintained a 50% or greater reduction from baseline in the number of migraine days per month,</w:t>
            </w:r>
          </w:p>
        </w:tc>
      </w:tr>
      <w:tr w:rsidR="002E3D2F" w:rsidRPr="00304939" w14:paraId="4F733661"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51AFFAF0" w14:textId="77777777" w:rsidR="002E3D2F" w:rsidRPr="00F04378" w:rsidRDefault="002E3D2F" w:rsidP="002E3D2F">
            <w:pPr>
              <w:widowControl w:val="0"/>
              <w:rPr>
                <w:rFonts w:ascii="Arial Narrow" w:hAnsi="Arial Narrow"/>
                <w:sz w:val="20"/>
                <w:szCs w:val="20"/>
              </w:rPr>
            </w:pPr>
          </w:p>
        </w:tc>
        <w:tc>
          <w:tcPr>
            <w:tcW w:w="4480" w:type="pct"/>
            <w:gridSpan w:val="6"/>
            <w:vAlign w:val="center"/>
          </w:tcPr>
          <w:p w14:paraId="673AA25A" w14:textId="04849253" w:rsidR="002E3D2F" w:rsidRPr="00F04378" w:rsidRDefault="002E3D2F" w:rsidP="002E3D2F">
            <w:pPr>
              <w:widowControl w:val="0"/>
              <w:rPr>
                <w:rFonts w:ascii="Arial Narrow" w:hAnsi="Arial Narrow"/>
                <w:b/>
                <w:bCs/>
                <w:sz w:val="20"/>
                <w:szCs w:val="20"/>
              </w:rPr>
            </w:pPr>
            <w:r w:rsidRPr="00F04378">
              <w:rPr>
                <w:rFonts w:ascii="Arial Narrow" w:hAnsi="Arial Narrow"/>
                <w:b/>
                <w:bCs/>
                <w:sz w:val="20"/>
                <w:szCs w:val="20"/>
              </w:rPr>
              <w:t>AND</w:t>
            </w:r>
          </w:p>
        </w:tc>
      </w:tr>
      <w:tr w:rsidR="002E3D2F" w:rsidRPr="00304939" w14:paraId="4F83A617"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11F9FF5B" w14:textId="77777777" w:rsidR="002E3D2F" w:rsidRPr="00F04378" w:rsidRDefault="002E3D2F" w:rsidP="002E3D2F">
            <w:pPr>
              <w:widowControl w:val="0"/>
              <w:rPr>
                <w:rFonts w:ascii="Arial Narrow" w:hAnsi="Arial Narrow"/>
                <w:sz w:val="20"/>
                <w:szCs w:val="20"/>
              </w:rPr>
            </w:pPr>
          </w:p>
        </w:tc>
        <w:tc>
          <w:tcPr>
            <w:tcW w:w="4480" w:type="pct"/>
            <w:gridSpan w:val="6"/>
            <w:vAlign w:val="center"/>
          </w:tcPr>
          <w:p w14:paraId="3EC610EA" w14:textId="6CEE20E3" w:rsidR="002E3D2F" w:rsidRPr="00F04378" w:rsidRDefault="002E3D2F" w:rsidP="002E3D2F">
            <w:pPr>
              <w:widowControl w:val="0"/>
              <w:rPr>
                <w:rFonts w:ascii="Arial Narrow" w:hAnsi="Arial Narrow"/>
                <w:b/>
                <w:bCs/>
                <w:sz w:val="20"/>
                <w:szCs w:val="20"/>
              </w:rPr>
            </w:pPr>
            <w:r w:rsidRPr="00F04378">
              <w:rPr>
                <w:rFonts w:ascii="Arial Narrow" w:hAnsi="Arial Narrow"/>
                <w:b/>
                <w:bCs/>
                <w:sz w:val="20"/>
                <w:szCs w:val="20"/>
              </w:rPr>
              <w:t>Clinical criteria:</w:t>
            </w:r>
          </w:p>
        </w:tc>
      </w:tr>
      <w:tr w:rsidR="002E3D2F" w:rsidRPr="00304939" w14:paraId="6901A1AC"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0887AC55" w14:textId="77777777" w:rsidR="002E3D2F" w:rsidRPr="00F04378" w:rsidRDefault="002E3D2F" w:rsidP="002E3D2F">
            <w:pPr>
              <w:widowControl w:val="0"/>
              <w:rPr>
                <w:rFonts w:ascii="Arial Narrow" w:hAnsi="Arial Narrow"/>
                <w:sz w:val="20"/>
                <w:szCs w:val="20"/>
              </w:rPr>
            </w:pPr>
          </w:p>
        </w:tc>
        <w:tc>
          <w:tcPr>
            <w:tcW w:w="4480" w:type="pct"/>
            <w:gridSpan w:val="6"/>
            <w:vAlign w:val="center"/>
          </w:tcPr>
          <w:p w14:paraId="57EAE28A" w14:textId="431EEBCB" w:rsidR="002E3D2F" w:rsidRPr="00F04378" w:rsidRDefault="002E3D2F" w:rsidP="002E3D2F">
            <w:pPr>
              <w:widowControl w:val="0"/>
              <w:rPr>
                <w:rFonts w:ascii="Arial Narrow" w:hAnsi="Arial Narrow"/>
                <w:b/>
                <w:bCs/>
                <w:sz w:val="20"/>
                <w:szCs w:val="20"/>
              </w:rPr>
            </w:pPr>
            <w:r w:rsidRPr="00CF5CF2">
              <w:rPr>
                <w:rFonts w:ascii="Arial Narrow" w:hAnsi="Arial Narrow"/>
                <w:sz w:val="20"/>
                <w:szCs w:val="20"/>
              </w:rPr>
              <w:t>Patient must be appropriately managed by his or her practitioner for medication overuse headache, prior to initiation of treatment with this drug</w:t>
            </w:r>
            <w:r>
              <w:rPr>
                <w:rFonts w:ascii="Arial Narrow" w:hAnsi="Arial Narrow"/>
                <w:sz w:val="20"/>
                <w:szCs w:val="20"/>
              </w:rPr>
              <w:t>,</w:t>
            </w:r>
          </w:p>
        </w:tc>
      </w:tr>
      <w:tr w:rsidR="002E3D2F" w:rsidRPr="00304939" w14:paraId="00AC4DA9"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20026329" w14:textId="77777777" w:rsidR="002E3D2F" w:rsidRPr="00F04378" w:rsidRDefault="002E3D2F" w:rsidP="002E3D2F">
            <w:pPr>
              <w:widowControl w:val="0"/>
              <w:rPr>
                <w:rFonts w:ascii="Arial Narrow" w:hAnsi="Arial Narrow"/>
                <w:sz w:val="20"/>
                <w:szCs w:val="20"/>
              </w:rPr>
            </w:pPr>
          </w:p>
        </w:tc>
        <w:tc>
          <w:tcPr>
            <w:tcW w:w="4480" w:type="pct"/>
            <w:gridSpan w:val="6"/>
            <w:vAlign w:val="center"/>
          </w:tcPr>
          <w:p w14:paraId="16A2DAB0" w14:textId="77777777" w:rsidR="002E3D2F" w:rsidRPr="00F04378" w:rsidRDefault="002E3D2F" w:rsidP="002E3D2F">
            <w:pPr>
              <w:widowControl w:val="0"/>
              <w:rPr>
                <w:rFonts w:ascii="Arial Narrow" w:hAnsi="Arial Narrow"/>
                <w:b/>
                <w:bCs/>
                <w:sz w:val="20"/>
                <w:szCs w:val="20"/>
              </w:rPr>
            </w:pPr>
            <w:r w:rsidRPr="00F04378">
              <w:rPr>
                <w:rFonts w:ascii="Arial Narrow" w:hAnsi="Arial Narrow"/>
                <w:b/>
                <w:bCs/>
                <w:sz w:val="20"/>
                <w:szCs w:val="20"/>
              </w:rPr>
              <w:t>AND</w:t>
            </w:r>
          </w:p>
        </w:tc>
      </w:tr>
      <w:tr w:rsidR="002E3D2F" w:rsidRPr="00A13DFF" w14:paraId="08EDE898"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6D2BF6F4" w14:textId="09389888" w:rsidR="002E3D2F" w:rsidRPr="00F04378" w:rsidRDefault="002E3D2F" w:rsidP="002E3D2F">
            <w:pPr>
              <w:widowControl w:val="0"/>
              <w:rPr>
                <w:rFonts w:ascii="Arial Narrow" w:hAnsi="Arial Narrow"/>
                <w:sz w:val="20"/>
                <w:szCs w:val="20"/>
              </w:rPr>
            </w:pPr>
          </w:p>
        </w:tc>
        <w:tc>
          <w:tcPr>
            <w:tcW w:w="4480" w:type="pct"/>
            <w:gridSpan w:val="6"/>
            <w:vAlign w:val="center"/>
          </w:tcPr>
          <w:p w14:paraId="4AADCF13" w14:textId="77777777" w:rsidR="002E3D2F" w:rsidRPr="00F04378" w:rsidRDefault="002E3D2F" w:rsidP="002E3D2F">
            <w:pPr>
              <w:widowControl w:val="0"/>
              <w:rPr>
                <w:rFonts w:ascii="Arial Narrow" w:hAnsi="Arial Narrow"/>
                <w:b/>
                <w:bCs/>
                <w:sz w:val="20"/>
                <w:szCs w:val="20"/>
              </w:rPr>
            </w:pPr>
            <w:r w:rsidRPr="00F04378">
              <w:rPr>
                <w:rFonts w:ascii="Arial Narrow" w:hAnsi="Arial Narrow"/>
                <w:b/>
                <w:bCs/>
                <w:sz w:val="20"/>
                <w:szCs w:val="20"/>
              </w:rPr>
              <w:t>Clinical criteria:</w:t>
            </w:r>
          </w:p>
        </w:tc>
      </w:tr>
      <w:tr w:rsidR="002E3D2F" w:rsidRPr="00A13DFF" w14:paraId="1F3D1005"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2A00B6C8" w14:textId="5B403EA5" w:rsidR="002E3D2F" w:rsidRPr="00F04378" w:rsidRDefault="002E3D2F" w:rsidP="002E3D2F">
            <w:pPr>
              <w:widowControl w:val="0"/>
              <w:rPr>
                <w:rFonts w:ascii="Arial Narrow" w:hAnsi="Arial Narrow"/>
                <w:sz w:val="20"/>
                <w:szCs w:val="20"/>
              </w:rPr>
            </w:pPr>
          </w:p>
        </w:tc>
        <w:tc>
          <w:tcPr>
            <w:tcW w:w="4480" w:type="pct"/>
            <w:gridSpan w:val="6"/>
            <w:vAlign w:val="center"/>
          </w:tcPr>
          <w:p w14:paraId="7870ECE5" w14:textId="45AFEA9C" w:rsidR="002E3D2F" w:rsidRPr="00F04378" w:rsidRDefault="002E3D2F" w:rsidP="002E3D2F">
            <w:pPr>
              <w:widowControl w:val="0"/>
              <w:rPr>
                <w:rFonts w:ascii="Arial Narrow" w:hAnsi="Arial Narrow"/>
                <w:b/>
                <w:bCs/>
                <w:sz w:val="20"/>
                <w:szCs w:val="20"/>
              </w:rPr>
            </w:pPr>
            <w:r w:rsidRPr="00F04378">
              <w:rPr>
                <w:rFonts w:ascii="Arial Narrow" w:hAnsi="Arial Narrow"/>
                <w:sz w:val="20"/>
                <w:szCs w:val="20"/>
              </w:rPr>
              <w:t>Patient must continue to be appropriately managed for medication overuse headache.</w:t>
            </w:r>
          </w:p>
        </w:tc>
      </w:tr>
      <w:tr w:rsidR="002E3D2F" w:rsidRPr="00304939" w14:paraId="46129355"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2B18D5AC" w14:textId="77777777" w:rsidR="002E3D2F" w:rsidRPr="00F04378" w:rsidRDefault="002E3D2F" w:rsidP="002E3D2F">
            <w:pPr>
              <w:widowControl w:val="0"/>
              <w:rPr>
                <w:rFonts w:ascii="Arial Narrow" w:hAnsi="Arial Narrow"/>
                <w:sz w:val="20"/>
                <w:szCs w:val="20"/>
              </w:rPr>
            </w:pPr>
          </w:p>
        </w:tc>
        <w:tc>
          <w:tcPr>
            <w:tcW w:w="4480" w:type="pct"/>
            <w:gridSpan w:val="6"/>
            <w:vAlign w:val="center"/>
          </w:tcPr>
          <w:p w14:paraId="72C9E2E6" w14:textId="2F6239E7" w:rsidR="002E3D2F" w:rsidRPr="00F04378" w:rsidRDefault="002E3D2F" w:rsidP="002E3D2F">
            <w:pPr>
              <w:widowControl w:val="0"/>
              <w:rPr>
                <w:rFonts w:ascii="Arial Narrow" w:hAnsi="Arial Narrow"/>
                <w:sz w:val="20"/>
                <w:szCs w:val="20"/>
              </w:rPr>
            </w:pPr>
            <w:r w:rsidRPr="00F04378">
              <w:rPr>
                <w:rFonts w:ascii="Arial Narrow" w:hAnsi="Arial Narrow"/>
                <w:b/>
                <w:bCs/>
                <w:sz w:val="20"/>
                <w:szCs w:val="20"/>
              </w:rPr>
              <w:t>AND</w:t>
            </w:r>
          </w:p>
        </w:tc>
      </w:tr>
      <w:tr w:rsidR="002E3D2F" w:rsidRPr="00304939" w14:paraId="369238A6"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51AAEE6F" w14:textId="77634EAB" w:rsidR="002E3D2F" w:rsidRPr="00F04378" w:rsidRDefault="002E3D2F" w:rsidP="002E3D2F">
            <w:pPr>
              <w:widowControl w:val="0"/>
              <w:rPr>
                <w:rFonts w:ascii="Arial Narrow" w:hAnsi="Arial Narrow"/>
                <w:sz w:val="20"/>
                <w:szCs w:val="20"/>
              </w:rPr>
            </w:pPr>
          </w:p>
        </w:tc>
        <w:tc>
          <w:tcPr>
            <w:tcW w:w="4480" w:type="pct"/>
            <w:gridSpan w:val="6"/>
            <w:vAlign w:val="center"/>
          </w:tcPr>
          <w:p w14:paraId="2589E7E6" w14:textId="438B5F93" w:rsidR="002E3D2F" w:rsidRPr="00F04378" w:rsidRDefault="002E3D2F" w:rsidP="002E3D2F">
            <w:pPr>
              <w:widowControl w:val="0"/>
              <w:rPr>
                <w:rFonts w:ascii="Arial Narrow" w:hAnsi="Arial Narrow"/>
                <w:sz w:val="20"/>
                <w:szCs w:val="20"/>
              </w:rPr>
            </w:pPr>
            <w:r w:rsidRPr="00F04378">
              <w:rPr>
                <w:rFonts w:ascii="Arial Narrow" w:hAnsi="Arial Narrow"/>
                <w:b/>
                <w:bCs/>
                <w:sz w:val="20"/>
                <w:szCs w:val="20"/>
              </w:rPr>
              <w:t>Clinical criteria:</w:t>
            </w:r>
          </w:p>
        </w:tc>
      </w:tr>
      <w:tr w:rsidR="002E3D2F" w:rsidRPr="00304939" w14:paraId="70544936"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6D8F8A5F" w14:textId="4AB02458" w:rsidR="002E3D2F" w:rsidRPr="00F04378" w:rsidRDefault="002E3D2F" w:rsidP="002E3D2F">
            <w:pPr>
              <w:widowControl w:val="0"/>
              <w:rPr>
                <w:rFonts w:ascii="Arial Narrow" w:hAnsi="Arial Narrow"/>
                <w:sz w:val="20"/>
                <w:szCs w:val="20"/>
              </w:rPr>
            </w:pPr>
          </w:p>
        </w:tc>
        <w:tc>
          <w:tcPr>
            <w:tcW w:w="4480" w:type="pct"/>
            <w:gridSpan w:val="6"/>
            <w:vAlign w:val="center"/>
          </w:tcPr>
          <w:p w14:paraId="36BC4949" w14:textId="21F1D563" w:rsidR="002E3D2F" w:rsidRPr="00C87C1A" w:rsidRDefault="002E3D2F" w:rsidP="00CF5CF2">
            <w:pPr>
              <w:rPr>
                <w:rFonts w:ascii="Arial Narrow" w:hAnsi="Arial Narrow"/>
                <w:iCs/>
                <w:sz w:val="20"/>
                <w:szCs w:val="20"/>
              </w:rPr>
            </w:pPr>
            <w:r w:rsidRPr="00F010F3">
              <w:rPr>
                <w:rFonts w:ascii="Arial Narrow" w:hAnsi="Arial Narrow"/>
                <w:iCs/>
                <w:sz w:val="20"/>
                <w:szCs w:val="20"/>
              </w:rPr>
              <w:t>The treatment must be administered on a 3 monthly dosing schedule</w:t>
            </w:r>
          </w:p>
        </w:tc>
      </w:tr>
      <w:tr w:rsidR="002E3D2F" w:rsidRPr="00304939" w14:paraId="3B103174"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049C48FE" w14:textId="77777777" w:rsidR="002E3D2F" w:rsidRPr="00F04378" w:rsidRDefault="002E3D2F" w:rsidP="002E3D2F">
            <w:pPr>
              <w:widowControl w:val="0"/>
              <w:rPr>
                <w:rFonts w:ascii="Arial Narrow" w:hAnsi="Arial Narrow"/>
                <w:sz w:val="20"/>
                <w:szCs w:val="20"/>
              </w:rPr>
            </w:pPr>
          </w:p>
        </w:tc>
        <w:tc>
          <w:tcPr>
            <w:tcW w:w="4480" w:type="pct"/>
            <w:gridSpan w:val="6"/>
            <w:vAlign w:val="center"/>
          </w:tcPr>
          <w:p w14:paraId="7AA8DC16" w14:textId="67231BEE" w:rsidR="002E3D2F" w:rsidRPr="00CF5CF2" w:rsidRDefault="002E3D2F" w:rsidP="002E3D2F">
            <w:pPr>
              <w:widowControl w:val="0"/>
              <w:rPr>
                <w:rFonts w:ascii="Arial Narrow" w:hAnsi="Arial Narrow"/>
                <w:strike/>
                <w:sz w:val="20"/>
                <w:szCs w:val="20"/>
              </w:rPr>
            </w:pPr>
          </w:p>
        </w:tc>
      </w:tr>
      <w:tr w:rsidR="002E3D2F" w:rsidRPr="00304939" w14:paraId="5D2EE683" w14:textId="77777777" w:rsidTr="00E0616A">
        <w:tblPrEx>
          <w:tblCellMar>
            <w:top w:w="15" w:type="dxa"/>
            <w:left w:w="15" w:type="dxa"/>
            <w:bottom w:w="15" w:type="dxa"/>
            <w:right w:w="15" w:type="dxa"/>
          </w:tblCellMar>
          <w:tblLook w:val="04A0" w:firstRow="1" w:lastRow="0" w:firstColumn="1" w:lastColumn="0" w:noHBand="0" w:noVBand="1"/>
        </w:tblPrEx>
        <w:trPr>
          <w:gridAfter w:val="1"/>
          <w:wAfter w:w="11" w:type="pct"/>
          <w:cantSplit/>
          <w:trHeight w:val="20"/>
        </w:trPr>
        <w:tc>
          <w:tcPr>
            <w:tcW w:w="509" w:type="pct"/>
            <w:vAlign w:val="center"/>
          </w:tcPr>
          <w:p w14:paraId="7745F38C" w14:textId="626F2D17" w:rsidR="002E3D2F" w:rsidRPr="00F04378" w:rsidRDefault="002E3D2F" w:rsidP="002E3D2F">
            <w:pPr>
              <w:widowControl w:val="0"/>
              <w:rPr>
                <w:rFonts w:ascii="Arial Narrow" w:hAnsi="Arial Narrow"/>
                <w:sz w:val="20"/>
                <w:szCs w:val="20"/>
              </w:rPr>
            </w:pPr>
          </w:p>
        </w:tc>
        <w:tc>
          <w:tcPr>
            <w:tcW w:w="4480" w:type="pct"/>
            <w:gridSpan w:val="6"/>
            <w:vAlign w:val="center"/>
          </w:tcPr>
          <w:p w14:paraId="519D3BD8" w14:textId="2F9A0466" w:rsidR="002E3D2F" w:rsidRPr="00F04378" w:rsidRDefault="002E3D2F" w:rsidP="002E3D2F">
            <w:pPr>
              <w:widowControl w:val="0"/>
              <w:rPr>
                <w:rFonts w:ascii="Arial Narrow" w:hAnsi="Arial Narrow"/>
                <w:b/>
                <w:bCs/>
                <w:sz w:val="20"/>
                <w:szCs w:val="20"/>
              </w:rPr>
            </w:pPr>
            <w:r w:rsidRPr="00F04378">
              <w:rPr>
                <w:rFonts w:ascii="Arial Narrow" w:hAnsi="Arial Narrow"/>
                <w:b/>
                <w:bCs/>
                <w:sz w:val="20"/>
                <w:szCs w:val="20"/>
              </w:rPr>
              <w:t>Prescribing instructions:</w:t>
            </w:r>
          </w:p>
          <w:p w14:paraId="180D9C39" w14:textId="77777777" w:rsidR="002E3D2F" w:rsidRPr="00F010F3" w:rsidRDefault="002E3D2F" w:rsidP="002E3D2F">
            <w:pPr>
              <w:widowControl w:val="0"/>
              <w:rPr>
                <w:rFonts w:ascii="Arial Narrow" w:hAnsi="Arial Narrow"/>
                <w:sz w:val="20"/>
                <w:szCs w:val="20"/>
              </w:rPr>
            </w:pPr>
            <w:r w:rsidRPr="00F010F3">
              <w:rPr>
                <w:rFonts w:ascii="Arial Narrow" w:hAnsi="Arial Narrow"/>
                <w:sz w:val="20"/>
                <w:szCs w:val="20"/>
              </w:rPr>
              <w:t xml:space="preserve">Patient must have the number of migraine days per month documented in their medical records. </w:t>
            </w:r>
          </w:p>
        </w:tc>
      </w:tr>
    </w:tbl>
    <w:p w14:paraId="73204F44" w14:textId="77777777" w:rsidR="00E0616A" w:rsidRDefault="00E0616A" w:rsidP="00CB7ED1">
      <w:pPr>
        <w:pStyle w:val="3Bodytext"/>
        <w:widowControl w:val="0"/>
        <w:numPr>
          <w:ilvl w:val="0"/>
          <w:numId w:val="0"/>
        </w:numPr>
        <w:spacing w:after="0"/>
      </w:pPr>
    </w:p>
    <w:p w14:paraId="265C7509" w14:textId="6E3D0CF7" w:rsidR="000C4686" w:rsidRDefault="00BF4904" w:rsidP="00D6045A">
      <w:pPr>
        <w:pStyle w:val="3Bodytext"/>
        <w:jc w:val="both"/>
        <w:rPr>
          <w:i/>
          <w:iCs/>
        </w:rPr>
      </w:pPr>
      <w:r w:rsidRPr="00F010F3">
        <w:t>The requested maximum quantity</w:t>
      </w:r>
      <w:r w:rsidR="009135D3" w:rsidRPr="00F010F3">
        <w:t xml:space="preserve"> (3 x 225 mg)</w:t>
      </w:r>
      <w:r w:rsidRPr="00F010F3">
        <w:t xml:space="preserve"> and number of repeats</w:t>
      </w:r>
      <w:r w:rsidR="009135D3" w:rsidRPr="00F010F3">
        <w:t xml:space="preserve"> (1 repeat)</w:t>
      </w:r>
      <w:r w:rsidRPr="00F010F3">
        <w:t xml:space="preserve"> will provide </w:t>
      </w:r>
      <w:r w:rsidR="00F32F43">
        <w:t>6</w:t>
      </w:r>
      <w:r w:rsidR="00F32F43" w:rsidRPr="00F010F3">
        <w:t xml:space="preserve"> </w:t>
      </w:r>
      <w:r w:rsidRPr="00F010F3">
        <w:t>months of treatment to patients who require quarterly dosing.</w:t>
      </w:r>
      <w:r w:rsidR="009135D3" w:rsidRPr="00F010F3">
        <w:t xml:space="preserve"> To be</w:t>
      </w:r>
      <w:r w:rsidR="009135D3" w:rsidRPr="00CF5CF2">
        <w:rPr>
          <w:i/>
          <w:iCs/>
        </w:rPr>
        <w:t xml:space="preserve"> </w:t>
      </w:r>
      <w:r w:rsidR="009135D3" w:rsidRPr="00F010F3">
        <w:t>eligible for this quarterly dosing, patients are required to have received PBS-subsidised fremanezumab under this condition. This means that existing patients would be able to transition to quarterly dosing if required.</w:t>
      </w:r>
      <w:r w:rsidR="009135D3" w:rsidRPr="00CF5CF2">
        <w:rPr>
          <w:i/>
          <w:iCs/>
        </w:rPr>
        <w:t xml:space="preserve"> </w:t>
      </w:r>
      <w:r w:rsidRPr="00CF5CF2">
        <w:rPr>
          <w:i/>
          <w:iCs/>
        </w:rPr>
        <w:t xml:space="preserve"> </w:t>
      </w:r>
    </w:p>
    <w:p w14:paraId="496C1A46" w14:textId="6A993997" w:rsidR="009C7665" w:rsidRPr="007F37D6" w:rsidRDefault="009C7665" w:rsidP="00D6045A">
      <w:pPr>
        <w:pStyle w:val="3Bodytext"/>
        <w:numPr>
          <w:ilvl w:val="0"/>
          <w:numId w:val="0"/>
        </w:numPr>
        <w:ind w:left="720"/>
        <w:rPr>
          <w:i/>
          <w:iCs/>
        </w:rPr>
      </w:pPr>
      <w:r w:rsidRPr="000C4686">
        <w:rPr>
          <w:i/>
          <w:iCs/>
        </w:rPr>
        <w:t xml:space="preserve">For more detail on PBAC’s view, see section </w:t>
      </w:r>
      <w:r w:rsidR="00B972D3">
        <w:rPr>
          <w:i/>
          <w:iCs/>
        </w:rPr>
        <w:t>6</w:t>
      </w:r>
      <w:r w:rsidRPr="000C4686">
        <w:rPr>
          <w:i/>
          <w:iCs/>
        </w:rPr>
        <w:t>PBAC outcome.</w:t>
      </w:r>
    </w:p>
    <w:p w14:paraId="1A0D913B" w14:textId="77777777" w:rsidR="002A0C1A" w:rsidRPr="00980B0E" w:rsidRDefault="002A0C1A" w:rsidP="0000681A">
      <w:pPr>
        <w:pStyle w:val="2-SectionHeading"/>
        <w:jc w:val="both"/>
        <w:rPr>
          <w:color w:val="FF0000"/>
        </w:rPr>
      </w:pPr>
      <w:r w:rsidRPr="003C2FB5">
        <w:t>Comparator</w:t>
      </w:r>
      <w:r>
        <w:t xml:space="preserve"> </w:t>
      </w:r>
    </w:p>
    <w:p w14:paraId="24B494F1" w14:textId="586D2119" w:rsidR="000C4686" w:rsidRPr="00F010F3" w:rsidRDefault="002A0C1A" w:rsidP="009C7665">
      <w:pPr>
        <w:pStyle w:val="3Bodytext"/>
        <w:jc w:val="both"/>
        <w:rPr>
          <w:i/>
          <w:iCs/>
        </w:rPr>
      </w:pPr>
      <w:r w:rsidRPr="00862551">
        <w:t>The submission</w:t>
      </w:r>
      <w:r w:rsidR="00596B3D">
        <w:t xml:space="preserve"> nominated</w:t>
      </w:r>
      <w:r w:rsidRPr="00862551">
        <w:t xml:space="preserve"> </w:t>
      </w:r>
      <w:r w:rsidR="00A9306F" w:rsidRPr="00A9306F">
        <w:t xml:space="preserve">fremanezumab </w:t>
      </w:r>
      <w:r w:rsidR="00095BCD">
        <w:t xml:space="preserve">225 mg </w:t>
      </w:r>
      <w:r w:rsidR="00A9306F">
        <w:t xml:space="preserve">administered </w:t>
      </w:r>
      <w:r w:rsidR="0000681A">
        <w:t>monthly</w:t>
      </w:r>
      <w:r w:rsidR="00335175">
        <w:t xml:space="preserve"> </w:t>
      </w:r>
      <w:r w:rsidR="007C2BE3">
        <w:t xml:space="preserve">for </w:t>
      </w:r>
      <w:r w:rsidR="00F32F43">
        <w:t>3</w:t>
      </w:r>
      <w:r w:rsidR="00A26E6C">
        <w:t> </w:t>
      </w:r>
      <w:r w:rsidR="007C2BE3">
        <w:t xml:space="preserve">months </w:t>
      </w:r>
      <w:r w:rsidR="00596B3D">
        <w:t>as the comparator</w:t>
      </w:r>
      <w:r w:rsidR="00095BCD">
        <w:t xml:space="preserve"> for fremanezumab 675 mg </w:t>
      </w:r>
      <w:r w:rsidR="00335175">
        <w:t>(</w:t>
      </w:r>
      <w:r w:rsidR="00095BCD">
        <w:t>as three concurrent</w:t>
      </w:r>
      <w:r w:rsidR="00227AEB">
        <w:t xml:space="preserve"> 225 mg</w:t>
      </w:r>
      <w:r w:rsidR="00095BCD">
        <w:t xml:space="preserve"> doses</w:t>
      </w:r>
      <w:r w:rsidR="00335175">
        <w:t>) administered</w:t>
      </w:r>
      <w:r w:rsidR="00095BCD">
        <w:t xml:space="preserve"> </w:t>
      </w:r>
      <w:r w:rsidR="001C38FB">
        <w:t>quarterly</w:t>
      </w:r>
      <w:r w:rsidRPr="00862551">
        <w:t xml:space="preserve">. </w:t>
      </w:r>
      <w:r w:rsidRPr="00F010F3">
        <w:t xml:space="preserve">This </w:t>
      </w:r>
      <w:r w:rsidR="00596B3D" w:rsidRPr="00F010F3">
        <w:t>is</w:t>
      </w:r>
      <w:r w:rsidRPr="00F010F3">
        <w:t xml:space="preserve"> appropriate.</w:t>
      </w:r>
    </w:p>
    <w:p w14:paraId="4AB8697B" w14:textId="1343340B" w:rsidR="009C7665" w:rsidRPr="007F37D6" w:rsidRDefault="009C7665" w:rsidP="00D6045A">
      <w:pPr>
        <w:pStyle w:val="3Bodytext"/>
        <w:numPr>
          <w:ilvl w:val="0"/>
          <w:numId w:val="0"/>
        </w:numPr>
        <w:ind w:left="720"/>
        <w:jc w:val="both"/>
        <w:rPr>
          <w:i/>
          <w:iCs/>
        </w:rPr>
      </w:pPr>
      <w:r w:rsidRPr="007F37D6">
        <w:rPr>
          <w:i/>
          <w:iCs/>
        </w:rPr>
        <w:t xml:space="preserve">For more details on PBAC’s view, see section </w:t>
      </w:r>
      <w:r w:rsidR="00B972D3">
        <w:rPr>
          <w:i/>
          <w:iCs/>
        </w:rPr>
        <w:t>6</w:t>
      </w:r>
      <w:r w:rsidRPr="007F37D6">
        <w:rPr>
          <w:i/>
          <w:iCs/>
        </w:rPr>
        <w:t xml:space="preserve"> PBAC outcome. </w:t>
      </w:r>
    </w:p>
    <w:p w14:paraId="4A244347" w14:textId="2B3149C7" w:rsidR="009C7665" w:rsidRDefault="002A0C1A" w:rsidP="009C7665">
      <w:pPr>
        <w:pStyle w:val="Heading1"/>
        <w:keepLines/>
        <w:numPr>
          <w:ilvl w:val="0"/>
          <w:numId w:val="2"/>
        </w:numPr>
        <w:spacing w:before="240"/>
        <w:ind w:left="709" w:hanging="709"/>
        <w:jc w:val="both"/>
        <w:rPr>
          <w:sz w:val="32"/>
          <w:szCs w:val="32"/>
        </w:rPr>
      </w:pPr>
      <w:r w:rsidRPr="003C2FB5">
        <w:rPr>
          <w:sz w:val="32"/>
          <w:szCs w:val="32"/>
        </w:rPr>
        <w:t>Consideration of the evidence</w:t>
      </w:r>
    </w:p>
    <w:p w14:paraId="1CE81B2E" w14:textId="1049559A" w:rsidR="000C4686" w:rsidRPr="00D6045A" w:rsidRDefault="000C4686" w:rsidP="00D6045A">
      <w:pPr>
        <w:pStyle w:val="4-SubsectionHeading"/>
        <w:rPr>
          <w:lang w:eastAsia="en-US"/>
        </w:rPr>
      </w:pPr>
      <w:r w:rsidRPr="00F91542">
        <w:rPr>
          <w:lang w:eastAsia="en-US"/>
        </w:rPr>
        <w:t>Sponsor hearing</w:t>
      </w:r>
    </w:p>
    <w:p w14:paraId="463E5D9E" w14:textId="6865C019" w:rsidR="007A75E2" w:rsidRPr="00D6045A" w:rsidRDefault="005C50C6">
      <w:pPr>
        <w:pStyle w:val="3Bodytext"/>
        <w:jc w:val="both"/>
        <w:rPr>
          <w:i/>
          <w:iCs/>
        </w:rPr>
      </w:pPr>
      <w:r w:rsidRPr="00AC6353">
        <w:t xml:space="preserve">There was no hearing for this item. </w:t>
      </w:r>
    </w:p>
    <w:p w14:paraId="2287600B" w14:textId="792FB4D0" w:rsidR="007F37D6" w:rsidRDefault="007F37D6" w:rsidP="007F37D6">
      <w:pPr>
        <w:pStyle w:val="4-SubsectionHeading"/>
        <w:rPr>
          <w:lang w:eastAsia="en-US"/>
        </w:rPr>
      </w:pPr>
      <w:r w:rsidRPr="00D6045A">
        <w:rPr>
          <w:lang w:eastAsia="en-US"/>
        </w:rPr>
        <w:t>Consumer comments</w:t>
      </w:r>
    </w:p>
    <w:p w14:paraId="580C238E" w14:textId="6D9B9099" w:rsidR="00D10E40" w:rsidRPr="00836F75" w:rsidRDefault="00D10E40" w:rsidP="00D10E40">
      <w:pPr>
        <w:widowControl w:val="0"/>
        <w:numPr>
          <w:ilvl w:val="1"/>
          <w:numId w:val="2"/>
        </w:numPr>
        <w:spacing w:after="120"/>
        <w:rPr>
          <w:rFonts w:asciiTheme="minorHAnsi" w:hAnsiTheme="minorHAnsi" w:cs="Arial"/>
          <w:bCs/>
          <w:snapToGrid w:val="0"/>
        </w:rPr>
      </w:pPr>
      <w:bookmarkStart w:id="4" w:name="_Hlk76382618"/>
      <w:r w:rsidRPr="00836F75">
        <w:rPr>
          <w:rFonts w:asciiTheme="minorHAnsi" w:hAnsiTheme="minorHAnsi" w:cs="Arial"/>
          <w:bCs/>
          <w:snapToGrid w:val="0"/>
        </w:rPr>
        <w:t xml:space="preserve">The PBAC noted and welcomed the input from </w:t>
      </w:r>
      <w:r w:rsidR="002C5650">
        <w:rPr>
          <w:rFonts w:asciiTheme="minorHAnsi" w:hAnsiTheme="minorHAnsi" w:cs="Arial"/>
          <w:bCs/>
          <w:snapToGrid w:val="0"/>
        </w:rPr>
        <w:t xml:space="preserve">an </w:t>
      </w:r>
      <w:r w:rsidRPr="00836F75">
        <w:rPr>
          <w:rFonts w:asciiTheme="minorHAnsi" w:hAnsiTheme="minorHAnsi" w:cs="Arial"/>
          <w:bCs/>
          <w:snapToGrid w:val="0"/>
        </w:rPr>
        <w:t>individual (</w:t>
      </w:r>
      <w:r>
        <w:rPr>
          <w:rFonts w:asciiTheme="minorHAnsi" w:hAnsiTheme="minorHAnsi" w:cs="Arial"/>
          <w:bCs/>
          <w:snapToGrid w:val="0"/>
        </w:rPr>
        <w:t>1</w:t>
      </w:r>
      <w:r w:rsidRPr="00836F75">
        <w:rPr>
          <w:rFonts w:asciiTheme="minorHAnsi" w:hAnsiTheme="minorHAnsi" w:cs="Arial"/>
          <w:bCs/>
          <w:snapToGrid w:val="0"/>
        </w:rPr>
        <w:t xml:space="preserve">) </w:t>
      </w:r>
      <w:r>
        <w:rPr>
          <w:rFonts w:asciiTheme="minorHAnsi" w:hAnsiTheme="minorHAnsi" w:cs="Arial"/>
          <w:bCs/>
          <w:snapToGrid w:val="0"/>
        </w:rPr>
        <w:t>and</w:t>
      </w:r>
      <w:r w:rsidR="002C5650">
        <w:rPr>
          <w:rFonts w:asciiTheme="minorHAnsi" w:hAnsiTheme="minorHAnsi" w:cs="Arial"/>
          <w:bCs/>
          <w:snapToGrid w:val="0"/>
        </w:rPr>
        <w:t xml:space="preserve"> an</w:t>
      </w:r>
      <w:r>
        <w:rPr>
          <w:rFonts w:asciiTheme="minorHAnsi" w:hAnsiTheme="minorHAnsi" w:cs="Arial"/>
          <w:bCs/>
          <w:snapToGrid w:val="0"/>
        </w:rPr>
        <w:t xml:space="preserve"> organisation </w:t>
      </w:r>
      <w:r w:rsidR="008B3FB9">
        <w:rPr>
          <w:rFonts w:asciiTheme="minorHAnsi" w:hAnsiTheme="minorHAnsi" w:cs="Arial"/>
          <w:bCs/>
          <w:snapToGrid w:val="0"/>
        </w:rPr>
        <w:t>(1)</w:t>
      </w:r>
      <w:r w:rsidRPr="00836F75">
        <w:rPr>
          <w:rFonts w:asciiTheme="minorHAnsi" w:hAnsiTheme="minorHAnsi" w:cs="Arial"/>
          <w:bCs/>
          <w:snapToGrid w:val="0"/>
        </w:rPr>
        <w:t xml:space="preserve"> via the Consumer Comments facility on the PBS website.  The comments described a range of benefits of treatment </w:t>
      </w:r>
      <w:r w:rsidR="00C642C9">
        <w:rPr>
          <w:rFonts w:asciiTheme="minorHAnsi" w:hAnsiTheme="minorHAnsi" w:cs="Arial"/>
          <w:bCs/>
          <w:snapToGrid w:val="0"/>
        </w:rPr>
        <w:t xml:space="preserve">which </w:t>
      </w:r>
      <w:r>
        <w:rPr>
          <w:rFonts w:asciiTheme="minorHAnsi" w:hAnsiTheme="minorHAnsi" w:cs="Arial"/>
          <w:bCs/>
          <w:snapToGrid w:val="0"/>
        </w:rPr>
        <w:t xml:space="preserve">patients are currently experiencing </w:t>
      </w:r>
      <w:r w:rsidRPr="00836F75">
        <w:rPr>
          <w:rFonts w:asciiTheme="minorHAnsi" w:hAnsiTheme="minorHAnsi" w:cs="Arial"/>
          <w:bCs/>
          <w:snapToGrid w:val="0"/>
        </w:rPr>
        <w:t xml:space="preserve">with </w:t>
      </w:r>
      <w:r>
        <w:rPr>
          <w:rFonts w:asciiTheme="minorHAnsi" w:hAnsiTheme="minorHAnsi" w:cs="Arial"/>
          <w:bCs/>
          <w:snapToGrid w:val="0"/>
        </w:rPr>
        <w:t>fremanezumab monthly PFS</w:t>
      </w:r>
      <w:r w:rsidR="00C642C9">
        <w:rPr>
          <w:rFonts w:asciiTheme="minorHAnsi" w:hAnsiTheme="minorHAnsi" w:cs="Arial"/>
          <w:bCs/>
          <w:snapToGrid w:val="0"/>
        </w:rPr>
        <w:t>,</w:t>
      </w:r>
      <w:r>
        <w:rPr>
          <w:rFonts w:asciiTheme="minorHAnsi" w:hAnsiTheme="minorHAnsi" w:cs="Arial"/>
          <w:bCs/>
          <w:snapToGrid w:val="0"/>
        </w:rPr>
        <w:t xml:space="preserve"> </w:t>
      </w:r>
      <w:r w:rsidRPr="00836F75">
        <w:rPr>
          <w:rFonts w:asciiTheme="minorHAnsi" w:hAnsiTheme="minorHAnsi" w:cs="Arial"/>
          <w:bCs/>
          <w:snapToGrid w:val="0"/>
        </w:rPr>
        <w:t xml:space="preserve">including </w:t>
      </w:r>
      <w:r>
        <w:rPr>
          <w:rFonts w:asciiTheme="minorHAnsi" w:hAnsiTheme="minorHAnsi" w:cs="Arial"/>
          <w:bCs/>
          <w:snapToGrid w:val="0"/>
        </w:rPr>
        <w:t>the reduction in the number of days migraine</w:t>
      </w:r>
      <w:r w:rsidR="0051752B">
        <w:rPr>
          <w:rFonts w:asciiTheme="minorHAnsi" w:hAnsiTheme="minorHAnsi" w:cs="Arial"/>
          <w:bCs/>
          <w:snapToGrid w:val="0"/>
        </w:rPr>
        <w:t>-</w:t>
      </w:r>
      <w:r>
        <w:rPr>
          <w:rFonts w:asciiTheme="minorHAnsi" w:hAnsiTheme="minorHAnsi" w:cs="Arial"/>
          <w:bCs/>
          <w:snapToGrid w:val="0"/>
        </w:rPr>
        <w:t>free</w:t>
      </w:r>
      <w:r w:rsidRPr="00836F75">
        <w:rPr>
          <w:rFonts w:asciiTheme="minorHAnsi" w:hAnsiTheme="minorHAnsi" w:cs="Arial"/>
          <w:bCs/>
          <w:snapToGrid w:val="0"/>
        </w:rPr>
        <w:t>.</w:t>
      </w:r>
      <w:r>
        <w:rPr>
          <w:rFonts w:asciiTheme="minorHAnsi" w:hAnsiTheme="minorHAnsi" w:cs="Arial"/>
          <w:bCs/>
          <w:snapToGrid w:val="0"/>
        </w:rPr>
        <w:t xml:space="preserve"> Individuals also mentioned that listing the quarterly injection will improve quality of life due to less frequent injections. </w:t>
      </w:r>
    </w:p>
    <w:bookmarkEnd w:id="4"/>
    <w:p w14:paraId="5C95F67E" w14:textId="3EB42AAF" w:rsidR="00B20E60" w:rsidRPr="005C1F16" w:rsidRDefault="005C1F16" w:rsidP="00AC6353">
      <w:pPr>
        <w:widowControl w:val="0"/>
        <w:numPr>
          <w:ilvl w:val="1"/>
          <w:numId w:val="2"/>
        </w:numPr>
        <w:spacing w:after="120"/>
        <w:rPr>
          <w:rFonts w:asciiTheme="minorHAnsi" w:hAnsiTheme="minorHAnsi" w:cstheme="minorHAnsi"/>
          <w:bCs/>
          <w:snapToGrid w:val="0"/>
        </w:rPr>
      </w:pPr>
      <w:r w:rsidRPr="0090339A">
        <w:rPr>
          <w:rFonts w:asciiTheme="minorHAnsi" w:hAnsiTheme="minorHAnsi" w:cstheme="minorHAnsi"/>
          <w:color w:val="000000"/>
          <w:shd w:val="clear" w:color="auto" w:fill="FFFFFF"/>
        </w:rPr>
        <w:t xml:space="preserve">The PBAC noted the comments from Migraine Australia indicating </w:t>
      </w:r>
      <w:r w:rsidR="00C642C9">
        <w:rPr>
          <w:rFonts w:asciiTheme="minorHAnsi" w:hAnsiTheme="minorHAnsi" w:cstheme="minorHAnsi"/>
          <w:color w:val="000000"/>
          <w:shd w:val="clear" w:color="auto" w:fill="FFFFFF"/>
        </w:rPr>
        <w:t>its</w:t>
      </w:r>
      <w:r w:rsidR="00C642C9" w:rsidRPr="0090339A">
        <w:rPr>
          <w:rFonts w:asciiTheme="minorHAnsi" w:hAnsiTheme="minorHAnsi" w:cstheme="minorHAnsi"/>
          <w:color w:val="000000"/>
          <w:shd w:val="clear" w:color="auto" w:fill="FFFFFF"/>
        </w:rPr>
        <w:t xml:space="preserve"> </w:t>
      </w:r>
      <w:r w:rsidRPr="0090339A">
        <w:rPr>
          <w:rFonts w:asciiTheme="minorHAnsi" w:hAnsiTheme="minorHAnsi" w:cstheme="minorHAnsi"/>
          <w:color w:val="000000"/>
          <w:shd w:val="clear" w:color="auto" w:fill="FFFFFF"/>
        </w:rPr>
        <w:t xml:space="preserve">full support of the quarterly dosing for the continuing treatment of chronic migraine to limit the risk of adverse effects or wastage, and that private patients who are already on the quarterly dosing should have access to the </w:t>
      </w:r>
      <w:r w:rsidR="007A1469">
        <w:rPr>
          <w:rFonts w:asciiTheme="minorHAnsi" w:hAnsiTheme="minorHAnsi" w:cstheme="minorHAnsi"/>
          <w:color w:val="000000"/>
          <w:shd w:val="clear" w:color="auto" w:fill="FFFFFF"/>
        </w:rPr>
        <w:t xml:space="preserve">PBS-subsidised </w:t>
      </w:r>
      <w:r w:rsidRPr="0090339A">
        <w:rPr>
          <w:rFonts w:asciiTheme="minorHAnsi" w:hAnsiTheme="minorHAnsi" w:cstheme="minorHAnsi"/>
          <w:color w:val="000000"/>
          <w:shd w:val="clear" w:color="auto" w:fill="FFFFFF"/>
        </w:rPr>
        <w:t xml:space="preserve">quarterly dosing without </w:t>
      </w:r>
      <w:r w:rsidR="007A1469">
        <w:rPr>
          <w:rFonts w:asciiTheme="minorHAnsi" w:hAnsiTheme="minorHAnsi" w:cstheme="minorHAnsi"/>
          <w:color w:val="000000"/>
          <w:shd w:val="clear" w:color="auto" w:fill="FFFFFF"/>
        </w:rPr>
        <w:lastRenderedPageBreak/>
        <w:t>the need to be put on the initial treatment phase.</w:t>
      </w:r>
      <w:r w:rsidR="00521799">
        <w:rPr>
          <w:rFonts w:asciiTheme="minorHAnsi" w:hAnsiTheme="minorHAnsi" w:cstheme="minorHAnsi"/>
          <w:color w:val="000000"/>
          <w:shd w:val="clear" w:color="auto" w:fill="FFFFFF"/>
        </w:rPr>
        <w:t xml:space="preserve"> </w:t>
      </w:r>
      <w:r w:rsidR="00521799" w:rsidRPr="00521799">
        <w:rPr>
          <w:rFonts w:asciiTheme="minorHAnsi" w:hAnsiTheme="minorHAnsi" w:cstheme="minorHAnsi"/>
          <w:color w:val="000000"/>
          <w:shd w:val="clear" w:color="auto" w:fill="FFFFFF"/>
        </w:rPr>
        <w:t xml:space="preserve">The PBAC noted that the submission’s request was only for </w:t>
      </w:r>
      <w:r w:rsidR="00A26E6C" w:rsidRPr="00521799">
        <w:rPr>
          <w:rFonts w:asciiTheme="minorHAnsi" w:hAnsiTheme="minorHAnsi" w:cstheme="minorHAnsi"/>
          <w:color w:val="000000"/>
          <w:shd w:val="clear" w:color="auto" w:fill="FFFFFF"/>
        </w:rPr>
        <w:t>contin</w:t>
      </w:r>
      <w:r w:rsidR="00A26E6C">
        <w:rPr>
          <w:rFonts w:asciiTheme="minorHAnsi" w:hAnsiTheme="minorHAnsi" w:cstheme="minorHAnsi"/>
          <w:color w:val="000000"/>
          <w:shd w:val="clear" w:color="auto" w:fill="FFFFFF"/>
        </w:rPr>
        <w:t>uing</w:t>
      </w:r>
      <w:r w:rsidR="00A26E6C" w:rsidRPr="00521799">
        <w:rPr>
          <w:rFonts w:asciiTheme="minorHAnsi" w:hAnsiTheme="minorHAnsi" w:cstheme="minorHAnsi"/>
          <w:color w:val="000000"/>
          <w:shd w:val="clear" w:color="auto" w:fill="FFFFFF"/>
        </w:rPr>
        <w:t xml:space="preserve"> </w:t>
      </w:r>
      <w:r w:rsidR="00521799" w:rsidRPr="00521799">
        <w:rPr>
          <w:rFonts w:asciiTheme="minorHAnsi" w:hAnsiTheme="minorHAnsi" w:cstheme="minorHAnsi"/>
          <w:color w:val="000000"/>
          <w:shd w:val="clear" w:color="auto" w:fill="FFFFFF"/>
        </w:rPr>
        <w:t>patients who have responded to fremanezumab monthly and that the number of affected patients was unknown.</w:t>
      </w:r>
      <w:r w:rsidR="00521799">
        <w:rPr>
          <w:rFonts w:asciiTheme="minorHAnsi" w:hAnsiTheme="minorHAnsi" w:cstheme="minorHAnsi"/>
          <w:color w:val="000000"/>
          <w:shd w:val="clear" w:color="auto" w:fill="FFFFFF"/>
        </w:rPr>
        <w:t xml:space="preserve"> </w:t>
      </w:r>
    </w:p>
    <w:p w14:paraId="667E9094" w14:textId="77777777" w:rsidR="00AC6353" w:rsidRPr="007D3612" w:rsidRDefault="00AC6353" w:rsidP="00D6045A">
      <w:pPr>
        <w:pStyle w:val="4-SubsectionHeading"/>
        <w:rPr>
          <w:lang w:eastAsia="en-US"/>
        </w:rPr>
      </w:pPr>
      <w:r w:rsidRPr="007D3612">
        <w:rPr>
          <w:lang w:eastAsia="en-US"/>
        </w:rPr>
        <w:t xml:space="preserve">Clinical trials </w:t>
      </w:r>
    </w:p>
    <w:p w14:paraId="1C12FFD4" w14:textId="02151C92" w:rsidR="00AC6353" w:rsidRPr="00AC6353" w:rsidRDefault="00AC6353" w:rsidP="00AC6353">
      <w:pPr>
        <w:pStyle w:val="3Bodytext"/>
      </w:pPr>
      <w:r w:rsidRPr="00AC6353">
        <w:t xml:space="preserve">The submission presented the following clinical study reports. </w:t>
      </w:r>
    </w:p>
    <w:p w14:paraId="0AA292AB" w14:textId="0A12522D" w:rsidR="00784614" w:rsidRPr="00C87C1A" w:rsidRDefault="00C36E59">
      <w:pPr>
        <w:pStyle w:val="3Bodytext"/>
        <w:jc w:val="both"/>
      </w:pPr>
      <w:r w:rsidRPr="00F010F3">
        <w:t>As a Category 4 submission, no evaluation of the clinical evidence was undertaken.</w:t>
      </w:r>
    </w:p>
    <w:p w14:paraId="697759C1" w14:textId="0AA3AA6C" w:rsidR="002A0C1A" w:rsidRDefault="002A0C1A" w:rsidP="0000681A">
      <w:pPr>
        <w:rPr>
          <w:rFonts w:ascii="Arial Narrow" w:hAnsi="Arial Narrow" w:cstheme="minorHAnsi"/>
          <w:b/>
          <w:bCs/>
          <w:sz w:val="20"/>
          <w:szCs w:val="20"/>
        </w:rPr>
      </w:pPr>
      <w:r w:rsidRPr="00BD5D08">
        <w:rPr>
          <w:rFonts w:ascii="Arial Narrow" w:hAnsi="Arial Narrow" w:cstheme="minorHAnsi"/>
          <w:b/>
          <w:bCs/>
          <w:sz w:val="20"/>
          <w:szCs w:val="20"/>
        </w:rPr>
        <w:t xml:space="preserve">Table </w:t>
      </w:r>
      <w:r>
        <w:rPr>
          <w:rFonts w:ascii="Arial Narrow" w:hAnsi="Arial Narrow" w:cstheme="minorHAnsi"/>
          <w:b/>
          <w:bCs/>
          <w:sz w:val="20"/>
          <w:szCs w:val="20"/>
        </w:rPr>
        <w:t>1</w:t>
      </w:r>
      <w:r w:rsidRPr="00BD5D08">
        <w:rPr>
          <w:rFonts w:ascii="Arial Narrow" w:hAnsi="Arial Narrow" w:cstheme="minorHAnsi"/>
          <w:b/>
          <w:bCs/>
          <w:sz w:val="20"/>
          <w:szCs w:val="20"/>
        </w:rPr>
        <w:t xml:space="preserve">. </w:t>
      </w:r>
      <w:r>
        <w:rPr>
          <w:rFonts w:ascii="Arial Narrow" w:hAnsi="Arial Narrow" w:cstheme="minorHAnsi"/>
          <w:b/>
          <w:bCs/>
          <w:sz w:val="20"/>
          <w:szCs w:val="20"/>
        </w:rPr>
        <w:t>Master list of direct trials and associated reports</w:t>
      </w:r>
    </w:p>
    <w:tbl>
      <w:tblPr>
        <w:tblStyle w:val="TableGrid"/>
        <w:tblW w:w="0" w:type="auto"/>
        <w:tblLook w:val="04A0" w:firstRow="1" w:lastRow="0" w:firstColumn="1" w:lastColumn="0" w:noHBand="0" w:noVBand="1"/>
      </w:tblPr>
      <w:tblGrid>
        <w:gridCol w:w="978"/>
        <w:gridCol w:w="5950"/>
        <w:gridCol w:w="2088"/>
      </w:tblGrid>
      <w:tr w:rsidR="002A0C1A" w:rsidRPr="00572978" w14:paraId="563D488F" w14:textId="77777777" w:rsidTr="002A0C1A">
        <w:tc>
          <w:tcPr>
            <w:tcW w:w="0" w:type="auto"/>
            <w:tcBorders>
              <w:bottom w:val="single" w:sz="4" w:space="0" w:color="auto"/>
            </w:tcBorders>
            <w:hideMark/>
          </w:tcPr>
          <w:p w14:paraId="22BB40B8" w14:textId="77777777" w:rsidR="002A0C1A" w:rsidRPr="00572978" w:rsidRDefault="002A0C1A" w:rsidP="0000681A">
            <w:pPr>
              <w:pStyle w:val="KMC16-TableHeading"/>
              <w:keepNext/>
              <w:jc w:val="both"/>
            </w:pPr>
            <w:r w:rsidRPr="00572978">
              <w:t>Study ID</w:t>
            </w:r>
          </w:p>
        </w:tc>
        <w:tc>
          <w:tcPr>
            <w:tcW w:w="0" w:type="auto"/>
            <w:hideMark/>
          </w:tcPr>
          <w:p w14:paraId="04AE9323" w14:textId="77777777" w:rsidR="002A0C1A" w:rsidRPr="00572978" w:rsidRDefault="002A0C1A" w:rsidP="0000681A">
            <w:pPr>
              <w:pStyle w:val="KMC16-TableHeading"/>
              <w:keepNext/>
              <w:jc w:val="both"/>
            </w:pPr>
            <w:r w:rsidRPr="00572978">
              <w:t>Brief Description and list of associated reports</w:t>
            </w:r>
            <w:r w:rsidRPr="00572978">
              <w:rPr>
                <w:rFonts w:ascii="Candara" w:hAnsi="Candara"/>
              </w:rPr>
              <w:t xml:space="preserve"> </w:t>
            </w:r>
          </w:p>
        </w:tc>
        <w:tc>
          <w:tcPr>
            <w:tcW w:w="0" w:type="auto"/>
          </w:tcPr>
          <w:p w14:paraId="384F5359" w14:textId="77777777" w:rsidR="002A0C1A" w:rsidRDefault="002A0C1A" w:rsidP="0000681A">
            <w:pPr>
              <w:pStyle w:val="KMC16-TableHeading"/>
              <w:keepNext/>
              <w:jc w:val="both"/>
            </w:pPr>
            <w:r>
              <w:t>Description</w:t>
            </w:r>
          </w:p>
        </w:tc>
      </w:tr>
      <w:tr w:rsidR="002A0C1A" w:rsidRPr="00572978" w14:paraId="4F8E03C3" w14:textId="77777777" w:rsidTr="00E228B5">
        <w:tc>
          <w:tcPr>
            <w:tcW w:w="0" w:type="auto"/>
          </w:tcPr>
          <w:p w14:paraId="579D37EB" w14:textId="77777777" w:rsidR="002A0C1A" w:rsidRPr="0049757F" w:rsidRDefault="002A0C1A" w:rsidP="0000681A">
            <w:pPr>
              <w:pStyle w:val="KMC16-Tablecontent"/>
              <w:keepNext/>
              <w:jc w:val="both"/>
              <w:rPr>
                <w:b/>
                <w:bCs/>
              </w:rPr>
            </w:pPr>
            <w:r>
              <w:rPr>
                <w:b/>
                <w:bCs/>
              </w:rPr>
              <w:t>30068 (FOCUS)</w:t>
            </w:r>
          </w:p>
        </w:tc>
        <w:tc>
          <w:tcPr>
            <w:tcW w:w="0" w:type="auto"/>
          </w:tcPr>
          <w:p w14:paraId="457720AA" w14:textId="77777777" w:rsidR="002A0C1A" w:rsidRPr="0019461A" w:rsidRDefault="002A0C1A" w:rsidP="0000681A">
            <w:pPr>
              <w:pStyle w:val="KMC16-Tablecontent"/>
              <w:keepNext/>
              <w:jc w:val="both"/>
              <w:rPr>
                <w:b/>
                <w:bCs/>
              </w:rPr>
            </w:pPr>
            <w:r w:rsidRPr="0019461A">
              <w:rPr>
                <w:b/>
                <w:bCs/>
              </w:rPr>
              <w:t>Clinical Study Report</w:t>
            </w:r>
            <w:r>
              <w:rPr>
                <w:b/>
                <w:bCs/>
              </w:rPr>
              <w:t xml:space="preserve">: </w:t>
            </w:r>
          </w:p>
          <w:p w14:paraId="062D01FD" w14:textId="77777777" w:rsidR="002A0C1A" w:rsidRPr="0019461A" w:rsidRDefault="002A0C1A" w:rsidP="0000681A">
            <w:pPr>
              <w:pStyle w:val="KMC16-Tablecontent"/>
              <w:keepNext/>
              <w:jc w:val="both"/>
            </w:pPr>
            <w:r w:rsidRPr="00FD18F7">
              <w:t xml:space="preserve">Teva Branded Pharmaceutical Products R&amp;D Inc. "NCT03308968: A </w:t>
            </w:r>
            <w:proofErr w:type="spellStart"/>
            <w:r w:rsidRPr="00FD18F7">
              <w:t>Multicenter</w:t>
            </w:r>
            <w:proofErr w:type="spellEnd"/>
            <w:r w:rsidRPr="00FD18F7">
              <w:t>, Randomized, Double-Blind, Parallel-Group, Placebo-</w:t>
            </w:r>
            <w:proofErr w:type="spellStart"/>
            <w:proofErr w:type="gramStart"/>
            <w:r w:rsidRPr="00FD18F7">
              <w:t>Controlled,Study</w:t>
            </w:r>
            <w:proofErr w:type="spellEnd"/>
            <w:proofErr w:type="gramEnd"/>
            <w:r w:rsidRPr="00FD18F7">
              <w:t xml:space="preserve"> With an Open-Label Period to Evaluate the Efficacy and Safety of Fremanezumab for the Prophylactic Treatment of Migraine in Patients With Inadequate Response to Prior Preventive Treatments (TV48125-CNS-30068 and 2017-002441-30)." In. </w:t>
            </w:r>
            <w:proofErr w:type="spellStart"/>
            <w:r w:rsidRPr="00FD18F7">
              <w:t>ClinTrials</w:t>
            </w:r>
            <w:proofErr w:type="spellEnd"/>
            <w:r w:rsidRPr="00FD18F7">
              <w:t>.</w:t>
            </w:r>
            <w:r>
              <w:t xml:space="preserve"> </w:t>
            </w:r>
            <w:r w:rsidRPr="00CC325C">
              <w:rPr>
                <w:color w:val="auto"/>
              </w:rPr>
              <w:fldChar w:fldCharType="begin"/>
            </w:r>
            <w:r w:rsidRPr="00CC325C">
              <w:rPr>
                <w:color w:val="auto"/>
              </w:rPr>
              <w:instrText xml:space="preserve"> ADDIN EN.CITE &lt;EndNote&gt;&lt;Cite&gt;&lt;Author&gt;TEVA&lt;/Author&gt;&lt;RecNum&gt;103&lt;/RecNum&gt;&lt;DisplayText&gt;(TEVA)&lt;/DisplayText&gt;&lt;record&gt;&lt;rec-number&gt;103&lt;/rec-number&gt;&lt;foreign-keys&gt;&lt;key app="EN" db-id="0tx5rz2vyxpztlef2d4p2sseveffa0zp20ew" timestamp="1633405725"&gt;103&lt;/key&gt;&lt;/foreign-keys&gt;&lt;ref-type name="Unpublished Work"&gt;34&lt;/ref-type&gt;&lt;contributors&gt;&lt;authors&gt;&lt;author&gt;TEVA,&lt;/author&gt;&lt;/authors&gt;&lt;/contributors&gt;&lt;titles&gt;&lt;title&gt;FOCUS Study - Interim Clinical Study Report and data tables (NCT03308968)&lt;/title&gt;&lt;/titles&gt;&lt;dates&gt;&lt;/dates&gt;&lt;urls&gt;&lt;/urls&gt;&lt;/record&gt;&lt;/Cite&gt;&lt;/EndNote&gt;</w:instrText>
            </w:r>
            <w:r w:rsidRPr="00CC325C">
              <w:rPr>
                <w:color w:val="auto"/>
              </w:rPr>
              <w:fldChar w:fldCharType="separate"/>
            </w:r>
            <w:r w:rsidRPr="00CC325C">
              <w:rPr>
                <w:noProof/>
                <w:color w:val="auto"/>
              </w:rPr>
              <w:t>(TEVA)</w:t>
            </w:r>
            <w:r w:rsidRPr="00CC325C">
              <w:rPr>
                <w:color w:val="auto"/>
              </w:rPr>
              <w:fldChar w:fldCharType="end"/>
            </w:r>
          </w:p>
        </w:tc>
        <w:tc>
          <w:tcPr>
            <w:tcW w:w="0" w:type="auto"/>
          </w:tcPr>
          <w:p w14:paraId="07B1ED6D" w14:textId="77777777" w:rsidR="002A0C1A" w:rsidRDefault="002A0C1A" w:rsidP="0000681A">
            <w:pPr>
              <w:pStyle w:val="KMC16-Tablecontent"/>
              <w:keepNext/>
              <w:jc w:val="both"/>
            </w:pPr>
            <w:r>
              <w:t>Registration study</w:t>
            </w:r>
          </w:p>
          <w:p w14:paraId="4FEE3002" w14:textId="77777777" w:rsidR="002A0C1A" w:rsidRPr="00420626" w:rsidRDefault="002A0C1A" w:rsidP="0000681A">
            <w:pPr>
              <w:pStyle w:val="KMC16-Tablecontent"/>
              <w:keepNext/>
              <w:jc w:val="both"/>
            </w:pPr>
            <w:r w:rsidRPr="00420626">
              <w:t>Key RCT presented in Nov 2019 submission</w:t>
            </w:r>
            <w:r>
              <w:t>.</w:t>
            </w:r>
          </w:p>
          <w:p w14:paraId="7FB4AC84" w14:textId="77777777" w:rsidR="002A0C1A" w:rsidRDefault="002A0C1A" w:rsidP="0000681A">
            <w:pPr>
              <w:pStyle w:val="KMC16-Tablecontent"/>
              <w:keepNext/>
              <w:jc w:val="both"/>
            </w:pPr>
            <w:r w:rsidRPr="00420626">
              <w:t>Has monthly vs. quarterly vs. placebo dosing arms</w:t>
            </w:r>
            <w:r>
              <w:t>.</w:t>
            </w:r>
          </w:p>
          <w:p w14:paraId="514B4474" w14:textId="77777777" w:rsidR="002A0C1A" w:rsidRDefault="002A0C1A" w:rsidP="0000681A">
            <w:pPr>
              <w:pStyle w:val="KMC16-Tablecontent"/>
              <w:keepNext/>
              <w:jc w:val="both"/>
            </w:pPr>
            <w:r>
              <w:t>Chronic migraine patients in PBS population subgroup evaluated.</w:t>
            </w:r>
          </w:p>
        </w:tc>
      </w:tr>
      <w:tr w:rsidR="002A0C1A" w:rsidRPr="00572978" w14:paraId="37FE35C7" w14:textId="77777777" w:rsidTr="00E228B5">
        <w:tc>
          <w:tcPr>
            <w:tcW w:w="0" w:type="auto"/>
          </w:tcPr>
          <w:p w14:paraId="55B4BE60" w14:textId="77777777" w:rsidR="002A0C1A" w:rsidRDefault="002A0C1A" w:rsidP="0000681A">
            <w:pPr>
              <w:pStyle w:val="KMC16-Tablecontent"/>
              <w:keepNext/>
              <w:jc w:val="both"/>
              <w:rPr>
                <w:b/>
                <w:bCs/>
              </w:rPr>
            </w:pPr>
            <w:proofErr w:type="spellStart"/>
            <w:r>
              <w:rPr>
                <w:b/>
                <w:bCs/>
              </w:rPr>
              <w:t>Blaiss</w:t>
            </w:r>
            <w:proofErr w:type="spellEnd"/>
            <w:r>
              <w:rPr>
                <w:b/>
                <w:bCs/>
              </w:rPr>
              <w:t xml:space="preserve"> 2019</w:t>
            </w:r>
          </w:p>
        </w:tc>
        <w:tc>
          <w:tcPr>
            <w:tcW w:w="0" w:type="auto"/>
          </w:tcPr>
          <w:p w14:paraId="11F84291" w14:textId="77777777" w:rsidR="002A0C1A" w:rsidRPr="00FD18F7" w:rsidRDefault="002A0C1A" w:rsidP="0000681A">
            <w:pPr>
              <w:pStyle w:val="KMC16-Tablecontent"/>
              <w:keepNext/>
              <w:jc w:val="both"/>
            </w:pPr>
            <w:proofErr w:type="spellStart"/>
            <w:r w:rsidRPr="004F6669">
              <w:t>Blaiss</w:t>
            </w:r>
            <w:proofErr w:type="spellEnd"/>
            <w:r w:rsidRPr="004F6669">
              <w:t xml:space="preserve"> CA, et al. (2019). Quarterly Administration of Fremanezumab Does Not Show “Wearing Off” Effect During Third Month After Injection: P155. 61st Annual Scientific Meeting American Headache Society. Philadelphia, PA.</w:t>
            </w:r>
            <w:r>
              <w:t xml:space="preserve"> </w:t>
            </w:r>
            <w:r w:rsidRPr="00CC325C">
              <w:rPr>
                <w:color w:val="auto"/>
              </w:rPr>
              <w:fldChar w:fldCharType="begin"/>
            </w:r>
            <w:r w:rsidRPr="00CC325C">
              <w:rPr>
                <w:color w:val="auto"/>
              </w:rPr>
              <w:instrText xml:space="preserve"> ADDIN EN.CITE &lt;EndNote&gt;&lt;Cite&gt;&lt;Author&gt;Blaiss CA&lt;/Author&gt;&lt;Year&gt;2019&lt;/Year&gt;&lt;RecNum&gt;122&lt;/RecNum&gt;&lt;DisplayText&gt;(Blaiss CA, Stevanovic D et al. 2019)&lt;/DisplayText&gt;&lt;record&gt;&lt;rec-number&gt;122&lt;/rec-number&gt;&lt;foreign-keys&gt;&lt;key app="EN" db-id="0tx5rz2vyxpztlef2d4p2sseveffa0zp20ew" timestamp="1633487237"&gt;122&lt;/key&gt;&lt;/foreign-keys&gt;&lt;ref-type name="Conference Paper"&gt;47&lt;/ref-type&gt;&lt;contributors&gt;&lt;authors&gt;&lt;author&gt;Blaiss CA,&lt;/author&gt;&lt;author&gt;Stevanovic D,&lt;/author&gt;&lt;author&gt;et. al.,&lt;/author&gt;&lt;/authors&gt;&lt;/contributors&gt;&lt;titles&gt;&lt;title&gt;Quarterly Administration of Fremanezumab Does Not Show “Wearing Off” Effect During Third Month After Injection: P155&lt;/title&gt;&lt;secondary-title&gt;61st Annual Scientific Meeting American Headache Society&lt;/secondary-title&gt;&lt;/titles&gt;&lt;dates&gt;&lt;year&gt;2019&lt;/year&gt;&lt;/dates&gt;&lt;pub-location&gt;Philadelphia, PA&lt;/pub-location&gt;&lt;urls&gt;&lt;/urls&gt;&lt;/record&gt;&lt;/Cite&gt;&lt;/EndNote&gt;</w:instrText>
            </w:r>
            <w:r w:rsidRPr="00CC325C">
              <w:rPr>
                <w:color w:val="auto"/>
              </w:rPr>
              <w:fldChar w:fldCharType="separate"/>
            </w:r>
            <w:r w:rsidRPr="00CC325C">
              <w:rPr>
                <w:noProof/>
                <w:color w:val="auto"/>
              </w:rPr>
              <w:t>(Blaiss CA, Stevanovic D et al. 2019)</w:t>
            </w:r>
            <w:r w:rsidRPr="00CC325C">
              <w:rPr>
                <w:color w:val="auto"/>
              </w:rPr>
              <w:fldChar w:fldCharType="end"/>
            </w:r>
          </w:p>
        </w:tc>
        <w:tc>
          <w:tcPr>
            <w:tcW w:w="0" w:type="auto"/>
          </w:tcPr>
          <w:p w14:paraId="7C1E7868" w14:textId="77777777" w:rsidR="002A0C1A" w:rsidRDefault="002A0C1A" w:rsidP="0000681A">
            <w:pPr>
              <w:pStyle w:val="KMC16-Tablecontent"/>
              <w:keepNext/>
              <w:jc w:val="both"/>
            </w:pPr>
            <w:r>
              <w:t>Investigates if quarterly dosing ‘wears off’ during month 3 (i.e., month prior to next quarterly dose).</w:t>
            </w:r>
          </w:p>
        </w:tc>
      </w:tr>
      <w:tr w:rsidR="002A0C1A" w:rsidRPr="00572978" w14:paraId="5F5D535F" w14:textId="77777777" w:rsidTr="00E228B5">
        <w:tc>
          <w:tcPr>
            <w:tcW w:w="0" w:type="auto"/>
          </w:tcPr>
          <w:p w14:paraId="2E61E0D8" w14:textId="77777777" w:rsidR="002A0C1A" w:rsidRDefault="002A0C1A" w:rsidP="0000681A">
            <w:pPr>
              <w:pStyle w:val="KMC16-Tablecontent"/>
              <w:jc w:val="both"/>
              <w:rPr>
                <w:b/>
                <w:bCs/>
              </w:rPr>
            </w:pPr>
            <w:r>
              <w:rPr>
                <w:b/>
                <w:bCs/>
              </w:rPr>
              <w:t>Cowan 2019</w:t>
            </w:r>
          </w:p>
        </w:tc>
        <w:tc>
          <w:tcPr>
            <w:tcW w:w="0" w:type="auto"/>
          </w:tcPr>
          <w:p w14:paraId="7BFB983B" w14:textId="77777777" w:rsidR="002A0C1A" w:rsidRPr="000B798E" w:rsidRDefault="002A0C1A" w:rsidP="0000681A">
            <w:pPr>
              <w:pStyle w:val="KMC16-Tablecontent"/>
              <w:jc w:val="both"/>
              <w:rPr>
                <w:b/>
                <w:bCs/>
              </w:rPr>
            </w:pPr>
            <w:r w:rsidRPr="000B798E">
              <w:rPr>
                <w:b/>
                <w:bCs/>
              </w:rPr>
              <w:t>Conference poster:</w:t>
            </w:r>
          </w:p>
          <w:p w14:paraId="57087F60" w14:textId="4E984B7C" w:rsidR="002A0C1A" w:rsidRPr="00FD18F7" w:rsidRDefault="002A0C1A" w:rsidP="0000681A">
            <w:pPr>
              <w:pStyle w:val="KMC16-Tablecontent"/>
              <w:jc w:val="both"/>
            </w:pPr>
            <w:r w:rsidRPr="004F6669">
              <w:t xml:space="preserve">Cowan RP, </w:t>
            </w:r>
            <w:proofErr w:type="spellStart"/>
            <w:r w:rsidRPr="004F6669">
              <w:t>Ghandi</w:t>
            </w:r>
            <w:proofErr w:type="spellEnd"/>
            <w:r w:rsidRPr="004F6669">
              <w:t xml:space="preserve"> SK, Cloud B, Cohen JM, Bruce DC, </w:t>
            </w:r>
            <w:proofErr w:type="spellStart"/>
            <w:r w:rsidRPr="004F6669">
              <w:t>RAmirez</w:t>
            </w:r>
            <w:proofErr w:type="spellEnd"/>
            <w:r w:rsidRPr="004F6669">
              <w:t xml:space="preserve">-Campos V, </w:t>
            </w:r>
            <w:proofErr w:type="spellStart"/>
            <w:r w:rsidRPr="004F6669">
              <w:t>Ahn</w:t>
            </w:r>
            <w:proofErr w:type="spellEnd"/>
            <w:r w:rsidRPr="004F6669">
              <w:t xml:space="preserve"> AH, and Lipton RB. 2019. "Patient Preference for Dosing Regimen and Perception of Dosing Flexibility </w:t>
            </w:r>
            <w:proofErr w:type="gramStart"/>
            <w:r w:rsidRPr="004F6669">
              <w:t>With</w:t>
            </w:r>
            <w:proofErr w:type="gramEnd"/>
            <w:r w:rsidRPr="004F6669">
              <w:t xml:space="preserve"> Fremanezumab for Migraine: Results From a Patient Survey Following Completion of a 1-year Extension Study (IHC-PO-403)." In International Headache Congress (IHC). Dublin </w:t>
            </w:r>
            <w:r w:rsidRPr="00FC48DB">
              <w:rPr>
                <w:color w:val="auto"/>
              </w:rPr>
              <w:t xml:space="preserve">Ireland  </w:t>
            </w:r>
            <w:r w:rsidRPr="00FC48DB">
              <w:rPr>
                <w:color w:val="auto"/>
              </w:rPr>
              <w:fldChar w:fldCharType="begin"/>
            </w:r>
            <w:r w:rsidRPr="00FC48DB">
              <w:rPr>
                <w:color w:val="auto"/>
              </w:rPr>
              <w:instrText xml:space="preserve"> ADDIN EN.CITE &lt;EndNote&gt;&lt;Cite&gt;&lt;Author&gt;Cowan RP&lt;/Author&gt;&lt;Year&gt;2019b&lt;/Year&gt;&lt;RecNum&gt;115&lt;/RecNum&gt;&lt;DisplayText&gt;(Cowan RP, Ghandi SK et al. 2019b)&lt;/DisplayText&gt;&lt;record&gt;&lt;rec-number&gt;115&lt;/rec-number&gt;&lt;foreign-keys&gt;&lt;key app="EN" db-id="0tx5rz2vyxpztlef2d4p2sseveffa0zp20ew" timestamp="1633407318"&gt;115&lt;/key&gt;&lt;/foreign-keys&gt;&lt;ref-type name="Conference Paper"&gt;47&lt;/ref-type&gt;&lt;contributors&gt;&lt;authors&gt;&lt;author&gt;Cowan RP,&lt;/author&gt;&lt;author&gt;Ghandi SK,&lt;/author&gt;&lt;author&gt;Cloud B,&lt;/author&gt;&lt;author&gt;Cohen JM,&lt;/author&gt;&lt;author&gt;Bruce DC,&lt;/author&gt;&lt;author&gt;RAmirez-Campos V,&lt;/author&gt;&lt;author&gt;Ahn AH,&lt;/author&gt;&lt;author&gt;Lipton RB,&lt;/author&gt;&lt;/authors&gt;&lt;/contributors&gt;&lt;titles&gt;&lt;title&gt;Patient Preference for Dosing Regimen and Perception of Dosing Flexibility With Fremanezumab for Migraine: Results From a Patient Survey Following Completion of a 1-year Extension Study (IHC-PO-403)&lt;/title&gt;&lt;secondary-title&gt;International Headache Congress (IHC)&lt;/secondary-title&gt;&lt;/titles&gt;&lt;dates&gt;&lt;year&gt;2019b&lt;/year&gt;&lt;/dates&gt;&lt;pub-location&gt;Dublin Ireland&lt;/pub-location&gt;&lt;urls&gt;&lt;/urls&gt;&lt;/record&gt;&lt;/Cite&gt;&lt;/EndNote&gt;</w:instrText>
            </w:r>
            <w:r w:rsidRPr="00FC48DB">
              <w:rPr>
                <w:color w:val="auto"/>
              </w:rPr>
              <w:fldChar w:fldCharType="separate"/>
            </w:r>
            <w:r w:rsidRPr="00FC48DB">
              <w:rPr>
                <w:noProof/>
                <w:color w:val="auto"/>
              </w:rPr>
              <w:t>(Cowan RP, Ghandi SK et al. 2019b)</w:t>
            </w:r>
            <w:r w:rsidRPr="00FC48DB">
              <w:rPr>
                <w:color w:val="auto"/>
              </w:rPr>
              <w:fldChar w:fldCharType="end"/>
            </w:r>
            <w:r w:rsidR="000F0CF9" w:rsidRPr="00FC48DB">
              <w:rPr>
                <w:color w:val="auto"/>
              </w:rPr>
              <w:t>.</w:t>
            </w:r>
          </w:p>
        </w:tc>
        <w:tc>
          <w:tcPr>
            <w:tcW w:w="0" w:type="auto"/>
          </w:tcPr>
          <w:p w14:paraId="7C0B7A3C" w14:textId="77777777" w:rsidR="002A0C1A" w:rsidRDefault="002A0C1A" w:rsidP="0000681A">
            <w:pPr>
              <w:pStyle w:val="KMC16-Tablecontent"/>
              <w:jc w:val="both"/>
            </w:pPr>
          </w:p>
        </w:tc>
      </w:tr>
    </w:tbl>
    <w:p w14:paraId="37887029" w14:textId="194A6735" w:rsidR="007C7A89" w:rsidRDefault="002A0C1A" w:rsidP="006B76DB">
      <w:pPr>
        <w:pStyle w:val="3-BodyText"/>
        <w:numPr>
          <w:ilvl w:val="0"/>
          <w:numId w:val="0"/>
        </w:numPr>
        <w:spacing w:after="0"/>
        <w:rPr>
          <w:rFonts w:ascii="Arial Narrow" w:hAnsi="Arial Narrow"/>
          <w:bCs/>
          <w:sz w:val="18"/>
          <w:szCs w:val="18"/>
          <w:lang w:eastAsia="en-US"/>
        </w:rPr>
      </w:pPr>
      <w:r w:rsidRPr="00E0616A">
        <w:rPr>
          <w:rFonts w:ascii="Arial Narrow" w:hAnsi="Arial Narrow"/>
          <w:bCs/>
          <w:sz w:val="18"/>
          <w:szCs w:val="18"/>
          <w:lang w:eastAsia="en-US"/>
        </w:rPr>
        <w:t xml:space="preserve">Source: </w:t>
      </w:r>
      <w:proofErr w:type="spellStart"/>
      <w:r w:rsidRPr="00E0616A">
        <w:rPr>
          <w:rFonts w:ascii="Arial Narrow" w:hAnsi="Arial Narrow"/>
          <w:bCs/>
          <w:sz w:val="18"/>
          <w:szCs w:val="18"/>
          <w:lang w:eastAsia="en-US"/>
        </w:rPr>
        <w:t>Ajovy</w:t>
      </w:r>
      <w:proofErr w:type="spellEnd"/>
      <w:r w:rsidRPr="00E0616A">
        <w:rPr>
          <w:rFonts w:ascii="Arial Narrow" w:hAnsi="Arial Narrow"/>
          <w:bCs/>
          <w:sz w:val="18"/>
          <w:szCs w:val="18"/>
          <w:lang w:eastAsia="en-US"/>
        </w:rPr>
        <w:t xml:space="preserve"> quarterly main body of submission p13 and p14 </w:t>
      </w:r>
    </w:p>
    <w:p w14:paraId="56662B3A" w14:textId="05610F3C" w:rsidR="0051752B" w:rsidRDefault="0051752B" w:rsidP="006B76DB">
      <w:pPr>
        <w:pStyle w:val="3-BodyText"/>
        <w:numPr>
          <w:ilvl w:val="0"/>
          <w:numId w:val="0"/>
        </w:numPr>
        <w:spacing w:after="0"/>
        <w:rPr>
          <w:rFonts w:ascii="Arial Narrow" w:hAnsi="Arial Narrow"/>
          <w:bCs/>
          <w:sz w:val="18"/>
          <w:szCs w:val="18"/>
          <w:lang w:eastAsia="en-US"/>
        </w:rPr>
      </w:pPr>
      <w:r>
        <w:rPr>
          <w:rFonts w:ascii="Arial Narrow" w:hAnsi="Arial Narrow"/>
          <w:bCs/>
          <w:sz w:val="18"/>
          <w:szCs w:val="18"/>
          <w:lang w:eastAsia="en-US"/>
        </w:rPr>
        <w:t>PBS: Pharmaceutical Benefits Scheme, RCT: randomised controlled trial</w:t>
      </w:r>
    </w:p>
    <w:p w14:paraId="3B8E7967" w14:textId="706D98B6" w:rsidR="002A0C1A" w:rsidRPr="007C7A89" w:rsidRDefault="002A0C1A" w:rsidP="007C7A89">
      <w:pPr>
        <w:pStyle w:val="4-SubsectionHeading"/>
        <w:rPr>
          <w:lang w:eastAsia="en-US"/>
        </w:rPr>
      </w:pPr>
      <w:r w:rsidRPr="003C2FB5">
        <w:rPr>
          <w:lang w:eastAsia="en-US"/>
        </w:rPr>
        <w:t>Clinical claim</w:t>
      </w:r>
    </w:p>
    <w:p w14:paraId="766D2080" w14:textId="42DDCF18" w:rsidR="009C188A" w:rsidRPr="00F010F3" w:rsidRDefault="009C188A" w:rsidP="00E65A65">
      <w:pPr>
        <w:pStyle w:val="3Bodytext"/>
        <w:jc w:val="both"/>
      </w:pPr>
      <w:r w:rsidRPr="009C188A">
        <w:t xml:space="preserve">The submission claimed non-inferior comparative effectiveness and non-inferior comparative safety of </w:t>
      </w:r>
      <w:r w:rsidR="00C57247">
        <w:t>fremanezumab quarterly dosing</w:t>
      </w:r>
      <w:r w:rsidRPr="009C188A">
        <w:t xml:space="preserve"> compared with </w:t>
      </w:r>
      <w:r w:rsidR="00C57247">
        <w:t>fremanezumab monthly dosing</w:t>
      </w:r>
      <w:r w:rsidR="006839AB">
        <w:t xml:space="preserve"> </w:t>
      </w:r>
      <w:r w:rsidRPr="009C188A">
        <w:t>for the treatment of CM</w:t>
      </w:r>
      <w:r w:rsidRPr="009C188A">
        <w:rPr>
          <w:i/>
        </w:rPr>
        <w:t>.</w:t>
      </w:r>
      <w:r w:rsidR="00C36E59">
        <w:rPr>
          <w:i/>
        </w:rPr>
        <w:t xml:space="preserve"> </w:t>
      </w:r>
    </w:p>
    <w:p w14:paraId="525EB571" w14:textId="4A493F5D" w:rsidR="005C50C6" w:rsidRPr="00F010F3" w:rsidRDefault="005C50C6" w:rsidP="00E65A65">
      <w:pPr>
        <w:pStyle w:val="3Bodytext"/>
        <w:jc w:val="both"/>
        <w:rPr>
          <w:iCs/>
        </w:rPr>
      </w:pPr>
      <w:r w:rsidRPr="00F010F3">
        <w:rPr>
          <w:iCs/>
        </w:rPr>
        <w:t xml:space="preserve">The PBAC considered that the claim of non-inferior comparative effectiveness was reasonable. </w:t>
      </w:r>
    </w:p>
    <w:p w14:paraId="35BC685B" w14:textId="77777777" w:rsidR="007C7A89" w:rsidRDefault="005C50C6" w:rsidP="0000681A">
      <w:pPr>
        <w:pStyle w:val="3Bodytext"/>
        <w:jc w:val="both"/>
        <w:rPr>
          <w:iCs/>
        </w:rPr>
      </w:pPr>
      <w:r w:rsidRPr="00F010F3">
        <w:rPr>
          <w:iCs/>
        </w:rPr>
        <w:t xml:space="preserve">The PBAC considered that the claim of non-inferior comparative safety was reasonable. </w:t>
      </w:r>
    </w:p>
    <w:p w14:paraId="5F262A01" w14:textId="05F8D2D2" w:rsidR="002A0C1A" w:rsidRPr="007C7A89" w:rsidRDefault="002A0C1A" w:rsidP="007C7A89">
      <w:pPr>
        <w:pStyle w:val="4-SubsectionHeading"/>
        <w:rPr>
          <w:lang w:eastAsia="en-US"/>
        </w:rPr>
      </w:pPr>
      <w:r w:rsidRPr="007C7A89">
        <w:rPr>
          <w:lang w:eastAsia="en-US"/>
        </w:rPr>
        <w:t xml:space="preserve">Economic analysis </w:t>
      </w:r>
    </w:p>
    <w:p w14:paraId="2DE398D8" w14:textId="371A276A" w:rsidR="008D0BA1" w:rsidRDefault="008D0BA1" w:rsidP="00CB7ED1">
      <w:pPr>
        <w:pStyle w:val="3Bodytext"/>
        <w:jc w:val="both"/>
      </w:pPr>
      <w:r w:rsidRPr="0000681A">
        <w:t xml:space="preserve">The submission presented a </w:t>
      </w:r>
      <w:r w:rsidR="006B4BE5">
        <w:t>CMA</w:t>
      </w:r>
      <w:r w:rsidRPr="0000681A">
        <w:t xml:space="preserve"> of </w:t>
      </w:r>
      <w:r w:rsidR="00C57247">
        <w:t>fremanezumab quarterly dosing</w:t>
      </w:r>
      <w:r w:rsidRPr="0000681A">
        <w:t xml:space="preserve"> compared with </w:t>
      </w:r>
      <w:r w:rsidR="00C57247">
        <w:t>fremanezumab monthly dosing</w:t>
      </w:r>
      <w:r w:rsidRPr="0000681A">
        <w:t>. The estimated equi-effective dose was</w:t>
      </w:r>
      <w:r w:rsidR="00CB7ED1">
        <w:t xml:space="preserve"> </w:t>
      </w:r>
      <w:r w:rsidR="006B4BE5">
        <w:t>225</w:t>
      </w:r>
      <w:r w:rsidRPr="0000681A">
        <w:t xml:space="preserve"> mg of </w:t>
      </w:r>
      <w:r>
        <w:t>fremanezumab monthly</w:t>
      </w:r>
      <w:r w:rsidR="00D03300">
        <w:t xml:space="preserve"> over </w:t>
      </w:r>
      <w:r w:rsidR="0051752B">
        <w:t xml:space="preserve">3 </w:t>
      </w:r>
      <w:r w:rsidR="00D03300">
        <w:t>months</w:t>
      </w:r>
      <w:r w:rsidRPr="0000681A">
        <w:t xml:space="preserve"> </w:t>
      </w:r>
      <w:r w:rsidR="00240A5A">
        <w:t xml:space="preserve">is </w:t>
      </w:r>
      <w:r w:rsidR="00CB7ED1">
        <w:t xml:space="preserve">equal to </w:t>
      </w:r>
      <w:r w:rsidR="006B4BE5">
        <w:t>675</w:t>
      </w:r>
      <w:r w:rsidRPr="0000681A">
        <w:t xml:space="preserve"> mg of </w:t>
      </w:r>
      <w:r>
        <w:t>f</w:t>
      </w:r>
      <w:r w:rsidRPr="0000681A">
        <w:t>rem</w:t>
      </w:r>
      <w:r>
        <w:t>anezumab</w:t>
      </w:r>
      <w:r w:rsidRPr="0000681A">
        <w:t xml:space="preserve"> </w:t>
      </w:r>
      <w:r>
        <w:t>quarterly</w:t>
      </w:r>
      <w:r w:rsidRPr="0000681A">
        <w:t>.</w:t>
      </w:r>
    </w:p>
    <w:p w14:paraId="0F6B7508" w14:textId="3F380738" w:rsidR="008D0BA1" w:rsidRDefault="007A1FCF" w:rsidP="008D0BA1">
      <w:pPr>
        <w:pStyle w:val="3Bodytext"/>
        <w:jc w:val="both"/>
        <w:rPr>
          <w:i/>
          <w:iCs/>
        </w:rPr>
      </w:pPr>
      <w:r>
        <w:lastRenderedPageBreak/>
        <w:t>The submission proposed that the published ($488.89) and effective</w:t>
      </w:r>
      <w:r w:rsidR="0051752B">
        <w:t xml:space="preserve"> approved ex-manufacturer price</w:t>
      </w:r>
      <w:r>
        <w:t xml:space="preserve"> </w:t>
      </w:r>
      <w:r w:rsidR="0051752B">
        <w:t>(</w:t>
      </w:r>
      <w:r>
        <w:t>AEMP</w:t>
      </w:r>
      <w:r w:rsidR="0051752B">
        <w:t>)</w:t>
      </w:r>
      <w:r>
        <w:t xml:space="preserve"> (</w:t>
      </w:r>
      <w:r w:rsidRPr="00FA431F">
        <w:t>$</w:t>
      </w:r>
      <w:proofErr w:type="gramStart"/>
      <w:r w:rsidR="00C351E7" w:rsidRPr="00EF5EB1">
        <w:rPr>
          <w:color w:val="000000"/>
          <w:w w:val="15"/>
          <w:shd w:val="solid" w:color="000000" w:fill="000000"/>
          <w:fitText w:val="-20" w:id="-1506107136"/>
          <w14:textFill>
            <w14:solidFill>
              <w14:srgbClr w14:val="000000">
                <w14:alpha w14:val="100000"/>
              </w14:srgbClr>
            </w14:solidFill>
          </w14:textFill>
        </w:rPr>
        <w:t xml:space="preserve">|  </w:t>
      </w:r>
      <w:r w:rsidR="00C351E7" w:rsidRPr="00EF5EB1">
        <w:rPr>
          <w:color w:val="000000"/>
          <w:spacing w:val="-69"/>
          <w:w w:val="15"/>
          <w:shd w:val="solid" w:color="000000" w:fill="000000"/>
          <w:fitText w:val="-20" w:id="-1506107136"/>
          <w14:textFill>
            <w14:solidFill>
              <w14:srgbClr w14:val="000000">
                <w14:alpha w14:val="100000"/>
              </w14:srgbClr>
            </w14:solidFill>
          </w14:textFill>
        </w:rPr>
        <w:t>|</w:t>
      </w:r>
      <w:proofErr w:type="gramEnd"/>
      <w:r>
        <w:t xml:space="preserve">) remain unchanged. </w:t>
      </w:r>
      <w:r w:rsidR="008D0BA1" w:rsidRPr="00F010F3">
        <w:t>This is appropriate.</w:t>
      </w:r>
    </w:p>
    <w:p w14:paraId="2875703A" w14:textId="0CB8B126" w:rsidR="008D0BA1" w:rsidRDefault="008D0BA1" w:rsidP="008D0BA1">
      <w:pPr>
        <w:pStyle w:val="3Bodytext"/>
        <w:jc w:val="both"/>
      </w:pPr>
      <w:r w:rsidRPr="00F010F3">
        <w:t>As a Category 4 submission, the economic analysis has not been independently evaluated.</w:t>
      </w:r>
    </w:p>
    <w:p w14:paraId="63CA157C" w14:textId="633A2684" w:rsidR="002A0C1A" w:rsidRPr="00AC6353" w:rsidRDefault="002A0C1A" w:rsidP="00AC6353">
      <w:pPr>
        <w:pStyle w:val="4-SubsectionHeading"/>
        <w:rPr>
          <w:lang w:eastAsia="en-US"/>
        </w:rPr>
      </w:pPr>
      <w:r w:rsidRPr="00AC6353">
        <w:rPr>
          <w:lang w:eastAsia="en-US"/>
        </w:rPr>
        <w:t>Estimated PBS utilisation and financial implications</w:t>
      </w:r>
    </w:p>
    <w:p w14:paraId="6C3BB3F9" w14:textId="14049B22" w:rsidR="00BE22F5" w:rsidRPr="00BE22F5" w:rsidRDefault="00C87AD4" w:rsidP="00B972D3">
      <w:pPr>
        <w:pStyle w:val="3Bodytext"/>
        <w:jc w:val="both"/>
      </w:pPr>
      <w:r>
        <w:t xml:space="preserve">The submission used </w:t>
      </w:r>
      <w:r w:rsidRPr="00C87AD4">
        <w:t xml:space="preserve">a market share approach to estimate the financial impact of listing </w:t>
      </w:r>
      <w:r w:rsidR="00CE2CB3">
        <w:t>fremanezumab quarterly</w:t>
      </w:r>
      <w:r w:rsidRPr="00C87AD4">
        <w:t>.</w:t>
      </w:r>
      <w:r>
        <w:t xml:space="preserve"> </w:t>
      </w:r>
      <w:r w:rsidR="003B226A">
        <w:t>The submission suggested t</w:t>
      </w:r>
      <w:r w:rsidR="003B226A" w:rsidRPr="0000681A">
        <w:t xml:space="preserve">he </w:t>
      </w:r>
      <w:r w:rsidR="003B226A">
        <w:t xml:space="preserve">requested listing </w:t>
      </w:r>
      <w:r w:rsidR="003B226A" w:rsidRPr="0000681A">
        <w:t xml:space="preserve">is only </w:t>
      </w:r>
      <w:r w:rsidR="003B226A">
        <w:t>expected</w:t>
      </w:r>
      <w:r w:rsidR="003B226A" w:rsidRPr="0000681A">
        <w:t xml:space="preserve"> to displace the current </w:t>
      </w:r>
      <w:r w:rsidR="003B226A">
        <w:t>fremanezumab listing</w:t>
      </w:r>
      <w:r w:rsidR="003B226A" w:rsidRPr="0000681A">
        <w:t xml:space="preserve"> (for continu</w:t>
      </w:r>
      <w:r w:rsidR="003B226A">
        <w:t>ing patients</w:t>
      </w:r>
      <w:r w:rsidR="003B226A" w:rsidRPr="0000681A">
        <w:t>)</w:t>
      </w:r>
      <w:r w:rsidR="003B226A">
        <w:t xml:space="preserve"> </w:t>
      </w:r>
      <w:r w:rsidR="003B226A" w:rsidRPr="0025381A">
        <w:t>on a 1:3 basis (in terms of script volume)</w:t>
      </w:r>
      <w:r w:rsidR="003B226A">
        <w:t xml:space="preserve"> with no expected growth of the total market for </w:t>
      </w:r>
      <w:r w:rsidR="003B226A" w:rsidRPr="0025381A">
        <w:t>fremanezumab</w:t>
      </w:r>
      <w:r w:rsidR="003B226A" w:rsidRPr="00B07AFD">
        <w:t>.</w:t>
      </w:r>
      <w:r w:rsidR="003B226A">
        <w:t xml:space="preserve"> </w:t>
      </w:r>
      <w:r w:rsidR="00DE1241">
        <w:t>The submission claimed that u</w:t>
      </w:r>
      <w:r w:rsidR="00DE1241" w:rsidRPr="00F147E3">
        <w:t xml:space="preserve">ncertainty relating to the proposed listing of </w:t>
      </w:r>
      <w:r w:rsidR="00DE1241">
        <w:t xml:space="preserve">the quarterly dosing for fremanezumab (for continuation) </w:t>
      </w:r>
      <w:r w:rsidR="00DE1241" w:rsidRPr="00F147E3">
        <w:t xml:space="preserve">is extremely low given that the limitations imposed by the </w:t>
      </w:r>
      <w:r w:rsidR="00DE1241">
        <w:t xml:space="preserve">cost-minimised price (vs. Botox and </w:t>
      </w:r>
      <w:proofErr w:type="spellStart"/>
      <w:r w:rsidR="00DE1241">
        <w:t>galcanezumab</w:t>
      </w:r>
      <w:proofErr w:type="spellEnd"/>
      <w:r w:rsidR="00DE1241">
        <w:t xml:space="preserve">), the </w:t>
      </w:r>
      <w:r w:rsidR="00DE1241" w:rsidRPr="00F147E3">
        <w:t>Risk Share caps, and the lack of incremental growth anticipated for the drug from the proposed listing.</w:t>
      </w:r>
      <w:r w:rsidR="00DE1241">
        <w:t xml:space="preserve"> </w:t>
      </w:r>
      <w:r w:rsidR="00DE1241" w:rsidRPr="00F010F3">
        <w:t xml:space="preserve">However, it is unclear whether patients would choose to start treatment with fremanezumab instead of </w:t>
      </w:r>
      <w:proofErr w:type="spellStart"/>
      <w:r w:rsidR="00DE1241" w:rsidRPr="00F010F3">
        <w:t>galcanezumab</w:t>
      </w:r>
      <w:proofErr w:type="spellEnd"/>
      <w:r w:rsidR="00DE1241" w:rsidRPr="00F010F3">
        <w:t xml:space="preserve"> because of the different dosing frequency.</w:t>
      </w:r>
      <w:r w:rsidR="00DE1241" w:rsidRPr="004A7FED">
        <w:rPr>
          <w:i/>
          <w:iCs/>
        </w:rPr>
        <w:t xml:space="preserve"> </w:t>
      </w:r>
      <w:r w:rsidR="00BE22F5">
        <w:t>The pre-PBAC response noted that i</w:t>
      </w:r>
      <w:r w:rsidR="00BE22F5" w:rsidRPr="00BE22F5">
        <w:t xml:space="preserve">f this were to occur it would be cost neutral (at AEMP level) given that the anti-CGRPs are cost-minimised to each other and the impact of the shared Risk Share caps. </w:t>
      </w:r>
      <w:r w:rsidR="00A26E6C">
        <w:t>The Sponsor did not expect</w:t>
      </w:r>
      <w:r w:rsidR="00BE22F5" w:rsidRPr="00BE22F5">
        <w:t xml:space="preserve"> an overall increase in the use of fremanezumab, </w:t>
      </w:r>
      <w:r w:rsidR="00A26E6C">
        <w:t>rather</w:t>
      </w:r>
      <w:r w:rsidR="00A26E6C" w:rsidRPr="00BE22F5">
        <w:t xml:space="preserve"> </w:t>
      </w:r>
      <w:proofErr w:type="spellStart"/>
      <w:r w:rsidR="00BE22F5" w:rsidRPr="00BE22F5">
        <w:t>that</w:t>
      </w:r>
      <w:proofErr w:type="spellEnd"/>
      <w:r w:rsidR="00BE22F5" w:rsidRPr="00BE22F5">
        <w:t xml:space="preserve"> a modest proportion of patients will </w:t>
      </w:r>
      <w:proofErr w:type="gramStart"/>
      <w:r w:rsidR="00BE22F5" w:rsidRPr="00BE22F5">
        <w:t>have a preference for</w:t>
      </w:r>
      <w:proofErr w:type="gramEnd"/>
      <w:r w:rsidR="00BE22F5" w:rsidRPr="00BE22F5">
        <w:t xml:space="preserve"> less frequent dosing.</w:t>
      </w:r>
    </w:p>
    <w:p w14:paraId="58F5EEA3" w14:textId="3DCD1C74" w:rsidR="00CF53CD" w:rsidRPr="00355F70" w:rsidRDefault="005B6ED0" w:rsidP="005B6ED0">
      <w:pPr>
        <w:pStyle w:val="3Bodytext"/>
        <w:jc w:val="both"/>
        <w:rPr>
          <w:i/>
          <w:iCs/>
        </w:rPr>
      </w:pPr>
      <w:r w:rsidRPr="002D7BE8">
        <w:t xml:space="preserve">The proportion of </w:t>
      </w:r>
      <w:r>
        <w:t xml:space="preserve">fremanezumab monthly dosing </w:t>
      </w:r>
      <w:r w:rsidRPr="002D7BE8">
        <w:t xml:space="preserve">sales displaced by the </w:t>
      </w:r>
      <w:r>
        <w:t xml:space="preserve">quarterly dosing (in continuation scripts) </w:t>
      </w:r>
      <w:r w:rsidRPr="002D7BE8">
        <w:t xml:space="preserve">due to </w:t>
      </w:r>
      <w:r>
        <w:t>switching</w:t>
      </w:r>
      <w:r w:rsidRPr="002D7BE8">
        <w:t xml:space="preserve"> was derived from TE</w:t>
      </w:r>
      <w:r>
        <w:t>V</w:t>
      </w:r>
      <w:r w:rsidRPr="002D7BE8">
        <w:t>A Australia internal uptake estimates</w:t>
      </w:r>
      <w:r>
        <w:t xml:space="preserve"> and reflects the United States experience where </w:t>
      </w:r>
      <w:proofErr w:type="gramStart"/>
      <w:r w:rsidR="00C351E7" w:rsidRPr="00EF5EB1">
        <w:rPr>
          <w:color w:val="000000"/>
          <w:w w:val="15"/>
          <w:shd w:val="solid" w:color="000000" w:fill="000000"/>
          <w:fitText w:val="-20" w:id="-1506107135"/>
          <w14:textFill>
            <w14:solidFill>
              <w14:srgbClr w14:val="000000">
                <w14:alpha w14:val="100000"/>
              </w14:srgbClr>
            </w14:solidFill>
          </w14:textFill>
        </w:rPr>
        <w:t xml:space="preserve">|  </w:t>
      </w:r>
      <w:r w:rsidR="00C351E7" w:rsidRPr="00EF5EB1">
        <w:rPr>
          <w:color w:val="000000"/>
          <w:spacing w:val="-69"/>
          <w:w w:val="15"/>
          <w:shd w:val="solid" w:color="000000" w:fill="000000"/>
          <w:fitText w:val="-20" w:id="-1506107135"/>
          <w14:textFill>
            <w14:solidFill>
              <w14:srgbClr w14:val="000000">
                <w14:alpha w14:val="100000"/>
              </w14:srgbClr>
            </w14:solidFill>
          </w14:textFill>
        </w:rPr>
        <w:t>|</w:t>
      </w:r>
      <w:proofErr w:type="gramEnd"/>
      <w:r>
        <w:t xml:space="preserve">% of all fremanezumab use was via the quarterly dose in June 2021 (fremanezumab was launched in the US in </w:t>
      </w:r>
      <w:r w:rsidRPr="000B57FD">
        <w:t>Sept</w:t>
      </w:r>
      <w:r>
        <w:t>ember</w:t>
      </w:r>
      <w:r w:rsidRPr="000B57FD">
        <w:t xml:space="preserve"> 2018</w:t>
      </w:r>
      <w:r>
        <w:t>)</w:t>
      </w:r>
      <w:r w:rsidRPr="000B57FD">
        <w:t>.</w:t>
      </w:r>
      <w:r>
        <w:t xml:space="preserve"> </w:t>
      </w:r>
      <w:r w:rsidR="00CF53CD" w:rsidRPr="00F010F3">
        <w:t>This may not accurately reflect the market</w:t>
      </w:r>
      <w:r w:rsidRPr="00F010F3">
        <w:t xml:space="preserve"> </w:t>
      </w:r>
      <w:r w:rsidR="009E2E62" w:rsidRPr="00F010F3">
        <w:t xml:space="preserve">dynamics </w:t>
      </w:r>
      <w:r w:rsidRPr="00F010F3">
        <w:t>in Australia</w:t>
      </w:r>
      <w:r w:rsidR="00CF53CD" w:rsidRPr="00F010F3">
        <w:t xml:space="preserve">. </w:t>
      </w:r>
    </w:p>
    <w:p w14:paraId="315F0432" w14:textId="07FF87CF" w:rsidR="00CA4FC5" w:rsidRPr="00CF5CF2" w:rsidRDefault="00CF53CD" w:rsidP="00CA4FC5">
      <w:pPr>
        <w:pStyle w:val="3Bodytext"/>
        <w:jc w:val="both"/>
        <w:rPr>
          <w:i/>
        </w:rPr>
      </w:pPr>
      <w:r w:rsidRPr="00CF53CD">
        <w:t xml:space="preserve">Table </w:t>
      </w:r>
      <w:r>
        <w:t>2</w:t>
      </w:r>
      <w:r w:rsidRPr="00CF53CD">
        <w:t xml:space="preserve"> presents the estimated extent of use, cost of </w:t>
      </w:r>
      <w:r>
        <w:t>fremanezumab quarterly</w:t>
      </w:r>
      <w:r w:rsidRPr="00CF53CD">
        <w:t xml:space="preserve"> to the PBS/RPBS and the net financial implications to the PBS/RPBS</w:t>
      </w:r>
      <w:r>
        <w:t xml:space="preserve">. </w:t>
      </w:r>
    </w:p>
    <w:p w14:paraId="211EEFA0" w14:textId="2A6C0DB6" w:rsidR="00DC33BA" w:rsidRPr="00CF5CF2" w:rsidRDefault="00DC33BA" w:rsidP="00CA4FC5">
      <w:pPr>
        <w:pStyle w:val="3Bodytext"/>
        <w:jc w:val="both"/>
        <w:rPr>
          <w:i/>
        </w:rPr>
      </w:pPr>
      <w:r>
        <w:t xml:space="preserve">The submission estimated that </w:t>
      </w:r>
      <w:r w:rsidR="00682432">
        <w:t>30,000 to &lt;40,000</w:t>
      </w:r>
      <w:r w:rsidR="00EF5EB1">
        <w:t xml:space="preserve"> </w:t>
      </w:r>
      <w:r w:rsidRPr="00167C39">
        <w:t xml:space="preserve">patients </w:t>
      </w:r>
      <w:r>
        <w:t>would</w:t>
      </w:r>
      <w:r w:rsidRPr="00167C39">
        <w:t xml:space="preserve"> be supplied </w:t>
      </w:r>
      <w:r>
        <w:t>fremanezumab quarterly</w:t>
      </w:r>
      <w:r w:rsidRPr="00167C39">
        <w:t xml:space="preserve"> over the first six years of listing </w:t>
      </w:r>
      <w:r w:rsidR="00A26E6C">
        <w:t xml:space="preserve">at a </w:t>
      </w:r>
      <w:r w:rsidR="00682432">
        <w:t xml:space="preserve">net cost </w:t>
      </w:r>
      <w:r w:rsidR="00A26E6C">
        <w:t xml:space="preserve">saving  </w:t>
      </w:r>
      <w:r>
        <w:t xml:space="preserve"> in Year 1</w:t>
      </w:r>
      <w:r w:rsidRPr="00167C39">
        <w:t xml:space="preserve"> to </w:t>
      </w:r>
      <w:r>
        <w:t>Year</w:t>
      </w:r>
      <w:r w:rsidR="00FB3C10">
        <w:t> </w:t>
      </w:r>
      <w:r>
        <w:t xml:space="preserve">6 using the </w:t>
      </w:r>
      <w:r w:rsidR="00A26E6C">
        <w:t xml:space="preserve">published </w:t>
      </w:r>
      <w:r>
        <w:t>price, and</w:t>
      </w:r>
      <w:r w:rsidR="00A26E6C">
        <w:t xml:space="preserve"> a cost of</w:t>
      </w:r>
      <w:r>
        <w:t xml:space="preserve"> </w:t>
      </w:r>
      <w:r w:rsidR="00682432">
        <w:rPr>
          <w:color w:val="000000"/>
          <w:szCs w:val="20"/>
        </w:rPr>
        <w:t>$0 to &lt; $10 million</w:t>
      </w:r>
      <w:r>
        <w:rPr>
          <w:color w:val="000000"/>
          <w:szCs w:val="20"/>
        </w:rPr>
        <w:t xml:space="preserve"> in </w:t>
      </w:r>
      <w:r w:rsidR="00EF5EB1">
        <w:rPr>
          <w:color w:val="000000"/>
          <w:szCs w:val="20"/>
        </w:rPr>
        <w:t>Y</w:t>
      </w:r>
      <w:r>
        <w:rPr>
          <w:color w:val="000000"/>
          <w:szCs w:val="20"/>
        </w:rPr>
        <w:t>ear</w:t>
      </w:r>
      <w:r w:rsidR="00A26E6C">
        <w:rPr>
          <w:color w:val="000000"/>
          <w:szCs w:val="20"/>
        </w:rPr>
        <w:t> </w:t>
      </w:r>
      <w:r>
        <w:rPr>
          <w:color w:val="000000"/>
          <w:szCs w:val="20"/>
        </w:rPr>
        <w:t xml:space="preserve">1 to </w:t>
      </w:r>
      <w:r w:rsidR="00682432">
        <w:rPr>
          <w:color w:val="000000"/>
          <w:szCs w:val="20"/>
        </w:rPr>
        <w:t>$</w:t>
      </w:r>
      <w:r w:rsidR="00682432" w:rsidRPr="00EF5EB1">
        <w:t>0</w:t>
      </w:r>
      <w:r w:rsidR="00EF5EB1">
        <w:t> </w:t>
      </w:r>
      <w:r w:rsidR="00682432" w:rsidRPr="00EF5EB1">
        <w:t>to</w:t>
      </w:r>
      <w:r w:rsidR="00EF5EB1">
        <w:rPr>
          <w:color w:val="000000"/>
          <w:szCs w:val="20"/>
        </w:rPr>
        <w:t> </w:t>
      </w:r>
      <w:r w:rsidR="00682432">
        <w:rPr>
          <w:color w:val="000000"/>
          <w:szCs w:val="20"/>
        </w:rPr>
        <w:t>&lt; $10 million</w:t>
      </w:r>
      <w:r>
        <w:rPr>
          <w:color w:val="000000"/>
          <w:szCs w:val="20"/>
        </w:rPr>
        <w:t xml:space="preserve"> in </w:t>
      </w:r>
      <w:r w:rsidR="00EF5EB1">
        <w:rPr>
          <w:color w:val="000000"/>
          <w:szCs w:val="20"/>
        </w:rPr>
        <w:t>Y</w:t>
      </w:r>
      <w:r>
        <w:rPr>
          <w:color w:val="000000"/>
          <w:szCs w:val="20"/>
        </w:rPr>
        <w:t xml:space="preserve">ear 6 using the </w:t>
      </w:r>
      <w:r w:rsidR="00A26E6C">
        <w:rPr>
          <w:color w:val="000000"/>
          <w:szCs w:val="20"/>
        </w:rPr>
        <w:t xml:space="preserve">effective </w:t>
      </w:r>
      <w:r>
        <w:rPr>
          <w:color w:val="000000"/>
          <w:szCs w:val="20"/>
        </w:rPr>
        <w:t>price</w:t>
      </w:r>
      <w:r w:rsidRPr="00167C39">
        <w:t>.</w:t>
      </w:r>
      <w:r w:rsidR="00355F70">
        <w:t xml:space="preserve"> </w:t>
      </w:r>
      <w:r w:rsidR="00355F70" w:rsidRPr="00F010F3">
        <w:t>These estimates are uncertain.</w:t>
      </w:r>
    </w:p>
    <w:p w14:paraId="4F174250" w14:textId="1302C93F" w:rsidR="00620050" w:rsidRPr="00CF5CF2" w:rsidRDefault="00F1492C" w:rsidP="00CA4FC5">
      <w:pPr>
        <w:pStyle w:val="3Bodytext"/>
        <w:jc w:val="both"/>
        <w:rPr>
          <w:i/>
        </w:rPr>
      </w:pPr>
      <w:r>
        <w:t xml:space="preserve">The co-payments required for a quarterly dosing regimen will be a third of the co-payments required for a monthly dosing regimen. </w:t>
      </w:r>
      <w:r w:rsidRPr="00F010F3">
        <w:t>This difference contribute</w:t>
      </w:r>
      <w:r w:rsidR="00FB3C10" w:rsidRPr="00F010F3">
        <w:t>s</w:t>
      </w:r>
      <w:r w:rsidRPr="00F010F3">
        <w:t xml:space="preserve"> to the</w:t>
      </w:r>
      <w:r w:rsidR="00FB3C10" w:rsidRPr="00F010F3">
        <w:t xml:space="preserve"> estimated</w:t>
      </w:r>
      <w:r w:rsidRPr="00F010F3">
        <w:t xml:space="preserve"> cost </w:t>
      </w:r>
      <w:r w:rsidR="00FB3C10" w:rsidRPr="00F010F3">
        <w:t xml:space="preserve">of </w:t>
      </w:r>
      <w:r w:rsidRPr="00F010F3">
        <w:t xml:space="preserve">the listing. </w:t>
      </w:r>
    </w:p>
    <w:p w14:paraId="6F8E8EFB" w14:textId="2B6A740D" w:rsidR="003B226A" w:rsidRPr="00C87C1A" w:rsidRDefault="003B226A" w:rsidP="003B226A">
      <w:pPr>
        <w:pStyle w:val="3Bodytext"/>
        <w:jc w:val="both"/>
        <w:rPr>
          <w:iCs/>
        </w:rPr>
      </w:pPr>
      <w:r w:rsidRPr="00F010F3">
        <w:rPr>
          <w:iCs/>
        </w:rPr>
        <w:t>As a Category 4 submission, the financial estimates have not been independently evaluated.</w:t>
      </w:r>
    </w:p>
    <w:tbl>
      <w:tblPr>
        <w:tblpPr w:leftFromText="180" w:rightFromText="180" w:vertAnchor="text" w:horzAnchor="margin" w:tblpY="309"/>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2"/>
        <w:gridCol w:w="890"/>
        <w:gridCol w:w="1157"/>
        <w:gridCol w:w="1157"/>
        <w:gridCol w:w="1157"/>
        <w:gridCol w:w="1157"/>
        <w:gridCol w:w="1158"/>
      </w:tblGrid>
      <w:tr w:rsidR="00CA4FC5" w:rsidRPr="00CA4FC5" w14:paraId="47386F04" w14:textId="77777777" w:rsidTr="00CA4FC5">
        <w:trPr>
          <w:cantSplit/>
          <w:tblHeader/>
        </w:trPr>
        <w:tc>
          <w:tcPr>
            <w:tcW w:w="1266" w:type="pct"/>
            <w:shd w:val="clear" w:color="auto" w:fill="auto"/>
            <w:vAlign w:val="center"/>
          </w:tcPr>
          <w:p w14:paraId="4BDDDE98" w14:textId="77777777" w:rsidR="00CA4FC5" w:rsidRPr="00CA4FC5" w:rsidRDefault="00CA4FC5" w:rsidP="00CA4FC5">
            <w:pPr>
              <w:pStyle w:val="TableText"/>
              <w:keepLines/>
              <w:rPr>
                <w:szCs w:val="20"/>
              </w:rPr>
            </w:pPr>
          </w:p>
        </w:tc>
        <w:tc>
          <w:tcPr>
            <w:tcW w:w="498" w:type="pct"/>
            <w:shd w:val="clear" w:color="auto" w:fill="auto"/>
            <w:vAlign w:val="center"/>
          </w:tcPr>
          <w:p w14:paraId="19B13A9F" w14:textId="77777777" w:rsidR="00CA4FC5" w:rsidRPr="00CA4FC5" w:rsidRDefault="00CA4FC5" w:rsidP="00CA4FC5">
            <w:pPr>
              <w:pStyle w:val="TableText"/>
              <w:keepLines/>
              <w:rPr>
                <w:b/>
                <w:szCs w:val="20"/>
              </w:rPr>
            </w:pPr>
            <w:r w:rsidRPr="00CA4FC5">
              <w:rPr>
                <w:b/>
                <w:szCs w:val="20"/>
              </w:rPr>
              <w:t>Year 1</w:t>
            </w:r>
          </w:p>
        </w:tc>
        <w:tc>
          <w:tcPr>
            <w:tcW w:w="647" w:type="pct"/>
            <w:shd w:val="clear" w:color="auto" w:fill="auto"/>
            <w:vAlign w:val="center"/>
          </w:tcPr>
          <w:p w14:paraId="3F22B197" w14:textId="77777777" w:rsidR="00CA4FC5" w:rsidRPr="00CA4FC5" w:rsidRDefault="00CA4FC5" w:rsidP="00CA4FC5">
            <w:pPr>
              <w:pStyle w:val="TableText"/>
              <w:keepLines/>
              <w:rPr>
                <w:b/>
                <w:szCs w:val="20"/>
              </w:rPr>
            </w:pPr>
            <w:r w:rsidRPr="00CA4FC5">
              <w:rPr>
                <w:b/>
                <w:szCs w:val="20"/>
              </w:rPr>
              <w:t>Year 2</w:t>
            </w:r>
          </w:p>
        </w:tc>
        <w:tc>
          <w:tcPr>
            <w:tcW w:w="647" w:type="pct"/>
            <w:shd w:val="clear" w:color="auto" w:fill="auto"/>
            <w:vAlign w:val="center"/>
          </w:tcPr>
          <w:p w14:paraId="3103C0CD" w14:textId="77777777" w:rsidR="00CA4FC5" w:rsidRPr="00CA4FC5" w:rsidRDefault="00CA4FC5" w:rsidP="00CA4FC5">
            <w:pPr>
              <w:pStyle w:val="TableText"/>
              <w:keepLines/>
              <w:rPr>
                <w:b/>
                <w:szCs w:val="20"/>
              </w:rPr>
            </w:pPr>
            <w:r w:rsidRPr="00CA4FC5">
              <w:rPr>
                <w:b/>
                <w:szCs w:val="20"/>
              </w:rPr>
              <w:t>Year 3</w:t>
            </w:r>
          </w:p>
        </w:tc>
        <w:tc>
          <w:tcPr>
            <w:tcW w:w="647" w:type="pct"/>
            <w:shd w:val="clear" w:color="auto" w:fill="auto"/>
            <w:vAlign w:val="center"/>
          </w:tcPr>
          <w:p w14:paraId="7808553B" w14:textId="77777777" w:rsidR="00CA4FC5" w:rsidRPr="00CA4FC5" w:rsidRDefault="00CA4FC5" w:rsidP="00CA4FC5">
            <w:pPr>
              <w:pStyle w:val="TableText"/>
              <w:keepLines/>
              <w:rPr>
                <w:b/>
                <w:szCs w:val="20"/>
              </w:rPr>
            </w:pPr>
            <w:r w:rsidRPr="00CA4FC5">
              <w:rPr>
                <w:b/>
                <w:szCs w:val="20"/>
              </w:rPr>
              <w:t>Year 4</w:t>
            </w:r>
          </w:p>
        </w:tc>
        <w:tc>
          <w:tcPr>
            <w:tcW w:w="647" w:type="pct"/>
            <w:shd w:val="clear" w:color="auto" w:fill="auto"/>
            <w:vAlign w:val="center"/>
          </w:tcPr>
          <w:p w14:paraId="72BAB3B0" w14:textId="77777777" w:rsidR="00CA4FC5" w:rsidRPr="00CA4FC5" w:rsidRDefault="00CA4FC5" w:rsidP="00CA4FC5">
            <w:pPr>
              <w:pStyle w:val="TableText"/>
              <w:keepLines/>
              <w:rPr>
                <w:b/>
                <w:szCs w:val="20"/>
              </w:rPr>
            </w:pPr>
            <w:r w:rsidRPr="00CA4FC5">
              <w:rPr>
                <w:b/>
                <w:szCs w:val="20"/>
              </w:rPr>
              <w:t>Year 5</w:t>
            </w:r>
          </w:p>
        </w:tc>
        <w:tc>
          <w:tcPr>
            <w:tcW w:w="647" w:type="pct"/>
          </w:tcPr>
          <w:p w14:paraId="7F8C5F7E" w14:textId="77777777" w:rsidR="00CA4FC5" w:rsidRPr="00CA4FC5" w:rsidRDefault="00CA4FC5" w:rsidP="00CA4FC5">
            <w:pPr>
              <w:pStyle w:val="TableText"/>
              <w:keepLines/>
              <w:rPr>
                <w:b/>
                <w:szCs w:val="20"/>
              </w:rPr>
            </w:pPr>
            <w:r w:rsidRPr="00CA4FC5">
              <w:rPr>
                <w:b/>
                <w:szCs w:val="20"/>
              </w:rPr>
              <w:t>Year 6</w:t>
            </w:r>
          </w:p>
        </w:tc>
      </w:tr>
      <w:tr w:rsidR="00CA4FC5" w:rsidRPr="00CA4FC5" w14:paraId="550CB462" w14:textId="77777777" w:rsidTr="00CA4FC5">
        <w:trPr>
          <w:cantSplit/>
        </w:trPr>
        <w:tc>
          <w:tcPr>
            <w:tcW w:w="5000" w:type="pct"/>
            <w:gridSpan w:val="7"/>
            <w:shd w:val="clear" w:color="auto" w:fill="auto"/>
            <w:vAlign w:val="center"/>
          </w:tcPr>
          <w:p w14:paraId="5B07CB3C" w14:textId="77777777" w:rsidR="00CA4FC5" w:rsidRPr="00CA4FC5" w:rsidRDefault="00CA4FC5" w:rsidP="00CA4FC5">
            <w:pPr>
              <w:pStyle w:val="TableText"/>
              <w:keepLines/>
              <w:rPr>
                <w:b/>
                <w:color w:val="000000"/>
                <w:szCs w:val="20"/>
              </w:rPr>
            </w:pPr>
            <w:r w:rsidRPr="00CA4FC5">
              <w:rPr>
                <w:b/>
                <w:color w:val="000000"/>
                <w:szCs w:val="20"/>
              </w:rPr>
              <w:t>Estimated extent of use</w:t>
            </w:r>
          </w:p>
        </w:tc>
      </w:tr>
      <w:tr w:rsidR="00CA4FC5" w:rsidRPr="00CA4FC5" w14:paraId="24EC7AAF" w14:textId="77777777" w:rsidTr="00CA4FC5">
        <w:trPr>
          <w:cantSplit/>
          <w:trHeight w:val="220"/>
        </w:trPr>
        <w:tc>
          <w:tcPr>
            <w:tcW w:w="1266" w:type="pct"/>
            <w:shd w:val="clear" w:color="auto" w:fill="auto"/>
            <w:vAlign w:val="center"/>
          </w:tcPr>
          <w:p w14:paraId="6370E98B" w14:textId="77777777" w:rsidR="00CA4FC5" w:rsidRPr="00CA4FC5" w:rsidRDefault="00CA4FC5" w:rsidP="00CA4FC5">
            <w:pPr>
              <w:pStyle w:val="TableText"/>
              <w:keepLines/>
              <w:rPr>
                <w:szCs w:val="20"/>
                <w:vertAlign w:val="superscript"/>
              </w:rPr>
            </w:pPr>
            <w:r w:rsidRPr="00CA4FC5">
              <w:rPr>
                <w:szCs w:val="20"/>
              </w:rPr>
              <w:t>Number of scripts dispensed</w:t>
            </w:r>
          </w:p>
        </w:tc>
        <w:tc>
          <w:tcPr>
            <w:tcW w:w="498" w:type="pct"/>
            <w:shd w:val="clear" w:color="auto" w:fill="auto"/>
            <w:vAlign w:val="center"/>
          </w:tcPr>
          <w:p w14:paraId="3ECCE548" w14:textId="296ECBF0" w:rsidR="00CA4FC5" w:rsidRPr="003C7E0A" w:rsidRDefault="00C351E7" w:rsidP="00CA4FC5">
            <w:pPr>
              <w:pStyle w:val="TableText"/>
              <w:keepLines/>
              <w:jc w:val="right"/>
              <w:rPr>
                <w:color w:val="000000"/>
                <w:szCs w:val="20"/>
                <w:highlight w:val="yellow"/>
              </w:rPr>
            </w:pPr>
            <w:r w:rsidRPr="00C351E7">
              <w:rPr>
                <w:color w:val="000000"/>
                <w:szCs w:val="20"/>
                <w:shd w:val="solid" w:color="000000" w:fill="000000"/>
                <w14:textFill>
                  <w14:solidFill>
                    <w14:srgbClr w14:val="000000">
                      <w14:alpha w14:val="100000"/>
                    </w14:srgbClr>
                  </w14:solidFill>
                </w14:textFill>
              </w:rPr>
              <w:t>|</w:t>
            </w:r>
            <w:r w:rsidR="003C7E0A" w:rsidRPr="00C351E7">
              <w:rPr>
                <w:color w:val="000000"/>
                <w:szCs w:val="20"/>
                <w:vertAlign w:val="superscript"/>
              </w:rPr>
              <w:t>1</w:t>
            </w:r>
          </w:p>
        </w:tc>
        <w:tc>
          <w:tcPr>
            <w:tcW w:w="647" w:type="pct"/>
            <w:shd w:val="clear" w:color="auto" w:fill="auto"/>
            <w:vAlign w:val="center"/>
          </w:tcPr>
          <w:p w14:paraId="6505BFA2" w14:textId="6BA11DB4" w:rsidR="00CA4FC5" w:rsidRPr="003C7E0A" w:rsidRDefault="00C351E7" w:rsidP="00CA4FC5">
            <w:pPr>
              <w:pStyle w:val="TableText"/>
              <w:keepLines/>
              <w:jc w:val="right"/>
              <w:rPr>
                <w:color w:val="000000"/>
                <w:szCs w:val="20"/>
                <w:highlight w:val="yellow"/>
              </w:rPr>
            </w:pPr>
            <w:r w:rsidRPr="00C351E7">
              <w:rPr>
                <w:color w:val="000000"/>
                <w:szCs w:val="20"/>
                <w:shd w:val="solid" w:color="000000" w:fill="000000"/>
                <w14:textFill>
                  <w14:solidFill>
                    <w14:srgbClr w14:val="000000">
                      <w14:alpha w14:val="100000"/>
                    </w14:srgbClr>
                  </w14:solidFill>
                </w14:textFill>
              </w:rPr>
              <w:t>|</w:t>
            </w:r>
            <w:r w:rsidR="003C7E0A" w:rsidRPr="00C351E7">
              <w:rPr>
                <w:color w:val="000000"/>
                <w:szCs w:val="20"/>
                <w:vertAlign w:val="superscript"/>
              </w:rPr>
              <w:t>2</w:t>
            </w:r>
          </w:p>
        </w:tc>
        <w:tc>
          <w:tcPr>
            <w:tcW w:w="647" w:type="pct"/>
            <w:shd w:val="clear" w:color="auto" w:fill="auto"/>
            <w:vAlign w:val="center"/>
          </w:tcPr>
          <w:p w14:paraId="0D905075" w14:textId="6E700ADA" w:rsidR="00CA4FC5" w:rsidRPr="003C7E0A" w:rsidRDefault="00C351E7" w:rsidP="00CA4FC5">
            <w:pPr>
              <w:pStyle w:val="TableText"/>
              <w:keepLines/>
              <w:jc w:val="right"/>
              <w:rPr>
                <w:color w:val="000000"/>
                <w:szCs w:val="20"/>
                <w:highlight w:val="yellow"/>
              </w:rPr>
            </w:pPr>
            <w:r w:rsidRPr="00C351E7">
              <w:rPr>
                <w:color w:val="000000"/>
                <w:szCs w:val="20"/>
                <w:shd w:val="solid" w:color="000000" w:fill="000000"/>
                <w14:textFill>
                  <w14:solidFill>
                    <w14:srgbClr w14:val="000000">
                      <w14:alpha w14:val="100000"/>
                    </w14:srgbClr>
                  </w14:solidFill>
                </w14:textFill>
              </w:rPr>
              <w:t>|</w:t>
            </w:r>
            <w:r w:rsidR="003C7E0A" w:rsidRPr="00C351E7">
              <w:rPr>
                <w:color w:val="000000"/>
                <w:szCs w:val="20"/>
                <w:vertAlign w:val="superscript"/>
              </w:rPr>
              <w:t>2</w:t>
            </w:r>
          </w:p>
        </w:tc>
        <w:tc>
          <w:tcPr>
            <w:tcW w:w="647" w:type="pct"/>
            <w:shd w:val="clear" w:color="auto" w:fill="auto"/>
            <w:vAlign w:val="center"/>
          </w:tcPr>
          <w:p w14:paraId="513805E9" w14:textId="66B38460" w:rsidR="00CA4FC5" w:rsidRPr="003C7E0A" w:rsidRDefault="00C351E7" w:rsidP="00CA4FC5">
            <w:pPr>
              <w:pStyle w:val="TableText"/>
              <w:keepLines/>
              <w:jc w:val="right"/>
              <w:rPr>
                <w:color w:val="000000"/>
                <w:szCs w:val="20"/>
                <w:highlight w:val="yellow"/>
              </w:rPr>
            </w:pPr>
            <w:r w:rsidRPr="00C351E7">
              <w:rPr>
                <w:color w:val="000000"/>
                <w:szCs w:val="20"/>
                <w:shd w:val="solid" w:color="000000" w:fill="000000"/>
                <w14:textFill>
                  <w14:solidFill>
                    <w14:srgbClr w14:val="000000">
                      <w14:alpha w14:val="100000"/>
                    </w14:srgbClr>
                  </w14:solidFill>
                </w14:textFill>
              </w:rPr>
              <w:t>|</w:t>
            </w:r>
            <w:r w:rsidR="003C7E0A" w:rsidRPr="00C351E7">
              <w:rPr>
                <w:color w:val="000000"/>
                <w:szCs w:val="20"/>
                <w:vertAlign w:val="superscript"/>
              </w:rPr>
              <w:t>3</w:t>
            </w:r>
          </w:p>
        </w:tc>
        <w:tc>
          <w:tcPr>
            <w:tcW w:w="647" w:type="pct"/>
            <w:shd w:val="clear" w:color="auto" w:fill="auto"/>
            <w:vAlign w:val="center"/>
          </w:tcPr>
          <w:p w14:paraId="6E1089C9" w14:textId="72317A7F" w:rsidR="00CA4FC5" w:rsidRPr="003C7E0A" w:rsidRDefault="00C351E7" w:rsidP="00CA4FC5">
            <w:pPr>
              <w:pStyle w:val="TableText"/>
              <w:keepLines/>
              <w:jc w:val="right"/>
              <w:rPr>
                <w:color w:val="000000"/>
                <w:szCs w:val="20"/>
                <w:highlight w:val="yellow"/>
              </w:rPr>
            </w:pPr>
            <w:r w:rsidRPr="00C351E7">
              <w:rPr>
                <w:color w:val="000000"/>
                <w:szCs w:val="20"/>
                <w:shd w:val="solid" w:color="000000" w:fill="000000"/>
                <w14:textFill>
                  <w14:solidFill>
                    <w14:srgbClr w14:val="000000">
                      <w14:alpha w14:val="100000"/>
                    </w14:srgbClr>
                  </w14:solidFill>
                </w14:textFill>
              </w:rPr>
              <w:t>|</w:t>
            </w:r>
            <w:r w:rsidR="003C7E0A" w:rsidRPr="00C351E7">
              <w:rPr>
                <w:color w:val="000000"/>
                <w:szCs w:val="20"/>
                <w:vertAlign w:val="superscript"/>
              </w:rPr>
              <w:t>4</w:t>
            </w:r>
          </w:p>
        </w:tc>
        <w:tc>
          <w:tcPr>
            <w:tcW w:w="647" w:type="pct"/>
          </w:tcPr>
          <w:p w14:paraId="35D0C398" w14:textId="33075E3C" w:rsidR="00CA4FC5" w:rsidRPr="003C7E0A" w:rsidRDefault="00C351E7" w:rsidP="00CA4FC5">
            <w:pPr>
              <w:pStyle w:val="TableText"/>
              <w:keepLines/>
              <w:jc w:val="right"/>
              <w:rPr>
                <w:color w:val="000000"/>
                <w:szCs w:val="20"/>
                <w:highlight w:val="yellow"/>
              </w:rPr>
            </w:pPr>
            <w:r w:rsidRPr="00C351E7">
              <w:rPr>
                <w:color w:val="000000"/>
                <w:szCs w:val="20"/>
                <w:shd w:val="solid" w:color="000000" w:fill="000000"/>
                <w14:textFill>
                  <w14:solidFill>
                    <w14:srgbClr w14:val="000000">
                      <w14:alpha w14:val="100000"/>
                    </w14:srgbClr>
                  </w14:solidFill>
                </w14:textFill>
              </w:rPr>
              <w:t>|</w:t>
            </w:r>
            <w:r w:rsidR="003C7E0A" w:rsidRPr="00C351E7">
              <w:rPr>
                <w:color w:val="000000"/>
                <w:szCs w:val="20"/>
                <w:vertAlign w:val="superscript"/>
              </w:rPr>
              <w:t>5</w:t>
            </w:r>
          </w:p>
        </w:tc>
      </w:tr>
      <w:tr w:rsidR="00CA4FC5" w:rsidRPr="00CA4FC5" w14:paraId="59F35DD3" w14:textId="77777777" w:rsidTr="00CA4FC5">
        <w:trPr>
          <w:cantSplit/>
        </w:trPr>
        <w:tc>
          <w:tcPr>
            <w:tcW w:w="5000" w:type="pct"/>
            <w:gridSpan w:val="7"/>
            <w:shd w:val="clear" w:color="auto" w:fill="auto"/>
            <w:vAlign w:val="center"/>
          </w:tcPr>
          <w:p w14:paraId="1F2B4499" w14:textId="492245BE" w:rsidR="00CA4FC5" w:rsidRPr="00CA4FC5" w:rsidRDefault="00CA4FC5" w:rsidP="00CA4FC5">
            <w:pPr>
              <w:pStyle w:val="TableText"/>
              <w:keepLines/>
              <w:rPr>
                <w:b/>
                <w:color w:val="000000"/>
                <w:szCs w:val="20"/>
              </w:rPr>
            </w:pPr>
            <w:r w:rsidRPr="00CA4FC5">
              <w:rPr>
                <w:b/>
                <w:bCs w:val="0"/>
                <w:color w:val="000000"/>
                <w:szCs w:val="20"/>
              </w:rPr>
              <w:t>Net financial implications</w:t>
            </w:r>
            <w:r w:rsidRPr="00CA4FC5">
              <w:rPr>
                <w:b/>
                <w:color w:val="000000"/>
                <w:szCs w:val="20"/>
              </w:rPr>
              <w:t xml:space="preserve"> of fremanezumab (quarterly dosing) </w:t>
            </w:r>
            <w:r>
              <w:rPr>
                <w:b/>
                <w:color w:val="000000"/>
                <w:szCs w:val="20"/>
              </w:rPr>
              <w:t>Published</w:t>
            </w:r>
            <w:r w:rsidRPr="00CA4FC5">
              <w:rPr>
                <w:b/>
                <w:color w:val="000000"/>
                <w:szCs w:val="20"/>
              </w:rPr>
              <w:t xml:space="preserve"> Price</w:t>
            </w:r>
          </w:p>
        </w:tc>
      </w:tr>
      <w:tr w:rsidR="00CA4FC5" w:rsidRPr="00CA4FC5" w14:paraId="41C938A0" w14:textId="77777777" w:rsidTr="00CA4FC5">
        <w:trPr>
          <w:cantSplit/>
          <w:trHeight w:val="312"/>
        </w:trPr>
        <w:tc>
          <w:tcPr>
            <w:tcW w:w="1266" w:type="pct"/>
            <w:shd w:val="clear" w:color="auto" w:fill="auto"/>
            <w:vAlign w:val="center"/>
          </w:tcPr>
          <w:p w14:paraId="430DCDDC" w14:textId="22F22FB5" w:rsidR="00CA4FC5" w:rsidRPr="00CA4FC5" w:rsidRDefault="00CA4FC5" w:rsidP="00CA4FC5">
            <w:pPr>
              <w:pStyle w:val="TableText"/>
              <w:keepLines/>
              <w:rPr>
                <w:szCs w:val="20"/>
              </w:rPr>
            </w:pPr>
            <w:r w:rsidRPr="00CA4FC5">
              <w:rPr>
                <w:szCs w:val="20"/>
              </w:rPr>
              <w:t>Net cost to PBS/RPBS</w:t>
            </w:r>
            <w:r w:rsidR="003E682D">
              <w:rPr>
                <w:szCs w:val="20"/>
              </w:rPr>
              <w:t xml:space="preserve"> (-$)</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039F449F" w14:textId="37568B01" w:rsidR="00CA4FC5" w:rsidRPr="00C351E7" w:rsidRDefault="00C351E7" w:rsidP="00CA4FC5">
            <w:pPr>
              <w:pStyle w:val="TableText"/>
              <w:keepLines/>
              <w:jc w:val="right"/>
              <w:rPr>
                <w:color w:val="000000"/>
                <w:szCs w:val="20"/>
                <w:highlight w:val="yellow"/>
                <w:vertAlign w:val="superscript"/>
              </w:rPr>
            </w:pPr>
            <w:r w:rsidRPr="00C351E7">
              <w:rPr>
                <w:color w:val="000000"/>
                <w:szCs w:val="20"/>
                <w:shd w:val="solid" w:color="000000" w:fill="000000"/>
                <w14:textFill>
                  <w14:solidFill>
                    <w14:srgbClr w14:val="000000">
                      <w14:alpha w14:val="100000"/>
                    </w14:srgbClr>
                  </w14:solidFill>
                </w14:textFill>
              </w:rPr>
              <w:t>|</w:t>
            </w:r>
            <w:r w:rsidR="003C7E0A" w:rsidRPr="00C351E7">
              <w:rPr>
                <w:color w:val="000000"/>
                <w:szCs w:val="20"/>
                <w:vertAlign w:val="superscript"/>
              </w:rPr>
              <w:t>6</w:t>
            </w:r>
          </w:p>
        </w:tc>
        <w:tc>
          <w:tcPr>
            <w:tcW w:w="647" w:type="pct"/>
            <w:tcBorders>
              <w:top w:val="single" w:sz="4" w:space="0" w:color="auto"/>
              <w:left w:val="nil"/>
              <w:bottom w:val="single" w:sz="4" w:space="0" w:color="auto"/>
              <w:right w:val="single" w:sz="4" w:space="0" w:color="auto"/>
            </w:tcBorders>
            <w:shd w:val="clear" w:color="auto" w:fill="auto"/>
            <w:vAlign w:val="center"/>
          </w:tcPr>
          <w:p w14:paraId="1018371F" w14:textId="1219AB2C" w:rsidR="00CA4FC5" w:rsidRPr="003E682D" w:rsidRDefault="00C351E7" w:rsidP="00CA4FC5">
            <w:pPr>
              <w:pStyle w:val="TableText"/>
              <w:keepLines/>
              <w:jc w:val="right"/>
              <w:rPr>
                <w:color w:val="000000"/>
                <w:szCs w:val="20"/>
                <w:highlight w:val="yellow"/>
              </w:rPr>
            </w:pPr>
            <w:r w:rsidRPr="00C351E7">
              <w:rPr>
                <w:color w:val="000000"/>
                <w:szCs w:val="20"/>
                <w:shd w:val="solid" w:color="000000" w:fill="000000"/>
                <w14:textFill>
                  <w14:solidFill>
                    <w14:srgbClr w14:val="000000">
                      <w14:alpha w14:val="100000"/>
                    </w14:srgbClr>
                  </w14:solidFill>
                </w14:textFill>
              </w:rPr>
              <w:t>|</w:t>
            </w:r>
            <w:r w:rsidR="003C7E0A" w:rsidRPr="00C65BCA">
              <w:rPr>
                <w:color w:val="000000"/>
                <w:szCs w:val="20"/>
                <w:vertAlign w:val="superscript"/>
              </w:rPr>
              <w:t>6</w:t>
            </w:r>
          </w:p>
        </w:tc>
        <w:tc>
          <w:tcPr>
            <w:tcW w:w="647" w:type="pct"/>
            <w:tcBorders>
              <w:top w:val="single" w:sz="4" w:space="0" w:color="auto"/>
              <w:left w:val="nil"/>
              <w:bottom w:val="single" w:sz="4" w:space="0" w:color="auto"/>
              <w:right w:val="single" w:sz="4" w:space="0" w:color="auto"/>
            </w:tcBorders>
            <w:shd w:val="clear" w:color="auto" w:fill="auto"/>
            <w:vAlign w:val="center"/>
          </w:tcPr>
          <w:p w14:paraId="0C074BF3" w14:textId="7CC2B96C" w:rsidR="00CA4FC5" w:rsidRPr="003E682D" w:rsidRDefault="00C351E7" w:rsidP="00CA4FC5">
            <w:pPr>
              <w:pStyle w:val="TableText"/>
              <w:keepLines/>
              <w:jc w:val="right"/>
              <w:rPr>
                <w:color w:val="000000"/>
                <w:szCs w:val="20"/>
                <w:highlight w:val="yellow"/>
              </w:rPr>
            </w:pPr>
            <w:r w:rsidRPr="00C351E7">
              <w:rPr>
                <w:color w:val="000000"/>
                <w:szCs w:val="20"/>
                <w:shd w:val="solid" w:color="000000" w:fill="000000"/>
                <w14:textFill>
                  <w14:solidFill>
                    <w14:srgbClr w14:val="000000">
                      <w14:alpha w14:val="100000"/>
                    </w14:srgbClr>
                  </w14:solidFill>
                </w14:textFill>
              </w:rPr>
              <w:t>|</w:t>
            </w:r>
            <w:r w:rsidR="003C7E0A" w:rsidRPr="00C65BCA">
              <w:rPr>
                <w:color w:val="000000"/>
                <w:szCs w:val="20"/>
                <w:vertAlign w:val="superscript"/>
              </w:rPr>
              <w:t>6</w:t>
            </w:r>
          </w:p>
        </w:tc>
        <w:tc>
          <w:tcPr>
            <w:tcW w:w="647" w:type="pct"/>
            <w:tcBorders>
              <w:top w:val="single" w:sz="4" w:space="0" w:color="auto"/>
              <w:left w:val="nil"/>
              <w:bottom w:val="single" w:sz="4" w:space="0" w:color="auto"/>
              <w:right w:val="single" w:sz="4" w:space="0" w:color="auto"/>
            </w:tcBorders>
            <w:shd w:val="clear" w:color="auto" w:fill="auto"/>
            <w:vAlign w:val="center"/>
          </w:tcPr>
          <w:p w14:paraId="0EF958C9" w14:textId="5471BBE3" w:rsidR="00CA4FC5" w:rsidRPr="003E682D" w:rsidRDefault="00C351E7" w:rsidP="00CA4FC5">
            <w:pPr>
              <w:pStyle w:val="TableText"/>
              <w:keepLines/>
              <w:jc w:val="right"/>
              <w:rPr>
                <w:color w:val="000000"/>
                <w:szCs w:val="20"/>
                <w:highlight w:val="yellow"/>
              </w:rPr>
            </w:pPr>
            <w:r w:rsidRPr="00C351E7">
              <w:rPr>
                <w:color w:val="000000"/>
                <w:szCs w:val="20"/>
                <w:shd w:val="solid" w:color="000000" w:fill="000000"/>
                <w14:textFill>
                  <w14:solidFill>
                    <w14:srgbClr w14:val="000000">
                      <w14:alpha w14:val="100000"/>
                    </w14:srgbClr>
                  </w14:solidFill>
                </w14:textFill>
              </w:rPr>
              <w:t>|</w:t>
            </w:r>
            <w:r w:rsidR="003C7E0A" w:rsidRPr="00C65BCA">
              <w:rPr>
                <w:color w:val="000000"/>
                <w:szCs w:val="20"/>
                <w:vertAlign w:val="superscript"/>
              </w:rPr>
              <w:t>6</w:t>
            </w:r>
          </w:p>
        </w:tc>
        <w:tc>
          <w:tcPr>
            <w:tcW w:w="647" w:type="pct"/>
            <w:tcBorders>
              <w:top w:val="single" w:sz="4" w:space="0" w:color="auto"/>
              <w:left w:val="nil"/>
              <w:bottom w:val="single" w:sz="4" w:space="0" w:color="auto"/>
              <w:right w:val="single" w:sz="4" w:space="0" w:color="auto"/>
            </w:tcBorders>
            <w:shd w:val="clear" w:color="auto" w:fill="auto"/>
            <w:vAlign w:val="center"/>
          </w:tcPr>
          <w:p w14:paraId="0ECFD0A5" w14:textId="4F51A5C2" w:rsidR="00CA4FC5" w:rsidRPr="003E682D" w:rsidRDefault="00C351E7" w:rsidP="00CA4FC5">
            <w:pPr>
              <w:pStyle w:val="TableText"/>
              <w:keepLines/>
              <w:jc w:val="right"/>
              <w:rPr>
                <w:color w:val="000000"/>
                <w:szCs w:val="20"/>
                <w:highlight w:val="yellow"/>
              </w:rPr>
            </w:pPr>
            <w:r w:rsidRPr="00C351E7">
              <w:rPr>
                <w:color w:val="000000"/>
                <w:szCs w:val="20"/>
                <w:shd w:val="solid" w:color="000000" w:fill="000000"/>
                <w14:textFill>
                  <w14:solidFill>
                    <w14:srgbClr w14:val="000000">
                      <w14:alpha w14:val="100000"/>
                    </w14:srgbClr>
                  </w14:solidFill>
                </w14:textFill>
              </w:rPr>
              <w:t>|</w:t>
            </w:r>
            <w:r w:rsidR="003C7E0A" w:rsidRPr="00C65BCA">
              <w:rPr>
                <w:color w:val="000000"/>
                <w:szCs w:val="20"/>
                <w:vertAlign w:val="superscript"/>
              </w:rPr>
              <w:t>6</w:t>
            </w:r>
          </w:p>
        </w:tc>
        <w:tc>
          <w:tcPr>
            <w:tcW w:w="647" w:type="pct"/>
            <w:tcBorders>
              <w:top w:val="single" w:sz="4" w:space="0" w:color="auto"/>
              <w:left w:val="nil"/>
              <w:bottom w:val="single" w:sz="4" w:space="0" w:color="auto"/>
              <w:right w:val="single" w:sz="4" w:space="0" w:color="auto"/>
            </w:tcBorders>
            <w:shd w:val="clear" w:color="auto" w:fill="auto"/>
            <w:vAlign w:val="center"/>
          </w:tcPr>
          <w:p w14:paraId="5583F134" w14:textId="34598344" w:rsidR="00CA4FC5" w:rsidRPr="003E682D" w:rsidRDefault="00C351E7" w:rsidP="00CA4FC5">
            <w:pPr>
              <w:pStyle w:val="TableText"/>
              <w:keepLines/>
              <w:jc w:val="right"/>
              <w:rPr>
                <w:color w:val="000000"/>
                <w:szCs w:val="20"/>
                <w:highlight w:val="yellow"/>
              </w:rPr>
            </w:pPr>
            <w:r w:rsidRPr="00C351E7">
              <w:rPr>
                <w:color w:val="000000"/>
                <w:szCs w:val="20"/>
                <w:shd w:val="solid" w:color="000000" w:fill="000000"/>
                <w14:textFill>
                  <w14:solidFill>
                    <w14:srgbClr w14:val="000000">
                      <w14:alpha w14:val="100000"/>
                    </w14:srgbClr>
                  </w14:solidFill>
                </w14:textFill>
              </w:rPr>
              <w:t>|</w:t>
            </w:r>
            <w:r w:rsidR="003C7E0A" w:rsidRPr="00C65BCA">
              <w:rPr>
                <w:color w:val="000000"/>
                <w:szCs w:val="20"/>
                <w:vertAlign w:val="superscript"/>
              </w:rPr>
              <w:t>6</w:t>
            </w:r>
          </w:p>
        </w:tc>
      </w:tr>
      <w:tr w:rsidR="00CA4FC5" w:rsidRPr="00CA4FC5" w14:paraId="6956B5A3" w14:textId="77777777" w:rsidTr="00CA4FC5">
        <w:trPr>
          <w:cantSplit/>
        </w:trPr>
        <w:tc>
          <w:tcPr>
            <w:tcW w:w="5000" w:type="pct"/>
            <w:gridSpan w:val="7"/>
            <w:shd w:val="clear" w:color="auto" w:fill="auto"/>
            <w:vAlign w:val="center"/>
          </w:tcPr>
          <w:p w14:paraId="5F8E18B5" w14:textId="01395EAB" w:rsidR="00CA4FC5" w:rsidRPr="00CA4FC5" w:rsidRDefault="00CA4FC5" w:rsidP="00CA4FC5">
            <w:pPr>
              <w:pStyle w:val="TableText"/>
              <w:keepLines/>
              <w:rPr>
                <w:b/>
                <w:color w:val="000000"/>
                <w:szCs w:val="20"/>
              </w:rPr>
            </w:pPr>
            <w:bookmarkStart w:id="5" w:name="_Hlk88815214"/>
            <w:r w:rsidRPr="00CA4FC5">
              <w:rPr>
                <w:b/>
                <w:bCs w:val="0"/>
                <w:color w:val="000000"/>
                <w:szCs w:val="20"/>
              </w:rPr>
              <w:t>Net financial implications</w:t>
            </w:r>
            <w:r w:rsidRPr="00CA4FC5">
              <w:rPr>
                <w:b/>
                <w:color w:val="000000"/>
                <w:szCs w:val="20"/>
              </w:rPr>
              <w:t xml:space="preserve"> of fremanezumab (quarterly dosing</w:t>
            </w:r>
            <w:r>
              <w:rPr>
                <w:b/>
                <w:color w:val="000000"/>
                <w:szCs w:val="20"/>
              </w:rPr>
              <w:t xml:space="preserve">) Effective </w:t>
            </w:r>
            <w:r w:rsidRPr="00CA4FC5">
              <w:rPr>
                <w:b/>
                <w:color w:val="000000"/>
                <w:szCs w:val="20"/>
              </w:rPr>
              <w:t>Price</w:t>
            </w:r>
          </w:p>
        </w:tc>
      </w:tr>
      <w:bookmarkEnd w:id="5"/>
      <w:tr w:rsidR="00CA4FC5" w:rsidRPr="00CA4FC5" w14:paraId="52CA6D91" w14:textId="77777777" w:rsidTr="00CA4FC5">
        <w:trPr>
          <w:cantSplit/>
          <w:trHeight w:val="320"/>
        </w:trPr>
        <w:tc>
          <w:tcPr>
            <w:tcW w:w="1266" w:type="pct"/>
            <w:shd w:val="clear" w:color="auto" w:fill="auto"/>
            <w:vAlign w:val="center"/>
          </w:tcPr>
          <w:p w14:paraId="47458B50" w14:textId="40C3BA88" w:rsidR="00CA4FC5" w:rsidRPr="00CA4FC5" w:rsidRDefault="00CA4FC5" w:rsidP="00CA4FC5">
            <w:pPr>
              <w:pStyle w:val="TableText"/>
              <w:keepLines/>
              <w:rPr>
                <w:szCs w:val="20"/>
              </w:rPr>
            </w:pPr>
            <w:r w:rsidRPr="00CA4FC5">
              <w:rPr>
                <w:szCs w:val="20"/>
              </w:rPr>
              <w:t>Net cost to PBS/RPBS</w:t>
            </w:r>
            <w:r w:rsidR="003E682D">
              <w:rPr>
                <w:szCs w:val="20"/>
              </w:rPr>
              <w:t xml:space="preserve"> ($)</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51FE5E84" w14:textId="5217CC0E" w:rsidR="00CA4FC5" w:rsidRPr="00C351E7" w:rsidRDefault="00C351E7" w:rsidP="00CA4FC5">
            <w:pPr>
              <w:pStyle w:val="TableText"/>
              <w:keepLines/>
              <w:jc w:val="right"/>
              <w:rPr>
                <w:color w:val="000000"/>
                <w:szCs w:val="20"/>
                <w:highlight w:val="yellow"/>
                <w:vertAlign w:val="superscript"/>
              </w:rPr>
            </w:pPr>
            <w:r w:rsidRPr="00C351E7">
              <w:rPr>
                <w:color w:val="000000"/>
                <w:szCs w:val="20"/>
                <w:shd w:val="solid" w:color="000000" w:fill="000000"/>
                <w14:textFill>
                  <w14:solidFill>
                    <w14:srgbClr w14:val="000000">
                      <w14:alpha w14:val="100000"/>
                    </w14:srgbClr>
                  </w14:solidFill>
                </w14:textFill>
              </w:rPr>
              <w:t>|</w:t>
            </w:r>
            <w:r w:rsidR="004E2183" w:rsidRPr="00C65BCA">
              <w:rPr>
                <w:color w:val="000000"/>
                <w:szCs w:val="20"/>
                <w:vertAlign w:val="superscript"/>
              </w:rPr>
              <w:t>6</w:t>
            </w:r>
          </w:p>
        </w:tc>
        <w:tc>
          <w:tcPr>
            <w:tcW w:w="647" w:type="pct"/>
            <w:tcBorders>
              <w:top w:val="single" w:sz="4" w:space="0" w:color="auto"/>
              <w:left w:val="nil"/>
              <w:bottom w:val="single" w:sz="4" w:space="0" w:color="auto"/>
              <w:right w:val="single" w:sz="4" w:space="0" w:color="auto"/>
            </w:tcBorders>
            <w:shd w:val="clear" w:color="auto" w:fill="auto"/>
            <w:vAlign w:val="center"/>
          </w:tcPr>
          <w:p w14:paraId="267CE1B8" w14:textId="736DDBEA" w:rsidR="00CA4FC5" w:rsidRPr="003E682D" w:rsidRDefault="00C351E7" w:rsidP="00CA4FC5">
            <w:pPr>
              <w:pStyle w:val="TableText"/>
              <w:keepLines/>
              <w:jc w:val="right"/>
              <w:rPr>
                <w:color w:val="000000"/>
                <w:szCs w:val="20"/>
                <w:highlight w:val="yellow"/>
              </w:rPr>
            </w:pPr>
            <w:r w:rsidRPr="00C351E7">
              <w:rPr>
                <w:color w:val="000000"/>
                <w:szCs w:val="20"/>
                <w:shd w:val="solid" w:color="000000" w:fill="000000"/>
                <w14:textFill>
                  <w14:solidFill>
                    <w14:srgbClr w14:val="000000">
                      <w14:alpha w14:val="100000"/>
                    </w14:srgbClr>
                  </w14:solidFill>
                </w14:textFill>
              </w:rPr>
              <w:t>|</w:t>
            </w:r>
            <w:r w:rsidR="004E2183" w:rsidRPr="00C65BCA">
              <w:rPr>
                <w:color w:val="000000"/>
                <w:szCs w:val="20"/>
                <w:vertAlign w:val="superscript"/>
              </w:rPr>
              <w:t>6</w:t>
            </w:r>
          </w:p>
        </w:tc>
        <w:tc>
          <w:tcPr>
            <w:tcW w:w="647" w:type="pct"/>
            <w:tcBorders>
              <w:top w:val="single" w:sz="4" w:space="0" w:color="auto"/>
              <w:left w:val="nil"/>
              <w:bottom w:val="single" w:sz="4" w:space="0" w:color="auto"/>
              <w:right w:val="single" w:sz="4" w:space="0" w:color="auto"/>
            </w:tcBorders>
            <w:shd w:val="clear" w:color="auto" w:fill="auto"/>
            <w:vAlign w:val="center"/>
          </w:tcPr>
          <w:p w14:paraId="1FEC1BAC" w14:textId="550CBA82" w:rsidR="00CA4FC5" w:rsidRPr="003E682D" w:rsidRDefault="00C351E7" w:rsidP="00CA4FC5">
            <w:pPr>
              <w:pStyle w:val="TableText"/>
              <w:keepLines/>
              <w:jc w:val="right"/>
              <w:rPr>
                <w:color w:val="000000"/>
                <w:szCs w:val="20"/>
                <w:highlight w:val="yellow"/>
              </w:rPr>
            </w:pPr>
            <w:r w:rsidRPr="00C351E7">
              <w:rPr>
                <w:color w:val="000000"/>
                <w:szCs w:val="20"/>
                <w:shd w:val="solid" w:color="000000" w:fill="000000"/>
                <w14:textFill>
                  <w14:solidFill>
                    <w14:srgbClr w14:val="000000">
                      <w14:alpha w14:val="100000"/>
                    </w14:srgbClr>
                  </w14:solidFill>
                </w14:textFill>
              </w:rPr>
              <w:t>|</w:t>
            </w:r>
            <w:r w:rsidR="004E2183" w:rsidRPr="00C65BCA">
              <w:rPr>
                <w:color w:val="000000"/>
                <w:szCs w:val="20"/>
                <w:vertAlign w:val="superscript"/>
              </w:rPr>
              <w:t>6</w:t>
            </w:r>
          </w:p>
        </w:tc>
        <w:tc>
          <w:tcPr>
            <w:tcW w:w="647" w:type="pct"/>
            <w:tcBorders>
              <w:top w:val="single" w:sz="4" w:space="0" w:color="auto"/>
              <w:left w:val="nil"/>
              <w:bottom w:val="single" w:sz="4" w:space="0" w:color="auto"/>
              <w:right w:val="single" w:sz="4" w:space="0" w:color="auto"/>
            </w:tcBorders>
            <w:shd w:val="clear" w:color="auto" w:fill="auto"/>
            <w:vAlign w:val="center"/>
          </w:tcPr>
          <w:p w14:paraId="3FEE686E" w14:textId="2727A4D0" w:rsidR="00CA4FC5" w:rsidRPr="003E682D" w:rsidRDefault="00C351E7" w:rsidP="00CA4FC5">
            <w:pPr>
              <w:pStyle w:val="TableText"/>
              <w:keepLines/>
              <w:jc w:val="right"/>
              <w:rPr>
                <w:color w:val="000000"/>
                <w:szCs w:val="20"/>
                <w:highlight w:val="yellow"/>
              </w:rPr>
            </w:pPr>
            <w:r w:rsidRPr="00C351E7">
              <w:rPr>
                <w:color w:val="000000"/>
                <w:szCs w:val="20"/>
                <w:shd w:val="solid" w:color="000000" w:fill="000000"/>
                <w14:textFill>
                  <w14:solidFill>
                    <w14:srgbClr w14:val="000000">
                      <w14:alpha w14:val="100000"/>
                    </w14:srgbClr>
                  </w14:solidFill>
                </w14:textFill>
              </w:rPr>
              <w:t>|</w:t>
            </w:r>
            <w:r w:rsidR="004E2183" w:rsidRPr="00C65BCA">
              <w:rPr>
                <w:color w:val="000000"/>
                <w:szCs w:val="20"/>
                <w:vertAlign w:val="superscript"/>
              </w:rPr>
              <w:t>6</w:t>
            </w:r>
          </w:p>
        </w:tc>
        <w:tc>
          <w:tcPr>
            <w:tcW w:w="647" w:type="pct"/>
            <w:tcBorders>
              <w:top w:val="single" w:sz="4" w:space="0" w:color="auto"/>
              <w:left w:val="nil"/>
              <w:bottom w:val="single" w:sz="4" w:space="0" w:color="auto"/>
              <w:right w:val="single" w:sz="4" w:space="0" w:color="auto"/>
            </w:tcBorders>
            <w:shd w:val="clear" w:color="auto" w:fill="auto"/>
            <w:vAlign w:val="center"/>
          </w:tcPr>
          <w:p w14:paraId="382920B9" w14:textId="38A431E2" w:rsidR="00CA4FC5" w:rsidRPr="003E682D" w:rsidRDefault="00C351E7" w:rsidP="00CA4FC5">
            <w:pPr>
              <w:pStyle w:val="TableText"/>
              <w:keepLines/>
              <w:jc w:val="right"/>
              <w:rPr>
                <w:color w:val="000000"/>
                <w:szCs w:val="20"/>
                <w:highlight w:val="yellow"/>
              </w:rPr>
            </w:pPr>
            <w:r w:rsidRPr="00C351E7">
              <w:rPr>
                <w:color w:val="000000"/>
                <w:szCs w:val="20"/>
                <w:shd w:val="solid" w:color="000000" w:fill="000000"/>
                <w14:textFill>
                  <w14:solidFill>
                    <w14:srgbClr w14:val="000000">
                      <w14:alpha w14:val="100000"/>
                    </w14:srgbClr>
                  </w14:solidFill>
                </w14:textFill>
              </w:rPr>
              <w:t>|</w:t>
            </w:r>
            <w:r w:rsidR="004E2183" w:rsidRPr="00C65BCA">
              <w:rPr>
                <w:color w:val="000000"/>
                <w:szCs w:val="20"/>
                <w:vertAlign w:val="superscript"/>
              </w:rPr>
              <w:t>6</w:t>
            </w:r>
          </w:p>
        </w:tc>
        <w:tc>
          <w:tcPr>
            <w:tcW w:w="647" w:type="pct"/>
            <w:tcBorders>
              <w:top w:val="single" w:sz="4" w:space="0" w:color="auto"/>
              <w:left w:val="nil"/>
              <w:bottom w:val="single" w:sz="4" w:space="0" w:color="auto"/>
              <w:right w:val="single" w:sz="4" w:space="0" w:color="auto"/>
            </w:tcBorders>
            <w:shd w:val="clear" w:color="auto" w:fill="auto"/>
            <w:vAlign w:val="center"/>
          </w:tcPr>
          <w:p w14:paraId="1CD92E1A" w14:textId="7BBCB684" w:rsidR="00CA4FC5" w:rsidRPr="003E682D" w:rsidRDefault="00C351E7" w:rsidP="00CA4FC5">
            <w:pPr>
              <w:pStyle w:val="TableText"/>
              <w:keepLines/>
              <w:jc w:val="right"/>
              <w:rPr>
                <w:color w:val="000000"/>
                <w:szCs w:val="20"/>
                <w:highlight w:val="yellow"/>
              </w:rPr>
            </w:pPr>
            <w:r w:rsidRPr="00C351E7">
              <w:rPr>
                <w:color w:val="000000"/>
                <w:szCs w:val="20"/>
                <w:shd w:val="solid" w:color="000000" w:fill="000000"/>
                <w14:textFill>
                  <w14:solidFill>
                    <w14:srgbClr w14:val="000000">
                      <w14:alpha w14:val="100000"/>
                    </w14:srgbClr>
                  </w14:solidFill>
                </w14:textFill>
              </w:rPr>
              <w:t>|</w:t>
            </w:r>
            <w:r w:rsidR="004E2183" w:rsidRPr="00C65BCA">
              <w:rPr>
                <w:color w:val="000000"/>
                <w:szCs w:val="20"/>
                <w:vertAlign w:val="superscript"/>
              </w:rPr>
              <w:t>6</w:t>
            </w:r>
          </w:p>
        </w:tc>
      </w:tr>
    </w:tbl>
    <w:p w14:paraId="2530BA06" w14:textId="255D2499" w:rsidR="00CA4FC5" w:rsidRPr="00CA4FC5" w:rsidRDefault="00CA4FC5" w:rsidP="00CA4FC5">
      <w:pPr>
        <w:pStyle w:val="KMC16-TFNotes"/>
        <w:spacing w:after="0"/>
        <w:jc w:val="both"/>
        <w:rPr>
          <w:rFonts w:ascii="Arial Narrow" w:eastAsia="Times New Roman" w:hAnsi="Arial Narrow" w:cs="Times New Roman"/>
          <w:b/>
          <w:bCs w:val="0"/>
          <w:snapToGrid/>
          <w:color w:val="auto"/>
          <w:sz w:val="20"/>
          <w:szCs w:val="20"/>
          <w:lang w:eastAsia="en-AU"/>
        </w:rPr>
      </w:pPr>
      <w:r w:rsidRPr="00CA4FC5">
        <w:rPr>
          <w:rFonts w:ascii="Arial Narrow" w:eastAsia="Times New Roman" w:hAnsi="Arial Narrow" w:cs="Times New Roman"/>
          <w:b/>
          <w:bCs w:val="0"/>
          <w:snapToGrid/>
          <w:color w:val="auto"/>
          <w:sz w:val="20"/>
          <w:szCs w:val="20"/>
          <w:lang w:eastAsia="en-AU"/>
        </w:rPr>
        <w:t>Table 2: Estimated use and financial implications</w:t>
      </w:r>
      <w:r w:rsidR="00240A5A">
        <w:rPr>
          <w:rFonts w:ascii="Arial Narrow" w:eastAsia="Times New Roman" w:hAnsi="Arial Narrow" w:cs="Times New Roman"/>
          <w:b/>
          <w:bCs w:val="0"/>
          <w:snapToGrid/>
          <w:color w:val="auto"/>
          <w:sz w:val="20"/>
          <w:szCs w:val="20"/>
          <w:lang w:eastAsia="en-AU"/>
        </w:rPr>
        <w:t xml:space="preserve"> to the PBS/RPBS</w:t>
      </w:r>
    </w:p>
    <w:p w14:paraId="08268F81" w14:textId="60E89D64" w:rsidR="00CA4FC5" w:rsidRPr="00167C39" w:rsidRDefault="00CA4FC5" w:rsidP="00CA4FC5">
      <w:pPr>
        <w:pStyle w:val="TableFigureFooter"/>
        <w:keepNext/>
        <w:jc w:val="left"/>
      </w:pPr>
      <w:r w:rsidRPr="00AB4684">
        <w:t>Abbreviations: PBS = Pharmaceutical Benefits Scheme; RPBS = Repatriation Pharmaceutical Benefits Scheme.</w:t>
      </w:r>
    </w:p>
    <w:p w14:paraId="49773F9D" w14:textId="0E56D510" w:rsidR="003C7E0A" w:rsidRDefault="00CA4FC5" w:rsidP="00F010F3">
      <w:pPr>
        <w:pStyle w:val="TableFigureFooter"/>
        <w:keepNext/>
      </w:pPr>
      <w:r w:rsidRPr="00167C39">
        <w:t xml:space="preserve">Source: </w:t>
      </w:r>
      <w:r>
        <w:t>Table 4.13 and Table 4.14, p47-48 of the submission.</w:t>
      </w:r>
    </w:p>
    <w:p w14:paraId="70708DD8" w14:textId="77777777" w:rsidR="003C7E0A" w:rsidRPr="00021375" w:rsidRDefault="003C7E0A" w:rsidP="003C7E0A">
      <w:pPr>
        <w:pStyle w:val="TableFigureFooter"/>
        <w:keepNext/>
        <w:spacing w:after="0"/>
        <w:contextualSpacing w:val="0"/>
        <w:rPr>
          <w:i/>
        </w:rPr>
      </w:pPr>
      <w:r w:rsidRPr="00021375">
        <w:rPr>
          <w:i/>
        </w:rPr>
        <w:t>The redacted values correspond to the following ranges:</w:t>
      </w:r>
    </w:p>
    <w:p w14:paraId="1763F311" w14:textId="551F5F92" w:rsidR="003C7E0A" w:rsidRDefault="003C7E0A" w:rsidP="00F010F3">
      <w:pPr>
        <w:pStyle w:val="TableFigureFooter"/>
        <w:keepNext/>
      </w:pPr>
      <w:r>
        <w:rPr>
          <w:vertAlign w:val="superscript"/>
        </w:rPr>
        <w:t>1</w:t>
      </w:r>
      <w:r>
        <w:t>30,000 to &lt; 40,000</w:t>
      </w:r>
    </w:p>
    <w:p w14:paraId="2FA2467F" w14:textId="6FECEDA8" w:rsidR="003C7E0A" w:rsidRDefault="003C7E0A" w:rsidP="00F010F3">
      <w:pPr>
        <w:pStyle w:val="TableFigureFooter"/>
        <w:keepNext/>
      </w:pPr>
      <w:r>
        <w:rPr>
          <w:vertAlign w:val="superscript"/>
        </w:rPr>
        <w:t>2</w:t>
      </w:r>
      <w:r>
        <w:t>50,000 to &lt; 60,000</w:t>
      </w:r>
    </w:p>
    <w:p w14:paraId="6F66482E" w14:textId="12188F76" w:rsidR="003C7E0A" w:rsidRDefault="003C7E0A" w:rsidP="00F010F3">
      <w:pPr>
        <w:pStyle w:val="TableFigureFooter"/>
        <w:keepNext/>
      </w:pPr>
      <w:r>
        <w:rPr>
          <w:vertAlign w:val="superscript"/>
        </w:rPr>
        <w:t>3</w:t>
      </w:r>
      <w:r>
        <w:t>70,000 to &lt; 80,000</w:t>
      </w:r>
    </w:p>
    <w:p w14:paraId="53445890" w14:textId="6AC885C7" w:rsidR="003C7E0A" w:rsidRDefault="003C7E0A" w:rsidP="00F010F3">
      <w:pPr>
        <w:pStyle w:val="TableFigureFooter"/>
        <w:keepNext/>
      </w:pPr>
      <w:r>
        <w:rPr>
          <w:vertAlign w:val="superscript"/>
        </w:rPr>
        <w:t>4</w:t>
      </w:r>
      <w:r>
        <w:t>80,000 to &lt; 90,000</w:t>
      </w:r>
    </w:p>
    <w:p w14:paraId="29C11E07" w14:textId="36790A69" w:rsidR="003C7E0A" w:rsidRDefault="003C7E0A" w:rsidP="00F010F3">
      <w:pPr>
        <w:pStyle w:val="TableFigureFooter"/>
        <w:keepNext/>
      </w:pPr>
      <w:r>
        <w:rPr>
          <w:vertAlign w:val="superscript"/>
        </w:rPr>
        <w:t>5</w:t>
      </w:r>
      <w:r>
        <w:t>90,000 to &lt; 100,000</w:t>
      </w:r>
    </w:p>
    <w:p w14:paraId="5C912121" w14:textId="66646445" w:rsidR="003C7E0A" w:rsidRPr="004E2183" w:rsidRDefault="003C7E0A" w:rsidP="00F010F3">
      <w:pPr>
        <w:pStyle w:val="TableFigureFooter"/>
        <w:keepNext/>
      </w:pPr>
      <w:r>
        <w:rPr>
          <w:vertAlign w:val="superscript"/>
        </w:rPr>
        <w:t>6</w:t>
      </w:r>
      <w:r>
        <w:t>0 to &lt; $10 million</w:t>
      </w:r>
    </w:p>
    <w:p w14:paraId="36FE4275" w14:textId="2E8AD7A9" w:rsidR="00AC6353" w:rsidRPr="00AC6353" w:rsidRDefault="00AC6353" w:rsidP="00AC6353">
      <w:pPr>
        <w:pStyle w:val="3Bodytext"/>
        <w:numPr>
          <w:ilvl w:val="0"/>
          <w:numId w:val="0"/>
        </w:numPr>
        <w:ind w:left="720"/>
        <w:jc w:val="both"/>
        <w:rPr>
          <w:iCs/>
        </w:rPr>
      </w:pPr>
      <w:r w:rsidRPr="00AC6353">
        <w:rPr>
          <w:i/>
          <w:iCs/>
        </w:rPr>
        <w:t>For more detail on PBAC’s view, see section</w:t>
      </w:r>
      <w:r w:rsidR="00DD1D7B">
        <w:rPr>
          <w:i/>
          <w:iCs/>
        </w:rPr>
        <w:t xml:space="preserve"> 6 </w:t>
      </w:r>
      <w:r w:rsidRPr="00AC6353">
        <w:rPr>
          <w:i/>
          <w:iCs/>
        </w:rPr>
        <w:t xml:space="preserve">PBAC outcome. </w:t>
      </w:r>
    </w:p>
    <w:p w14:paraId="7B7F08E8" w14:textId="297A304E" w:rsidR="00D7795E" w:rsidRDefault="00F010F3" w:rsidP="00F010F3">
      <w:pPr>
        <w:pStyle w:val="2-SectionHeading"/>
        <w:rPr>
          <w:rFonts w:eastAsiaTheme="majorEastAsia"/>
          <w:lang w:eastAsia="en-US"/>
        </w:rPr>
      </w:pPr>
      <w:r>
        <w:rPr>
          <w:rFonts w:eastAsiaTheme="majorEastAsia"/>
          <w:lang w:eastAsia="en-US"/>
        </w:rPr>
        <w:t>PBAC Outcome</w:t>
      </w:r>
    </w:p>
    <w:p w14:paraId="4782DF6A" w14:textId="4F9BE485" w:rsidR="008B3FB9" w:rsidRPr="00DD1D7B" w:rsidRDefault="005A24B8" w:rsidP="005A24B8">
      <w:pPr>
        <w:widowControl w:val="0"/>
        <w:numPr>
          <w:ilvl w:val="1"/>
          <w:numId w:val="2"/>
        </w:numPr>
        <w:spacing w:after="120"/>
        <w:rPr>
          <w:rFonts w:asciiTheme="minorHAnsi" w:hAnsiTheme="minorHAnsi" w:cs="Arial"/>
          <w:snapToGrid w:val="0"/>
          <w:lang w:val="en-GB"/>
        </w:rPr>
      </w:pPr>
      <w:r>
        <w:t xml:space="preserve">The PBAC </w:t>
      </w:r>
      <w:r>
        <w:rPr>
          <w:rFonts w:asciiTheme="minorHAnsi" w:hAnsiTheme="minorHAnsi" w:cs="Arial"/>
          <w:snapToGrid w:val="0"/>
          <w:lang w:val="en-GB"/>
        </w:rPr>
        <w:t>recommended</w:t>
      </w:r>
      <w:r>
        <w:rPr>
          <w:rFonts w:eastAsiaTheme="majorEastAsia"/>
          <w:lang w:eastAsia="en-US"/>
        </w:rPr>
        <w:t xml:space="preserve"> </w:t>
      </w:r>
      <w:r w:rsidR="008B3FB9">
        <w:rPr>
          <w:rFonts w:eastAsiaTheme="majorEastAsia"/>
          <w:lang w:eastAsia="en-US"/>
        </w:rPr>
        <w:t>amend</w:t>
      </w:r>
      <w:r w:rsidR="00C642C9">
        <w:rPr>
          <w:rFonts w:eastAsiaTheme="majorEastAsia"/>
          <w:lang w:eastAsia="en-US"/>
        </w:rPr>
        <w:t>ing</w:t>
      </w:r>
      <w:r w:rsidR="008B3FB9">
        <w:rPr>
          <w:rFonts w:eastAsiaTheme="majorEastAsia"/>
          <w:lang w:eastAsia="en-US"/>
        </w:rPr>
        <w:t xml:space="preserve"> the existing </w:t>
      </w:r>
      <w:r>
        <w:rPr>
          <w:rFonts w:eastAsiaTheme="majorEastAsia"/>
          <w:lang w:eastAsia="en-US"/>
        </w:rPr>
        <w:t>listing of fremanezumab (</w:t>
      </w:r>
      <w:proofErr w:type="spellStart"/>
      <w:r>
        <w:rPr>
          <w:rFonts w:eastAsiaTheme="majorEastAsia"/>
          <w:lang w:eastAsia="en-US"/>
        </w:rPr>
        <w:t>Ajovy</w:t>
      </w:r>
      <w:proofErr w:type="spellEnd"/>
      <w:r>
        <w:rPr>
          <w:rFonts w:eastAsiaTheme="majorEastAsia"/>
          <w:lang w:eastAsia="en-US"/>
        </w:rPr>
        <w:t xml:space="preserve">®) </w:t>
      </w:r>
      <w:r w:rsidR="008B3FB9">
        <w:rPr>
          <w:rFonts w:eastAsiaTheme="majorEastAsia"/>
          <w:lang w:eastAsia="en-US"/>
        </w:rPr>
        <w:t>for the continuing treatment of chronic migraine to provide patients with options of both monthly dosing and quarterly dosing by:</w:t>
      </w:r>
    </w:p>
    <w:p w14:paraId="3B5FD6F7" w14:textId="0A14A8CF" w:rsidR="0091188B" w:rsidRPr="00DD1D7B" w:rsidRDefault="00254597" w:rsidP="008B3FB9">
      <w:pPr>
        <w:pStyle w:val="ListParagraph"/>
        <w:widowControl w:val="0"/>
        <w:numPr>
          <w:ilvl w:val="0"/>
          <w:numId w:val="33"/>
        </w:numPr>
        <w:rPr>
          <w:lang w:val="en-GB"/>
        </w:rPr>
      </w:pPr>
      <w:r>
        <w:rPr>
          <w:rFonts w:eastAsiaTheme="majorEastAsia"/>
          <w:lang w:eastAsia="en-US"/>
        </w:rPr>
        <w:t>I</w:t>
      </w:r>
      <w:r w:rsidR="0019717F" w:rsidRPr="008B3FB9">
        <w:rPr>
          <w:rFonts w:eastAsiaTheme="majorEastAsia"/>
          <w:lang w:eastAsia="en-US"/>
        </w:rPr>
        <w:t>ncreas</w:t>
      </w:r>
      <w:r w:rsidR="008B3FB9">
        <w:rPr>
          <w:rFonts w:eastAsiaTheme="majorEastAsia"/>
          <w:lang w:eastAsia="en-US"/>
        </w:rPr>
        <w:t>ing</w:t>
      </w:r>
      <w:r w:rsidR="0019717F" w:rsidRPr="008B3FB9">
        <w:rPr>
          <w:rFonts w:eastAsiaTheme="majorEastAsia"/>
          <w:lang w:eastAsia="en-US"/>
        </w:rPr>
        <w:t xml:space="preserve"> </w:t>
      </w:r>
      <w:r w:rsidR="0091188B">
        <w:rPr>
          <w:rFonts w:eastAsiaTheme="majorEastAsia"/>
          <w:lang w:eastAsia="en-US"/>
        </w:rPr>
        <w:t>the</w:t>
      </w:r>
      <w:r w:rsidR="005A24B8" w:rsidRPr="008B3FB9">
        <w:rPr>
          <w:rFonts w:eastAsiaTheme="majorEastAsia"/>
          <w:lang w:eastAsia="en-US"/>
        </w:rPr>
        <w:t xml:space="preserve"> maximum quantity</w:t>
      </w:r>
      <w:r w:rsidR="0091188B">
        <w:rPr>
          <w:rFonts w:eastAsiaTheme="majorEastAsia"/>
          <w:lang w:eastAsia="en-US"/>
        </w:rPr>
        <w:t xml:space="preserve"> from </w:t>
      </w:r>
      <w:r w:rsidR="008C7854">
        <w:rPr>
          <w:rFonts w:eastAsiaTheme="majorEastAsia"/>
          <w:lang w:eastAsia="en-US"/>
        </w:rPr>
        <w:t xml:space="preserve">1 </w:t>
      </w:r>
      <w:r w:rsidR="0091188B">
        <w:rPr>
          <w:rFonts w:eastAsiaTheme="majorEastAsia"/>
          <w:lang w:eastAsia="en-US"/>
        </w:rPr>
        <w:t>to 3</w:t>
      </w:r>
      <w:r>
        <w:rPr>
          <w:rFonts w:eastAsiaTheme="majorEastAsia"/>
          <w:lang w:eastAsia="en-US"/>
        </w:rPr>
        <w:t>.</w:t>
      </w:r>
    </w:p>
    <w:p w14:paraId="19649EC1" w14:textId="30A3E884" w:rsidR="006F5F6F" w:rsidRPr="008B3FB9" w:rsidRDefault="0091188B" w:rsidP="00DD1D7B">
      <w:pPr>
        <w:pStyle w:val="ListParagraph"/>
        <w:widowControl w:val="0"/>
        <w:numPr>
          <w:ilvl w:val="0"/>
          <w:numId w:val="33"/>
        </w:numPr>
        <w:rPr>
          <w:lang w:val="en-GB"/>
        </w:rPr>
      </w:pPr>
      <w:r>
        <w:rPr>
          <w:rFonts w:eastAsiaTheme="majorEastAsia"/>
          <w:lang w:eastAsia="en-US"/>
        </w:rPr>
        <w:t xml:space="preserve">Reducing the number of repeats from 5 to 1. </w:t>
      </w:r>
      <w:r w:rsidR="005A24B8" w:rsidRPr="008B3FB9">
        <w:rPr>
          <w:rFonts w:eastAsiaTheme="majorEastAsia"/>
          <w:lang w:eastAsia="en-US"/>
        </w:rPr>
        <w:t xml:space="preserve"> </w:t>
      </w:r>
    </w:p>
    <w:p w14:paraId="474B964A" w14:textId="559CBBE1" w:rsidR="00152434" w:rsidRDefault="00152434" w:rsidP="00152434">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noted the equi-effective doses are 225</w:t>
      </w:r>
      <w:r w:rsidR="00254597">
        <w:rPr>
          <w:rFonts w:asciiTheme="minorHAnsi" w:hAnsiTheme="minorHAnsi" w:cs="Arial"/>
          <w:snapToGrid w:val="0"/>
          <w:lang w:val="en-GB"/>
        </w:rPr>
        <w:t> </w:t>
      </w:r>
      <w:r>
        <w:rPr>
          <w:rFonts w:asciiTheme="minorHAnsi" w:hAnsiTheme="minorHAnsi" w:cs="Arial"/>
          <w:snapToGrid w:val="0"/>
          <w:lang w:val="en-GB"/>
        </w:rPr>
        <w:t xml:space="preserve">mg of fremanezumab monthly over </w:t>
      </w:r>
      <w:r w:rsidR="00254597">
        <w:rPr>
          <w:rFonts w:asciiTheme="minorHAnsi" w:hAnsiTheme="minorHAnsi" w:cs="Arial"/>
          <w:snapToGrid w:val="0"/>
          <w:lang w:val="en-GB"/>
        </w:rPr>
        <w:t xml:space="preserve">3 </w:t>
      </w:r>
      <w:r>
        <w:rPr>
          <w:rFonts w:asciiTheme="minorHAnsi" w:hAnsiTheme="minorHAnsi" w:cs="Arial"/>
          <w:snapToGrid w:val="0"/>
          <w:lang w:val="en-GB"/>
        </w:rPr>
        <w:t>months = 675</w:t>
      </w:r>
      <w:r w:rsidR="00254597">
        <w:rPr>
          <w:rFonts w:asciiTheme="minorHAnsi" w:hAnsiTheme="minorHAnsi" w:cs="Arial"/>
          <w:snapToGrid w:val="0"/>
          <w:lang w:val="en-GB"/>
        </w:rPr>
        <w:t> </w:t>
      </w:r>
      <w:r>
        <w:rPr>
          <w:rFonts w:asciiTheme="minorHAnsi" w:hAnsiTheme="minorHAnsi" w:cs="Arial"/>
          <w:snapToGrid w:val="0"/>
          <w:lang w:val="en-GB"/>
        </w:rPr>
        <w:t xml:space="preserve">mg of fremanezumab quarterly.  </w:t>
      </w:r>
    </w:p>
    <w:p w14:paraId="2CE2201E" w14:textId="4ECD19A5" w:rsidR="00152434" w:rsidRDefault="004E421B" w:rsidP="00152434">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noted it had</w:t>
      </w:r>
      <w:r w:rsidR="00F30BE1">
        <w:rPr>
          <w:rFonts w:asciiTheme="minorHAnsi" w:hAnsiTheme="minorHAnsi" w:cs="Arial"/>
          <w:snapToGrid w:val="0"/>
          <w:lang w:val="en-GB"/>
        </w:rPr>
        <w:t xml:space="preserve"> considered and</w:t>
      </w:r>
      <w:r>
        <w:rPr>
          <w:rFonts w:asciiTheme="minorHAnsi" w:hAnsiTheme="minorHAnsi" w:cs="Arial"/>
          <w:snapToGrid w:val="0"/>
          <w:lang w:val="en-GB"/>
        </w:rPr>
        <w:t xml:space="preserve"> recommended </w:t>
      </w:r>
      <w:r w:rsidR="00F30BE1">
        <w:rPr>
          <w:rFonts w:asciiTheme="minorHAnsi" w:hAnsiTheme="minorHAnsi" w:cs="Arial"/>
          <w:snapToGrid w:val="0"/>
          <w:lang w:val="en-GB"/>
        </w:rPr>
        <w:t>the listing of</w:t>
      </w:r>
      <w:r>
        <w:rPr>
          <w:rFonts w:asciiTheme="minorHAnsi" w:hAnsiTheme="minorHAnsi" w:cs="Arial"/>
          <w:snapToGrid w:val="0"/>
          <w:lang w:val="en-GB"/>
        </w:rPr>
        <w:t xml:space="preserve"> an auto-injector (AI) form for fremanezumab at the same meeting. </w:t>
      </w:r>
      <w:r w:rsidR="00152434">
        <w:rPr>
          <w:rFonts w:asciiTheme="minorHAnsi" w:hAnsiTheme="minorHAnsi" w:cs="Arial"/>
          <w:snapToGrid w:val="0"/>
          <w:lang w:val="en-GB"/>
        </w:rPr>
        <w:t xml:space="preserve">The PBAC recommended these restriction changes </w:t>
      </w:r>
      <w:r w:rsidR="00B94EC9">
        <w:rPr>
          <w:rFonts w:asciiTheme="minorHAnsi" w:hAnsiTheme="minorHAnsi" w:cs="Arial"/>
          <w:snapToGrid w:val="0"/>
          <w:lang w:val="en-GB"/>
        </w:rPr>
        <w:t>be flow</w:t>
      </w:r>
      <w:r w:rsidR="00C642C9">
        <w:rPr>
          <w:rFonts w:asciiTheme="minorHAnsi" w:hAnsiTheme="minorHAnsi" w:cs="Arial"/>
          <w:snapToGrid w:val="0"/>
          <w:lang w:val="en-GB"/>
        </w:rPr>
        <w:t>ed</w:t>
      </w:r>
      <w:r w:rsidR="00B94EC9">
        <w:rPr>
          <w:rFonts w:asciiTheme="minorHAnsi" w:hAnsiTheme="minorHAnsi" w:cs="Arial"/>
          <w:snapToGrid w:val="0"/>
          <w:lang w:val="en-GB"/>
        </w:rPr>
        <w:t xml:space="preserve">-on </w:t>
      </w:r>
      <w:r w:rsidR="00152434">
        <w:rPr>
          <w:rFonts w:asciiTheme="minorHAnsi" w:hAnsiTheme="minorHAnsi" w:cs="Arial"/>
          <w:snapToGrid w:val="0"/>
          <w:lang w:val="en-GB"/>
        </w:rPr>
        <w:t xml:space="preserve">to the </w:t>
      </w:r>
      <w:r w:rsidR="00EC5383">
        <w:rPr>
          <w:rFonts w:asciiTheme="minorHAnsi" w:hAnsiTheme="minorHAnsi" w:cs="Arial"/>
          <w:snapToGrid w:val="0"/>
          <w:lang w:val="en-GB"/>
        </w:rPr>
        <w:t>auto-injector form</w:t>
      </w:r>
      <w:r w:rsidR="00556A23">
        <w:rPr>
          <w:rFonts w:asciiTheme="minorHAnsi" w:hAnsiTheme="minorHAnsi" w:cs="Arial"/>
          <w:snapToGrid w:val="0"/>
          <w:lang w:val="en-GB"/>
        </w:rPr>
        <w:t xml:space="preserve"> (AI)</w:t>
      </w:r>
      <w:r w:rsidR="00EC5383">
        <w:rPr>
          <w:rFonts w:asciiTheme="minorHAnsi" w:hAnsiTheme="minorHAnsi" w:cs="Arial"/>
          <w:snapToGrid w:val="0"/>
          <w:lang w:val="en-GB"/>
        </w:rPr>
        <w:t xml:space="preserve"> of </w:t>
      </w:r>
      <w:r w:rsidR="00152434">
        <w:rPr>
          <w:rFonts w:asciiTheme="minorHAnsi" w:hAnsiTheme="minorHAnsi" w:cs="Arial"/>
          <w:snapToGrid w:val="0"/>
          <w:lang w:val="en-GB"/>
        </w:rPr>
        <w:t xml:space="preserve">fremanezumab. </w:t>
      </w:r>
    </w:p>
    <w:p w14:paraId="0A09BD7A" w14:textId="668B34B1" w:rsidR="006F5F6F" w:rsidRDefault="005A24B8" w:rsidP="005A24B8">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considered </w:t>
      </w:r>
      <w:r w:rsidR="006F5F6F">
        <w:rPr>
          <w:rFonts w:asciiTheme="minorHAnsi" w:hAnsiTheme="minorHAnsi" w:cs="Arial"/>
          <w:snapToGrid w:val="0"/>
          <w:lang w:val="en-GB"/>
        </w:rPr>
        <w:t>the cost</w:t>
      </w:r>
      <w:r w:rsidR="00B520FA">
        <w:rPr>
          <w:rFonts w:asciiTheme="minorHAnsi" w:hAnsiTheme="minorHAnsi" w:cs="Arial"/>
          <w:snapToGrid w:val="0"/>
          <w:lang w:val="en-GB"/>
        </w:rPr>
        <w:t>-</w:t>
      </w:r>
      <w:r w:rsidR="006F5F6F">
        <w:rPr>
          <w:rFonts w:asciiTheme="minorHAnsi" w:hAnsiTheme="minorHAnsi" w:cs="Arial"/>
          <w:snapToGrid w:val="0"/>
          <w:lang w:val="en-GB"/>
        </w:rPr>
        <w:t xml:space="preserve">minimisation analysis of fremanezumab quarterly dosing compared with fremanezumab monthly dosing to be acceptable. </w:t>
      </w:r>
    </w:p>
    <w:p w14:paraId="5C52D93B" w14:textId="2C71E085" w:rsidR="00C642C9" w:rsidRDefault="00B520FA" w:rsidP="00152434">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the submission’s financial estimates proposed a minor cost to the PBS/RPBS at the effective level. The PBAC considered that listing of fremanezumab quarterly regimen should not result in a net cost to Government. </w:t>
      </w:r>
    </w:p>
    <w:p w14:paraId="3F481262" w14:textId="0D76FB0A" w:rsidR="00152434" w:rsidRDefault="00C642C9" w:rsidP="00152434">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considered the </w:t>
      </w:r>
      <w:r w:rsidR="008C7854">
        <w:rPr>
          <w:rFonts w:asciiTheme="minorHAnsi" w:hAnsiTheme="minorHAnsi" w:cs="Arial"/>
          <w:snapToGrid w:val="0"/>
          <w:lang w:val="en-GB"/>
        </w:rPr>
        <w:t>Safety Net early supply rule should continue to apply to fremanezumab</w:t>
      </w:r>
      <w:r w:rsidR="00526479">
        <w:rPr>
          <w:rFonts w:asciiTheme="minorHAnsi" w:hAnsiTheme="minorHAnsi" w:cs="Arial"/>
          <w:snapToGrid w:val="0"/>
          <w:lang w:val="en-GB"/>
        </w:rPr>
        <w:t>.</w:t>
      </w:r>
    </w:p>
    <w:p w14:paraId="476B89A0" w14:textId="39A9415A" w:rsidR="00152434" w:rsidRPr="00AD3263" w:rsidRDefault="00152434" w:rsidP="00152434">
      <w:pPr>
        <w:widowControl w:val="0"/>
        <w:numPr>
          <w:ilvl w:val="1"/>
          <w:numId w:val="2"/>
        </w:numPr>
        <w:spacing w:after="120"/>
        <w:rPr>
          <w:rFonts w:asciiTheme="minorHAnsi" w:hAnsiTheme="minorHAnsi" w:cs="Arial"/>
          <w:snapToGrid w:val="0"/>
          <w:lang w:val="en-GB"/>
        </w:rPr>
      </w:pPr>
      <w:r w:rsidRPr="00AD3263">
        <w:rPr>
          <w:rFonts w:asciiTheme="minorHAnsi" w:hAnsiTheme="minorHAnsi" w:cstheme="minorHAnsi"/>
          <w:lang w:val="en-GB"/>
        </w:rPr>
        <w:t>The PBAC noted that its recommendation was on a cost-minimisation basis and advised that, because</w:t>
      </w:r>
      <w:r>
        <w:rPr>
          <w:rFonts w:asciiTheme="minorHAnsi" w:hAnsiTheme="minorHAnsi" w:cstheme="minorHAnsi"/>
          <w:lang w:val="en-GB"/>
        </w:rPr>
        <w:t xml:space="preserve"> fremanezumab quarterly dosing </w:t>
      </w:r>
      <w:r w:rsidRPr="00AD3263">
        <w:rPr>
          <w:rFonts w:asciiTheme="minorHAnsi" w:hAnsiTheme="minorHAnsi" w:cstheme="minorHAnsi"/>
          <w:lang w:val="en-GB"/>
        </w:rPr>
        <w:t>is not expected to provide a substantial</w:t>
      </w:r>
      <w:r w:rsidRPr="00AD3263">
        <w:rPr>
          <w:rFonts w:asciiTheme="minorHAnsi" w:hAnsiTheme="minorHAnsi"/>
          <w:bCs/>
          <w:lang w:val="en-GB"/>
        </w:rPr>
        <w:t xml:space="preserve"> and clinically relevant improvement in efficacy, or reduction of toxicity, over </w:t>
      </w:r>
      <w:r>
        <w:rPr>
          <w:rFonts w:asciiTheme="minorHAnsi" w:hAnsiTheme="minorHAnsi"/>
          <w:bCs/>
          <w:lang w:val="en-GB"/>
        </w:rPr>
        <w:t>fremanezumab monthly dosing</w:t>
      </w:r>
      <w:r w:rsidRPr="00AD3263">
        <w:rPr>
          <w:rFonts w:asciiTheme="minorHAnsi" w:hAnsiTheme="minorHAnsi"/>
          <w:bCs/>
          <w:lang w:val="en-GB"/>
        </w:rPr>
        <w:t xml:space="preserve">, or not expected to address a high and urgent </w:t>
      </w:r>
      <w:r w:rsidRPr="00AD3263">
        <w:rPr>
          <w:rFonts w:asciiTheme="minorHAnsi" w:hAnsiTheme="minorHAnsi"/>
          <w:bCs/>
          <w:lang w:val="en-GB"/>
        </w:rPr>
        <w:lastRenderedPageBreak/>
        <w:t xml:space="preserve">unmet clinical need given the presence of an alternative therapy, the criteria prescribed by the </w:t>
      </w:r>
      <w:r w:rsidRPr="00AD3263">
        <w:rPr>
          <w:rFonts w:asciiTheme="minorHAnsi" w:hAnsiTheme="minorHAnsi"/>
          <w:bCs/>
          <w:i/>
          <w:lang w:val="en-GB"/>
        </w:rPr>
        <w:t>National Health (Pharmaceuticals and Vaccines – Cost Recovery) Regulations 2009</w:t>
      </w:r>
      <w:r w:rsidRPr="00AD3263">
        <w:rPr>
          <w:rFonts w:asciiTheme="minorHAnsi" w:hAnsiTheme="minorHAnsi"/>
          <w:bCs/>
          <w:lang w:val="en-GB"/>
        </w:rPr>
        <w:t xml:space="preserve"> for Pricing Pathway A were not met.</w:t>
      </w:r>
    </w:p>
    <w:p w14:paraId="43CEDDE6" w14:textId="7B82874A" w:rsidR="00152434" w:rsidRPr="00D6045A" w:rsidRDefault="00152434" w:rsidP="00D6045A">
      <w:pPr>
        <w:pStyle w:val="3Bodytext"/>
        <w:jc w:val="both"/>
      </w:pPr>
      <w:r>
        <w:t>The PBAC noted that this submission is not eligible for an Independent Review as it received a positive recommendation.</w:t>
      </w:r>
    </w:p>
    <w:p w14:paraId="0374B88A" w14:textId="0F008D87" w:rsidR="003D7771" w:rsidRPr="00A176F7" w:rsidRDefault="003D7771" w:rsidP="00A176F7">
      <w:pPr>
        <w:widowControl w:val="0"/>
        <w:rPr>
          <w:rFonts w:asciiTheme="minorHAnsi" w:hAnsiTheme="minorHAnsi" w:cs="Arial"/>
          <w:b/>
          <w:bCs/>
          <w:snapToGrid w:val="0"/>
          <w:lang w:val="en-GB"/>
        </w:rPr>
      </w:pPr>
      <w:r w:rsidRPr="00A176F7">
        <w:rPr>
          <w:rFonts w:asciiTheme="minorHAnsi" w:hAnsiTheme="minorHAnsi" w:cs="Arial"/>
          <w:b/>
          <w:bCs/>
          <w:snapToGrid w:val="0"/>
          <w:lang w:val="en-GB"/>
        </w:rPr>
        <w:t>Outcome:</w:t>
      </w:r>
    </w:p>
    <w:p w14:paraId="5F6CDB61" w14:textId="41C96253" w:rsidR="003D7771" w:rsidRDefault="003D7771" w:rsidP="00A176F7">
      <w:pPr>
        <w:widowControl w:val="0"/>
        <w:rPr>
          <w:rFonts w:asciiTheme="minorHAnsi" w:hAnsiTheme="minorHAnsi" w:cs="Arial"/>
          <w:snapToGrid w:val="0"/>
          <w:lang w:val="en-GB"/>
        </w:rPr>
      </w:pPr>
      <w:r>
        <w:rPr>
          <w:rFonts w:asciiTheme="minorHAnsi" w:hAnsiTheme="minorHAnsi" w:cs="Arial"/>
          <w:snapToGrid w:val="0"/>
          <w:lang w:val="en-GB"/>
        </w:rPr>
        <w:t>Recommended</w:t>
      </w:r>
    </w:p>
    <w:p w14:paraId="498B4045" w14:textId="0A61D4AD" w:rsidR="00A176F7" w:rsidRDefault="00A176F7" w:rsidP="00A176F7">
      <w:pPr>
        <w:pStyle w:val="2-SectionHeading"/>
      </w:pPr>
      <w:r>
        <w:t>Recommended listing</w:t>
      </w:r>
    </w:p>
    <w:p w14:paraId="2A4CE4CD" w14:textId="2CE914C7" w:rsidR="00A176F7" w:rsidRPr="005D2B85" w:rsidRDefault="00A176F7" w:rsidP="00A176F7">
      <w:pPr>
        <w:widowControl w:val="0"/>
        <w:numPr>
          <w:ilvl w:val="1"/>
          <w:numId w:val="2"/>
        </w:numPr>
        <w:spacing w:after="120"/>
        <w:rPr>
          <w:rFonts w:asciiTheme="minorHAnsi" w:eastAsia="Calibri" w:hAnsiTheme="minorHAnsi" w:cstheme="minorHAnsi"/>
          <w:szCs w:val="22"/>
          <w:lang w:eastAsia="en-US"/>
        </w:rPr>
      </w:pPr>
      <w:r>
        <w:rPr>
          <w:rFonts w:asciiTheme="minorHAnsi" w:eastAsia="Calibri" w:hAnsiTheme="minorHAnsi" w:cstheme="minorHAnsi"/>
          <w:bCs/>
          <w:snapToGrid w:val="0"/>
          <w:lang w:eastAsia="en-US"/>
        </w:rPr>
        <w:t xml:space="preserve">Amend the continuing treatment </w:t>
      </w:r>
      <w:r w:rsidR="0067756D">
        <w:rPr>
          <w:rFonts w:asciiTheme="minorHAnsi" w:eastAsia="Calibri" w:hAnsiTheme="minorHAnsi" w:cstheme="minorHAnsi"/>
          <w:bCs/>
          <w:snapToGrid w:val="0"/>
          <w:lang w:eastAsia="en-US"/>
        </w:rPr>
        <w:t>phase of the currently listed</w:t>
      </w:r>
      <w:r>
        <w:rPr>
          <w:rFonts w:asciiTheme="minorHAnsi" w:eastAsia="Calibri" w:hAnsiTheme="minorHAnsi" w:cstheme="minorHAnsi"/>
          <w:bCs/>
          <w:snapToGrid w:val="0"/>
          <w:lang w:eastAsia="en-US"/>
        </w:rPr>
        <w:t xml:space="preserve"> fremanezumab PFS </w:t>
      </w:r>
      <w:r w:rsidR="0067756D">
        <w:rPr>
          <w:rFonts w:asciiTheme="minorHAnsi" w:eastAsia="Calibri" w:hAnsiTheme="minorHAnsi" w:cstheme="minorHAnsi"/>
          <w:bCs/>
          <w:snapToGrid w:val="0"/>
          <w:lang w:eastAsia="en-US"/>
        </w:rPr>
        <w:t xml:space="preserve">(12603H) </w:t>
      </w:r>
      <w:r>
        <w:rPr>
          <w:rFonts w:asciiTheme="minorHAnsi" w:eastAsia="Calibri" w:hAnsiTheme="minorHAnsi" w:cstheme="minorHAnsi"/>
          <w:bCs/>
          <w:snapToGrid w:val="0"/>
          <w:lang w:eastAsia="en-US"/>
        </w:rPr>
        <w:t>to be suitable for quarterly dosing</w:t>
      </w:r>
      <w:r w:rsidR="0067756D">
        <w:rPr>
          <w:rFonts w:asciiTheme="minorHAnsi" w:eastAsia="Calibri" w:hAnsiTheme="minorHAnsi" w:cstheme="minorHAnsi"/>
          <w:bCs/>
          <w:snapToGrid w:val="0"/>
          <w:lang w:eastAsia="en-US"/>
        </w:rPr>
        <w:t xml:space="preserve"> by increasing the maximum quantity (units/packs) from 1 to 3 and decreasing the repeats from 5 to 1 as follows:</w:t>
      </w:r>
    </w:p>
    <w:p w14:paraId="22576F2D" w14:textId="40682498" w:rsidR="005D2B85" w:rsidRDefault="0067756D" w:rsidP="005D2B85">
      <w:pPr>
        <w:widowControl w:val="0"/>
        <w:numPr>
          <w:ilvl w:val="1"/>
          <w:numId w:val="2"/>
        </w:numPr>
        <w:spacing w:after="120"/>
        <w:rPr>
          <w:rFonts w:asciiTheme="minorHAnsi" w:eastAsia="Calibri" w:hAnsiTheme="minorHAnsi" w:cstheme="minorHAnsi"/>
          <w:szCs w:val="22"/>
          <w:lang w:eastAsia="en-US"/>
        </w:rPr>
      </w:pPr>
      <w:r>
        <w:rPr>
          <w:rFonts w:asciiTheme="minorHAnsi" w:eastAsia="Calibri" w:hAnsiTheme="minorHAnsi" w:cstheme="minorHAnsi"/>
          <w:bCs/>
          <w:snapToGrid w:val="0"/>
          <w:lang w:eastAsia="en-US"/>
        </w:rPr>
        <w:t>Flow-on this change to the continuing treatment phase of fremanezumab AI.</w:t>
      </w:r>
    </w:p>
    <w:p w14:paraId="0B201AB4" w14:textId="59534813" w:rsidR="00A176F7" w:rsidRPr="00757256" w:rsidRDefault="005D2B85" w:rsidP="00757256">
      <w:pPr>
        <w:spacing w:after="120"/>
        <w:rPr>
          <w:i/>
          <w:iCs/>
        </w:rPr>
      </w:pPr>
      <w:r w:rsidRPr="005D2B85">
        <w:rPr>
          <w:i/>
          <w:iCs/>
        </w:rPr>
        <w:t>Amend maximum quantity</w:t>
      </w:r>
      <w:r>
        <w:rPr>
          <w:i/>
          <w:iCs/>
        </w:rPr>
        <w:t>/</w:t>
      </w:r>
      <w:r w:rsidRPr="005D2B85">
        <w:rPr>
          <w:i/>
          <w:iCs/>
        </w:rPr>
        <w:t>maximum number of repeats:</w:t>
      </w:r>
    </w:p>
    <w:tbl>
      <w:tblPr>
        <w:tblpPr w:leftFromText="180" w:rightFromText="180" w:bottomFromText="160" w:vertAnchor="text" w:horzAnchor="margin" w:tblpY="36"/>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3606"/>
        <w:gridCol w:w="850"/>
        <w:gridCol w:w="850"/>
        <w:gridCol w:w="852"/>
        <w:gridCol w:w="850"/>
        <w:gridCol w:w="1131"/>
      </w:tblGrid>
      <w:tr w:rsidR="00757256" w14:paraId="76BAAE50" w14:textId="77777777" w:rsidTr="00757256">
        <w:trPr>
          <w:cantSplit/>
          <w:trHeight w:val="276"/>
        </w:trPr>
        <w:tc>
          <w:tcPr>
            <w:tcW w:w="2499" w:type="pct"/>
            <w:gridSpan w:val="2"/>
            <w:tcBorders>
              <w:top w:val="single" w:sz="4" w:space="0" w:color="auto"/>
              <w:left w:val="single" w:sz="4" w:space="0" w:color="auto"/>
              <w:right w:val="single" w:sz="4" w:space="0" w:color="auto"/>
            </w:tcBorders>
            <w:tcMar>
              <w:top w:w="15" w:type="dxa"/>
              <w:left w:w="15" w:type="dxa"/>
              <w:bottom w:w="15" w:type="dxa"/>
              <w:right w:w="15" w:type="dxa"/>
            </w:tcMar>
          </w:tcPr>
          <w:p w14:paraId="2777F054" w14:textId="77777777" w:rsidR="00757256" w:rsidRPr="00A176F7" w:rsidRDefault="00757256" w:rsidP="00757256">
            <w:pPr>
              <w:pStyle w:val="3Bodytext"/>
              <w:numPr>
                <w:ilvl w:val="0"/>
                <w:numId w:val="0"/>
              </w:numPr>
              <w:spacing w:after="0"/>
              <w:rPr>
                <w:rFonts w:ascii="Arial Narrow" w:hAnsi="Arial Narrow"/>
                <w:b/>
                <w:bCs/>
                <w:sz w:val="20"/>
                <w:szCs w:val="18"/>
              </w:rPr>
            </w:pPr>
            <w:r w:rsidRPr="00A176F7">
              <w:rPr>
                <w:rFonts w:ascii="Arial Narrow" w:hAnsi="Arial Narrow"/>
                <w:b/>
                <w:bCs/>
                <w:sz w:val="20"/>
                <w:szCs w:val="18"/>
              </w:rPr>
              <w:t>MEDICINAL PRODUCT</w:t>
            </w:r>
          </w:p>
          <w:p w14:paraId="00AB4A55" w14:textId="3F4B95CA" w:rsidR="00757256" w:rsidRDefault="00757256" w:rsidP="00757256">
            <w:pPr>
              <w:widowControl w:val="0"/>
              <w:spacing w:line="256" w:lineRule="auto"/>
              <w:rPr>
                <w:rFonts w:ascii="Arial Narrow" w:hAnsi="Arial Narrow" w:cs="Arial"/>
                <w:b/>
                <w:sz w:val="20"/>
                <w:szCs w:val="20"/>
                <w:lang w:eastAsia="en-US"/>
              </w:rPr>
            </w:pPr>
            <w:r w:rsidRPr="00A176F7">
              <w:rPr>
                <w:rFonts w:ascii="Arial Narrow" w:hAnsi="Arial Narrow"/>
                <w:b/>
                <w:bCs/>
                <w:sz w:val="20"/>
                <w:szCs w:val="18"/>
              </w:rPr>
              <w:t>Medicinal Product Pack</w:t>
            </w:r>
          </w:p>
        </w:tc>
        <w:tc>
          <w:tcPr>
            <w:tcW w:w="469" w:type="pct"/>
            <w:tcBorders>
              <w:top w:val="single" w:sz="4" w:space="0" w:color="auto"/>
              <w:left w:val="single" w:sz="4" w:space="0" w:color="auto"/>
              <w:right w:val="single" w:sz="4" w:space="0" w:color="auto"/>
            </w:tcBorders>
          </w:tcPr>
          <w:p w14:paraId="464F4DA2" w14:textId="34F2FBDA" w:rsidR="00757256" w:rsidRDefault="00757256" w:rsidP="00757256">
            <w:pPr>
              <w:keepNext/>
              <w:ind w:left="-108"/>
              <w:jc w:val="center"/>
              <w:rPr>
                <w:rFonts w:ascii="Arial Narrow" w:hAnsi="Arial Narrow" w:cs="Arial"/>
                <w:b/>
                <w:sz w:val="20"/>
                <w:szCs w:val="20"/>
              </w:rPr>
            </w:pPr>
            <w:r w:rsidRPr="00FF3C0E">
              <w:rPr>
                <w:rFonts w:ascii="Arial Narrow" w:hAnsi="Arial Narrow" w:cs="Arial"/>
                <w:b/>
                <w:sz w:val="20"/>
                <w:szCs w:val="20"/>
              </w:rPr>
              <w:t>PBS item</w:t>
            </w:r>
            <w:r>
              <w:rPr>
                <w:rFonts w:ascii="Arial Narrow" w:hAnsi="Arial Narrow" w:cs="Arial"/>
                <w:b/>
                <w:sz w:val="20"/>
                <w:szCs w:val="20"/>
              </w:rPr>
              <w:t xml:space="preserve"> </w:t>
            </w:r>
            <w:r w:rsidRPr="00FF3C0E">
              <w:rPr>
                <w:rFonts w:ascii="Arial Narrow" w:hAnsi="Arial Narrow" w:cs="Arial"/>
                <w:b/>
                <w:sz w:val="20"/>
                <w:szCs w:val="20"/>
              </w:rPr>
              <w:t>code</w:t>
            </w:r>
          </w:p>
        </w:tc>
        <w:tc>
          <w:tcPr>
            <w:tcW w:w="469" w:type="pct"/>
            <w:tcBorders>
              <w:top w:val="single" w:sz="4" w:space="0" w:color="auto"/>
              <w:left w:val="single" w:sz="4" w:space="0" w:color="auto"/>
              <w:right w:val="single" w:sz="4" w:space="0" w:color="auto"/>
            </w:tcBorders>
          </w:tcPr>
          <w:p w14:paraId="6B6226E0" w14:textId="116906E7" w:rsidR="00757256" w:rsidRDefault="00757256" w:rsidP="00757256">
            <w:pPr>
              <w:keepNext/>
              <w:ind w:left="-108"/>
              <w:jc w:val="center"/>
              <w:rPr>
                <w:rFonts w:ascii="Arial Narrow" w:hAnsi="Arial Narrow" w:cs="Arial"/>
                <w:b/>
                <w:sz w:val="20"/>
                <w:szCs w:val="20"/>
              </w:rPr>
            </w:pPr>
            <w:r w:rsidRPr="00FF3C0E">
              <w:rPr>
                <w:rFonts w:ascii="Arial Narrow" w:hAnsi="Arial Narrow" w:cs="Arial"/>
                <w:b/>
                <w:sz w:val="20"/>
                <w:szCs w:val="20"/>
              </w:rPr>
              <w:t>Max. qty packs</w:t>
            </w:r>
          </w:p>
        </w:tc>
        <w:tc>
          <w:tcPr>
            <w:tcW w:w="470" w:type="pct"/>
            <w:tcBorders>
              <w:top w:val="single" w:sz="4" w:space="0" w:color="auto"/>
              <w:left w:val="single" w:sz="4" w:space="0" w:color="auto"/>
              <w:right w:val="single" w:sz="4" w:space="0" w:color="auto"/>
            </w:tcBorders>
          </w:tcPr>
          <w:p w14:paraId="2F7A61AD" w14:textId="3B81EDA7" w:rsidR="00757256" w:rsidRDefault="00757256" w:rsidP="00757256">
            <w:pPr>
              <w:keepNext/>
              <w:ind w:left="-108"/>
              <w:jc w:val="center"/>
              <w:rPr>
                <w:rFonts w:ascii="Arial Narrow" w:hAnsi="Arial Narrow" w:cs="Arial"/>
                <w:b/>
                <w:sz w:val="20"/>
                <w:szCs w:val="20"/>
              </w:rPr>
            </w:pPr>
            <w:r w:rsidRPr="00FF3C0E">
              <w:rPr>
                <w:rFonts w:ascii="Arial Narrow" w:hAnsi="Arial Narrow" w:cs="Arial"/>
                <w:b/>
                <w:sz w:val="20"/>
                <w:szCs w:val="20"/>
              </w:rPr>
              <w:t>Max. qty units</w:t>
            </w:r>
          </w:p>
        </w:tc>
        <w:tc>
          <w:tcPr>
            <w:tcW w:w="469" w:type="pct"/>
            <w:tcBorders>
              <w:top w:val="single" w:sz="4" w:space="0" w:color="auto"/>
              <w:left w:val="single" w:sz="4" w:space="0" w:color="auto"/>
              <w:right w:val="single" w:sz="4" w:space="0" w:color="auto"/>
            </w:tcBorders>
          </w:tcPr>
          <w:p w14:paraId="483090D3" w14:textId="35F90956" w:rsidR="00757256" w:rsidRPr="00FF3C0E" w:rsidRDefault="00757256" w:rsidP="00757256">
            <w:pPr>
              <w:keepNext/>
              <w:ind w:left="-108"/>
              <w:jc w:val="center"/>
              <w:rPr>
                <w:rFonts w:ascii="Arial Narrow" w:hAnsi="Arial Narrow" w:cs="Arial"/>
                <w:b/>
                <w:sz w:val="20"/>
                <w:szCs w:val="20"/>
              </w:rPr>
            </w:pPr>
            <w:r>
              <w:rPr>
                <w:rFonts w:ascii="Arial Narrow" w:hAnsi="Arial Narrow" w:cs="Arial"/>
                <w:b/>
                <w:sz w:val="20"/>
                <w:szCs w:val="20"/>
              </w:rPr>
              <w:t xml:space="preserve"> </w:t>
            </w:r>
            <w:proofErr w:type="gramStart"/>
            <w:r w:rsidRPr="00FF3C0E">
              <w:rPr>
                <w:rFonts w:ascii="Arial Narrow" w:hAnsi="Arial Narrow" w:cs="Arial"/>
                <w:b/>
                <w:sz w:val="20"/>
                <w:szCs w:val="20"/>
              </w:rPr>
              <w:t>№.of</w:t>
            </w:r>
            <w:proofErr w:type="gramEnd"/>
          </w:p>
          <w:p w14:paraId="0501FEE5" w14:textId="0A30D8C1" w:rsidR="00757256" w:rsidRDefault="00757256" w:rsidP="00757256">
            <w:pPr>
              <w:keepNext/>
              <w:ind w:left="-108"/>
              <w:jc w:val="center"/>
              <w:rPr>
                <w:rFonts w:ascii="Arial Narrow" w:hAnsi="Arial Narrow" w:cs="Arial"/>
                <w:b/>
                <w:sz w:val="20"/>
                <w:szCs w:val="20"/>
              </w:rPr>
            </w:pPr>
            <w:proofErr w:type="spellStart"/>
            <w:r w:rsidRPr="00FF3C0E">
              <w:rPr>
                <w:rFonts w:ascii="Arial Narrow" w:hAnsi="Arial Narrow" w:cs="Arial"/>
                <w:b/>
                <w:sz w:val="20"/>
                <w:szCs w:val="20"/>
              </w:rPr>
              <w:t>Rpts</w:t>
            </w:r>
            <w:proofErr w:type="spellEnd"/>
          </w:p>
        </w:tc>
        <w:tc>
          <w:tcPr>
            <w:tcW w:w="624" w:type="pct"/>
            <w:tcBorders>
              <w:top w:val="single" w:sz="4" w:space="0" w:color="auto"/>
              <w:left w:val="single" w:sz="4" w:space="0" w:color="auto"/>
              <w:right w:val="single" w:sz="4" w:space="0" w:color="auto"/>
            </w:tcBorders>
          </w:tcPr>
          <w:p w14:paraId="060B3346" w14:textId="5C9E0A2B" w:rsidR="00757256" w:rsidRDefault="00757256" w:rsidP="00757256">
            <w:pPr>
              <w:keepNext/>
              <w:ind w:left="-108"/>
              <w:jc w:val="center"/>
              <w:rPr>
                <w:rFonts w:ascii="Arial Narrow" w:hAnsi="Arial Narrow" w:cs="Arial"/>
                <w:b/>
                <w:sz w:val="20"/>
                <w:szCs w:val="20"/>
              </w:rPr>
            </w:pPr>
            <w:r w:rsidRPr="00FF3C0E">
              <w:rPr>
                <w:rFonts w:ascii="Arial Narrow" w:hAnsi="Arial Narrow" w:cs="Arial"/>
                <w:b/>
                <w:sz w:val="20"/>
                <w:szCs w:val="20"/>
              </w:rPr>
              <w:t>Available brands</w:t>
            </w:r>
          </w:p>
        </w:tc>
      </w:tr>
      <w:tr w:rsidR="00757256" w14:paraId="420555FE" w14:textId="77777777" w:rsidTr="00757256">
        <w:trPr>
          <w:cantSplit/>
          <w:trHeight w:val="276"/>
        </w:trPr>
        <w:tc>
          <w:tcPr>
            <w:tcW w:w="2499" w:type="pct"/>
            <w:gridSpan w:val="2"/>
            <w:tcBorders>
              <w:top w:val="single" w:sz="4" w:space="0" w:color="auto"/>
              <w:left w:val="single" w:sz="4" w:space="0" w:color="auto"/>
              <w:right w:val="single" w:sz="4" w:space="0" w:color="auto"/>
            </w:tcBorders>
            <w:tcMar>
              <w:top w:w="15" w:type="dxa"/>
              <w:left w:w="15" w:type="dxa"/>
              <w:bottom w:w="15" w:type="dxa"/>
              <w:right w:w="15" w:type="dxa"/>
            </w:tcMar>
          </w:tcPr>
          <w:p w14:paraId="2F43923A" w14:textId="58F54B36" w:rsidR="00757256" w:rsidRPr="00FF3C0E" w:rsidRDefault="00757256" w:rsidP="00757256">
            <w:pPr>
              <w:keepNext/>
              <w:ind w:left="-108"/>
              <w:rPr>
                <w:rFonts w:ascii="Arial Narrow" w:hAnsi="Arial Narrow" w:cs="Arial"/>
                <w:sz w:val="20"/>
                <w:szCs w:val="20"/>
              </w:rPr>
            </w:pPr>
            <w:r>
              <w:rPr>
                <w:rFonts w:ascii="Arial Narrow" w:hAnsi="Arial Narrow" w:cs="Arial"/>
                <w:sz w:val="20"/>
                <w:szCs w:val="20"/>
              </w:rPr>
              <w:t xml:space="preserve">   </w:t>
            </w:r>
            <w:r w:rsidRPr="00FF3C0E">
              <w:rPr>
                <w:rFonts w:ascii="Arial Narrow" w:hAnsi="Arial Narrow" w:cs="Arial"/>
                <w:sz w:val="20"/>
                <w:szCs w:val="20"/>
              </w:rPr>
              <w:t xml:space="preserve">FREMANEZUMAB </w:t>
            </w:r>
          </w:p>
          <w:p w14:paraId="4E4D895F" w14:textId="5DF4613B" w:rsidR="00757256" w:rsidRPr="00FF3C0E" w:rsidRDefault="00757256" w:rsidP="00757256">
            <w:pPr>
              <w:keepNext/>
              <w:ind w:left="-108"/>
              <w:rPr>
                <w:rFonts w:ascii="Arial Narrow" w:hAnsi="Arial Narrow" w:cs="Arial"/>
                <w:sz w:val="20"/>
                <w:szCs w:val="20"/>
              </w:rPr>
            </w:pPr>
            <w:r>
              <w:rPr>
                <w:rFonts w:ascii="Arial Narrow" w:hAnsi="Arial Narrow" w:cs="Arial"/>
                <w:sz w:val="20"/>
                <w:szCs w:val="20"/>
              </w:rPr>
              <w:t xml:space="preserve">   </w:t>
            </w:r>
          </w:p>
          <w:p w14:paraId="0577A38E" w14:textId="4EBF2FEC" w:rsidR="00757256" w:rsidRDefault="00757256" w:rsidP="00757256">
            <w:pPr>
              <w:keepNext/>
              <w:ind w:left="-108"/>
              <w:rPr>
                <w:rFonts w:ascii="Arial Narrow" w:hAnsi="Arial Narrow" w:cs="Arial"/>
                <w:b/>
                <w:sz w:val="20"/>
                <w:szCs w:val="20"/>
                <w:lang w:eastAsia="en-US"/>
              </w:rPr>
            </w:pPr>
            <w:r>
              <w:rPr>
                <w:rFonts w:ascii="Arial Narrow" w:hAnsi="Arial Narrow" w:cs="Arial"/>
                <w:sz w:val="20"/>
                <w:szCs w:val="20"/>
              </w:rPr>
              <w:t xml:space="preserve">   </w:t>
            </w:r>
            <w:r w:rsidRPr="00FF3C0E">
              <w:rPr>
                <w:rFonts w:ascii="Arial Narrow" w:hAnsi="Arial Narrow" w:cs="Arial"/>
                <w:sz w:val="20"/>
                <w:szCs w:val="20"/>
              </w:rPr>
              <w:t xml:space="preserve">fremanezumab 225 mg/1.5 mL injection, 1.5 mL </w:t>
            </w:r>
            <w:r>
              <w:rPr>
                <w:rFonts w:ascii="Arial Narrow" w:hAnsi="Arial Narrow" w:cs="Arial"/>
                <w:sz w:val="20"/>
                <w:szCs w:val="20"/>
              </w:rPr>
              <w:t>syringe</w:t>
            </w:r>
          </w:p>
        </w:tc>
        <w:tc>
          <w:tcPr>
            <w:tcW w:w="469" w:type="pct"/>
            <w:tcBorders>
              <w:top w:val="single" w:sz="4" w:space="0" w:color="auto"/>
              <w:left w:val="single" w:sz="4" w:space="0" w:color="auto"/>
              <w:right w:val="single" w:sz="4" w:space="0" w:color="auto"/>
            </w:tcBorders>
            <w:vAlign w:val="bottom"/>
          </w:tcPr>
          <w:p w14:paraId="59CA4278" w14:textId="1177F888" w:rsidR="00757256" w:rsidRDefault="00757256" w:rsidP="00757256">
            <w:pPr>
              <w:widowControl w:val="0"/>
              <w:spacing w:line="256" w:lineRule="auto"/>
              <w:jc w:val="center"/>
              <w:rPr>
                <w:rFonts w:ascii="Arial Narrow" w:hAnsi="Arial Narrow" w:cs="Arial"/>
                <w:b/>
                <w:sz w:val="20"/>
                <w:szCs w:val="20"/>
                <w:lang w:eastAsia="en-US"/>
              </w:rPr>
            </w:pPr>
            <w:r>
              <w:rPr>
                <w:rFonts w:ascii="Arial Narrow" w:hAnsi="Arial Narrow" w:cs="Arial"/>
                <w:sz w:val="20"/>
                <w:szCs w:val="20"/>
              </w:rPr>
              <w:t>12603H</w:t>
            </w:r>
          </w:p>
        </w:tc>
        <w:tc>
          <w:tcPr>
            <w:tcW w:w="469" w:type="pct"/>
            <w:tcBorders>
              <w:top w:val="single" w:sz="4" w:space="0" w:color="auto"/>
              <w:left w:val="single" w:sz="4" w:space="0" w:color="auto"/>
              <w:right w:val="single" w:sz="4" w:space="0" w:color="auto"/>
            </w:tcBorders>
            <w:vAlign w:val="bottom"/>
          </w:tcPr>
          <w:p w14:paraId="3F64E52A" w14:textId="65E43560" w:rsidR="00757256" w:rsidRDefault="00757256" w:rsidP="00757256">
            <w:pPr>
              <w:widowControl w:val="0"/>
              <w:spacing w:line="256" w:lineRule="auto"/>
              <w:jc w:val="center"/>
              <w:rPr>
                <w:rFonts w:ascii="Arial Narrow" w:hAnsi="Arial Narrow" w:cs="Arial"/>
                <w:b/>
                <w:sz w:val="20"/>
                <w:szCs w:val="20"/>
                <w:lang w:eastAsia="en-US"/>
              </w:rPr>
            </w:pPr>
            <w:r w:rsidRPr="00D6045A">
              <w:rPr>
                <w:rFonts w:ascii="Arial Narrow" w:hAnsi="Arial Narrow" w:cs="Arial"/>
                <w:strike/>
                <w:sz w:val="20"/>
                <w:szCs w:val="20"/>
              </w:rPr>
              <w:t>1</w:t>
            </w:r>
            <w:r w:rsidRPr="006B76DB">
              <w:rPr>
                <w:rFonts w:ascii="Arial Narrow" w:hAnsi="Arial Narrow" w:cs="Arial"/>
                <w:sz w:val="20"/>
                <w:szCs w:val="20"/>
              </w:rPr>
              <w:t>3</w:t>
            </w:r>
          </w:p>
        </w:tc>
        <w:tc>
          <w:tcPr>
            <w:tcW w:w="470" w:type="pct"/>
            <w:tcBorders>
              <w:top w:val="single" w:sz="4" w:space="0" w:color="auto"/>
              <w:left w:val="single" w:sz="4" w:space="0" w:color="auto"/>
              <w:right w:val="single" w:sz="4" w:space="0" w:color="auto"/>
            </w:tcBorders>
            <w:vAlign w:val="bottom"/>
          </w:tcPr>
          <w:p w14:paraId="1CB8417E" w14:textId="747EA78F" w:rsidR="00757256" w:rsidRDefault="00757256" w:rsidP="00757256">
            <w:pPr>
              <w:widowControl w:val="0"/>
              <w:spacing w:line="256" w:lineRule="auto"/>
              <w:jc w:val="center"/>
              <w:rPr>
                <w:rFonts w:ascii="Arial Narrow" w:hAnsi="Arial Narrow" w:cs="Arial"/>
                <w:b/>
                <w:sz w:val="20"/>
                <w:szCs w:val="20"/>
                <w:lang w:eastAsia="en-US"/>
              </w:rPr>
            </w:pPr>
            <w:r w:rsidRPr="00D6045A">
              <w:rPr>
                <w:rFonts w:ascii="Arial Narrow" w:hAnsi="Arial Narrow" w:cs="Arial"/>
                <w:strike/>
                <w:sz w:val="20"/>
                <w:szCs w:val="20"/>
              </w:rPr>
              <w:t>1</w:t>
            </w:r>
            <w:r w:rsidRPr="006B76DB">
              <w:rPr>
                <w:rFonts w:ascii="Arial Narrow" w:hAnsi="Arial Narrow" w:cs="Arial"/>
                <w:sz w:val="20"/>
                <w:szCs w:val="20"/>
              </w:rPr>
              <w:t>3</w:t>
            </w:r>
          </w:p>
        </w:tc>
        <w:tc>
          <w:tcPr>
            <w:tcW w:w="469" w:type="pct"/>
            <w:tcBorders>
              <w:top w:val="single" w:sz="4" w:space="0" w:color="auto"/>
              <w:left w:val="single" w:sz="4" w:space="0" w:color="auto"/>
              <w:right w:val="single" w:sz="4" w:space="0" w:color="auto"/>
            </w:tcBorders>
            <w:vAlign w:val="bottom"/>
          </w:tcPr>
          <w:p w14:paraId="63B55251" w14:textId="5AEE2A5B" w:rsidR="00757256" w:rsidRDefault="00757256" w:rsidP="00757256">
            <w:pPr>
              <w:widowControl w:val="0"/>
              <w:spacing w:line="256" w:lineRule="auto"/>
              <w:jc w:val="center"/>
              <w:rPr>
                <w:rFonts w:ascii="Arial Narrow" w:hAnsi="Arial Narrow" w:cs="Arial"/>
                <w:b/>
                <w:sz w:val="20"/>
                <w:szCs w:val="20"/>
                <w:lang w:eastAsia="en-US"/>
              </w:rPr>
            </w:pPr>
            <w:r w:rsidRPr="00D6045A">
              <w:rPr>
                <w:rFonts w:ascii="Arial Narrow" w:hAnsi="Arial Narrow" w:cs="Arial"/>
                <w:strike/>
                <w:sz w:val="20"/>
                <w:szCs w:val="20"/>
              </w:rPr>
              <w:t>5</w:t>
            </w:r>
            <w:r w:rsidRPr="006B76DB">
              <w:rPr>
                <w:rFonts w:ascii="Arial Narrow" w:hAnsi="Arial Narrow" w:cs="Arial"/>
                <w:sz w:val="20"/>
                <w:szCs w:val="20"/>
              </w:rPr>
              <w:t>1</w:t>
            </w:r>
          </w:p>
        </w:tc>
        <w:tc>
          <w:tcPr>
            <w:tcW w:w="624" w:type="pct"/>
            <w:tcBorders>
              <w:top w:val="single" w:sz="4" w:space="0" w:color="auto"/>
              <w:left w:val="single" w:sz="4" w:space="0" w:color="auto"/>
              <w:right w:val="single" w:sz="4" w:space="0" w:color="auto"/>
            </w:tcBorders>
            <w:vAlign w:val="bottom"/>
          </w:tcPr>
          <w:p w14:paraId="5E3212BA" w14:textId="5CD30B84" w:rsidR="00757256" w:rsidRDefault="00757256" w:rsidP="00757256">
            <w:pPr>
              <w:widowControl w:val="0"/>
              <w:spacing w:line="256" w:lineRule="auto"/>
              <w:jc w:val="left"/>
              <w:rPr>
                <w:rFonts w:ascii="Arial Narrow" w:hAnsi="Arial Narrow" w:cs="Arial"/>
                <w:b/>
                <w:sz w:val="20"/>
                <w:szCs w:val="20"/>
                <w:lang w:eastAsia="en-US"/>
              </w:rPr>
            </w:pPr>
            <w:proofErr w:type="spellStart"/>
            <w:r>
              <w:rPr>
                <w:rFonts w:ascii="Arial Narrow" w:hAnsi="Arial Narrow" w:cs="Arial"/>
                <w:sz w:val="20"/>
                <w:szCs w:val="20"/>
              </w:rPr>
              <w:t>A</w:t>
            </w:r>
            <w:r w:rsidRPr="00FF3C0E">
              <w:rPr>
                <w:rFonts w:ascii="Arial Narrow" w:hAnsi="Arial Narrow" w:cs="Arial"/>
                <w:sz w:val="20"/>
                <w:szCs w:val="20"/>
              </w:rPr>
              <w:t>jovy</w:t>
            </w:r>
            <w:proofErr w:type="spellEnd"/>
          </w:p>
        </w:tc>
      </w:tr>
      <w:tr w:rsidR="00757256" w14:paraId="3B489433" w14:textId="77777777" w:rsidTr="00757256">
        <w:trPr>
          <w:cantSplit/>
          <w:trHeight w:val="276"/>
        </w:trPr>
        <w:tc>
          <w:tcPr>
            <w:tcW w:w="2499" w:type="pct"/>
            <w:gridSpan w:val="2"/>
            <w:tcBorders>
              <w:top w:val="single" w:sz="4" w:space="0" w:color="auto"/>
              <w:left w:val="single" w:sz="4" w:space="0" w:color="auto"/>
              <w:right w:val="single" w:sz="4" w:space="0" w:color="auto"/>
            </w:tcBorders>
            <w:tcMar>
              <w:top w:w="15" w:type="dxa"/>
              <w:left w:w="15" w:type="dxa"/>
              <w:bottom w:w="15" w:type="dxa"/>
              <w:right w:w="15" w:type="dxa"/>
            </w:tcMar>
          </w:tcPr>
          <w:p w14:paraId="505D59FE" w14:textId="0FF3263E" w:rsidR="00757256" w:rsidRDefault="00757256">
            <w:pPr>
              <w:widowControl w:val="0"/>
              <w:spacing w:line="256" w:lineRule="auto"/>
              <w:rPr>
                <w:rFonts w:ascii="Arial Narrow" w:hAnsi="Arial Narrow" w:cs="Arial"/>
                <w:b/>
                <w:sz w:val="20"/>
                <w:szCs w:val="20"/>
                <w:lang w:eastAsia="en-US"/>
              </w:rPr>
            </w:pPr>
            <w:r w:rsidRPr="00FF3C0E">
              <w:rPr>
                <w:rFonts w:ascii="Arial Narrow" w:hAnsi="Arial Narrow" w:cs="Arial"/>
                <w:sz w:val="20"/>
                <w:szCs w:val="20"/>
              </w:rPr>
              <w:t>fremanezumab 225 mg/1.5 mL injection, 1.5 mL syringe</w:t>
            </w:r>
          </w:p>
        </w:tc>
        <w:tc>
          <w:tcPr>
            <w:tcW w:w="469" w:type="pct"/>
            <w:tcBorders>
              <w:top w:val="single" w:sz="4" w:space="0" w:color="auto"/>
              <w:left w:val="single" w:sz="4" w:space="0" w:color="auto"/>
              <w:right w:val="single" w:sz="4" w:space="0" w:color="auto"/>
            </w:tcBorders>
            <w:vAlign w:val="center"/>
          </w:tcPr>
          <w:p w14:paraId="2852567E" w14:textId="192D58E4" w:rsidR="00757256" w:rsidRDefault="00757256" w:rsidP="00757256">
            <w:pPr>
              <w:widowControl w:val="0"/>
              <w:spacing w:line="256" w:lineRule="auto"/>
              <w:jc w:val="center"/>
              <w:rPr>
                <w:rFonts w:ascii="Arial Narrow" w:hAnsi="Arial Narrow" w:cs="Arial"/>
                <w:b/>
                <w:sz w:val="20"/>
                <w:szCs w:val="20"/>
                <w:lang w:eastAsia="en-US"/>
              </w:rPr>
            </w:pPr>
            <w:r w:rsidRPr="00FF3C0E">
              <w:rPr>
                <w:rFonts w:ascii="Arial Narrow" w:hAnsi="Arial Narrow" w:cs="Arial"/>
                <w:sz w:val="20"/>
                <w:szCs w:val="20"/>
              </w:rPr>
              <w:t>12611R</w:t>
            </w:r>
          </w:p>
        </w:tc>
        <w:tc>
          <w:tcPr>
            <w:tcW w:w="469" w:type="pct"/>
            <w:tcBorders>
              <w:top w:val="single" w:sz="4" w:space="0" w:color="auto"/>
              <w:left w:val="single" w:sz="4" w:space="0" w:color="auto"/>
              <w:right w:val="single" w:sz="4" w:space="0" w:color="auto"/>
            </w:tcBorders>
            <w:vAlign w:val="center"/>
          </w:tcPr>
          <w:p w14:paraId="79CCE4DB" w14:textId="43D4D257" w:rsidR="00757256" w:rsidRPr="00757256" w:rsidRDefault="00757256" w:rsidP="00757256">
            <w:pPr>
              <w:keepNext/>
              <w:jc w:val="center"/>
              <w:rPr>
                <w:rFonts w:ascii="Arial Narrow" w:hAnsi="Arial Narrow" w:cs="Arial"/>
                <w:sz w:val="20"/>
                <w:szCs w:val="20"/>
              </w:rPr>
            </w:pPr>
            <w:r w:rsidRPr="00FF3C0E">
              <w:rPr>
                <w:rFonts w:ascii="Arial Narrow" w:hAnsi="Arial Narrow" w:cs="Arial"/>
                <w:sz w:val="20"/>
                <w:szCs w:val="20"/>
              </w:rPr>
              <w:t>1</w:t>
            </w:r>
          </w:p>
        </w:tc>
        <w:tc>
          <w:tcPr>
            <w:tcW w:w="470" w:type="pct"/>
            <w:tcBorders>
              <w:top w:val="single" w:sz="4" w:space="0" w:color="auto"/>
              <w:left w:val="single" w:sz="4" w:space="0" w:color="auto"/>
              <w:right w:val="single" w:sz="4" w:space="0" w:color="auto"/>
            </w:tcBorders>
            <w:vAlign w:val="center"/>
          </w:tcPr>
          <w:p w14:paraId="44749188" w14:textId="47164140" w:rsidR="00757256" w:rsidRPr="00757256" w:rsidRDefault="00757256" w:rsidP="00757256">
            <w:pPr>
              <w:keepNext/>
              <w:jc w:val="center"/>
              <w:rPr>
                <w:rFonts w:ascii="Arial Narrow" w:hAnsi="Arial Narrow" w:cs="Arial"/>
                <w:sz w:val="20"/>
                <w:szCs w:val="20"/>
              </w:rPr>
            </w:pPr>
            <w:r w:rsidRPr="00757256">
              <w:rPr>
                <w:rFonts w:ascii="Arial Narrow" w:hAnsi="Arial Narrow" w:cs="Arial"/>
                <w:sz w:val="20"/>
                <w:szCs w:val="20"/>
              </w:rPr>
              <w:t>1</w:t>
            </w:r>
          </w:p>
        </w:tc>
        <w:tc>
          <w:tcPr>
            <w:tcW w:w="469" w:type="pct"/>
            <w:tcBorders>
              <w:top w:val="single" w:sz="4" w:space="0" w:color="auto"/>
              <w:left w:val="single" w:sz="4" w:space="0" w:color="auto"/>
              <w:right w:val="single" w:sz="4" w:space="0" w:color="auto"/>
            </w:tcBorders>
            <w:vAlign w:val="center"/>
          </w:tcPr>
          <w:p w14:paraId="46FFDE81" w14:textId="3CB8362F" w:rsidR="00757256" w:rsidRPr="00757256" w:rsidRDefault="00757256" w:rsidP="00757256">
            <w:pPr>
              <w:keepNext/>
              <w:jc w:val="center"/>
              <w:rPr>
                <w:rFonts w:ascii="Arial Narrow" w:hAnsi="Arial Narrow" w:cs="Arial"/>
                <w:sz w:val="20"/>
                <w:szCs w:val="20"/>
              </w:rPr>
            </w:pPr>
            <w:r w:rsidRPr="00757256">
              <w:rPr>
                <w:rFonts w:ascii="Arial Narrow" w:hAnsi="Arial Narrow" w:cs="Arial"/>
                <w:sz w:val="20"/>
                <w:szCs w:val="20"/>
              </w:rPr>
              <w:t>2</w:t>
            </w:r>
          </w:p>
        </w:tc>
        <w:tc>
          <w:tcPr>
            <w:tcW w:w="624" w:type="pct"/>
            <w:tcBorders>
              <w:top w:val="single" w:sz="4" w:space="0" w:color="auto"/>
              <w:left w:val="single" w:sz="4" w:space="0" w:color="auto"/>
              <w:right w:val="single" w:sz="4" w:space="0" w:color="auto"/>
            </w:tcBorders>
            <w:vAlign w:val="bottom"/>
          </w:tcPr>
          <w:p w14:paraId="61C0C4BE" w14:textId="276DA73D" w:rsidR="00757256" w:rsidRDefault="00757256" w:rsidP="00757256">
            <w:pPr>
              <w:widowControl w:val="0"/>
              <w:spacing w:line="256" w:lineRule="auto"/>
              <w:jc w:val="left"/>
              <w:rPr>
                <w:rFonts w:ascii="Arial Narrow" w:hAnsi="Arial Narrow" w:cs="Arial"/>
                <w:b/>
                <w:sz w:val="20"/>
                <w:szCs w:val="20"/>
                <w:lang w:eastAsia="en-US"/>
              </w:rPr>
            </w:pPr>
            <w:proofErr w:type="spellStart"/>
            <w:r>
              <w:rPr>
                <w:rFonts w:ascii="Arial Narrow" w:hAnsi="Arial Narrow" w:cs="Arial"/>
                <w:sz w:val="20"/>
                <w:szCs w:val="20"/>
              </w:rPr>
              <w:t>A</w:t>
            </w:r>
            <w:r w:rsidRPr="00FF3C0E">
              <w:rPr>
                <w:rFonts w:ascii="Arial Narrow" w:hAnsi="Arial Narrow" w:cs="Arial"/>
                <w:sz w:val="20"/>
                <w:szCs w:val="20"/>
              </w:rPr>
              <w:t>jovy</w:t>
            </w:r>
            <w:proofErr w:type="spellEnd"/>
          </w:p>
        </w:tc>
      </w:tr>
      <w:tr w:rsidR="00757256" w14:paraId="0A3039EF" w14:textId="77777777" w:rsidTr="00757256">
        <w:trPr>
          <w:cantSplit/>
          <w:trHeight w:val="276"/>
        </w:trPr>
        <w:tc>
          <w:tcPr>
            <w:tcW w:w="2499" w:type="pct"/>
            <w:gridSpan w:val="2"/>
            <w:tcBorders>
              <w:top w:val="single" w:sz="4" w:space="0" w:color="auto"/>
              <w:left w:val="single" w:sz="4" w:space="0" w:color="auto"/>
              <w:right w:val="single" w:sz="4" w:space="0" w:color="auto"/>
            </w:tcBorders>
            <w:tcMar>
              <w:top w:w="15" w:type="dxa"/>
              <w:left w:w="15" w:type="dxa"/>
              <w:bottom w:w="15" w:type="dxa"/>
              <w:right w:w="15" w:type="dxa"/>
            </w:tcMar>
          </w:tcPr>
          <w:p w14:paraId="20986258" w14:textId="65F75E5A" w:rsidR="00757256" w:rsidRDefault="00757256">
            <w:pPr>
              <w:widowControl w:val="0"/>
              <w:spacing w:line="256" w:lineRule="auto"/>
              <w:rPr>
                <w:rFonts w:ascii="Arial Narrow" w:hAnsi="Arial Narrow" w:cs="Arial"/>
                <w:b/>
                <w:sz w:val="20"/>
                <w:szCs w:val="20"/>
                <w:lang w:eastAsia="en-US"/>
              </w:rPr>
            </w:pPr>
            <w:r w:rsidRPr="0067756D">
              <w:rPr>
                <w:rFonts w:ascii="Arial Narrow" w:hAnsi="Arial Narrow" w:cs="Arial"/>
                <w:sz w:val="20"/>
                <w:szCs w:val="20"/>
              </w:rPr>
              <w:t>fremanezumab 225 mg/1.5 mL injection, 1.5 mL pen device</w:t>
            </w:r>
          </w:p>
        </w:tc>
        <w:tc>
          <w:tcPr>
            <w:tcW w:w="469" w:type="pct"/>
            <w:tcBorders>
              <w:top w:val="single" w:sz="4" w:space="0" w:color="auto"/>
              <w:left w:val="single" w:sz="4" w:space="0" w:color="auto"/>
              <w:right w:val="single" w:sz="4" w:space="0" w:color="auto"/>
            </w:tcBorders>
            <w:vAlign w:val="center"/>
          </w:tcPr>
          <w:p w14:paraId="110199C5" w14:textId="7370EE81" w:rsidR="00757256" w:rsidRDefault="00757256" w:rsidP="00757256">
            <w:pPr>
              <w:widowControl w:val="0"/>
              <w:spacing w:line="256" w:lineRule="auto"/>
              <w:jc w:val="center"/>
              <w:rPr>
                <w:rFonts w:ascii="Arial Narrow" w:hAnsi="Arial Narrow" w:cs="Arial"/>
                <w:b/>
                <w:sz w:val="20"/>
                <w:szCs w:val="20"/>
                <w:lang w:eastAsia="en-US"/>
              </w:rPr>
            </w:pPr>
            <w:r w:rsidRPr="005D2B85">
              <w:rPr>
                <w:rFonts w:ascii="Arial Narrow" w:hAnsi="Arial Narrow" w:cs="Arial"/>
                <w:sz w:val="20"/>
                <w:szCs w:val="20"/>
              </w:rPr>
              <w:t>NEW</w:t>
            </w:r>
          </w:p>
        </w:tc>
        <w:tc>
          <w:tcPr>
            <w:tcW w:w="469" w:type="pct"/>
            <w:tcBorders>
              <w:top w:val="single" w:sz="4" w:space="0" w:color="auto"/>
              <w:left w:val="single" w:sz="4" w:space="0" w:color="auto"/>
              <w:right w:val="single" w:sz="4" w:space="0" w:color="auto"/>
            </w:tcBorders>
            <w:vAlign w:val="center"/>
          </w:tcPr>
          <w:p w14:paraId="0574DF34" w14:textId="56963F5A" w:rsidR="00757256" w:rsidRPr="00757256" w:rsidRDefault="00757256" w:rsidP="00757256">
            <w:pPr>
              <w:keepNext/>
              <w:jc w:val="center"/>
              <w:rPr>
                <w:rFonts w:ascii="Arial Narrow" w:hAnsi="Arial Narrow" w:cs="Arial"/>
                <w:sz w:val="20"/>
                <w:szCs w:val="20"/>
              </w:rPr>
            </w:pPr>
            <w:r w:rsidRPr="00757256">
              <w:rPr>
                <w:rFonts w:ascii="Arial Narrow" w:hAnsi="Arial Narrow" w:cs="Arial"/>
                <w:sz w:val="20"/>
                <w:szCs w:val="20"/>
              </w:rPr>
              <w:t>3</w:t>
            </w:r>
          </w:p>
        </w:tc>
        <w:tc>
          <w:tcPr>
            <w:tcW w:w="470" w:type="pct"/>
            <w:tcBorders>
              <w:top w:val="single" w:sz="4" w:space="0" w:color="auto"/>
              <w:left w:val="single" w:sz="4" w:space="0" w:color="auto"/>
              <w:right w:val="single" w:sz="4" w:space="0" w:color="auto"/>
            </w:tcBorders>
            <w:vAlign w:val="center"/>
          </w:tcPr>
          <w:p w14:paraId="6FA3900D" w14:textId="3BD20F4A" w:rsidR="00757256" w:rsidRPr="00757256" w:rsidRDefault="00757256" w:rsidP="00757256">
            <w:pPr>
              <w:keepNext/>
              <w:jc w:val="center"/>
              <w:rPr>
                <w:rFonts w:ascii="Arial Narrow" w:hAnsi="Arial Narrow" w:cs="Arial"/>
                <w:sz w:val="20"/>
                <w:szCs w:val="20"/>
              </w:rPr>
            </w:pPr>
            <w:r w:rsidRPr="00757256">
              <w:rPr>
                <w:rFonts w:ascii="Arial Narrow" w:hAnsi="Arial Narrow" w:cs="Arial"/>
                <w:sz w:val="20"/>
                <w:szCs w:val="20"/>
              </w:rPr>
              <w:t>3</w:t>
            </w:r>
          </w:p>
        </w:tc>
        <w:tc>
          <w:tcPr>
            <w:tcW w:w="469" w:type="pct"/>
            <w:tcBorders>
              <w:top w:val="single" w:sz="4" w:space="0" w:color="auto"/>
              <w:left w:val="single" w:sz="4" w:space="0" w:color="auto"/>
              <w:right w:val="single" w:sz="4" w:space="0" w:color="auto"/>
            </w:tcBorders>
            <w:vAlign w:val="center"/>
          </w:tcPr>
          <w:p w14:paraId="70DA2B78" w14:textId="02037D4C" w:rsidR="00757256" w:rsidRPr="00757256" w:rsidRDefault="00757256" w:rsidP="00757256">
            <w:pPr>
              <w:keepNext/>
              <w:jc w:val="center"/>
              <w:rPr>
                <w:rFonts w:ascii="Arial Narrow" w:hAnsi="Arial Narrow" w:cs="Arial"/>
                <w:sz w:val="20"/>
                <w:szCs w:val="20"/>
              </w:rPr>
            </w:pPr>
            <w:r w:rsidRPr="00757256">
              <w:rPr>
                <w:rFonts w:ascii="Arial Narrow" w:hAnsi="Arial Narrow" w:cs="Arial"/>
                <w:sz w:val="20"/>
                <w:szCs w:val="20"/>
              </w:rPr>
              <w:t>1</w:t>
            </w:r>
          </w:p>
        </w:tc>
        <w:tc>
          <w:tcPr>
            <w:tcW w:w="624" w:type="pct"/>
            <w:tcBorders>
              <w:top w:val="single" w:sz="4" w:space="0" w:color="auto"/>
              <w:left w:val="single" w:sz="4" w:space="0" w:color="auto"/>
              <w:right w:val="single" w:sz="4" w:space="0" w:color="auto"/>
            </w:tcBorders>
            <w:vAlign w:val="bottom"/>
          </w:tcPr>
          <w:p w14:paraId="6A6A46EF" w14:textId="34B5924C" w:rsidR="00757256" w:rsidRDefault="00757256" w:rsidP="00757256">
            <w:pPr>
              <w:widowControl w:val="0"/>
              <w:spacing w:line="256" w:lineRule="auto"/>
              <w:jc w:val="left"/>
              <w:rPr>
                <w:rFonts w:ascii="Arial Narrow" w:hAnsi="Arial Narrow" w:cs="Arial"/>
                <w:b/>
                <w:sz w:val="20"/>
                <w:szCs w:val="20"/>
                <w:lang w:eastAsia="en-US"/>
              </w:rPr>
            </w:pPr>
            <w:proofErr w:type="spellStart"/>
            <w:r>
              <w:rPr>
                <w:rFonts w:ascii="Arial Narrow" w:hAnsi="Arial Narrow" w:cs="Arial"/>
                <w:sz w:val="20"/>
                <w:szCs w:val="20"/>
              </w:rPr>
              <w:t>A</w:t>
            </w:r>
            <w:r w:rsidRPr="00FF3C0E">
              <w:rPr>
                <w:rFonts w:ascii="Arial Narrow" w:hAnsi="Arial Narrow" w:cs="Arial"/>
                <w:sz w:val="20"/>
                <w:szCs w:val="20"/>
              </w:rPr>
              <w:t>jovy</w:t>
            </w:r>
            <w:proofErr w:type="spellEnd"/>
          </w:p>
        </w:tc>
      </w:tr>
      <w:tr w:rsidR="00757256" w14:paraId="52C313CE" w14:textId="77777777" w:rsidTr="00757256">
        <w:trPr>
          <w:cantSplit/>
          <w:trHeight w:val="276"/>
        </w:trPr>
        <w:tc>
          <w:tcPr>
            <w:tcW w:w="2499" w:type="pct"/>
            <w:gridSpan w:val="2"/>
            <w:tcBorders>
              <w:top w:val="single" w:sz="4" w:space="0" w:color="auto"/>
              <w:left w:val="single" w:sz="4" w:space="0" w:color="auto"/>
              <w:right w:val="single" w:sz="4" w:space="0" w:color="auto"/>
            </w:tcBorders>
            <w:tcMar>
              <w:top w:w="15" w:type="dxa"/>
              <w:left w:w="15" w:type="dxa"/>
              <w:bottom w:w="15" w:type="dxa"/>
              <w:right w:w="15" w:type="dxa"/>
            </w:tcMar>
          </w:tcPr>
          <w:p w14:paraId="1DB8887C" w14:textId="1E763A7B" w:rsidR="00757256" w:rsidRDefault="00757256">
            <w:pPr>
              <w:widowControl w:val="0"/>
              <w:spacing w:line="256" w:lineRule="auto"/>
              <w:rPr>
                <w:rFonts w:ascii="Arial Narrow" w:hAnsi="Arial Narrow" w:cs="Arial"/>
                <w:b/>
                <w:sz w:val="20"/>
                <w:szCs w:val="20"/>
                <w:lang w:eastAsia="en-US"/>
              </w:rPr>
            </w:pPr>
            <w:r w:rsidRPr="0067756D">
              <w:rPr>
                <w:rFonts w:ascii="Arial Narrow" w:hAnsi="Arial Narrow" w:cs="Arial"/>
                <w:sz w:val="20"/>
                <w:szCs w:val="20"/>
              </w:rPr>
              <w:t>fremanezumab 225 mg/1.5 mL injection, 1.5 mL pen device</w:t>
            </w:r>
          </w:p>
        </w:tc>
        <w:tc>
          <w:tcPr>
            <w:tcW w:w="469" w:type="pct"/>
            <w:tcBorders>
              <w:top w:val="single" w:sz="4" w:space="0" w:color="auto"/>
              <w:left w:val="single" w:sz="4" w:space="0" w:color="auto"/>
              <w:right w:val="single" w:sz="4" w:space="0" w:color="auto"/>
            </w:tcBorders>
            <w:vAlign w:val="center"/>
          </w:tcPr>
          <w:p w14:paraId="4B58C9EC" w14:textId="6769CE5C" w:rsidR="00757256" w:rsidRDefault="00757256" w:rsidP="00757256">
            <w:pPr>
              <w:widowControl w:val="0"/>
              <w:spacing w:line="256" w:lineRule="auto"/>
              <w:jc w:val="center"/>
              <w:rPr>
                <w:rFonts w:ascii="Arial Narrow" w:hAnsi="Arial Narrow" w:cs="Arial"/>
                <w:b/>
                <w:sz w:val="20"/>
                <w:szCs w:val="20"/>
                <w:lang w:eastAsia="en-US"/>
              </w:rPr>
            </w:pPr>
            <w:r w:rsidRPr="005D2B85">
              <w:rPr>
                <w:rFonts w:ascii="Arial Narrow" w:hAnsi="Arial Narrow" w:cs="Arial"/>
                <w:sz w:val="20"/>
                <w:szCs w:val="20"/>
              </w:rPr>
              <w:t>NEW</w:t>
            </w:r>
          </w:p>
        </w:tc>
        <w:tc>
          <w:tcPr>
            <w:tcW w:w="469" w:type="pct"/>
            <w:tcBorders>
              <w:top w:val="single" w:sz="4" w:space="0" w:color="auto"/>
              <w:left w:val="single" w:sz="4" w:space="0" w:color="auto"/>
              <w:right w:val="single" w:sz="4" w:space="0" w:color="auto"/>
            </w:tcBorders>
            <w:vAlign w:val="center"/>
          </w:tcPr>
          <w:p w14:paraId="28474A83" w14:textId="5D09412D" w:rsidR="00757256" w:rsidRPr="00757256" w:rsidRDefault="00757256" w:rsidP="00757256">
            <w:pPr>
              <w:keepNext/>
              <w:jc w:val="center"/>
              <w:rPr>
                <w:rFonts w:ascii="Arial Narrow" w:hAnsi="Arial Narrow" w:cs="Arial"/>
                <w:sz w:val="20"/>
                <w:szCs w:val="20"/>
              </w:rPr>
            </w:pPr>
            <w:r w:rsidRPr="00757256">
              <w:rPr>
                <w:rFonts w:ascii="Arial Narrow" w:hAnsi="Arial Narrow" w:cs="Arial"/>
                <w:sz w:val="20"/>
                <w:szCs w:val="20"/>
              </w:rPr>
              <w:t>1</w:t>
            </w:r>
          </w:p>
        </w:tc>
        <w:tc>
          <w:tcPr>
            <w:tcW w:w="470" w:type="pct"/>
            <w:tcBorders>
              <w:top w:val="single" w:sz="4" w:space="0" w:color="auto"/>
              <w:left w:val="single" w:sz="4" w:space="0" w:color="auto"/>
              <w:right w:val="single" w:sz="4" w:space="0" w:color="auto"/>
            </w:tcBorders>
            <w:vAlign w:val="center"/>
          </w:tcPr>
          <w:p w14:paraId="52024D05" w14:textId="04A157F6" w:rsidR="00757256" w:rsidRPr="00757256" w:rsidRDefault="00757256" w:rsidP="00757256">
            <w:pPr>
              <w:keepNext/>
              <w:jc w:val="center"/>
              <w:rPr>
                <w:rFonts w:ascii="Arial Narrow" w:hAnsi="Arial Narrow" w:cs="Arial"/>
                <w:sz w:val="20"/>
                <w:szCs w:val="20"/>
              </w:rPr>
            </w:pPr>
            <w:r w:rsidRPr="00757256">
              <w:rPr>
                <w:rFonts w:ascii="Arial Narrow" w:hAnsi="Arial Narrow" w:cs="Arial"/>
                <w:sz w:val="20"/>
                <w:szCs w:val="20"/>
              </w:rPr>
              <w:t>1</w:t>
            </w:r>
          </w:p>
        </w:tc>
        <w:tc>
          <w:tcPr>
            <w:tcW w:w="469" w:type="pct"/>
            <w:tcBorders>
              <w:top w:val="single" w:sz="4" w:space="0" w:color="auto"/>
              <w:left w:val="single" w:sz="4" w:space="0" w:color="auto"/>
              <w:right w:val="single" w:sz="4" w:space="0" w:color="auto"/>
            </w:tcBorders>
            <w:vAlign w:val="center"/>
          </w:tcPr>
          <w:p w14:paraId="3D5192F5" w14:textId="5AEA8661" w:rsidR="00757256" w:rsidRPr="00757256" w:rsidRDefault="00757256" w:rsidP="00757256">
            <w:pPr>
              <w:keepNext/>
              <w:jc w:val="center"/>
              <w:rPr>
                <w:rFonts w:ascii="Arial Narrow" w:hAnsi="Arial Narrow" w:cs="Arial"/>
                <w:sz w:val="20"/>
                <w:szCs w:val="20"/>
              </w:rPr>
            </w:pPr>
            <w:r w:rsidRPr="00757256">
              <w:rPr>
                <w:rFonts w:ascii="Arial Narrow" w:hAnsi="Arial Narrow" w:cs="Arial"/>
                <w:sz w:val="20"/>
                <w:szCs w:val="20"/>
              </w:rPr>
              <w:t>2</w:t>
            </w:r>
          </w:p>
        </w:tc>
        <w:tc>
          <w:tcPr>
            <w:tcW w:w="624" w:type="pct"/>
            <w:tcBorders>
              <w:top w:val="single" w:sz="4" w:space="0" w:color="auto"/>
              <w:left w:val="single" w:sz="4" w:space="0" w:color="auto"/>
              <w:right w:val="single" w:sz="4" w:space="0" w:color="auto"/>
            </w:tcBorders>
            <w:vAlign w:val="bottom"/>
          </w:tcPr>
          <w:p w14:paraId="772B4A02" w14:textId="34BA3DDC" w:rsidR="00757256" w:rsidRDefault="00757256" w:rsidP="00757256">
            <w:pPr>
              <w:widowControl w:val="0"/>
              <w:spacing w:line="256" w:lineRule="auto"/>
              <w:jc w:val="left"/>
              <w:rPr>
                <w:rFonts w:ascii="Arial Narrow" w:hAnsi="Arial Narrow" w:cs="Arial"/>
                <w:b/>
                <w:sz w:val="20"/>
                <w:szCs w:val="20"/>
                <w:lang w:eastAsia="en-US"/>
              </w:rPr>
            </w:pPr>
            <w:proofErr w:type="spellStart"/>
            <w:r>
              <w:rPr>
                <w:rFonts w:ascii="Arial Narrow" w:hAnsi="Arial Narrow" w:cs="Arial"/>
                <w:sz w:val="20"/>
                <w:szCs w:val="20"/>
              </w:rPr>
              <w:t>A</w:t>
            </w:r>
            <w:r w:rsidRPr="00FF3C0E">
              <w:rPr>
                <w:rFonts w:ascii="Arial Narrow" w:hAnsi="Arial Narrow" w:cs="Arial"/>
                <w:sz w:val="20"/>
                <w:szCs w:val="20"/>
              </w:rPr>
              <w:t>jovy</w:t>
            </w:r>
            <w:proofErr w:type="spellEnd"/>
          </w:p>
        </w:tc>
      </w:tr>
      <w:tr w:rsidR="00757256" w14:paraId="3BEEE256" w14:textId="77777777" w:rsidTr="005D2B85">
        <w:trPr>
          <w:cantSplit/>
          <w:trHeight w:val="20"/>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2EA7F8" w14:textId="77777777" w:rsidR="00757256" w:rsidRDefault="00757256">
            <w:pPr>
              <w:widowControl w:val="0"/>
              <w:spacing w:line="256" w:lineRule="auto"/>
              <w:rPr>
                <w:rFonts w:ascii="Arial Narrow" w:hAnsi="Arial Narrow" w:cs="Arial"/>
                <w:b/>
                <w:sz w:val="20"/>
                <w:szCs w:val="20"/>
                <w:lang w:eastAsia="en-US"/>
              </w:rPr>
            </w:pPr>
          </w:p>
        </w:tc>
      </w:tr>
      <w:tr w:rsidR="005D2B85" w14:paraId="33ACDF78" w14:textId="77777777" w:rsidTr="005D2B85">
        <w:trPr>
          <w:cantSplit/>
          <w:trHeight w:val="20"/>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9FAC97" w14:textId="071D6629" w:rsidR="005D2B85" w:rsidRDefault="005D2B85">
            <w:pPr>
              <w:widowControl w:val="0"/>
              <w:spacing w:line="256" w:lineRule="auto"/>
              <w:rPr>
                <w:rFonts w:ascii="Arial Narrow" w:hAnsi="Arial Narrow" w:cs="Arial"/>
                <w:bCs/>
                <w:i/>
                <w:iCs/>
                <w:sz w:val="20"/>
                <w:szCs w:val="20"/>
                <w:lang w:eastAsia="en-US"/>
              </w:rPr>
            </w:pPr>
            <w:r>
              <w:rPr>
                <w:rFonts w:ascii="Arial Narrow" w:hAnsi="Arial Narrow" w:cs="Arial"/>
                <w:b/>
                <w:sz w:val="20"/>
                <w:szCs w:val="20"/>
                <w:lang w:eastAsia="en-US"/>
              </w:rPr>
              <w:t xml:space="preserve">Restriction Summary </w:t>
            </w:r>
            <w:r w:rsidR="001B57AD">
              <w:rPr>
                <w:rFonts w:ascii="Arial Narrow" w:hAnsi="Arial Narrow" w:cs="Arial"/>
                <w:b/>
                <w:sz w:val="20"/>
                <w:szCs w:val="20"/>
                <w:lang w:eastAsia="en-US"/>
              </w:rPr>
              <w:t>12029</w:t>
            </w:r>
            <w:r>
              <w:rPr>
                <w:rFonts w:ascii="Arial Narrow" w:hAnsi="Arial Narrow" w:cs="Arial"/>
                <w:b/>
                <w:sz w:val="20"/>
                <w:szCs w:val="20"/>
                <w:lang w:eastAsia="en-US"/>
              </w:rPr>
              <w:t xml:space="preserve"> / </w:t>
            </w:r>
            <w:proofErr w:type="spellStart"/>
            <w:r>
              <w:rPr>
                <w:rFonts w:ascii="Arial Narrow" w:hAnsi="Arial Narrow" w:cs="Arial"/>
                <w:b/>
                <w:sz w:val="20"/>
                <w:szCs w:val="20"/>
                <w:lang w:eastAsia="en-US"/>
              </w:rPr>
              <w:t>ToC</w:t>
            </w:r>
            <w:proofErr w:type="spellEnd"/>
            <w:r>
              <w:rPr>
                <w:rFonts w:ascii="Arial Narrow" w:hAnsi="Arial Narrow" w:cs="Arial"/>
                <w:b/>
                <w:sz w:val="20"/>
                <w:szCs w:val="20"/>
                <w:lang w:eastAsia="en-US"/>
              </w:rPr>
              <w:t xml:space="preserve">: </w:t>
            </w:r>
            <w:r w:rsidR="001B57AD">
              <w:rPr>
                <w:rFonts w:ascii="Arial Narrow" w:hAnsi="Arial Narrow" w:cs="Arial"/>
                <w:b/>
                <w:sz w:val="20"/>
                <w:szCs w:val="20"/>
                <w:lang w:eastAsia="en-US"/>
              </w:rPr>
              <w:t>12029</w:t>
            </w:r>
          </w:p>
        </w:tc>
      </w:tr>
      <w:tr w:rsidR="005D2B85" w14:paraId="6CCE0ACB" w14:textId="77777777" w:rsidTr="005D2B85">
        <w:trPr>
          <w:cantSplit/>
          <w:trHeight w:val="20"/>
        </w:trPr>
        <w:tc>
          <w:tcPr>
            <w:tcW w:w="51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05C46E" w14:textId="77777777" w:rsidR="005D2B85" w:rsidRDefault="005D2B85">
            <w:pPr>
              <w:widowControl w:val="0"/>
              <w:spacing w:line="256" w:lineRule="auto"/>
              <w:rPr>
                <w:rFonts w:ascii="Arial Narrow" w:hAnsi="Arial Narrow" w:cs="Arial"/>
                <w:b/>
                <w:sz w:val="20"/>
                <w:szCs w:val="20"/>
                <w:lang w:eastAsia="en-US"/>
              </w:rPr>
            </w:pPr>
            <w:r>
              <w:rPr>
                <w:rFonts w:ascii="Arial Narrow" w:hAnsi="Arial Narrow" w:cs="Arial"/>
                <w:b/>
                <w:sz w:val="20"/>
                <w:szCs w:val="20"/>
                <w:lang w:eastAsia="en-US"/>
              </w:rPr>
              <w:t>Concept ID</w:t>
            </w:r>
          </w:p>
          <w:p w14:paraId="1A4D6E87" w14:textId="77777777" w:rsidR="005D2B85" w:rsidRDefault="005D2B85">
            <w:pPr>
              <w:widowControl w:val="0"/>
              <w:spacing w:line="256" w:lineRule="auto"/>
              <w:rPr>
                <w:rFonts w:ascii="Arial Narrow" w:hAnsi="Arial Narrow" w:cs="Arial"/>
                <w:b/>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95FE39" w14:textId="77777777" w:rsidR="005D2B85" w:rsidRDefault="005D2B85">
            <w:pPr>
              <w:widowControl w:val="0"/>
              <w:spacing w:line="256" w:lineRule="auto"/>
              <w:rPr>
                <w:rFonts w:ascii="Arial Narrow" w:hAnsi="Arial Narrow" w:cs="Arial"/>
                <w:sz w:val="20"/>
                <w:szCs w:val="20"/>
                <w:lang w:eastAsia="en-US"/>
              </w:rPr>
            </w:pPr>
            <w:r>
              <w:rPr>
                <w:rFonts w:ascii="Arial Narrow" w:hAnsi="Arial Narrow" w:cs="Arial"/>
                <w:b/>
                <w:sz w:val="20"/>
                <w:szCs w:val="20"/>
                <w:lang w:eastAsia="en-US"/>
              </w:rPr>
              <w:t xml:space="preserve">Category / Program:   </w:t>
            </w:r>
          </w:p>
          <w:p w14:paraId="404687A1" w14:textId="77777777" w:rsidR="005D2B85" w:rsidRDefault="005D2B85">
            <w:pPr>
              <w:widowControl w:val="0"/>
              <w:spacing w:line="256" w:lineRule="auto"/>
              <w:rPr>
                <w:rFonts w:ascii="Arial Narrow" w:hAnsi="Arial Narrow" w:cs="Arial"/>
                <w:sz w:val="20"/>
                <w:szCs w:val="20"/>
                <w:lang w:eastAsia="en-US"/>
              </w:rPr>
            </w:pPr>
            <w:r>
              <w:rPr>
                <w:rFonts w:ascii="Arial Narrow" w:hAnsi="Arial Narrow" w:cs="Arial"/>
                <w:sz w:val="20"/>
                <w:szCs w:val="20"/>
                <w:lang w:eastAsia="en-US"/>
              </w:rPr>
              <w:t>GENERAL – General Schedule (Code GE)</w:t>
            </w:r>
          </w:p>
        </w:tc>
      </w:tr>
      <w:tr w:rsidR="005D2B85" w14:paraId="2F5EB4EA" w14:textId="77777777" w:rsidTr="005D2B8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10FBF" w14:textId="77777777" w:rsidR="005D2B85" w:rsidRDefault="005D2B85">
            <w:pPr>
              <w:spacing w:line="256" w:lineRule="auto"/>
              <w:jc w:val="left"/>
              <w:rPr>
                <w:rFonts w:ascii="Arial Narrow" w:hAnsi="Arial Narrow" w:cs="Arial"/>
                <w:b/>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45F1EB" w14:textId="77777777" w:rsidR="005D2B85" w:rsidRDefault="005D2B85">
            <w:pPr>
              <w:widowControl w:val="0"/>
              <w:spacing w:line="256" w:lineRule="auto"/>
              <w:rPr>
                <w:rFonts w:ascii="Arial Narrow" w:hAnsi="Arial Narrow" w:cs="Arial"/>
                <w:b/>
                <w:sz w:val="20"/>
                <w:szCs w:val="20"/>
                <w:lang w:eastAsia="en-US"/>
              </w:rPr>
            </w:pPr>
            <w:r>
              <w:rPr>
                <w:rFonts w:ascii="Arial Narrow" w:hAnsi="Arial Narrow" w:cs="Arial"/>
                <w:b/>
                <w:sz w:val="20"/>
                <w:szCs w:val="20"/>
                <w:lang w:eastAsia="en-US"/>
              </w:rPr>
              <w:t xml:space="preserve">Prescriber type:   </w:t>
            </w:r>
            <w:r>
              <w:rPr>
                <w:rFonts w:ascii="Arial Narrow" w:hAnsi="Arial Narrow" w:cs="Arial"/>
                <w:sz w:val="20"/>
                <w:szCs w:val="20"/>
                <w:lang w:eastAsia="en-US"/>
              </w:rPr>
              <w:t xml:space="preserve">    </w:t>
            </w:r>
            <w:r>
              <w:rPr>
                <w:rFonts w:ascii="Arial Narrow" w:hAnsi="Arial Narrow" w:cs="Arial"/>
                <w:sz w:val="20"/>
                <w:szCs w:val="20"/>
                <w:lang w:eastAsia="en-US"/>
              </w:rPr>
              <w:fldChar w:fldCharType="begin">
                <w:ffData>
                  <w:name w:val=""/>
                  <w:enabled/>
                  <w:calcOnExit w:val="0"/>
                  <w:checkBox>
                    <w:sizeAuto/>
                    <w:default w:val="1"/>
                  </w:checkBox>
                </w:ffData>
              </w:fldChar>
            </w:r>
            <w:r>
              <w:rPr>
                <w:rFonts w:ascii="Arial Narrow" w:hAnsi="Arial Narrow" w:cs="Arial"/>
                <w:sz w:val="20"/>
                <w:szCs w:val="20"/>
                <w:lang w:eastAsia="en-US"/>
              </w:rPr>
              <w:instrText xml:space="preserve"> FORMCHECKBOX </w:instrText>
            </w:r>
            <w:r w:rsidR="00EF5EB1">
              <w:rPr>
                <w:rFonts w:ascii="Arial Narrow" w:hAnsi="Arial Narrow" w:cs="Arial"/>
                <w:sz w:val="20"/>
                <w:szCs w:val="20"/>
                <w:lang w:eastAsia="en-US"/>
              </w:rPr>
            </w:r>
            <w:r w:rsidR="00EF5EB1">
              <w:rPr>
                <w:rFonts w:ascii="Arial Narrow" w:hAnsi="Arial Narrow" w:cs="Arial"/>
                <w:sz w:val="20"/>
                <w:szCs w:val="20"/>
                <w:lang w:eastAsia="en-US"/>
              </w:rPr>
              <w:fldChar w:fldCharType="separate"/>
            </w:r>
            <w:r>
              <w:rPr>
                <w:rFonts w:ascii="Arial Narrow" w:hAnsi="Arial Narrow" w:cs="Arial"/>
                <w:sz w:val="20"/>
                <w:szCs w:val="20"/>
                <w:lang w:eastAsia="en-US"/>
              </w:rPr>
              <w:fldChar w:fldCharType="end"/>
            </w:r>
            <w:r>
              <w:rPr>
                <w:rFonts w:ascii="Arial Narrow" w:hAnsi="Arial Narrow" w:cs="Arial"/>
                <w:sz w:val="20"/>
                <w:szCs w:val="20"/>
                <w:lang w:eastAsia="en-US"/>
              </w:rPr>
              <w:t xml:space="preserve">Medical Practitioners    </w:t>
            </w:r>
          </w:p>
        </w:tc>
      </w:tr>
      <w:tr w:rsidR="005D2B85" w14:paraId="2EF2BC12" w14:textId="77777777" w:rsidTr="005D2B8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F4840" w14:textId="77777777" w:rsidR="005D2B85" w:rsidRDefault="005D2B85">
            <w:pPr>
              <w:spacing w:line="256" w:lineRule="auto"/>
              <w:jc w:val="left"/>
              <w:rPr>
                <w:rFonts w:ascii="Arial Narrow" w:hAnsi="Arial Narrow" w:cs="Arial"/>
                <w:b/>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93B7E2" w14:textId="77777777" w:rsidR="005D2B85" w:rsidRDefault="005D2B85">
            <w:pPr>
              <w:widowControl w:val="0"/>
              <w:spacing w:line="256" w:lineRule="auto"/>
              <w:rPr>
                <w:rFonts w:ascii="Arial Narrow" w:hAnsi="Arial Narrow" w:cs="Arial"/>
                <w:b/>
                <w:sz w:val="20"/>
                <w:szCs w:val="20"/>
                <w:lang w:eastAsia="en-US"/>
              </w:rPr>
            </w:pPr>
            <w:r>
              <w:rPr>
                <w:rFonts w:ascii="Arial Narrow" w:hAnsi="Arial Narrow" w:cs="Arial"/>
                <w:b/>
                <w:sz w:val="20"/>
                <w:szCs w:val="20"/>
                <w:lang w:eastAsia="en-US"/>
              </w:rPr>
              <w:t xml:space="preserve">Restriction Type – </w:t>
            </w:r>
          </w:p>
          <w:p w14:paraId="610243DF" w14:textId="7DEAC093" w:rsidR="005D2B85" w:rsidRDefault="005D2B85">
            <w:pPr>
              <w:widowControl w:val="0"/>
              <w:spacing w:line="256" w:lineRule="auto"/>
              <w:rPr>
                <w:rFonts w:ascii="Arial Narrow" w:eastAsia="Calibri" w:hAnsi="Arial Narrow" w:cs="Arial"/>
                <w:sz w:val="20"/>
                <w:szCs w:val="20"/>
                <w:lang w:eastAsia="en-US"/>
              </w:rPr>
            </w:pPr>
            <w:r>
              <w:rPr>
                <w:rFonts w:ascii="Arial Narrow" w:eastAsia="Calibri" w:hAnsi="Arial Narrow" w:cs="Arial"/>
                <w:sz w:val="20"/>
                <w:szCs w:val="20"/>
                <w:lang w:eastAsia="en-US"/>
              </w:rPr>
              <w:fldChar w:fldCharType="begin">
                <w:ffData>
                  <w:name w:val=""/>
                  <w:enabled/>
                  <w:calcOnExit w:val="0"/>
                  <w:checkBox>
                    <w:sizeAuto/>
                    <w:default w:val="1"/>
                  </w:checkBox>
                </w:ffData>
              </w:fldChar>
            </w:r>
            <w:r>
              <w:rPr>
                <w:rFonts w:ascii="Arial Narrow" w:eastAsia="Calibri" w:hAnsi="Arial Narrow" w:cs="Arial"/>
                <w:sz w:val="20"/>
                <w:szCs w:val="20"/>
                <w:lang w:eastAsia="en-US"/>
              </w:rPr>
              <w:instrText xml:space="preserve"> FORMCHECKBOX </w:instrText>
            </w:r>
            <w:r w:rsidR="00EF5EB1">
              <w:rPr>
                <w:rFonts w:ascii="Arial Narrow" w:eastAsia="Calibri" w:hAnsi="Arial Narrow" w:cs="Arial"/>
                <w:sz w:val="20"/>
                <w:szCs w:val="20"/>
                <w:lang w:eastAsia="en-US"/>
              </w:rPr>
            </w:r>
            <w:r w:rsidR="00EF5EB1">
              <w:rPr>
                <w:rFonts w:ascii="Arial Narrow" w:eastAsia="Calibri" w:hAnsi="Arial Narrow" w:cs="Arial"/>
                <w:sz w:val="20"/>
                <w:szCs w:val="20"/>
                <w:lang w:eastAsia="en-US"/>
              </w:rPr>
              <w:fldChar w:fldCharType="separate"/>
            </w:r>
            <w:r>
              <w:rPr>
                <w:rFonts w:ascii="Arial Narrow" w:eastAsia="Calibri" w:hAnsi="Arial Narrow" w:cs="Arial"/>
                <w:sz w:val="20"/>
                <w:szCs w:val="20"/>
                <w:lang w:eastAsia="en-US"/>
              </w:rPr>
              <w:fldChar w:fldCharType="end"/>
            </w:r>
            <w:r>
              <w:rPr>
                <w:rFonts w:ascii="Arial Narrow" w:eastAsia="Calibri" w:hAnsi="Arial Narrow" w:cs="Arial"/>
                <w:sz w:val="20"/>
                <w:szCs w:val="20"/>
                <w:lang w:eastAsia="en-US"/>
              </w:rPr>
              <w:t xml:space="preserve"> Authority Required: Streamlined</w:t>
            </w:r>
          </w:p>
        </w:tc>
      </w:tr>
      <w:tr w:rsidR="005D2B85" w14:paraId="01894E0D" w14:textId="77777777" w:rsidTr="005D2B85">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25D442" w14:textId="77777777"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4CBA07" w14:textId="77777777" w:rsidR="005D2B85" w:rsidRDefault="005D2B85">
            <w:pPr>
              <w:widowControl w:val="0"/>
              <w:spacing w:line="256" w:lineRule="auto"/>
              <w:rPr>
                <w:rFonts w:ascii="Arial Narrow" w:hAnsi="Arial Narrow"/>
                <w:bCs/>
                <w:sz w:val="20"/>
                <w:szCs w:val="20"/>
                <w:lang w:eastAsia="en-US"/>
              </w:rPr>
            </w:pPr>
          </w:p>
        </w:tc>
      </w:tr>
      <w:tr w:rsidR="005D2B85" w14:paraId="7EFCED68" w14:textId="77777777" w:rsidTr="003E682D">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840259" w14:textId="03546B37"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5AB798" w14:textId="77777777" w:rsidR="005D2B85" w:rsidRDefault="005D2B85">
            <w:pPr>
              <w:widowControl w:val="0"/>
              <w:spacing w:line="256" w:lineRule="auto"/>
              <w:rPr>
                <w:rFonts w:ascii="Arial Narrow" w:hAnsi="Arial Narrow"/>
                <w:b/>
                <w:bCs/>
                <w:sz w:val="20"/>
                <w:szCs w:val="20"/>
                <w:lang w:eastAsia="en-US"/>
              </w:rPr>
            </w:pPr>
            <w:r>
              <w:rPr>
                <w:rFonts w:ascii="Arial Narrow" w:hAnsi="Arial Narrow"/>
                <w:b/>
                <w:bCs/>
                <w:sz w:val="20"/>
                <w:szCs w:val="20"/>
                <w:lang w:eastAsia="en-US"/>
              </w:rPr>
              <w:t>Administrative Advice:</w:t>
            </w:r>
          </w:p>
          <w:p w14:paraId="4D422E74" w14:textId="77777777" w:rsidR="005D2B85" w:rsidRDefault="005D2B85">
            <w:pPr>
              <w:widowControl w:val="0"/>
              <w:spacing w:line="256" w:lineRule="auto"/>
              <w:rPr>
                <w:rFonts w:ascii="Arial Narrow" w:hAnsi="Arial Narrow"/>
                <w:sz w:val="20"/>
                <w:szCs w:val="20"/>
                <w:lang w:eastAsia="en-US"/>
              </w:rPr>
            </w:pPr>
            <w:r>
              <w:rPr>
                <w:rFonts w:ascii="Arial Narrow" w:hAnsi="Arial Narrow"/>
                <w:sz w:val="20"/>
                <w:szCs w:val="20"/>
                <w:lang w:eastAsia="en-US"/>
              </w:rPr>
              <w:t>No increase in the maximum quantity or number of units may be authorised.</w:t>
            </w:r>
          </w:p>
        </w:tc>
      </w:tr>
      <w:tr w:rsidR="005D2B85" w14:paraId="3104F200" w14:textId="77777777" w:rsidTr="003E682D">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2CA3BF" w14:textId="58A1D566"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929EB1" w14:textId="77777777" w:rsidR="005D2B85" w:rsidRDefault="005D2B85">
            <w:pPr>
              <w:widowControl w:val="0"/>
              <w:spacing w:line="256" w:lineRule="auto"/>
              <w:rPr>
                <w:rFonts w:ascii="Arial Narrow" w:hAnsi="Arial Narrow"/>
                <w:b/>
                <w:bCs/>
                <w:sz w:val="20"/>
                <w:szCs w:val="20"/>
                <w:lang w:eastAsia="en-US"/>
              </w:rPr>
            </w:pPr>
            <w:r>
              <w:rPr>
                <w:rFonts w:ascii="Arial Narrow" w:hAnsi="Arial Narrow"/>
                <w:b/>
                <w:bCs/>
                <w:sz w:val="20"/>
                <w:szCs w:val="20"/>
                <w:lang w:eastAsia="en-US"/>
              </w:rPr>
              <w:t>Administrative Advice:</w:t>
            </w:r>
          </w:p>
          <w:p w14:paraId="5ADED101" w14:textId="77777777" w:rsidR="005D2B85" w:rsidRDefault="005D2B85">
            <w:pPr>
              <w:widowControl w:val="0"/>
              <w:spacing w:line="256" w:lineRule="auto"/>
              <w:rPr>
                <w:rFonts w:ascii="Arial Narrow" w:hAnsi="Arial Narrow"/>
                <w:b/>
                <w:bCs/>
                <w:sz w:val="20"/>
                <w:szCs w:val="20"/>
                <w:lang w:eastAsia="en-US"/>
              </w:rPr>
            </w:pPr>
            <w:r>
              <w:rPr>
                <w:rFonts w:ascii="Arial Narrow" w:hAnsi="Arial Narrow"/>
                <w:sz w:val="20"/>
                <w:szCs w:val="20"/>
                <w:lang w:eastAsia="en-US"/>
              </w:rPr>
              <w:t>No increase in the maximum number of repeats may be authorised</w:t>
            </w:r>
            <w:r>
              <w:rPr>
                <w:rFonts w:ascii="Arial Narrow" w:hAnsi="Arial Narrow"/>
                <w:b/>
                <w:bCs/>
                <w:sz w:val="20"/>
                <w:szCs w:val="20"/>
                <w:lang w:eastAsia="en-US"/>
              </w:rPr>
              <w:t>.</w:t>
            </w:r>
          </w:p>
        </w:tc>
      </w:tr>
      <w:tr w:rsidR="005D2B85" w14:paraId="697FB9C4" w14:textId="77777777" w:rsidTr="003E682D">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C4AD4A" w14:textId="5384A1A4"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38A7B5" w14:textId="77777777" w:rsidR="005D2B85" w:rsidRDefault="005D2B85">
            <w:pPr>
              <w:widowControl w:val="0"/>
              <w:spacing w:line="256" w:lineRule="auto"/>
              <w:rPr>
                <w:rFonts w:ascii="Arial Narrow" w:hAnsi="Arial Narrow"/>
                <w:b/>
                <w:bCs/>
                <w:sz w:val="20"/>
                <w:szCs w:val="20"/>
                <w:lang w:eastAsia="en-US"/>
              </w:rPr>
            </w:pPr>
            <w:r>
              <w:rPr>
                <w:rFonts w:ascii="Arial Narrow" w:hAnsi="Arial Narrow"/>
                <w:b/>
                <w:bCs/>
                <w:sz w:val="20"/>
                <w:szCs w:val="20"/>
                <w:lang w:eastAsia="en-US"/>
              </w:rPr>
              <w:t>Administrative Advice:</w:t>
            </w:r>
          </w:p>
          <w:p w14:paraId="69868A97" w14:textId="77777777" w:rsidR="005D2B85" w:rsidRDefault="005D2B85">
            <w:pPr>
              <w:widowControl w:val="0"/>
              <w:spacing w:line="256" w:lineRule="auto"/>
              <w:rPr>
                <w:rFonts w:ascii="Arial Narrow" w:hAnsi="Arial Narrow"/>
                <w:sz w:val="20"/>
                <w:szCs w:val="20"/>
                <w:lang w:eastAsia="en-US"/>
              </w:rPr>
            </w:pPr>
            <w:r>
              <w:rPr>
                <w:rFonts w:ascii="Arial Narrow" w:hAnsi="Arial Narrow"/>
                <w:sz w:val="20"/>
                <w:szCs w:val="20"/>
                <w:lang w:eastAsia="en-US"/>
              </w:rPr>
              <w:t>Special Pricing Arrangements apply.</w:t>
            </w:r>
          </w:p>
        </w:tc>
      </w:tr>
      <w:tr w:rsidR="005D2B85" w14:paraId="1675E9C1" w14:textId="77777777" w:rsidTr="005D2B85">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067828" w14:textId="77777777"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3C7C35" w14:textId="77777777" w:rsidR="005D2B85" w:rsidRDefault="005D2B85">
            <w:pPr>
              <w:widowControl w:val="0"/>
              <w:spacing w:line="256" w:lineRule="auto"/>
              <w:rPr>
                <w:rFonts w:ascii="Arial Narrow" w:hAnsi="Arial Narrow"/>
                <w:b/>
                <w:bCs/>
                <w:sz w:val="20"/>
                <w:szCs w:val="20"/>
                <w:lang w:eastAsia="en-US"/>
              </w:rPr>
            </w:pPr>
          </w:p>
        </w:tc>
      </w:tr>
      <w:tr w:rsidR="005D2B85" w14:paraId="7487318E" w14:textId="77777777" w:rsidTr="003E682D">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954530" w14:textId="2239FD87"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8C257F" w14:textId="77777777" w:rsidR="005D2B85" w:rsidRDefault="005D2B85">
            <w:pPr>
              <w:widowControl w:val="0"/>
              <w:spacing w:line="256" w:lineRule="auto"/>
              <w:rPr>
                <w:rFonts w:ascii="Arial Narrow" w:hAnsi="Arial Narrow"/>
                <w:sz w:val="20"/>
                <w:szCs w:val="20"/>
                <w:lang w:eastAsia="en-US"/>
              </w:rPr>
            </w:pPr>
            <w:r>
              <w:rPr>
                <w:rFonts w:ascii="Arial Narrow" w:hAnsi="Arial Narrow"/>
                <w:b/>
                <w:bCs/>
                <w:sz w:val="20"/>
                <w:szCs w:val="20"/>
                <w:lang w:eastAsia="en-US"/>
              </w:rPr>
              <w:t xml:space="preserve">Indication: </w:t>
            </w:r>
            <w:r>
              <w:rPr>
                <w:rFonts w:ascii="Arial Narrow" w:hAnsi="Arial Narrow"/>
                <w:sz w:val="20"/>
                <w:szCs w:val="20"/>
                <w:lang w:eastAsia="en-US"/>
              </w:rPr>
              <w:t>Chronic migraine</w:t>
            </w:r>
          </w:p>
        </w:tc>
      </w:tr>
      <w:tr w:rsidR="005D2B85" w14:paraId="32BF700D" w14:textId="77777777" w:rsidTr="005D2B85">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850C2D" w14:textId="77777777"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30C9ED" w14:textId="77777777" w:rsidR="005D2B85" w:rsidRDefault="005D2B85">
            <w:pPr>
              <w:widowControl w:val="0"/>
              <w:spacing w:line="256" w:lineRule="auto"/>
              <w:rPr>
                <w:rFonts w:ascii="Arial Narrow" w:hAnsi="Arial Narrow"/>
                <w:sz w:val="20"/>
                <w:szCs w:val="20"/>
                <w:lang w:eastAsia="en-US"/>
              </w:rPr>
            </w:pPr>
            <w:r>
              <w:rPr>
                <w:rFonts w:ascii="Arial Narrow" w:hAnsi="Arial Narrow"/>
                <w:b/>
                <w:bCs/>
                <w:sz w:val="20"/>
                <w:szCs w:val="20"/>
                <w:lang w:eastAsia="en-US"/>
              </w:rPr>
              <w:t>Treatment Phase:</w:t>
            </w:r>
            <w:r>
              <w:rPr>
                <w:rFonts w:ascii="Arial Narrow" w:hAnsi="Arial Narrow"/>
                <w:sz w:val="20"/>
                <w:szCs w:val="20"/>
                <w:lang w:eastAsia="en-US"/>
              </w:rPr>
              <w:t xml:space="preserve"> Continuing treatment </w:t>
            </w:r>
          </w:p>
        </w:tc>
      </w:tr>
      <w:tr w:rsidR="005D2B85" w14:paraId="4E45C71E" w14:textId="77777777" w:rsidTr="003E682D">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3A77B0" w14:textId="25BFDB91"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0E9A64" w14:textId="77777777" w:rsidR="005D2B85" w:rsidRDefault="005D2B85">
            <w:pPr>
              <w:widowControl w:val="0"/>
              <w:spacing w:line="256" w:lineRule="auto"/>
              <w:rPr>
                <w:rFonts w:ascii="Arial Narrow" w:hAnsi="Arial Narrow"/>
                <w:b/>
                <w:bCs/>
                <w:sz w:val="20"/>
                <w:szCs w:val="20"/>
                <w:lang w:eastAsia="en-US"/>
              </w:rPr>
            </w:pPr>
            <w:r>
              <w:rPr>
                <w:rFonts w:ascii="Arial Narrow" w:hAnsi="Arial Narrow"/>
                <w:b/>
                <w:bCs/>
                <w:sz w:val="20"/>
                <w:szCs w:val="20"/>
                <w:lang w:eastAsia="en-US"/>
              </w:rPr>
              <w:t>Treatment criteria:</w:t>
            </w:r>
          </w:p>
        </w:tc>
      </w:tr>
      <w:tr w:rsidR="005D2B85" w14:paraId="3330599A" w14:textId="77777777" w:rsidTr="003E682D">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F4AD1A" w14:textId="4C571401"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A1AB2A" w14:textId="77777777" w:rsidR="005D2B85" w:rsidRDefault="005D2B85">
            <w:pPr>
              <w:widowControl w:val="0"/>
              <w:spacing w:line="256" w:lineRule="auto"/>
              <w:rPr>
                <w:rFonts w:ascii="Arial Narrow" w:hAnsi="Arial Narrow"/>
                <w:sz w:val="20"/>
                <w:szCs w:val="20"/>
                <w:lang w:eastAsia="en-US"/>
              </w:rPr>
            </w:pPr>
            <w:r>
              <w:rPr>
                <w:rFonts w:ascii="Arial Narrow" w:hAnsi="Arial Narrow"/>
                <w:sz w:val="20"/>
                <w:szCs w:val="20"/>
                <w:lang w:eastAsia="en-US"/>
              </w:rPr>
              <w:t>Must be treated by a specialist neurologist or in consultation with a specialist neurologist</w:t>
            </w:r>
          </w:p>
        </w:tc>
      </w:tr>
      <w:tr w:rsidR="005D2B85" w14:paraId="6707D610" w14:textId="77777777" w:rsidTr="005D2B85">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EA3FC9" w14:textId="77777777"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9DEFDE" w14:textId="77777777" w:rsidR="005D2B85" w:rsidRDefault="005D2B85">
            <w:pPr>
              <w:widowControl w:val="0"/>
              <w:spacing w:line="256" w:lineRule="auto"/>
              <w:rPr>
                <w:rFonts w:ascii="Arial Narrow" w:hAnsi="Arial Narrow"/>
                <w:b/>
                <w:bCs/>
                <w:sz w:val="20"/>
                <w:szCs w:val="20"/>
                <w:lang w:eastAsia="en-US"/>
              </w:rPr>
            </w:pPr>
            <w:r>
              <w:rPr>
                <w:rFonts w:ascii="Arial Narrow" w:hAnsi="Arial Narrow"/>
                <w:b/>
                <w:bCs/>
                <w:sz w:val="20"/>
                <w:szCs w:val="20"/>
                <w:lang w:eastAsia="en-US"/>
              </w:rPr>
              <w:t>AND</w:t>
            </w:r>
          </w:p>
        </w:tc>
      </w:tr>
      <w:tr w:rsidR="005D2B85" w14:paraId="3CEAF0D4" w14:textId="77777777" w:rsidTr="003E682D">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AC096B" w14:textId="43A74B65"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F20D0A" w14:textId="77777777" w:rsidR="005D2B85" w:rsidRDefault="005D2B85">
            <w:pPr>
              <w:widowControl w:val="0"/>
              <w:spacing w:line="256" w:lineRule="auto"/>
              <w:rPr>
                <w:rFonts w:ascii="Arial Narrow" w:hAnsi="Arial Narrow"/>
                <w:b/>
                <w:bCs/>
                <w:sz w:val="20"/>
                <w:szCs w:val="20"/>
                <w:lang w:eastAsia="en-US"/>
              </w:rPr>
            </w:pPr>
            <w:r>
              <w:rPr>
                <w:rFonts w:ascii="Arial Narrow" w:hAnsi="Arial Narrow"/>
                <w:b/>
                <w:bCs/>
                <w:sz w:val="20"/>
                <w:szCs w:val="20"/>
                <w:lang w:eastAsia="en-US"/>
              </w:rPr>
              <w:t>Treatment criteria:</w:t>
            </w:r>
          </w:p>
        </w:tc>
      </w:tr>
      <w:tr w:rsidR="005D2B85" w14:paraId="343355E1" w14:textId="77777777" w:rsidTr="005D2B85">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D0A9F8" w14:textId="77777777"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1574EC" w14:textId="77777777" w:rsidR="005D2B85" w:rsidRDefault="005D2B85">
            <w:pPr>
              <w:widowControl w:val="0"/>
              <w:spacing w:line="256" w:lineRule="auto"/>
              <w:rPr>
                <w:rFonts w:ascii="Arial Narrow" w:hAnsi="Arial Narrow"/>
                <w:sz w:val="20"/>
                <w:szCs w:val="20"/>
                <w:lang w:eastAsia="en-US"/>
              </w:rPr>
            </w:pPr>
            <w:r>
              <w:rPr>
                <w:rFonts w:ascii="Arial Narrow" w:hAnsi="Arial Narrow"/>
                <w:sz w:val="20"/>
                <w:szCs w:val="20"/>
                <w:lang w:eastAsia="en-US"/>
              </w:rPr>
              <w:t>Patient must not be undergoing concurrent treatment with the following PBS benefits: (</w:t>
            </w:r>
            <w:proofErr w:type="spellStart"/>
            <w:r>
              <w:rPr>
                <w:rFonts w:ascii="Arial Narrow" w:hAnsi="Arial Narrow"/>
                <w:sz w:val="20"/>
                <w:szCs w:val="20"/>
                <w:lang w:eastAsia="en-US"/>
              </w:rPr>
              <w:t>i</w:t>
            </w:r>
            <w:proofErr w:type="spellEnd"/>
            <w:r>
              <w:rPr>
                <w:rFonts w:ascii="Arial Narrow" w:hAnsi="Arial Narrow"/>
                <w:sz w:val="20"/>
                <w:szCs w:val="20"/>
                <w:lang w:eastAsia="en-US"/>
              </w:rPr>
              <w:t>) botulinum toxin type A listed for this PBS indication, (ii) another drug in the same pharmacological class as this drug listed for this PBS indication</w:t>
            </w:r>
          </w:p>
        </w:tc>
      </w:tr>
      <w:tr w:rsidR="005D2B85" w14:paraId="5E3A0E0F" w14:textId="77777777" w:rsidTr="005D2B85">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7271E7" w14:textId="77777777"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888A9A" w14:textId="77777777" w:rsidR="005D2B85" w:rsidRDefault="005D2B85">
            <w:pPr>
              <w:widowControl w:val="0"/>
              <w:spacing w:line="256" w:lineRule="auto"/>
              <w:rPr>
                <w:rFonts w:ascii="Arial Narrow" w:hAnsi="Arial Narrow"/>
                <w:b/>
                <w:bCs/>
                <w:sz w:val="20"/>
                <w:szCs w:val="20"/>
                <w:lang w:eastAsia="en-US"/>
              </w:rPr>
            </w:pPr>
            <w:r>
              <w:rPr>
                <w:rFonts w:ascii="Arial Narrow" w:hAnsi="Arial Narrow"/>
                <w:b/>
                <w:bCs/>
                <w:sz w:val="20"/>
                <w:szCs w:val="20"/>
                <w:lang w:eastAsia="en-US"/>
              </w:rPr>
              <w:t>AND</w:t>
            </w:r>
          </w:p>
        </w:tc>
      </w:tr>
      <w:tr w:rsidR="005D2B85" w14:paraId="2C745E04" w14:textId="77777777" w:rsidTr="003E682D">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3A46AA" w14:textId="49311F95"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B5D334" w14:textId="77777777" w:rsidR="005D2B85" w:rsidRDefault="005D2B85">
            <w:pPr>
              <w:widowControl w:val="0"/>
              <w:spacing w:line="256" w:lineRule="auto"/>
              <w:rPr>
                <w:rFonts w:ascii="Arial Narrow" w:hAnsi="Arial Narrow"/>
                <w:sz w:val="20"/>
                <w:szCs w:val="20"/>
                <w:lang w:eastAsia="en-US"/>
              </w:rPr>
            </w:pPr>
            <w:r>
              <w:rPr>
                <w:rFonts w:ascii="Arial Narrow" w:hAnsi="Arial Narrow"/>
                <w:b/>
                <w:bCs/>
                <w:sz w:val="20"/>
                <w:szCs w:val="20"/>
                <w:lang w:eastAsia="en-US"/>
              </w:rPr>
              <w:t>Clinical criteria:</w:t>
            </w:r>
          </w:p>
        </w:tc>
      </w:tr>
      <w:tr w:rsidR="005D2B85" w14:paraId="51C0A99E" w14:textId="77777777" w:rsidTr="003E682D">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77721" w14:textId="7C957B28"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B1DEE4" w14:textId="77777777" w:rsidR="005D2B85" w:rsidRDefault="005D2B85">
            <w:pPr>
              <w:widowControl w:val="0"/>
              <w:spacing w:line="256" w:lineRule="auto"/>
              <w:rPr>
                <w:rFonts w:ascii="Arial Narrow" w:hAnsi="Arial Narrow"/>
                <w:sz w:val="20"/>
                <w:szCs w:val="20"/>
                <w:lang w:eastAsia="en-US"/>
              </w:rPr>
            </w:pPr>
            <w:r>
              <w:rPr>
                <w:rFonts w:ascii="Arial Narrow" w:hAnsi="Arial Narrow"/>
                <w:sz w:val="20"/>
                <w:szCs w:val="20"/>
                <w:lang w:eastAsia="en-US"/>
              </w:rPr>
              <w:t>Patient must have previously received PBS-subsidised treatment with this drug for this condition,</w:t>
            </w:r>
          </w:p>
        </w:tc>
      </w:tr>
      <w:tr w:rsidR="005D2B85" w14:paraId="750AC619" w14:textId="77777777" w:rsidTr="005D2B85">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37F59A" w14:textId="77777777"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D601AA" w14:textId="77777777" w:rsidR="005D2B85" w:rsidRDefault="005D2B85">
            <w:pPr>
              <w:widowControl w:val="0"/>
              <w:spacing w:line="256" w:lineRule="auto"/>
              <w:rPr>
                <w:rFonts w:ascii="Arial Narrow" w:hAnsi="Arial Narrow"/>
                <w:sz w:val="20"/>
                <w:szCs w:val="20"/>
                <w:lang w:eastAsia="en-US"/>
              </w:rPr>
            </w:pPr>
            <w:r>
              <w:rPr>
                <w:rFonts w:ascii="Arial Narrow" w:hAnsi="Arial Narrow"/>
                <w:b/>
                <w:bCs/>
                <w:sz w:val="20"/>
                <w:szCs w:val="20"/>
                <w:lang w:eastAsia="en-US"/>
              </w:rPr>
              <w:t>AND</w:t>
            </w:r>
          </w:p>
        </w:tc>
      </w:tr>
      <w:tr w:rsidR="005D2B85" w14:paraId="660600A7" w14:textId="77777777" w:rsidTr="003E682D">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5EAA23" w14:textId="0DA29A2E"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B1E0B2" w14:textId="77777777" w:rsidR="005D2B85" w:rsidRDefault="005D2B85">
            <w:pPr>
              <w:widowControl w:val="0"/>
              <w:spacing w:line="256" w:lineRule="auto"/>
              <w:rPr>
                <w:rFonts w:ascii="Arial Narrow" w:hAnsi="Arial Narrow"/>
                <w:sz w:val="20"/>
                <w:szCs w:val="20"/>
                <w:lang w:eastAsia="en-US"/>
              </w:rPr>
            </w:pPr>
            <w:r>
              <w:rPr>
                <w:rFonts w:ascii="Arial Narrow" w:hAnsi="Arial Narrow"/>
                <w:b/>
                <w:bCs/>
                <w:sz w:val="20"/>
                <w:szCs w:val="20"/>
                <w:lang w:eastAsia="en-US"/>
              </w:rPr>
              <w:t>Clinical criteria:</w:t>
            </w:r>
          </w:p>
        </w:tc>
      </w:tr>
      <w:tr w:rsidR="005D2B85" w14:paraId="77BBDAE2" w14:textId="77777777" w:rsidTr="003E682D">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53E767" w14:textId="320198E0"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E12101" w14:textId="77777777" w:rsidR="005D2B85" w:rsidRDefault="005D2B85">
            <w:pPr>
              <w:widowControl w:val="0"/>
              <w:spacing w:line="256" w:lineRule="auto"/>
              <w:rPr>
                <w:rFonts w:ascii="Arial Narrow" w:hAnsi="Arial Narrow"/>
                <w:sz w:val="20"/>
                <w:szCs w:val="20"/>
                <w:lang w:eastAsia="en-US"/>
              </w:rPr>
            </w:pPr>
            <w:r>
              <w:rPr>
                <w:rFonts w:ascii="Arial Narrow" w:hAnsi="Arial Narrow"/>
                <w:sz w:val="20"/>
                <w:szCs w:val="20"/>
                <w:lang w:eastAsia="en-US"/>
              </w:rPr>
              <w:t>Patient must have achieved and maintained a 50% or greater reduction from baseline in the number of migraine days per month,</w:t>
            </w:r>
          </w:p>
        </w:tc>
      </w:tr>
      <w:tr w:rsidR="005D2B85" w14:paraId="45FE50D3" w14:textId="77777777" w:rsidTr="005D2B85">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C900CA" w14:textId="77777777"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304CC7" w14:textId="77777777" w:rsidR="005D2B85" w:rsidRDefault="005D2B85">
            <w:pPr>
              <w:widowControl w:val="0"/>
              <w:spacing w:line="256" w:lineRule="auto"/>
              <w:rPr>
                <w:rFonts w:ascii="Arial Narrow" w:hAnsi="Arial Narrow"/>
                <w:b/>
                <w:bCs/>
                <w:sz w:val="20"/>
                <w:szCs w:val="20"/>
                <w:lang w:eastAsia="en-US"/>
              </w:rPr>
            </w:pPr>
            <w:r>
              <w:rPr>
                <w:rFonts w:ascii="Arial Narrow" w:hAnsi="Arial Narrow"/>
                <w:b/>
                <w:bCs/>
                <w:sz w:val="20"/>
                <w:szCs w:val="20"/>
                <w:lang w:eastAsia="en-US"/>
              </w:rPr>
              <w:t>AND</w:t>
            </w:r>
          </w:p>
        </w:tc>
      </w:tr>
      <w:tr w:rsidR="005D2B85" w14:paraId="67198BC8" w14:textId="77777777" w:rsidTr="003E682D">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6F8305" w14:textId="02528BC4"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0244E2" w14:textId="77777777" w:rsidR="005D2B85" w:rsidRDefault="005D2B85">
            <w:pPr>
              <w:widowControl w:val="0"/>
              <w:spacing w:line="256" w:lineRule="auto"/>
              <w:rPr>
                <w:rFonts w:ascii="Arial Narrow" w:hAnsi="Arial Narrow"/>
                <w:b/>
                <w:bCs/>
                <w:sz w:val="20"/>
                <w:szCs w:val="20"/>
                <w:lang w:eastAsia="en-US"/>
              </w:rPr>
            </w:pPr>
            <w:r>
              <w:rPr>
                <w:rFonts w:ascii="Arial Narrow" w:hAnsi="Arial Narrow"/>
                <w:b/>
                <w:bCs/>
                <w:sz w:val="20"/>
                <w:szCs w:val="20"/>
                <w:lang w:eastAsia="en-US"/>
              </w:rPr>
              <w:t>Clinical criteria:</w:t>
            </w:r>
          </w:p>
        </w:tc>
      </w:tr>
      <w:tr w:rsidR="005D2B85" w14:paraId="7354C57B" w14:textId="77777777" w:rsidTr="003E682D">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47742" w14:textId="33C88F22"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3005A0" w14:textId="77777777" w:rsidR="005D2B85" w:rsidRDefault="005D2B85">
            <w:pPr>
              <w:widowControl w:val="0"/>
              <w:spacing w:line="256" w:lineRule="auto"/>
              <w:rPr>
                <w:rFonts w:ascii="Arial Narrow" w:hAnsi="Arial Narrow"/>
                <w:b/>
                <w:bCs/>
                <w:sz w:val="20"/>
                <w:szCs w:val="20"/>
                <w:lang w:eastAsia="en-US"/>
              </w:rPr>
            </w:pPr>
            <w:r>
              <w:rPr>
                <w:rFonts w:ascii="Arial Narrow" w:hAnsi="Arial Narrow"/>
                <w:sz w:val="20"/>
                <w:szCs w:val="20"/>
                <w:lang w:eastAsia="en-US"/>
              </w:rPr>
              <w:t>Patient must continue to be appropriately managed for medication overuse headache.</w:t>
            </w:r>
          </w:p>
        </w:tc>
      </w:tr>
      <w:tr w:rsidR="005D2B85" w14:paraId="55DB7B7E" w14:textId="77777777" w:rsidTr="003E682D">
        <w:trPr>
          <w:cantSplit/>
          <w:trHeight w:val="20"/>
        </w:trPr>
        <w:tc>
          <w:tcPr>
            <w:tcW w:w="5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28F147" w14:textId="3027D649" w:rsidR="005D2B85" w:rsidRDefault="005D2B85">
            <w:pPr>
              <w:widowControl w:val="0"/>
              <w:spacing w:line="256" w:lineRule="auto"/>
              <w:rPr>
                <w:rFonts w:ascii="Arial Narrow" w:hAnsi="Arial Narrow"/>
                <w:sz w:val="20"/>
                <w:szCs w:val="20"/>
                <w:lang w:eastAsia="en-US"/>
              </w:rPr>
            </w:pPr>
          </w:p>
        </w:tc>
        <w:tc>
          <w:tcPr>
            <w:tcW w:w="449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BCF25B" w14:textId="77777777" w:rsidR="005D2B85" w:rsidRDefault="005D2B85">
            <w:pPr>
              <w:widowControl w:val="0"/>
              <w:spacing w:line="256" w:lineRule="auto"/>
              <w:rPr>
                <w:rFonts w:ascii="Arial Narrow" w:hAnsi="Arial Narrow"/>
                <w:b/>
                <w:bCs/>
                <w:sz w:val="20"/>
                <w:szCs w:val="20"/>
                <w:lang w:eastAsia="en-US"/>
              </w:rPr>
            </w:pPr>
            <w:r>
              <w:rPr>
                <w:rFonts w:ascii="Arial Narrow" w:hAnsi="Arial Narrow"/>
                <w:b/>
                <w:bCs/>
                <w:sz w:val="20"/>
                <w:szCs w:val="20"/>
                <w:lang w:eastAsia="en-US"/>
              </w:rPr>
              <w:t>Prescribing instructions:</w:t>
            </w:r>
          </w:p>
          <w:p w14:paraId="5AAA646C" w14:textId="77777777" w:rsidR="005D2B85" w:rsidRDefault="005D2B85">
            <w:pPr>
              <w:widowControl w:val="0"/>
              <w:spacing w:line="256" w:lineRule="auto"/>
              <w:rPr>
                <w:rFonts w:ascii="Arial Narrow" w:hAnsi="Arial Narrow"/>
                <w:sz w:val="20"/>
                <w:szCs w:val="20"/>
                <w:lang w:eastAsia="en-US"/>
              </w:rPr>
            </w:pPr>
            <w:r>
              <w:rPr>
                <w:rFonts w:ascii="Arial Narrow" w:hAnsi="Arial Narrow"/>
                <w:sz w:val="20"/>
                <w:szCs w:val="20"/>
                <w:lang w:eastAsia="en-US"/>
              </w:rPr>
              <w:t xml:space="preserve">Patient must have the number of migraine days per month documented in their medical records. </w:t>
            </w:r>
          </w:p>
        </w:tc>
      </w:tr>
    </w:tbl>
    <w:p w14:paraId="57F80BF0" w14:textId="38120FD4" w:rsidR="005D2B85" w:rsidRDefault="00757256" w:rsidP="00A176F7">
      <w:pPr>
        <w:rPr>
          <w:rFonts w:asciiTheme="minorHAnsi" w:hAnsiTheme="minorHAnsi" w:cs="Arial"/>
          <w:bCs/>
          <w:snapToGrid w:val="0"/>
          <w:lang w:val="en-GB"/>
        </w:rPr>
      </w:pPr>
      <w:r>
        <w:rPr>
          <w:rFonts w:asciiTheme="minorHAnsi" w:hAnsiTheme="minorHAnsi" w:cs="Arial"/>
          <w:b/>
          <w:i/>
        </w:rPr>
        <w:t>This restriction may be subject to further review. Should there be any changes made to the restriction the Sponsor will be informed.</w:t>
      </w:r>
    </w:p>
    <w:p w14:paraId="709D06C6" w14:textId="77777777" w:rsidR="00757256" w:rsidRDefault="00757256" w:rsidP="00A176F7">
      <w:pPr>
        <w:pStyle w:val="ListParagraph"/>
        <w:ind w:left="360"/>
        <w:rPr>
          <w:rFonts w:ascii="Calibri" w:hAnsi="Calibri" w:cs="Calibri"/>
        </w:rPr>
      </w:pPr>
      <w:bookmarkStart w:id="6" w:name="_Hlk76377978"/>
    </w:p>
    <w:p w14:paraId="1B4DE2A2" w14:textId="53668869" w:rsidR="003E682D" w:rsidRPr="003E682D" w:rsidRDefault="003E682D" w:rsidP="003E682D">
      <w:pPr>
        <w:pStyle w:val="2-SectionHeading"/>
      </w:pPr>
      <w:r w:rsidRPr="003E682D">
        <w:t>Context for Decision</w:t>
      </w:r>
    </w:p>
    <w:p w14:paraId="15FC20D8" w14:textId="77777777" w:rsidR="003E682D" w:rsidRPr="007129F2" w:rsidRDefault="003E682D" w:rsidP="003E682D">
      <w:pPr>
        <w:spacing w:after="120"/>
        <w:ind w:left="426"/>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484B698" w14:textId="60716F2C" w:rsidR="003E682D" w:rsidRPr="003E682D" w:rsidRDefault="003E682D" w:rsidP="003E682D">
      <w:pPr>
        <w:pStyle w:val="2-SectionHeading"/>
      </w:pPr>
      <w:r w:rsidRPr="003E682D">
        <w:t>Sponsor’s Comment</w:t>
      </w:r>
    </w:p>
    <w:p w14:paraId="19A55E8D" w14:textId="0980CBFD" w:rsidR="00BC7947" w:rsidRPr="00C07617" w:rsidRDefault="00C351E7" w:rsidP="00C351E7">
      <w:pPr>
        <w:spacing w:after="120"/>
        <w:ind w:firstLine="426"/>
        <w:rPr>
          <w:rFonts w:asciiTheme="minorHAnsi" w:hAnsiTheme="minorHAnsi" w:cs="Arial"/>
          <w:bCs/>
        </w:rPr>
      </w:pPr>
      <w:r>
        <w:rPr>
          <w:rFonts w:asciiTheme="minorHAnsi" w:hAnsiTheme="minorHAnsi" w:cs="Arial"/>
          <w:bCs/>
        </w:rPr>
        <w:t>T</w:t>
      </w:r>
      <w:r w:rsidR="00BC7947">
        <w:rPr>
          <w:rFonts w:asciiTheme="minorHAnsi" w:hAnsiTheme="minorHAnsi" w:cs="Arial"/>
          <w:bCs/>
        </w:rPr>
        <w:t>he sponsor had no comment.</w:t>
      </w:r>
    </w:p>
    <w:p w14:paraId="205F4CDC" w14:textId="77777777" w:rsidR="00757256" w:rsidRDefault="00757256" w:rsidP="00A176F7">
      <w:pPr>
        <w:pStyle w:val="ListParagraph"/>
        <w:ind w:left="360"/>
        <w:rPr>
          <w:rFonts w:ascii="Calibri" w:hAnsi="Calibri" w:cs="Calibri"/>
        </w:rPr>
      </w:pPr>
    </w:p>
    <w:bookmarkEnd w:id="6"/>
    <w:p w14:paraId="00156041" w14:textId="77777777" w:rsidR="003D7771" w:rsidRDefault="003D7771" w:rsidP="003D7771">
      <w:pPr>
        <w:widowControl w:val="0"/>
        <w:spacing w:after="120"/>
        <w:rPr>
          <w:rFonts w:asciiTheme="minorHAnsi" w:hAnsiTheme="minorHAnsi" w:cs="Arial"/>
          <w:snapToGrid w:val="0"/>
          <w:lang w:val="en-GB"/>
        </w:rPr>
      </w:pPr>
    </w:p>
    <w:p w14:paraId="64D36637" w14:textId="77777777" w:rsidR="00280050" w:rsidRDefault="00280050" w:rsidP="001B4854"/>
    <w:sectPr w:rsidR="00280050" w:rsidSect="00E228B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BE9A5" w14:textId="77777777" w:rsidR="005666C2" w:rsidRDefault="005666C2" w:rsidP="002A0C1A">
      <w:r>
        <w:separator/>
      </w:r>
    </w:p>
  </w:endnote>
  <w:endnote w:type="continuationSeparator" w:id="0">
    <w:p w14:paraId="73A63FFC" w14:textId="77777777" w:rsidR="005666C2" w:rsidRDefault="005666C2" w:rsidP="002A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panose1 w:val="00000000000000000000"/>
    <w:charset w:val="00"/>
    <w:family w:val="roman"/>
    <w:notTrueType/>
    <w:pitch w:val="default"/>
  </w:font>
  <w:font w:name="Sabon">
    <w:altName w:val="Constantia"/>
    <w:charset w:val="00"/>
    <w:family w:val="roman"/>
    <w:pitch w:val="variable"/>
    <w:sig w:usb0="00000001"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666C2" w14:paraId="52C0B051" w14:textId="77777777" w:rsidTr="00E228B5">
      <w:trPr>
        <w:trHeight w:val="151"/>
      </w:trPr>
      <w:tc>
        <w:tcPr>
          <w:tcW w:w="2250" w:type="pct"/>
          <w:tcBorders>
            <w:top w:val="nil"/>
            <w:left w:val="nil"/>
            <w:bottom w:val="single" w:sz="4" w:space="0" w:color="4F81BD"/>
            <w:right w:val="nil"/>
          </w:tcBorders>
        </w:tcPr>
        <w:p w14:paraId="24C5D0EB" w14:textId="77777777" w:rsidR="005666C2" w:rsidRPr="005A3173" w:rsidRDefault="005666C2" w:rsidP="00E228B5">
          <w:pPr>
            <w:pStyle w:val="Header"/>
            <w:spacing w:line="276" w:lineRule="auto"/>
            <w:rPr>
              <w:rFonts w:eastAsia="MS Gothic"/>
              <w:b/>
              <w:bCs/>
              <w:color w:val="4F81BD"/>
            </w:rPr>
          </w:pPr>
        </w:p>
      </w:tc>
      <w:tc>
        <w:tcPr>
          <w:tcW w:w="500" w:type="pct"/>
          <w:vMerge w:val="restart"/>
          <w:noWrap/>
          <w:vAlign w:val="center"/>
          <w:hideMark/>
        </w:tcPr>
        <w:p w14:paraId="53EC9E70" w14:textId="77777777" w:rsidR="005666C2" w:rsidRPr="005A3173" w:rsidRDefault="005666C2" w:rsidP="00E228B5">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37870B13" w14:textId="77777777" w:rsidR="005666C2" w:rsidRPr="005A3173" w:rsidRDefault="005666C2" w:rsidP="00E228B5">
          <w:pPr>
            <w:pStyle w:val="Header"/>
            <w:spacing w:line="276" w:lineRule="auto"/>
            <w:rPr>
              <w:rFonts w:eastAsia="MS Gothic"/>
              <w:b/>
              <w:bCs/>
              <w:color w:val="4F81BD"/>
            </w:rPr>
          </w:pPr>
        </w:p>
      </w:tc>
    </w:tr>
    <w:tr w:rsidR="005666C2" w14:paraId="1FF8E0CE" w14:textId="77777777" w:rsidTr="00E228B5">
      <w:trPr>
        <w:trHeight w:val="150"/>
      </w:trPr>
      <w:tc>
        <w:tcPr>
          <w:tcW w:w="2250" w:type="pct"/>
          <w:tcBorders>
            <w:top w:val="single" w:sz="4" w:space="0" w:color="4F81BD"/>
            <w:left w:val="nil"/>
            <w:bottom w:val="nil"/>
            <w:right w:val="nil"/>
          </w:tcBorders>
        </w:tcPr>
        <w:p w14:paraId="4538FA27" w14:textId="77777777" w:rsidR="005666C2" w:rsidRPr="005A3173" w:rsidRDefault="005666C2" w:rsidP="00E228B5">
          <w:pPr>
            <w:pStyle w:val="Header"/>
            <w:spacing w:line="276" w:lineRule="auto"/>
            <w:rPr>
              <w:rFonts w:eastAsia="MS Gothic"/>
              <w:b/>
              <w:bCs/>
              <w:color w:val="4F81BD"/>
            </w:rPr>
          </w:pPr>
        </w:p>
      </w:tc>
      <w:tc>
        <w:tcPr>
          <w:tcW w:w="0" w:type="auto"/>
          <w:vMerge/>
          <w:vAlign w:val="center"/>
          <w:hideMark/>
        </w:tcPr>
        <w:p w14:paraId="35E18522" w14:textId="77777777" w:rsidR="005666C2" w:rsidRPr="005A3173" w:rsidRDefault="005666C2" w:rsidP="00E228B5">
          <w:pPr>
            <w:rPr>
              <w:color w:val="365F91"/>
              <w:sz w:val="22"/>
              <w:szCs w:val="22"/>
            </w:rPr>
          </w:pPr>
        </w:p>
      </w:tc>
      <w:tc>
        <w:tcPr>
          <w:tcW w:w="2250" w:type="pct"/>
          <w:tcBorders>
            <w:top w:val="single" w:sz="4" w:space="0" w:color="4F81BD"/>
            <w:left w:val="nil"/>
            <w:bottom w:val="nil"/>
            <w:right w:val="nil"/>
          </w:tcBorders>
        </w:tcPr>
        <w:p w14:paraId="27BD3076" w14:textId="77777777" w:rsidR="005666C2" w:rsidRPr="005A3173" w:rsidRDefault="005666C2" w:rsidP="00E228B5">
          <w:pPr>
            <w:pStyle w:val="Header"/>
            <w:spacing w:line="276" w:lineRule="auto"/>
            <w:rPr>
              <w:rFonts w:eastAsia="MS Gothic"/>
              <w:b/>
              <w:bCs/>
              <w:color w:val="4F81BD"/>
            </w:rPr>
          </w:pPr>
        </w:p>
      </w:tc>
    </w:tr>
  </w:tbl>
  <w:p w14:paraId="29D512AF" w14:textId="77777777" w:rsidR="005666C2" w:rsidRDefault="005666C2" w:rsidP="00E228B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E3A80DD" w14:textId="77777777" w:rsidR="005666C2" w:rsidRDefault="005666C2">
    <w:pPr>
      <w:pStyle w:val="Footer"/>
    </w:pPr>
  </w:p>
  <w:p w14:paraId="556E8E74" w14:textId="77777777" w:rsidR="005666C2" w:rsidRDefault="005666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9270A" w14:textId="77777777" w:rsidR="001A19BF" w:rsidRDefault="001A19BF">
    <w:pPr>
      <w:pStyle w:val="Footer"/>
      <w:jc w:val="center"/>
    </w:pPr>
  </w:p>
  <w:sdt>
    <w:sdtPr>
      <w:id w:val="428707911"/>
      <w:docPartObj>
        <w:docPartGallery w:val="Page Numbers (Bottom of Page)"/>
        <w:docPartUnique/>
      </w:docPartObj>
    </w:sdtPr>
    <w:sdtEndPr>
      <w:rPr>
        <w:b/>
        <w:bCs/>
        <w:noProof/>
      </w:rPr>
    </w:sdtEndPr>
    <w:sdtContent>
      <w:p w14:paraId="09969D64" w14:textId="05ACF5E9" w:rsidR="001A19BF" w:rsidRPr="00F010F3" w:rsidRDefault="001A19BF">
        <w:pPr>
          <w:pStyle w:val="Footer"/>
          <w:jc w:val="center"/>
          <w:rPr>
            <w:b/>
            <w:bCs/>
          </w:rPr>
        </w:pPr>
        <w:r w:rsidRPr="00F010F3">
          <w:rPr>
            <w:b/>
            <w:bCs/>
          </w:rPr>
          <w:fldChar w:fldCharType="begin"/>
        </w:r>
        <w:r w:rsidRPr="00F010F3">
          <w:rPr>
            <w:b/>
            <w:bCs/>
          </w:rPr>
          <w:instrText xml:space="preserve"> PAGE   \* MERGEFORMAT </w:instrText>
        </w:r>
        <w:r w:rsidRPr="00F010F3">
          <w:rPr>
            <w:b/>
            <w:bCs/>
          </w:rPr>
          <w:fldChar w:fldCharType="separate"/>
        </w:r>
        <w:r w:rsidR="008C7854">
          <w:rPr>
            <w:b/>
            <w:bCs/>
            <w:noProof/>
          </w:rPr>
          <w:t>7</w:t>
        </w:r>
        <w:r w:rsidRPr="00F010F3">
          <w:rPr>
            <w:b/>
            <w:bCs/>
            <w:noProof/>
          </w:rPr>
          <w:fldChar w:fldCharType="end"/>
        </w:r>
      </w:p>
    </w:sdtContent>
  </w:sdt>
  <w:p w14:paraId="16AA5A8B" w14:textId="7D50C867" w:rsidR="005666C2" w:rsidRPr="00D429EC" w:rsidRDefault="005666C2" w:rsidP="00E228B5">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5666C2" w14:paraId="28327D3A" w14:textId="77777777" w:rsidTr="00E228B5">
      <w:trPr>
        <w:trHeight w:val="151"/>
      </w:trPr>
      <w:tc>
        <w:tcPr>
          <w:tcW w:w="2250" w:type="pct"/>
          <w:tcBorders>
            <w:top w:val="nil"/>
            <w:left w:val="nil"/>
            <w:bottom w:val="single" w:sz="4" w:space="0" w:color="4F81BD"/>
            <w:right w:val="nil"/>
          </w:tcBorders>
        </w:tcPr>
        <w:p w14:paraId="2843641F" w14:textId="77777777" w:rsidR="005666C2" w:rsidRPr="005A3173" w:rsidRDefault="005666C2" w:rsidP="00E228B5">
          <w:pPr>
            <w:pStyle w:val="Header"/>
            <w:spacing w:line="276" w:lineRule="auto"/>
            <w:rPr>
              <w:rFonts w:eastAsia="MS Gothic"/>
              <w:b/>
              <w:bCs/>
              <w:color w:val="4F81BD"/>
            </w:rPr>
          </w:pPr>
        </w:p>
      </w:tc>
      <w:tc>
        <w:tcPr>
          <w:tcW w:w="500" w:type="pct"/>
          <w:vMerge w:val="restart"/>
          <w:noWrap/>
          <w:vAlign w:val="center"/>
          <w:hideMark/>
        </w:tcPr>
        <w:p w14:paraId="3C64B44E" w14:textId="77777777" w:rsidR="005666C2" w:rsidRPr="005A3173" w:rsidRDefault="005666C2" w:rsidP="00E228B5">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7E65F344" w14:textId="77777777" w:rsidR="005666C2" w:rsidRPr="005A3173" w:rsidRDefault="005666C2" w:rsidP="00E228B5">
          <w:pPr>
            <w:pStyle w:val="Header"/>
            <w:spacing w:line="276" w:lineRule="auto"/>
            <w:rPr>
              <w:rFonts w:eastAsia="MS Gothic"/>
              <w:b/>
              <w:bCs/>
              <w:color w:val="4F81BD"/>
            </w:rPr>
          </w:pPr>
        </w:p>
      </w:tc>
    </w:tr>
    <w:tr w:rsidR="005666C2" w14:paraId="4DFAE6B5" w14:textId="77777777" w:rsidTr="00E228B5">
      <w:trPr>
        <w:trHeight w:val="150"/>
      </w:trPr>
      <w:tc>
        <w:tcPr>
          <w:tcW w:w="2250" w:type="pct"/>
          <w:tcBorders>
            <w:top w:val="single" w:sz="4" w:space="0" w:color="4F81BD"/>
            <w:left w:val="nil"/>
            <w:bottom w:val="nil"/>
            <w:right w:val="nil"/>
          </w:tcBorders>
        </w:tcPr>
        <w:p w14:paraId="33FAE7EC" w14:textId="77777777" w:rsidR="005666C2" w:rsidRPr="005A3173" w:rsidRDefault="005666C2" w:rsidP="00E228B5">
          <w:pPr>
            <w:pStyle w:val="Header"/>
            <w:spacing w:line="276" w:lineRule="auto"/>
            <w:rPr>
              <w:rFonts w:eastAsia="MS Gothic"/>
              <w:b/>
              <w:bCs/>
              <w:color w:val="4F81BD"/>
            </w:rPr>
          </w:pPr>
        </w:p>
      </w:tc>
      <w:tc>
        <w:tcPr>
          <w:tcW w:w="0" w:type="auto"/>
          <w:vMerge/>
          <w:vAlign w:val="center"/>
          <w:hideMark/>
        </w:tcPr>
        <w:p w14:paraId="3BA01802" w14:textId="77777777" w:rsidR="005666C2" w:rsidRPr="005A3173" w:rsidRDefault="005666C2" w:rsidP="00E228B5">
          <w:pPr>
            <w:rPr>
              <w:color w:val="365F91"/>
              <w:sz w:val="22"/>
              <w:szCs w:val="22"/>
            </w:rPr>
          </w:pPr>
        </w:p>
      </w:tc>
      <w:tc>
        <w:tcPr>
          <w:tcW w:w="2250" w:type="pct"/>
          <w:tcBorders>
            <w:top w:val="single" w:sz="4" w:space="0" w:color="4F81BD"/>
            <w:left w:val="nil"/>
            <w:bottom w:val="nil"/>
            <w:right w:val="nil"/>
          </w:tcBorders>
        </w:tcPr>
        <w:p w14:paraId="07C5E550" w14:textId="77777777" w:rsidR="005666C2" w:rsidRPr="005A3173" w:rsidRDefault="005666C2" w:rsidP="00E228B5">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666C2" w14:paraId="6A7F02E5" w14:textId="77777777" w:rsidTr="00E228B5">
      <w:trPr>
        <w:trHeight w:val="151"/>
      </w:trPr>
      <w:tc>
        <w:tcPr>
          <w:tcW w:w="2250" w:type="pct"/>
          <w:tcBorders>
            <w:top w:val="nil"/>
            <w:left w:val="nil"/>
            <w:bottom w:val="single" w:sz="4" w:space="0" w:color="4F81BD"/>
            <w:right w:val="nil"/>
          </w:tcBorders>
        </w:tcPr>
        <w:p w14:paraId="2D7193E2" w14:textId="77777777" w:rsidR="005666C2" w:rsidRPr="005A3173" w:rsidRDefault="005666C2" w:rsidP="00E228B5">
          <w:pPr>
            <w:pStyle w:val="Header"/>
            <w:spacing w:line="276" w:lineRule="auto"/>
            <w:rPr>
              <w:rFonts w:eastAsia="MS Gothic"/>
              <w:b/>
              <w:bCs/>
              <w:color w:val="4F81BD"/>
            </w:rPr>
          </w:pPr>
        </w:p>
      </w:tc>
      <w:tc>
        <w:tcPr>
          <w:tcW w:w="500" w:type="pct"/>
          <w:vMerge w:val="restart"/>
          <w:noWrap/>
          <w:vAlign w:val="center"/>
          <w:hideMark/>
        </w:tcPr>
        <w:p w14:paraId="79430EAE" w14:textId="77777777" w:rsidR="005666C2" w:rsidRPr="005A3173" w:rsidRDefault="005666C2" w:rsidP="00E228B5">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C97114A" w14:textId="77777777" w:rsidR="005666C2" w:rsidRPr="005A3173" w:rsidRDefault="005666C2" w:rsidP="00E228B5">
          <w:pPr>
            <w:pStyle w:val="Header"/>
            <w:spacing w:line="276" w:lineRule="auto"/>
            <w:rPr>
              <w:rFonts w:eastAsia="MS Gothic"/>
              <w:b/>
              <w:bCs/>
              <w:color w:val="4F81BD"/>
            </w:rPr>
          </w:pPr>
        </w:p>
      </w:tc>
    </w:tr>
    <w:tr w:rsidR="005666C2" w14:paraId="5DC3D3A2" w14:textId="77777777" w:rsidTr="00E228B5">
      <w:trPr>
        <w:trHeight w:val="150"/>
      </w:trPr>
      <w:tc>
        <w:tcPr>
          <w:tcW w:w="2250" w:type="pct"/>
          <w:tcBorders>
            <w:top w:val="single" w:sz="4" w:space="0" w:color="4F81BD"/>
            <w:left w:val="nil"/>
            <w:bottom w:val="nil"/>
            <w:right w:val="nil"/>
          </w:tcBorders>
        </w:tcPr>
        <w:p w14:paraId="259F022E" w14:textId="77777777" w:rsidR="005666C2" w:rsidRPr="005A3173" w:rsidRDefault="005666C2" w:rsidP="00E228B5">
          <w:pPr>
            <w:pStyle w:val="Header"/>
            <w:spacing w:line="276" w:lineRule="auto"/>
            <w:rPr>
              <w:rFonts w:eastAsia="MS Gothic"/>
              <w:b/>
              <w:bCs/>
              <w:color w:val="4F81BD"/>
            </w:rPr>
          </w:pPr>
        </w:p>
      </w:tc>
      <w:tc>
        <w:tcPr>
          <w:tcW w:w="0" w:type="auto"/>
          <w:vMerge/>
          <w:vAlign w:val="center"/>
          <w:hideMark/>
        </w:tcPr>
        <w:p w14:paraId="60236345" w14:textId="77777777" w:rsidR="005666C2" w:rsidRPr="005A3173" w:rsidRDefault="005666C2" w:rsidP="00E228B5">
          <w:pPr>
            <w:rPr>
              <w:color w:val="365F91"/>
              <w:sz w:val="22"/>
              <w:szCs w:val="22"/>
            </w:rPr>
          </w:pPr>
        </w:p>
      </w:tc>
      <w:tc>
        <w:tcPr>
          <w:tcW w:w="2250" w:type="pct"/>
          <w:tcBorders>
            <w:top w:val="single" w:sz="4" w:space="0" w:color="4F81BD"/>
            <w:left w:val="nil"/>
            <w:bottom w:val="nil"/>
            <w:right w:val="nil"/>
          </w:tcBorders>
        </w:tcPr>
        <w:p w14:paraId="48A42F9F" w14:textId="77777777" w:rsidR="005666C2" w:rsidRPr="005A3173" w:rsidRDefault="005666C2" w:rsidP="00E228B5">
          <w:pPr>
            <w:pStyle w:val="Header"/>
            <w:spacing w:line="276" w:lineRule="auto"/>
            <w:rPr>
              <w:rFonts w:eastAsia="MS Gothic"/>
              <w:b/>
              <w:bCs/>
              <w:color w:val="4F81BD"/>
            </w:rPr>
          </w:pPr>
        </w:p>
      </w:tc>
    </w:tr>
  </w:tbl>
  <w:p w14:paraId="3C9AC4C5" w14:textId="77777777" w:rsidR="005666C2" w:rsidRPr="007C0F57" w:rsidRDefault="005666C2" w:rsidP="00E228B5">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r w:rsidRPr="007C0F57">
      <w:rPr>
        <w:b/>
        <w:i/>
        <w:sz w:val="20"/>
        <w:szCs w:val="20"/>
      </w:rPr>
      <w:t>BAC Meeting</w:t>
    </w:r>
  </w:p>
  <w:p w14:paraId="187B8805" w14:textId="77777777" w:rsidR="005666C2" w:rsidRPr="007C0F57" w:rsidRDefault="005666C2" w:rsidP="00E228B5">
    <w:pPr>
      <w:pStyle w:val="Footer"/>
      <w:jc w:val="center"/>
      <w:rPr>
        <w:b/>
        <w:i/>
        <w:sz w:val="20"/>
        <w:szCs w:val="20"/>
      </w:rPr>
    </w:pPr>
    <w:r w:rsidRPr="007C0F57">
      <w:rPr>
        <w:b/>
        <w:i/>
        <w:sz w:val="20"/>
        <w:szCs w:val="20"/>
      </w:rPr>
      <w:t>Commercial-in-Confidence</w:t>
    </w:r>
  </w:p>
  <w:p w14:paraId="561DE21C" w14:textId="77777777" w:rsidR="005666C2" w:rsidRDefault="005666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4E6DF" w14:textId="77777777" w:rsidR="005666C2" w:rsidRDefault="005666C2" w:rsidP="002A0C1A">
      <w:r>
        <w:separator/>
      </w:r>
    </w:p>
  </w:footnote>
  <w:footnote w:type="continuationSeparator" w:id="0">
    <w:p w14:paraId="128E6330" w14:textId="77777777" w:rsidR="005666C2" w:rsidRDefault="005666C2" w:rsidP="002A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5666C2" w:rsidRPr="008E0D90" w14:paraId="51323430" w14:textId="77777777" w:rsidTr="00E228B5">
      <w:trPr>
        <w:trHeight w:val="151"/>
      </w:trPr>
      <w:tc>
        <w:tcPr>
          <w:tcW w:w="2389" w:type="pct"/>
          <w:tcBorders>
            <w:top w:val="nil"/>
            <w:left w:val="nil"/>
            <w:bottom w:val="single" w:sz="4" w:space="0" w:color="4F81BD"/>
            <w:right w:val="nil"/>
          </w:tcBorders>
        </w:tcPr>
        <w:p w14:paraId="00C8A0AE" w14:textId="77777777" w:rsidR="005666C2" w:rsidRPr="00A06225" w:rsidRDefault="005666C2">
          <w:pPr>
            <w:pStyle w:val="Header"/>
            <w:spacing w:line="276" w:lineRule="auto"/>
            <w:rPr>
              <w:rFonts w:ascii="Cambria" w:eastAsia="MS Gothic" w:hAnsi="Cambria"/>
              <w:b/>
              <w:bCs/>
              <w:color w:val="4F81BD"/>
            </w:rPr>
          </w:pPr>
        </w:p>
      </w:tc>
      <w:tc>
        <w:tcPr>
          <w:tcW w:w="333" w:type="pct"/>
          <w:vMerge w:val="restart"/>
          <w:noWrap/>
          <w:vAlign w:val="center"/>
          <w:hideMark/>
        </w:tcPr>
        <w:p w14:paraId="2BC8E9AF" w14:textId="77777777" w:rsidR="005666C2" w:rsidRPr="00A06225" w:rsidRDefault="005666C2" w:rsidP="00E228B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55B9BA70" w14:textId="77777777" w:rsidR="005666C2" w:rsidRPr="00A06225" w:rsidRDefault="005666C2">
          <w:pPr>
            <w:pStyle w:val="Header"/>
            <w:spacing w:line="276" w:lineRule="auto"/>
            <w:rPr>
              <w:rFonts w:ascii="Cambria" w:eastAsia="MS Gothic" w:hAnsi="Cambria"/>
              <w:b/>
              <w:bCs/>
              <w:color w:val="4F81BD"/>
            </w:rPr>
          </w:pPr>
        </w:p>
      </w:tc>
    </w:tr>
    <w:tr w:rsidR="005666C2" w:rsidRPr="008E0D90" w14:paraId="3DA5E0DB" w14:textId="77777777" w:rsidTr="00E228B5">
      <w:trPr>
        <w:trHeight w:val="150"/>
      </w:trPr>
      <w:tc>
        <w:tcPr>
          <w:tcW w:w="2389" w:type="pct"/>
          <w:tcBorders>
            <w:top w:val="single" w:sz="4" w:space="0" w:color="4F81BD"/>
            <w:left w:val="nil"/>
            <w:bottom w:val="nil"/>
            <w:right w:val="nil"/>
          </w:tcBorders>
        </w:tcPr>
        <w:p w14:paraId="0E090156" w14:textId="77777777" w:rsidR="005666C2" w:rsidRPr="00A06225" w:rsidRDefault="005666C2">
          <w:pPr>
            <w:pStyle w:val="Header"/>
            <w:spacing w:line="276" w:lineRule="auto"/>
            <w:rPr>
              <w:rFonts w:ascii="Cambria" w:eastAsia="MS Gothic" w:hAnsi="Cambria"/>
              <w:b/>
              <w:bCs/>
              <w:color w:val="4F81BD"/>
            </w:rPr>
          </w:pPr>
        </w:p>
      </w:tc>
      <w:tc>
        <w:tcPr>
          <w:tcW w:w="0" w:type="auto"/>
          <w:vMerge/>
          <w:vAlign w:val="center"/>
          <w:hideMark/>
        </w:tcPr>
        <w:p w14:paraId="0A85094D" w14:textId="77777777" w:rsidR="005666C2" w:rsidRPr="00A06225" w:rsidRDefault="005666C2">
          <w:pPr>
            <w:rPr>
              <w:rFonts w:ascii="Cambria" w:hAnsi="Cambria"/>
              <w:color w:val="4F81BD"/>
              <w:sz w:val="22"/>
              <w:szCs w:val="22"/>
            </w:rPr>
          </w:pPr>
        </w:p>
      </w:tc>
      <w:tc>
        <w:tcPr>
          <w:tcW w:w="2278" w:type="pct"/>
          <w:tcBorders>
            <w:top w:val="single" w:sz="4" w:space="0" w:color="4F81BD"/>
            <w:left w:val="nil"/>
            <w:bottom w:val="nil"/>
            <w:right w:val="nil"/>
          </w:tcBorders>
        </w:tcPr>
        <w:p w14:paraId="2CC28645" w14:textId="77777777" w:rsidR="005666C2" w:rsidRPr="00A06225" w:rsidRDefault="005666C2">
          <w:pPr>
            <w:pStyle w:val="Header"/>
            <w:spacing w:line="276" w:lineRule="auto"/>
            <w:rPr>
              <w:rFonts w:ascii="Cambria" w:eastAsia="MS Gothic" w:hAnsi="Cambria"/>
              <w:b/>
              <w:bCs/>
              <w:color w:val="4F81BD"/>
            </w:rPr>
          </w:pPr>
        </w:p>
      </w:tc>
    </w:tr>
  </w:tbl>
  <w:p w14:paraId="1FAFF898" w14:textId="77777777" w:rsidR="005666C2" w:rsidRDefault="005666C2">
    <w:pPr>
      <w:pStyle w:val="Header"/>
    </w:pPr>
  </w:p>
  <w:p w14:paraId="3CE09A30" w14:textId="77777777" w:rsidR="005666C2" w:rsidRDefault="005666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C9672" w14:textId="4E150190" w:rsidR="001A19BF" w:rsidRPr="00056684" w:rsidRDefault="003E682D" w:rsidP="001A19BF">
    <w:pPr>
      <w:pStyle w:val="Header"/>
      <w:ind w:left="360"/>
      <w:rPr>
        <w:rFonts w:asciiTheme="minorHAnsi" w:hAnsiTheme="minorHAnsi" w:cs="Arial"/>
        <w:i/>
        <w:color w:val="808080"/>
      </w:rPr>
    </w:pPr>
    <w:bookmarkStart w:id="7" w:name="_Hlk76375146"/>
    <w:r>
      <w:rPr>
        <w:rFonts w:asciiTheme="minorHAnsi" w:hAnsiTheme="minorHAnsi" w:cs="Arial"/>
        <w:i/>
        <w:color w:val="808080"/>
      </w:rPr>
      <w:t>Public Summary Document</w:t>
    </w:r>
    <w:r w:rsidR="001A19BF" w:rsidRPr="00056684">
      <w:rPr>
        <w:rFonts w:asciiTheme="minorHAnsi" w:hAnsiTheme="minorHAnsi" w:cs="Arial"/>
        <w:i/>
        <w:color w:val="808080"/>
      </w:rPr>
      <w:t xml:space="preserve"> – </w:t>
    </w:r>
    <w:r w:rsidR="001A19BF">
      <w:rPr>
        <w:rFonts w:asciiTheme="minorHAnsi" w:hAnsiTheme="minorHAnsi" w:cs="Arial"/>
        <w:i/>
        <w:color w:val="808080"/>
      </w:rPr>
      <w:t>March 2022</w:t>
    </w:r>
    <w:r w:rsidR="001A19BF" w:rsidRPr="00056684">
      <w:rPr>
        <w:rFonts w:asciiTheme="minorHAnsi" w:hAnsiTheme="minorHAnsi" w:cs="Arial"/>
        <w:i/>
        <w:color w:val="808080"/>
      </w:rPr>
      <w:t xml:space="preserve"> PBAC Meeting</w:t>
    </w:r>
  </w:p>
  <w:bookmarkEnd w:id="7"/>
  <w:p w14:paraId="7730BF55" w14:textId="77777777" w:rsidR="001A19BF" w:rsidRPr="00F010F3" w:rsidRDefault="001A19BF" w:rsidP="00F010F3">
    <w:pPr>
      <w:pStyle w:val="Header"/>
      <w:ind w:left="360"/>
      <w:rPr>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71490" w14:textId="77777777" w:rsidR="00C351E7" w:rsidRDefault="00C35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0CA2836"/>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6C4238"/>
    <w:multiLevelType w:val="hybridMultilevel"/>
    <w:tmpl w:val="58C4CD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D6E30F3"/>
    <w:multiLevelType w:val="hybridMultilevel"/>
    <w:tmpl w:val="47F2A2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6244933"/>
    <w:multiLevelType w:val="hybridMultilevel"/>
    <w:tmpl w:val="F13E5890"/>
    <w:lvl w:ilvl="0" w:tplc="99000890">
      <w:start w:val="1"/>
      <w:numFmt w:val="upperLetter"/>
      <w:lvlText w:val="%1."/>
      <w:lvlJc w:val="left"/>
      <w:pPr>
        <w:ind w:left="360" w:hanging="360"/>
      </w:pPr>
      <w:rPr>
        <w:b w:val="0"/>
        <w:bCs w:val="0"/>
        <w:i w:val="0"/>
        <w:iCs/>
        <w:color w:val="auto"/>
      </w:rPr>
    </w:lvl>
    <w:lvl w:ilvl="1" w:tplc="0C090001">
      <w:start w:val="1"/>
      <w:numFmt w:val="bullet"/>
      <w:lvlText w:val=""/>
      <w:lvlJc w:val="left"/>
      <w:pPr>
        <w:ind w:left="1080" w:hanging="360"/>
      </w:pPr>
      <w:rPr>
        <w:rFonts w:ascii="Symbol" w:hAnsi="Symbol" w:hint="default"/>
      </w:r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757606F"/>
    <w:multiLevelType w:val="hybridMultilevel"/>
    <w:tmpl w:val="840C30F0"/>
    <w:lvl w:ilvl="0" w:tplc="0C090001">
      <w:start w:val="1"/>
      <w:numFmt w:val="bullet"/>
      <w:lvlText w:val=""/>
      <w:lvlJc w:val="left"/>
      <w:pPr>
        <w:ind w:left="1352" w:hanging="360"/>
      </w:pPr>
      <w:rPr>
        <w:rFonts w:ascii="Symbol" w:hAnsi="Symbol" w:hint="default"/>
      </w:rPr>
    </w:lvl>
    <w:lvl w:ilvl="1" w:tplc="0C090003" w:tentative="1">
      <w:start w:val="1"/>
      <w:numFmt w:val="bullet"/>
      <w:lvlText w:val="o"/>
      <w:lvlJc w:val="left"/>
      <w:pPr>
        <w:ind w:left="2072" w:hanging="360"/>
      </w:pPr>
      <w:rPr>
        <w:rFonts w:ascii="Courier New" w:hAnsi="Courier New" w:cs="Courier New" w:hint="default"/>
      </w:rPr>
    </w:lvl>
    <w:lvl w:ilvl="2" w:tplc="0C090005" w:tentative="1">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7" w15:restartNumberingAfterBreak="0">
    <w:nsid w:val="71A80D5B"/>
    <w:multiLevelType w:val="hybridMultilevel"/>
    <w:tmpl w:val="3BB63C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7BBB7FF1"/>
    <w:multiLevelType w:val="hybridMultilevel"/>
    <w:tmpl w:val="DFB00914"/>
    <w:lvl w:ilvl="0" w:tplc="AFACF288">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5"/>
  </w:num>
  <w:num w:numId="6">
    <w:abstractNumId w:val="1"/>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
  </w:num>
  <w:num w:numId="32">
    <w:abstractNumId w:val="2"/>
  </w:num>
  <w:num w:numId="33">
    <w:abstractNumId w:val="7"/>
  </w:num>
  <w:num w:numId="34">
    <w:abstractNumId w:val="8"/>
  </w:num>
  <w:num w:numId="3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C1A"/>
    <w:rsid w:val="00001CAD"/>
    <w:rsid w:val="0000681A"/>
    <w:rsid w:val="00012942"/>
    <w:rsid w:val="00014EE4"/>
    <w:rsid w:val="0002018D"/>
    <w:rsid w:val="00021375"/>
    <w:rsid w:val="00025332"/>
    <w:rsid w:val="00026507"/>
    <w:rsid w:val="00034100"/>
    <w:rsid w:val="000348B3"/>
    <w:rsid w:val="00036283"/>
    <w:rsid w:val="000436B2"/>
    <w:rsid w:val="0004391D"/>
    <w:rsid w:val="000468D6"/>
    <w:rsid w:val="00051F8E"/>
    <w:rsid w:val="000620E9"/>
    <w:rsid w:val="0007017D"/>
    <w:rsid w:val="000751FF"/>
    <w:rsid w:val="00095BCD"/>
    <w:rsid w:val="00096499"/>
    <w:rsid w:val="000A0370"/>
    <w:rsid w:val="000A54AA"/>
    <w:rsid w:val="000A6C21"/>
    <w:rsid w:val="000B1C0A"/>
    <w:rsid w:val="000B2F58"/>
    <w:rsid w:val="000C4686"/>
    <w:rsid w:val="000C4F6F"/>
    <w:rsid w:val="000D4565"/>
    <w:rsid w:val="000D47F6"/>
    <w:rsid w:val="000E552D"/>
    <w:rsid w:val="000F0CF9"/>
    <w:rsid w:val="000F6D1C"/>
    <w:rsid w:val="001047A3"/>
    <w:rsid w:val="00112F89"/>
    <w:rsid w:val="00115791"/>
    <w:rsid w:val="001214F4"/>
    <w:rsid w:val="00125B6A"/>
    <w:rsid w:val="00131E60"/>
    <w:rsid w:val="0013792D"/>
    <w:rsid w:val="00142CF1"/>
    <w:rsid w:val="00147EF2"/>
    <w:rsid w:val="00152434"/>
    <w:rsid w:val="001614FA"/>
    <w:rsid w:val="001632EB"/>
    <w:rsid w:val="00165D96"/>
    <w:rsid w:val="00171E88"/>
    <w:rsid w:val="0019717F"/>
    <w:rsid w:val="001A19BF"/>
    <w:rsid w:val="001A6B99"/>
    <w:rsid w:val="001B4854"/>
    <w:rsid w:val="001B57AD"/>
    <w:rsid w:val="001C291E"/>
    <w:rsid w:val="001C38FB"/>
    <w:rsid w:val="001C6D9A"/>
    <w:rsid w:val="001D1675"/>
    <w:rsid w:val="001E23C8"/>
    <w:rsid w:val="001E2997"/>
    <w:rsid w:val="001E3F40"/>
    <w:rsid w:val="001E689C"/>
    <w:rsid w:val="001F07E5"/>
    <w:rsid w:val="001F337F"/>
    <w:rsid w:val="001F6F62"/>
    <w:rsid w:val="001F7EB5"/>
    <w:rsid w:val="00200C83"/>
    <w:rsid w:val="00227AEB"/>
    <w:rsid w:val="00237AD0"/>
    <w:rsid w:val="00240A5A"/>
    <w:rsid w:val="002450DD"/>
    <w:rsid w:val="0025381A"/>
    <w:rsid w:val="00254597"/>
    <w:rsid w:val="002556ED"/>
    <w:rsid w:val="002610E6"/>
    <w:rsid w:val="002631CC"/>
    <w:rsid w:val="00265767"/>
    <w:rsid w:val="00280050"/>
    <w:rsid w:val="0028209E"/>
    <w:rsid w:val="002933B3"/>
    <w:rsid w:val="00295CDC"/>
    <w:rsid w:val="002A0BF0"/>
    <w:rsid w:val="002A0C1A"/>
    <w:rsid w:val="002C1C18"/>
    <w:rsid w:val="002C5650"/>
    <w:rsid w:val="002C768E"/>
    <w:rsid w:val="002E24E2"/>
    <w:rsid w:val="002E3D2F"/>
    <w:rsid w:val="002F2820"/>
    <w:rsid w:val="002F562A"/>
    <w:rsid w:val="00301ED3"/>
    <w:rsid w:val="0031492D"/>
    <w:rsid w:val="00316DF2"/>
    <w:rsid w:val="003208E4"/>
    <w:rsid w:val="00323A48"/>
    <w:rsid w:val="00323CB0"/>
    <w:rsid w:val="00327C66"/>
    <w:rsid w:val="00335175"/>
    <w:rsid w:val="00347A4A"/>
    <w:rsid w:val="00350A5D"/>
    <w:rsid w:val="00355F70"/>
    <w:rsid w:val="00374FF2"/>
    <w:rsid w:val="00375874"/>
    <w:rsid w:val="003A01DA"/>
    <w:rsid w:val="003B1800"/>
    <w:rsid w:val="003B1CDF"/>
    <w:rsid w:val="003B226A"/>
    <w:rsid w:val="003C7E0A"/>
    <w:rsid w:val="003D7771"/>
    <w:rsid w:val="003E21B1"/>
    <w:rsid w:val="003E643F"/>
    <w:rsid w:val="003E682D"/>
    <w:rsid w:val="00401001"/>
    <w:rsid w:val="00401DAF"/>
    <w:rsid w:val="00411F03"/>
    <w:rsid w:val="00417B86"/>
    <w:rsid w:val="004271A4"/>
    <w:rsid w:val="0043122F"/>
    <w:rsid w:val="00443D4E"/>
    <w:rsid w:val="00446E52"/>
    <w:rsid w:val="00446F58"/>
    <w:rsid w:val="004508EF"/>
    <w:rsid w:val="00453707"/>
    <w:rsid w:val="00453848"/>
    <w:rsid w:val="0045424A"/>
    <w:rsid w:val="0047385D"/>
    <w:rsid w:val="00477B0D"/>
    <w:rsid w:val="004870D8"/>
    <w:rsid w:val="004873F5"/>
    <w:rsid w:val="004A7FED"/>
    <w:rsid w:val="004C75CF"/>
    <w:rsid w:val="004E16AB"/>
    <w:rsid w:val="004E2183"/>
    <w:rsid w:val="004E421B"/>
    <w:rsid w:val="005012B9"/>
    <w:rsid w:val="00515048"/>
    <w:rsid w:val="0051531E"/>
    <w:rsid w:val="0051752B"/>
    <w:rsid w:val="00517E61"/>
    <w:rsid w:val="0052033F"/>
    <w:rsid w:val="00521799"/>
    <w:rsid w:val="00522FA8"/>
    <w:rsid w:val="00525B7E"/>
    <w:rsid w:val="00526479"/>
    <w:rsid w:val="00554C11"/>
    <w:rsid w:val="00556A23"/>
    <w:rsid w:val="005666C2"/>
    <w:rsid w:val="005716C0"/>
    <w:rsid w:val="00577366"/>
    <w:rsid w:val="00582A9C"/>
    <w:rsid w:val="00584E9B"/>
    <w:rsid w:val="00585618"/>
    <w:rsid w:val="005931C4"/>
    <w:rsid w:val="00596B3D"/>
    <w:rsid w:val="005A24B8"/>
    <w:rsid w:val="005B6ED0"/>
    <w:rsid w:val="005C156F"/>
    <w:rsid w:val="005C1F16"/>
    <w:rsid w:val="005C50C6"/>
    <w:rsid w:val="005D09C7"/>
    <w:rsid w:val="005D2B85"/>
    <w:rsid w:val="005F4E5C"/>
    <w:rsid w:val="0060744D"/>
    <w:rsid w:val="00620050"/>
    <w:rsid w:val="0062128E"/>
    <w:rsid w:val="00670EB4"/>
    <w:rsid w:val="0067756D"/>
    <w:rsid w:val="00682432"/>
    <w:rsid w:val="006839AB"/>
    <w:rsid w:val="00684D34"/>
    <w:rsid w:val="00686E42"/>
    <w:rsid w:val="006B4BE5"/>
    <w:rsid w:val="006B76DB"/>
    <w:rsid w:val="006C00C8"/>
    <w:rsid w:val="006C01F5"/>
    <w:rsid w:val="006D570B"/>
    <w:rsid w:val="006E1BC6"/>
    <w:rsid w:val="006E2CD9"/>
    <w:rsid w:val="006E7EC1"/>
    <w:rsid w:val="006F5F6F"/>
    <w:rsid w:val="006F69C6"/>
    <w:rsid w:val="00700238"/>
    <w:rsid w:val="00705861"/>
    <w:rsid w:val="00741A53"/>
    <w:rsid w:val="007477B9"/>
    <w:rsid w:val="00754769"/>
    <w:rsid w:val="00757256"/>
    <w:rsid w:val="007620DA"/>
    <w:rsid w:val="00767976"/>
    <w:rsid w:val="0077128C"/>
    <w:rsid w:val="0077168F"/>
    <w:rsid w:val="00776531"/>
    <w:rsid w:val="00780B67"/>
    <w:rsid w:val="00784614"/>
    <w:rsid w:val="007A1469"/>
    <w:rsid w:val="007A1FCF"/>
    <w:rsid w:val="007A75E2"/>
    <w:rsid w:val="007B7A59"/>
    <w:rsid w:val="007C2BE3"/>
    <w:rsid w:val="007C462A"/>
    <w:rsid w:val="007C7A89"/>
    <w:rsid w:val="007D1646"/>
    <w:rsid w:val="007E20F1"/>
    <w:rsid w:val="007E5E7A"/>
    <w:rsid w:val="007F210B"/>
    <w:rsid w:val="007F37D6"/>
    <w:rsid w:val="007F6680"/>
    <w:rsid w:val="00810C5A"/>
    <w:rsid w:val="00813E54"/>
    <w:rsid w:val="00836512"/>
    <w:rsid w:val="008408CE"/>
    <w:rsid w:val="00840A89"/>
    <w:rsid w:val="008462C9"/>
    <w:rsid w:val="00854A9C"/>
    <w:rsid w:val="00855EDB"/>
    <w:rsid w:val="00860F96"/>
    <w:rsid w:val="00862D67"/>
    <w:rsid w:val="008727D0"/>
    <w:rsid w:val="008737E9"/>
    <w:rsid w:val="00876E72"/>
    <w:rsid w:val="00876EE9"/>
    <w:rsid w:val="008A15BF"/>
    <w:rsid w:val="008A5E8C"/>
    <w:rsid w:val="008B102F"/>
    <w:rsid w:val="008B2825"/>
    <w:rsid w:val="008B3FB9"/>
    <w:rsid w:val="008C5994"/>
    <w:rsid w:val="008C7854"/>
    <w:rsid w:val="008C7D9E"/>
    <w:rsid w:val="008D0BA1"/>
    <w:rsid w:val="008E6C5C"/>
    <w:rsid w:val="008E7647"/>
    <w:rsid w:val="008F0912"/>
    <w:rsid w:val="008F3626"/>
    <w:rsid w:val="00900D4B"/>
    <w:rsid w:val="00902CFB"/>
    <w:rsid w:val="0090339A"/>
    <w:rsid w:val="009111B0"/>
    <w:rsid w:val="0091188B"/>
    <w:rsid w:val="009122D6"/>
    <w:rsid w:val="0091248F"/>
    <w:rsid w:val="009135D3"/>
    <w:rsid w:val="00915E7D"/>
    <w:rsid w:val="00922E34"/>
    <w:rsid w:val="00933F1C"/>
    <w:rsid w:val="0093625C"/>
    <w:rsid w:val="00951172"/>
    <w:rsid w:val="009540E8"/>
    <w:rsid w:val="00956086"/>
    <w:rsid w:val="009561ED"/>
    <w:rsid w:val="00971183"/>
    <w:rsid w:val="009739CB"/>
    <w:rsid w:val="009755A3"/>
    <w:rsid w:val="00981D5B"/>
    <w:rsid w:val="0098350B"/>
    <w:rsid w:val="00983519"/>
    <w:rsid w:val="009A1A80"/>
    <w:rsid w:val="009A1F23"/>
    <w:rsid w:val="009A3AFC"/>
    <w:rsid w:val="009B0927"/>
    <w:rsid w:val="009B668F"/>
    <w:rsid w:val="009B74B0"/>
    <w:rsid w:val="009C188A"/>
    <w:rsid w:val="009C4662"/>
    <w:rsid w:val="009C7665"/>
    <w:rsid w:val="009D4D04"/>
    <w:rsid w:val="009E2E62"/>
    <w:rsid w:val="009E3549"/>
    <w:rsid w:val="009E6BF1"/>
    <w:rsid w:val="009E77AC"/>
    <w:rsid w:val="009F44D2"/>
    <w:rsid w:val="00A06407"/>
    <w:rsid w:val="00A101B3"/>
    <w:rsid w:val="00A12741"/>
    <w:rsid w:val="00A13DFF"/>
    <w:rsid w:val="00A14AE8"/>
    <w:rsid w:val="00A176F7"/>
    <w:rsid w:val="00A21A2D"/>
    <w:rsid w:val="00A26E6C"/>
    <w:rsid w:val="00A41BC7"/>
    <w:rsid w:val="00A4265C"/>
    <w:rsid w:val="00A55AB4"/>
    <w:rsid w:val="00A66A99"/>
    <w:rsid w:val="00A756AD"/>
    <w:rsid w:val="00A91423"/>
    <w:rsid w:val="00A9306F"/>
    <w:rsid w:val="00AA195E"/>
    <w:rsid w:val="00AA4ADE"/>
    <w:rsid w:val="00AA4F04"/>
    <w:rsid w:val="00AB00BF"/>
    <w:rsid w:val="00AB23BB"/>
    <w:rsid w:val="00AB46F0"/>
    <w:rsid w:val="00AC3CA7"/>
    <w:rsid w:val="00AC6353"/>
    <w:rsid w:val="00AD7398"/>
    <w:rsid w:val="00AE17FE"/>
    <w:rsid w:val="00AE3B18"/>
    <w:rsid w:val="00AE4206"/>
    <w:rsid w:val="00AF0B6B"/>
    <w:rsid w:val="00B07AFD"/>
    <w:rsid w:val="00B10E42"/>
    <w:rsid w:val="00B17405"/>
    <w:rsid w:val="00B20E60"/>
    <w:rsid w:val="00B232D6"/>
    <w:rsid w:val="00B27D1F"/>
    <w:rsid w:val="00B401EA"/>
    <w:rsid w:val="00B44E3D"/>
    <w:rsid w:val="00B520FA"/>
    <w:rsid w:val="00B6003F"/>
    <w:rsid w:val="00B70AEE"/>
    <w:rsid w:val="00B74E5E"/>
    <w:rsid w:val="00B75144"/>
    <w:rsid w:val="00B94EC9"/>
    <w:rsid w:val="00B961FC"/>
    <w:rsid w:val="00B972D3"/>
    <w:rsid w:val="00B973BC"/>
    <w:rsid w:val="00BB30E8"/>
    <w:rsid w:val="00BB33C7"/>
    <w:rsid w:val="00BC7947"/>
    <w:rsid w:val="00BD1018"/>
    <w:rsid w:val="00BD1DD6"/>
    <w:rsid w:val="00BD759E"/>
    <w:rsid w:val="00BD7C2E"/>
    <w:rsid w:val="00BE22F5"/>
    <w:rsid w:val="00BE273E"/>
    <w:rsid w:val="00BE5D7A"/>
    <w:rsid w:val="00BF1207"/>
    <w:rsid w:val="00BF4904"/>
    <w:rsid w:val="00C10180"/>
    <w:rsid w:val="00C26262"/>
    <w:rsid w:val="00C277DF"/>
    <w:rsid w:val="00C351E7"/>
    <w:rsid w:val="00C36E59"/>
    <w:rsid w:val="00C45DD9"/>
    <w:rsid w:val="00C53B7C"/>
    <w:rsid w:val="00C57247"/>
    <w:rsid w:val="00C60FDF"/>
    <w:rsid w:val="00C642C9"/>
    <w:rsid w:val="00C65B6D"/>
    <w:rsid w:val="00C66074"/>
    <w:rsid w:val="00C7081E"/>
    <w:rsid w:val="00C76254"/>
    <w:rsid w:val="00C82A30"/>
    <w:rsid w:val="00C86C58"/>
    <w:rsid w:val="00C87AD4"/>
    <w:rsid w:val="00C87C1A"/>
    <w:rsid w:val="00C93286"/>
    <w:rsid w:val="00C9565C"/>
    <w:rsid w:val="00CA4FC5"/>
    <w:rsid w:val="00CB7ED1"/>
    <w:rsid w:val="00CC325C"/>
    <w:rsid w:val="00CC3DD1"/>
    <w:rsid w:val="00CC4FFE"/>
    <w:rsid w:val="00CC6A7F"/>
    <w:rsid w:val="00CD7328"/>
    <w:rsid w:val="00CE2CB3"/>
    <w:rsid w:val="00CF3DED"/>
    <w:rsid w:val="00CF53CD"/>
    <w:rsid w:val="00CF58F0"/>
    <w:rsid w:val="00CF5CF2"/>
    <w:rsid w:val="00CF70E3"/>
    <w:rsid w:val="00D02492"/>
    <w:rsid w:val="00D03300"/>
    <w:rsid w:val="00D03F81"/>
    <w:rsid w:val="00D10E40"/>
    <w:rsid w:val="00D12E16"/>
    <w:rsid w:val="00D230F9"/>
    <w:rsid w:val="00D31434"/>
    <w:rsid w:val="00D36F68"/>
    <w:rsid w:val="00D379D1"/>
    <w:rsid w:val="00D41D38"/>
    <w:rsid w:val="00D43882"/>
    <w:rsid w:val="00D500A1"/>
    <w:rsid w:val="00D546E5"/>
    <w:rsid w:val="00D567A8"/>
    <w:rsid w:val="00D6045A"/>
    <w:rsid w:val="00D66C88"/>
    <w:rsid w:val="00D7795E"/>
    <w:rsid w:val="00D84E87"/>
    <w:rsid w:val="00DA0E57"/>
    <w:rsid w:val="00DB13DE"/>
    <w:rsid w:val="00DB2AB4"/>
    <w:rsid w:val="00DB2F3A"/>
    <w:rsid w:val="00DB437D"/>
    <w:rsid w:val="00DB5023"/>
    <w:rsid w:val="00DB6A1D"/>
    <w:rsid w:val="00DC33BA"/>
    <w:rsid w:val="00DC3D0D"/>
    <w:rsid w:val="00DC6885"/>
    <w:rsid w:val="00DC78D9"/>
    <w:rsid w:val="00DD1D7B"/>
    <w:rsid w:val="00DD6456"/>
    <w:rsid w:val="00DD6724"/>
    <w:rsid w:val="00DE1241"/>
    <w:rsid w:val="00DF7034"/>
    <w:rsid w:val="00E0616A"/>
    <w:rsid w:val="00E10653"/>
    <w:rsid w:val="00E125E6"/>
    <w:rsid w:val="00E15D51"/>
    <w:rsid w:val="00E228B5"/>
    <w:rsid w:val="00E23A8A"/>
    <w:rsid w:val="00E4170B"/>
    <w:rsid w:val="00E4544A"/>
    <w:rsid w:val="00E60392"/>
    <w:rsid w:val="00E62E17"/>
    <w:rsid w:val="00E65A65"/>
    <w:rsid w:val="00E66169"/>
    <w:rsid w:val="00E70906"/>
    <w:rsid w:val="00E81938"/>
    <w:rsid w:val="00E874B2"/>
    <w:rsid w:val="00E912A1"/>
    <w:rsid w:val="00EA42CD"/>
    <w:rsid w:val="00EA46B5"/>
    <w:rsid w:val="00EB2037"/>
    <w:rsid w:val="00EC5383"/>
    <w:rsid w:val="00ED7ACE"/>
    <w:rsid w:val="00EE488E"/>
    <w:rsid w:val="00EF2D38"/>
    <w:rsid w:val="00EF49D4"/>
    <w:rsid w:val="00EF5EB1"/>
    <w:rsid w:val="00EF71EA"/>
    <w:rsid w:val="00F010F3"/>
    <w:rsid w:val="00F04378"/>
    <w:rsid w:val="00F07D2A"/>
    <w:rsid w:val="00F11D9E"/>
    <w:rsid w:val="00F12524"/>
    <w:rsid w:val="00F13251"/>
    <w:rsid w:val="00F1492C"/>
    <w:rsid w:val="00F14D6C"/>
    <w:rsid w:val="00F176D8"/>
    <w:rsid w:val="00F30BE1"/>
    <w:rsid w:val="00F32F43"/>
    <w:rsid w:val="00F37042"/>
    <w:rsid w:val="00F4353A"/>
    <w:rsid w:val="00F5372F"/>
    <w:rsid w:val="00F6399A"/>
    <w:rsid w:val="00F66B9A"/>
    <w:rsid w:val="00F7518E"/>
    <w:rsid w:val="00F8539D"/>
    <w:rsid w:val="00F966B1"/>
    <w:rsid w:val="00F97E9D"/>
    <w:rsid w:val="00FA38EA"/>
    <w:rsid w:val="00FA431F"/>
    <w:rsid w:val="00FB0B55"/>
    <w:rsid w:val="00FB3C10"/>
    <w:rsid w:val="00FC0543"/>
    <w:rsid w:val="00FC1DA1"/>
    <w:rsid w:val="00FC48DB"/>
    <w:rsid w:val="00FC724C"/>
    <w:rsid w:val="00FD07CA"/>
    <w:rsid w:val="00FD17D4"/>
    <w:rsid w:val="00FE1DC9"/>
    <w:rsid w:val="00FE7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69F5F6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C1A"/>
    <w:pPr>
      <w:spacing w:after="0" w:line="240" w:lineRule="auto"/>
      <w:jc w:val="both"/>
    </w:pPr>
    <w:rPr>
      <w:rFonts w:ascii="Calibri" w:eastAsia="Times New Roman" w:hAnsi="Calibri"/>
      <w:lang w:eastAsia="en-AU"/>
    </w:rPr>
  </w:style>
  <w:style w:type="paragraph" w:styleId="Heading1">
    <w:name w:val="heading 1"/>
    <w:aliases w:val="Heading 1.KMC16 - Heading 1,KMC-Heading 1,Outline1,p1,H1,Titre 1 Car Car,Titre 1 Car"/>
    <w:basedOn w:val="ListParagraph"/>
    <w:next w:val="Normal"/>
    <w:link w:val="Heading1Char"/>
    <w:qFormat/>
    <w:rsid w:val="002A0C1A"/>
    <w:pPr>
      <w:ind w:left="0"/>
      <w:outlineLvl w:val="0"/>
    </w:pPr>
    <w:rPr>
      <w:b/>
      <w:szCs w:val="22"/>
    </w:rPr>
  </w:style>
  <w:style w:type="paragraph" w:styleId="Heading2">
    <w:name w:val="heading 2"/>
    <w:aliases w:val="Subsection Headings"/>
    <w:basedOn w:val="Normal"/>
    <w:next w:val="Normal"/>
    <w:link w:val="Heading2Char"/>
    <w:uiPriority w:val="1"/>
    <w:qFormat/>
    <w:rsid w:val="002A0C1A"/>
    <w:pPr>
      <w:keepNext/>
      <w:outlineLvl w:val="1"/>
    </w:pPr>
    <w:rPr>
      <w:rFonts w:ascii="Arial" w:hAnsi="Arial"/>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KMC16 - Heading 1 Char,KMC-Heading 1 Char,Outline1 Char,p1 Char,H1 Char,Titre 1 Car Car Char,Titre 1 Car Char"/>
    <w:basedOn w:val="DefaultParagraphFont"/>
    <w:link w:val="Heading1"/>
    <w:rsid w:val="002A0C1A"/>
    <w:rPr>
      <w:rFonts w:asciiTheme="minorHAnsi" w:eastAsia="Times New Roman" w:hAnsiTheme="minorHAnsi" w:cs="Arial"/>
      <w:b/>
      <w:snapToGrid w:val="0"/>
      <w:szCs w:val="22"/>
      <w:lang w:eastAsia="en-AU"/>
    </w:rPr>
  </w:style>
  <w:style w:type="character" w:customStyle="1" w:styleId="Heading2Char">
    <w:name w:val="Heading 2 Char"/>
    <w:aliases w:val="Subsection Headings Char"/>
    <w:basedOn w:val="DefaultParagraphFont"/>
    <w:link w:val="Heading2"/>
    <w:uiPriority w:val="1"/>
    <w:rsid w:val="002A0C1A"/>
    <w:rPr>
      <w:rFonts w:ascii="Arial" w:eastAsia="Times New Roman" w:hAnsi="Arial"/>
      <w:b/>
      <w:i/>
      <w:sz w:val="22"/>
      <w:lang w:eastAsia="en-AU"/>
    </w:rPr>
  </w:style>
  <w:style w:type="paragraph" w:styleId="ListParagraph">
    <w:name w:val="List Paragraph"/>
    <w:aliases w:val="BulletPoints,Numbered para,Body Text Bullet Points,List Paragraph1,Bullet point,List Paragraph11,Recommendation,Section heading,Footnote,L1 Bulleted List,Summary Bullets,Footer Setting,Bullet List,FooterText,numbered,Paragraphe de liste1"/>
    <w:next w:val="ListBullet"/>
    <w:link w:val="ListParagraphChar"/>
    <w:uiPriority w:val="34"/>
    <w:qFormat/>
    <w:rsid w:val="002A0C1A"/>
    <w:pPr>
      <w:spacing w:after="120" w:line="240" w:lineRule="auto"/>
      <w:ind w:left="1134" w:hanging="357"/>
    </w:pPr>
    <w:rPr>
      <w:rFonts w:asciiTheme="minorHAnsi" w:eastAsia="Times New Roman" w:hAnsiTheme="minorHAnsi" w:cs="Arial"/>
      <w:snapToGrid w:val="0"/>
      <w:lang w:eastAsia="en-AU"/>
    </w:rPr>
  </w:style>
  <w:style w:type="paragraph" w:styleId="ListBullet">
    <w:name w:val="List Bullet"/>
    <w:basedOn w:val="Normal"/>
    <w:unhideWhenUsed/>
    <w:rsid w:val="002A0C1A"/>
    <w:pPr>
      <w:numPr>
        <w:numId w:val="6"/>
      </w:numPr>
      <w:contextualSpacing/>
    </w:p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1 Bulleted List Char,Summary Bullets Char"/>
    <w:basedOn w:val="DefaultParagraphFont"/>
    <w:link w:val="ListParagraph"/>
    <w:uiPriority w:val="34"/>
    <w:qFormat/>
    <w:rsid w:val="002A0C1A"/>
    <w:rPr>
      <w:rFonts w:asciiTheme="minorHAnsi" w:eastAsia="Times New Roman" w:hAnsiTheme="minorHAnsi" w:cs="Arial"/>
      <w:snapToGrid w:val="0"/>
      <w:lang w:eastAsia="en-AU"/>
    </w:rPr>
  </w:style>
  <w:style w:type="paragraph" w:styleId="Header">
    <w:name w:val="header"/>
    <w:aliases w:val="Page Header,Header title,he=header,cntr/bld"/>
    <w:basedOn w:val="Normal"/>
    <w:link w:val="HeaderChar"/>
    <w:uiPriority w:val="99"/>
    <w:qFormat/>
    <w:rsid w:val="002A0C1A"/>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2A0C1A"/>
    <w:rPr>
      <w:rFonts w:ascii="Calibri" w:eastAsia="Times New Roman" w:hAnsi="Calibri"/>
      <w:lang w:eastAsia="en-AU"/>
    </w:rPr>
  </w:style>
  <w:style w:type="paragraph" w:styleId="Footer">
    <w:name w:val="footer"/>
    <w:basedOn w:val="Normal"/>
    <w:link w:val="FooterChar"/>
    <w:uiPriority w:val="99"/>
    <w:rsid w:val="002A0C1A"/>
    <w:pPr>
      <w:tabs>
        <w:tab w:val="center" w:pos="4153"/>
        <w:tab w:val="right" w:pos="8306"/>
      </w:tabs>
    </w:pPr>
  </w:style>
  <w:style w:type="character" w:customStyle="1" w:styleId="FooterChar">
    <w:name w:val="Footer Char"/>
    <w:basedOn w:val="DefaultParagraphFont"/>
    <w:link w:val="Footer"/>
    <w:uiPriority w:val="99"/>
    <w:rsid w:val="002A0C1A"/>
    <w:rPr>
      <w:rFonts w:ascii="Calibri" w:eastAsia="Times New Roman" w:hAnsi="Calibri"/>
      <w:lang w:eastAsia="en-AU"/>
    </w:rPr>
  </w:style>
  <w:style w:type="character" w:styleId="PageNumber">
    <w:name w:val="page number"/>
    <w:basedOn w:val="DefaultParagraphFont"/>
    <w:rsid w:val="002A0C1A"/>
  </w:style>
  <w:style w:type="table" w:styleId="TableGrid">
    <w:name w:val="Table Grid"/>
    <w:aliases w:val="Dossier table"/>
    <w:basedOn w:val="TableNormal"/>
    <w:uiPriority w:val="39"/>
    <w:rsid w:val="002A0C1A"/>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link w:val="MediumGrid2Char"/>
    <w:rsid w:val="002A0C1A"/>
    <w:pPr>
      <w:spacing w:after="0" w:line="240" w:lineRule="auto"/>
    </w:pPr>
    <w:rPr>
      <w:rFonts w:ascii="PMingLiU" w:eastAsia="MS Mincho" w:hAnsi="PMingLiU"/>
      <w:sz w:val="22"/>
      <w:szCs w:val="22"/>
      <w:lang w:val="en-US"/>
    </w:rPr>
  </w:style>
  <w:style w:type="character" w:customStyle="1" w:styleId="MediumGrid2Char">
    <w:name w:val="Medium Grid 2 Char"/>
    <w:link w:val="MediumGrid21"/>
    <w:rsid w:val="002A0C1A"/>
    <w:rPr>
      <w:rFonts w:ascii="PMingLiU" w:eastAsia="MS Mincho" w:hAnsi="PMingLiU"/>
      <w:sz w:val="22"/>
      <w:szCs w:val="22"/>
      <w:lang w:val="en-US"/>
    </w:rPr>
  </w:style>
  <w:style w:type="character" w:styleId="CommentReference">
    <w:name w:val="annotation reference"/>
    <w:aliases w:val="Table Title"/>
    <w:basedOn w:val="DefaultParagraphFont"/>
    <w:uiPriority w:val="99"/>
    <w:qFormat/>
    <w:rsid w:val="002A0C1A"/>
    <w:rPr>
      <w:sz w:val="16"/>
      <w:szCs w:val="16"/>
    </w:rPr>
  </w:style>
  <w:style w:type="paragraph" w:styleId="CommentText">
    <w:name w:val="annotation text"/>
    <w:basedOn w:val="Normal"/>
    <w:link w:val="CommentTextChar"/>
    <w:rsid w:val="002A0C1A"/>
    <w:rPr>
      <w:sz w:val="20"/>
      <w:szCs w:val="20"/>
    </w:rPr>
  </w:style>
  <w:style w:type="character" w:customStyle="1" w:styleId="CommentTextChar">
    <w:name w:val="Comment Text Char"/>
    <w:basedOn w:val="DefaultParagraphFont"/>
    <w:link w:val="CommentText"/>
    <w:rsid w:val="002A0C1A"/>
    <w:rPr>
      <w:rFonts w:ascii="Calibri" w:eastAsia="Times New Roman" w:hAnsi="Calibri"/>
      <w:sz w:val="20"/>
      <w:szCs w:val="20"/>
      <w:lang w:eastAsia="en-AU"/>
    </w:rPr>
  </w:style>
  <w:style w:type="paragraph" w:customStyle="1" w:styleId="2Sections">
    <w:name w:val="2. Sections"/>
    <w:qFormat/>
    <w:rsid w:val="002A0C1A"/>
    <w:pPr>
      <w:spacing w:before="240" w:after="120" w:line="240" w:lineRule="auto"/>
      <w:outlineLvl w:val="0"/>
    </w:pPr>
    <w:rPr>
      <w:rFonts w:asciiTheme="minorHAnsi" w:eastAsia="Times New Roman" w:hAnsiTheme="minorHAnsi" w:cs="Arial"/>
      <w:b/>
      <w:snapToGrid w:val="0"/>
      <w:sz w:val="32"/>
      <w:szCs w:val="32"/>
    </w:rPr>
  </w:style>
  <w:style w:type="paragraph" w:customStyle="1" w:styleId="1MainTitle">
    <w:name w:val="1. Main Title"/>
    <w:basedOn w:val="Title"/>
    <w:link w:val="1MainTitleChar"/>
    <w:qFormat/>
    <w:rsid w:val="002A0C1A"/>
    <w:pPr>
      <w:spacing w:before="120" w:after="160"/>
      <w:ind w:left="720" w:hanging="720"/>
      <w:outlineLvl w:val="0"/>
    </w:pPr>
    <w:rPr>
      <w:rFonts w:asciiTheme="minorHAnsi" w:hAnsiTheme="minorHAnsi"/>
      <w:b/>
      <w:spacing w:val="5"/>
      <w:sz w:val="36"/>
      <w:szCs w:val="36"/>
    </w:rPr>
  </w:style>
  <w:style w:type="character" w:customStyle="1" w:styleId="1MainTitleChar">
    <w:name w:val="1. Main Title Char"/>
    <w:basedOn w:val="TitleChar"/>
    <w:link w:val="1MainTitle"/>
    <w:rsid w:val="002A0C1A"/>
    <w:rPr>
      <w:rFonts w:asciiTheme="minorHAnsi" w:eastAsiaTheme="majorEastAsia" w:hAnsiTheme="minorHAnsi" w:cstheme="majorBidi"/>
      <w:b/>
      <w:spacing w:val="5"/>
      <w:kern w:val="28"/>
      <w:sz w:val="36"/>
      <w:szCs w:val="36"/>
      <w:lang w:eastAsia="en-AU"/>
    </w:rPr>
  </w:style>
  <w:style w:type="paragraph" w:customStyle="1" w:styleId="MinorOVRHeader">
    <w:name w:val="Minor OVR Header"/>
    <w:basedOn w:val="Header"/>
    <w:link w:val="MinorOVRHeaderChar"/>
    <w:rsid w:val="002A0C1A"/>
    <w:pPr>
      <w:jc w:val="right"/>
    </w:pPr>
    <w:rPr>
      <w:rFonts w:asciiTheme="minorHAnsi" w:hAnsiTheme="minorHAnsi" w:cs="Arial"/>
    </w:rPr>
  </w:style>
  <w:style w:type="character" w:customStyle="1" w:styleId="MinorOVRHeaderChar">
    <w:name w:val="Minor OVR Header Char"/>
    <w:basedOn w:val="HeaderChar"/>
    <w:link w:val="MinorOVRHeader"/>
    <w:rsid w:val="002A0C1A"/>
    <w:rPr>
      <w:rFonts w:asciiTheme="minorHAnsi" w:eastAsia="Times New Roman" w:hAnsiTheme="minorHAnsi" w:cs="Arial"/>
      <w:lang w:eastAsia="en-AU"/>
    </w:rPr>
  </w:style>
  <w:style w:type="paragraph" w:customStyle="1" w:styleId="Tabletitles">
    <w:name w:val="Table titles"/>
    <w:basedOn w:val="NoSpacing"/>
    <w:link w:val="TabletitlesChar"/>
    <w:qFormat/>
    <w:rsid w:val="002A0C1A"/>
    <w:pPr>
      <w:spacing w:after="60"/>
    </w:pPr>
    <w:rPr>
      <w:rFonts w:ascii="Arial Narrow" w:hAnsi="Arial Narrow"/>
      <w:b/>
      <w:sz w:val="20"/>
      <w:szCs w:val="22"/>
    </w:rPr>
  </w:style>
  <w:style w:type="character" w:customStyle="1" w:styleId="TabletitlesChar">
    <w:name w:val="Table titles Char"/>
    <w:basedOn w:val="DefaultParagraphFont"/>
    <w:link w:val="Tabletitles"/>
    <w:rsid w:val="002A0C1A"/>
    <w:rPr>
      <w:rFonts w:ascii="Arial Narrow" w:eastAsia="Times New Roman" w:hAnsi="Arial Narrow"/>
      <w:b/>
      <w:sz w:val="20"/>
      <w:szCs w:val="22"/>
      <w:lang w:eastAsia="en-AU"/>
    </w:rPr>
  </w:style>
  <w:style w:type="paragraph" w:customStyle="1" w:styleId="3Bodytext">
    <w:name w:val="3. Body text"/>
    <w:basedOn w:val="ListParagraph"/>
    <w:link w:val="3BodytextChar"/>
    <w:qFormat/>
    <w:rsid w:val="002A0C1A"/>
    <w:pPr>
      <w:numPr>
        <w:ilvl w:val="1"/>
        <w:numId w:val="2"/>
      </w:numPr>
    </w:pPr>
    <w:rPr>
      <w:rFonts w:cstheme="minorBidi"/>
      <w:snapToGrid/>
      <w:szCs w:val="22"/>
    </w:rPr>
  </w:style>
  <w:style w:type="character" w:customStyle="1" w:styleId="3BodytextChar">
    <w:name w:val="3. Body text Char"/>
    <w:basedOn w:val="ListParagraphChar"/>
    <w:link w:val="3Bodytext"/>
    <w:rsid w:val="002A0C1A"/>
    <w:rPr>
      <w:rFonts w:asciiTheme="minorHAnsi" w:eastAsia="Times New Roman" w:hAnsiTheme="minorHAnsi" w:cstheme="minorBidi"/>
      <w:snapToGrid/>
      <w:szCs w:val="22"/>
      <w:lang w:eastAsia="en-AU"/>
    </w:rPr>
  </w:style>
  <w:style w:type="paragraph" w:customStyle="1" w:styleId="PBACFooter">
    <w:name w:val="PBAC Footer"/>
    <w:basedOn w:val="Footer"/>
    <w:link w:val="PBACFooterChar"/>
    <w:qFormat/>
    <w:rsid w:val="002A0C1A"/>
    <w:pPr>
      <w:jc w:val="center"/>
    </w:pPr>
    <w:rPr>
      <w:rFonts w:ascii="Arial" w:hAnsi="Arial" w:cs="Arial"/>
      <w:b/>
      <w:sz w:val="20"/>
      <w:szCs w:val="20"/>
    </w:rPr>
  </w:style>
  <w:style w:type="character" w:customStyle="1" w:styleId="PBACFooterChar">
    <w:name w:val="PBAC Footer Char"/>
    <w:basedOn w:val="FooterChar"/>
    <w:link w:val="PBACFooter"/>
    <w:rsid w:val="002A0C1A"/>
    <w:rPr>
      <w:rFonts w:ascii="Arial" w:eastAsia="Times New Roman" w:hAnsi="Arial" w:cs="Arial"/>
      <w:b/>
      <w:sz w:val="20"/>
      <w:szCs w:val="20"/>
      <w:lang w:eastAsia="en-AU"/>
    </w:rPr>
  </w:style>
  <w:style w:type="paragraph" w:customStyle="1" w:styleId="TableText">
    <w:name w:val="Table Text"/>
    <w:link w:val="TableTextChar"/>
    <w:qFormat/>
    <w:rsid w:val="002A0C1A"/>
    <w:pPr>
      <w:keepNext/>
      <w:spacing w:after="0" w:line="240" w:lineRule="auto"/>
    </w:pPr>
    <w:rPr>
      <w:rFonts w:ascii="Arial Narrow" w:eastAsiaTheme="majorEastAsia" w:hAnsi="Arial Narrow" w:cstheme="majorBidi"/>
      <w:bCs/>
      <w:sz w:val="20"/>
      <w:lang w:eastAsia="en-AU"/>
    </w:rPr>
  </w:style>
  <w:style w:type="character" w:customStyle="1" w:styleId="TableTextChar">
    <w:name w:val="Table Text Char"/>
    <w:basedOn w:val="DefaultParagraphFont"/>
    <w:link w:val="TableText"/>
    <w:rsid w:val="002A0C1A"/>
    <w:rPr>
      <w:rFonts w:ascii="Arial Narrow" w:eastAsiaTheme="majorEastAsia" w:hAnsi="Arial Narrow" w:cstheme="majorBidi"/>
      <w:bCs/>
      <w:sz w:val="20"/>
      <w:lang w:eastAsia="en-AU"/>
    </w:rPr>
  </w:style>
  <w:style w:type="paragraph" w:customStyle="1" w:styleId="2-SectionHeading">
    <w:name w:val="2-Section Heading"/>
    <w:qFormat/>
    <w:rsid w:val="002A0C1A"/>
    <w:pPr>
      <w:keepNext/>
      <w:numPr>
        <w:numId w:val="2"/>
      </w:numPr>
      <w:spacing w:before="240" w:after="120" w:line="240" w:lineRule="auto"/>
      <w:outlineLvl w:val="0"/>
    </w:pPr>
    <w:rPr>
      <w:rFonts w:asciiTheme="minorHAnsi" w:eastAsia="Times New Roman" w:hAnsiTheme="minorHAnsi" w:cs="Arial"/>
      <w:b/>
      <w:snapToGrid w:val="0"/>
      <w:sz w:val="32"/>
      <w:szCs w:val="32"/>
      <w:lang w:eastAsia="en-AU"/>
    </w:rPr>
  </w:style>
  <w:style w:type="paragraph" w:customStyle="1" w:styleId="3-BodyText">
    <w:name w:val="3-Body Text"/>
    <w:link w:val="3-BodyTextChar"/>
    <w:qFormat/>
    <w:rsid w:val="002A0C1A"/>
    <w:pPr>
      <w:numPr>
        <w:numId w:val="3"/>
      </w:numPr>
      <w:spacing w:after="120" w:line="240" w:lineRule="auto"/>
      <w:jc w:val="both"/>
    </w:pPr>
    <w:rPr>
      <w:rFonts w:asciiTheme="minorHAnsi" w:eastAsia="Times New Roman" w:hAnsiTheme="minorHAnsi" w:cstheme="minorBidi"/>
      <w:szCs w:val="22"/>
      <w:lang w:eastAsia="en-AU"/>
    </w:rPr>
  </w:style>
  <w:style w:type="character" w:customStyle="1" w:styleId="3-BodyTextChar">
    <w:name w:val="3-Body Text Char"/>
    <w:basedOn w:val="ListParagraphChar"/>
    <w:link w:val="3-BodyText"/>
    <w:rsid w:val="002A0C1A"/>
    <w:rPr>
      <w:rFonts w:asciiTheme="minorHAnsi" w:eastAsia="Times New Roman" w:hAnsiTheme="minorHAnsi" w:cstheme="minorBidi"/>
      <w:snapToGrid/>
      <w:szCs w:val="22"/>
      <w:lang w:eastAsia="en-AU"/>
    </w:rPr>
  </w:style>
  <w:style w:type="paragraph" w:customStyle="1" w:styleId="TableFigureFooter">
    <w:name w:val="Table/Figure Footer"/>
    <w:basedOn w:val="Normal"/>
    <w:link w:val="TableFigureFooterChar"/>
    <w:qFormat/>
    <w:rsid w:val="002A0C1A"/>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2A0C1A"/>
    <w:rPr>
      <w:rFonts w:ascii="Arial Narrow" w:eastAsia="Times New Roman" w:hAnsi="Arial Narrow" w:cs="Arial"/>
      <w:snapToGrid w:val="0"/>
      <w:sz w:val="18"/>
      <w:szCs w:val="22"/>
      <w:lang w:eastAsia="en-AU"/>
    </w:rPr>
  </w:style>
  <w:style w:type="paragraph" w:customStyle="1" w:styleId="4-SubsectionHeading">
    <w:name w:val="4-Subsection Heading"/>
    <w:basedOn w:val="Heading2"/>
    <w:next w:val="3-BodyText"/>
    <w:link w:val="4-SubsectionHeadingChar"/>
    <w:qFormat/>
    <w:rsid w:val="002A0C1A"/>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2A0C1A"/>
    <w:rPr>
      <w:rFonts w:asciiTheme="minorHAnsi" w:eastAsiaTheme="majorEastAsia" w:hAnsiTheme="minorHAnsi" w:cstheme="majorBidi"/>
      <w:b/>
      <w:i/>
      <w:spacing w:val="5"/>
      <w:kern w:val="28"/>
      <w:sz w:val="28"/>
      <w:szCs w:val="36"/>
      <w:lang w:eastAsia="en-AU"/>
    </w:rPr>
  </w:style>
  <w:style w:type="paragraph" w:customStyle="1" w:styleId="KMC16-Text">
    <w:name w:val="KMC16 - Text"/>
    <w:basedOn w:val="Normal"/>
    <w:link w:val="KMC16-TextChar"/>
    <w:qFormat/>
    <w:rsid w:val="002A0C1A"/>
    <w:pPr>
      <w:spacing w:before="120" w:after="240" w:line="360" w:lineRule="auto"/>
    </w:pPr>
    <w:rPr>
      <w:rFonts w:ascii="Arial" w:eastAsia="Batang" w:hAnsi="Arial" w:cstheme="minorBidi"/>
      <w:color w:val="000000" w:themeColor="text1"/>
      <w:sz w:val="22"/>
      <w:szCs w:val="22"/>
      <w:lang w:eastAsia="en-US"/>
    </w:rPr>
  </w:style>
  <w:style w:type="character" w:customStyle="1" w:styleId="KMC16-TextChar">
    <w:name w:val="KMC16 - Text Char"/>
    <w:basedOn w:val="DefaultParagraphFont"/>
    <w:link w:val="KMC16-Text"/>
    <w:rsid w:val="002A0C1A"/>
    <w:rPr>
      <w:rFonts w:ascii="Arial" w:eastAsia="Batang" w:hAnsi="Arial" w:cstheme="minorBidi"/>
      <w:color w:val="000000" w:themeColor="text1"/>
      <w:sz w:val="22"/>
      <w:szCs w:val="22"/>
    </w:rPr>
  </w:style>
  <w:style w:type="paragraph" w:customStyle="1" w:styleId="KMC16-Tablecontent">
    <w:name w:val="KMC16 - Table content"/>
    <w:basedOn w:val="Normal"/>
    <w:link w:val="KMC16-TablecontentChar"/>
    <w:qFormat/>
    <w:rsid w:val="002A0C1A"/>
    <w:pPr>
      <w:spacing w:before="40" w:after="40"/>
      <w:jc w:val="left"/>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2A0C1A"/>
    <w:rPr>
      <w:rFonts w:ascii="Arial Narrow" w:eastAsia="Times New Roman" w:hAnsi="Arial Narrow" w:cs="Arial"/>
      <w:color w:val="000000"/>
      <w:sz w:val="20"/>
      <w:szCs w:val="22"/>
      <w:lang w:val="en-GB"/>
    </w:rPr>
  </w:style>
  <w:style w:type="paragraph" w:customStyle="1" w:styleId="KMC16-TableHeading">
    <w:name w:val="KMC16 - Table Heading"/>
    <w:basedOn w:val="Normal"/>
    <w:qFormat/>
    <w:rsid w:val="002A0C1A"/>
    <w:pPr>
      <w:spacing w:before="40" w:after="40"/>
      <w:jc w:val="center"/>
    </w:pPr>
    <w:rPr>
      <w:rFonts w:ascii="Arial Narrow" w:hAnsi="Arial Narrow" w:cs="Arial"/>
      <w:b/>
      <w:color w:val="000000"/>
      <w:sz w:val="20"/>
      <w:szCs w:val="22"/>
      <w:lang w:eastAsia="en-US"/>
    </w:rPr>
  </w:style>
  <w:style w:type="paragraph" w:styleId="FootnoteText">
    <w:name w:val="footnote text"/>
    <w:basedOn w:val="Normal"/>
    <w:link w:val="FootnoteTextChar"/>
    <w:uiPriority w:val="99"/>
    <w:unhideWhenUsed/>
    <w:qFormat/>
    <w:rsid w:val="002A0C1A"/>
    <w:rPr>
      <w:sz w:val="20"/>
      <w:szCs w:val="20"/>
    </w:rPr>
  </w:style>
  <w:style w:type="character" w:customStyle="1" w:styleId="FootnoteTextChar">
    <w:name w:val="Footnote Text Char"/>
    <w:basedOn w:val="DefaultParagraphFont"/>
    <w:link w:val="FootnoteText"/>
    <w:uiPriority w:val="99"/>
    <w:rsid w:val="002A0C1A"/>
    <w:rPr>
      <w:rFonts w:ascii="Calibri" w:eastAsia="Times New Roman" w:hAnsi="Calibri"/>
      <w:sz w:val="20"/>
      <w:szCs w:val="20"/>
      <w:lang w:eastAsia="en-AU"/>
    </w:rPr>
  </w:style>
  <w:style w:type="character" w:styleId="FootnoteReference">
    <w:name w:val="footnote reference"/>
    <w:basedOn w:val="DefaultParagraphFont"/>
    <w:uiPriority w:val="99"/>
    <w:semiHidden/>
    <w:unhideWhenUsed/>
    <w:rsid w:val="002A0C1A"/>
    <w:rPr>
      <w:vertAlign w:val="superscript"/>
    </w:rPr>
  </w:style>
  <w:style w:type="paragraph" w:styleId="Title">
    <w:name w:val="Title"/>
    <w:basedOn w:val="Normal"/>
    <w:next w:val="Normal"/>
    <w:link w:val="TitleChar"/>
    <w:uiPriority w:val="10"/>
    <w:qFormat/>
    <w:rsid w:val="002A0C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C1A"/>
    <w:rPr>
      <w:rFonts w:asciiTheme="majorHAnsi" w:eastAsiaTheme="majorEastAsia" w:hAnsiTheme="majorHAnsi" w:cstheme="majorBidi"/>
      <w:spacing w:val="-10"/>
      <w:kern w:val="28"/>
      <w:sz w:val="56"/>
      <w:szCs w:val="56"/>
      <w:lang w:eastAsia="en-AU"/>
    </w:rPr>
  </w:style>
  <w:style w:type="paragraph" w:styleId="NoSpacing">
    <w:name w:val="No Spacing"/>
    <w:uiPriority w:val="1"/>
    <w:qFormat/>
    <w:rsid w:val="002A0C1A"/>
    <w:pPr>
      <w:spacing w:after="0" w:line="240" w:lineRule="auto"/>
      <w:jc w:val="both"/>
    </w:pPr>
    <w:rPr>
      <w:rFonts w:ascii="Calibri" w:eastAsia="Times New Roman" w:hAnsi="Calibri"/>
      <w:lang w:eastAsia="en-AU"/>
    </w:rPr>
  </w:style>
  <w:style w:type="paragraph" w:styleId="BalloonText">
    <w:name w:val="Balloon Text"/>
    <w:basedOn w:val="Normal"/>
    <w:link w:val="BalloonTextChar"/>
    <w:uiPriority w:val="99"/>
    <w:semiHidden/>
    <w:unhideWhenUsed/>
    <w:rsid w:val="002A0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C1A"/>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28209E"/>
    <w:rPr>
      <w:b/>
      <w:bCs/>
    </w:rPr>
  </w:style>
  <w:style w:type="character" w:customStyle="1" w:styleId="CommentSubjectChar">
    <w:name w:val="Comment Subject Char"/>
    <w:basedOn w:val="CommentTextChar"/>
    <w:link w:val="CommentSubject"/>
    <w:uiPriority w:val="99"/>
    <w:semiHidden/>
    <w:rsid w:val="0028209E"/>
    <w:rPr>
      <w:rFonts w:ascii="Calibri" w:eastAsia="Times New Roman" w:hAnsi="Calibri"/>
      <w:b/>
      <w:bCs/>
      <w:sz w:val="20"/>
      <w:szCs w:val="20"/>
      <w:lang w:eastAsia="en-AU"/>
    </w:rPr>
  </w:style>
  <w:style w:type="paragraph" w:styleId="Revision">
    <w:name w:val="Revision"/>
    <w:hidden/>
    <w:uiPriority w:val="99"/>
    <w:semiHidden/>
    <w:rsid w:val="00D03F81"/>
    <w:pPr>
      <w:spacing w:after="0" w:line="240" w:lineRule="auto"/>
    </w:pPr>
    <w:rPr>
      <w:rFonts w:ascii="Calibri" w:eastAsia="Times New Roman" w:hAnsi="Calibri"/>
      <w:lang w:eastAsia="en-AU"/>
    </w:rPr>
  </w:style>
  <w:style w:type="paragraph" w:styleId="NormalWeb">
    <w:name w:val="Normal (Web)"/>
    <w:basedOn w:val="Normal"/>
    <w:uiPriority w:val="99"/>
    <w:semiHidden/>
    <w:unhideWhenUsed/>
    <w:rsid w:val="00BD759E"/>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BD759E"/>
    <w:rPr>
      <w:b/>
      <w:bCs/>
    </w:rPr>
  </w:style>
  <w:style w:type="table" w:customStyle="1" w:styleId="Submissionstandard5">
    <w:name w:val="Submission standard5"/>
    <w:basedOn w:val="TableNormal"/>
    <w:uiPriority w:val="99"/>
    <w:qFormat/>
    <w:rsid w:val="00981D5B"/>
    <w:pPr>
      <w:spacing w:after="0" w:line="240" w:lineRule="auto"/>
    </w:pPr>
    <w:rPr>
      <w:rFonts w:ascii="Arial Narrow" w:eastAsiaTheme="majorEastAsia" w:hAnsi="Arial Narrow" w:cstheme="majorBidi"/>
      <w:sz w:val="20"/>
      <w:szCs w:val="22"/>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CG Omega" w:hAnsi="CG Omega" w:hint="default"/>
        <w:b/>
        <w:sz w:val="20"/>
        <w:szCs w:val="20"/>
      </w:rPr>
      <w:tblPr/>
      <w:tcPr>
        <w:shd w:val="clear" w:color="auto" w:fill="BFBFBF" w:themeFill="background1" w:themeFillShade="BF"/>
      </w:tcPr>
    </w:tblStylePr>
  </w:style>
  <w:style w:type="paragraph" w:customStyle="1" w:styleId="KMC16-Caption">
    <w:name w:val="KMC16 - Caption"/>
    <w:basedOn w:val="Normal"/>
    <w:qFormat/>
    <w:rsid w:val="00981D5B"/>
    <w:pPr>
      <w:keepNext/>
      <w:tabs>
        <w:tab w:val="left" w:pos="567"/>
      </w:tabs>
      <w:spacing w:before="240" w:after="40"/>
      <w:ind w:left="964" w:hanging="964"/>
      <w:contextualSpacing/>
      <w:jc w:val="left"/>
    </w:pPr>
    <w:rPr>
      <w:rFonts w:ascii="Arial" w:hAnsi="Arial"/>
      <w:b/>
      <w:color w:val="000000"/>
      <w:sz w:val="20"/>
      <w:szCs w:val="20"/>
    </w:rPr>
  </w:style>
  <w:style w:type="paragraph" w:customStyle="1" w:styleId="KMC16-TFNotes">
    <w:name w:val="KMC16 - TF Notes"/>
    <w:basedOn w:val="Normal"/>
    <w:qFormat/>
    <w:rsid w:val="00981D5B"/>
    <w:pPr>
      <w:spacing w:before="45" w:after="240"/>
      <w:contextualSpacing/>
      <w:jc w:val="left"/>
    </w:pPr>
    <w:rPr>
      <w:rFonts w:eastAsia="Batang" w:cstheme="minorBidi"/>
      <w:bCs/>
      <w:snapToGrid w:val="0"/>
      <w:color w:val="000000" w:themeColor="text1"/>
      <w:sz w:val="16"/>
      <w:szCs w:val="22"/>
      <w:lang w:eastAsia="en-US"/>
    </w:rPr>
  </w:style>
  <w:style w:type="character" w:styleId="PlaceholderText">
    <w:name w:val="Placeholder Text"/>
    <w:basedOn w:val="DefaultParagraphFont"/>
    <w:uiPriority w:val="99"/>
    <w:semiHidden/>
    <w:rsid w:val="000A54AA"/>
    <w:rPr>
      <w:color w:val="808080"/>
    </w:rPr>
  </w:style>
  <w:style w:type="character" w:styleId="Hyperlink">
    <w:name w:val="Hyperlink"/>
    <w:basedOn w:val="DefaultParagraphFont"/>
    <w:uiPriority w:val="99"/>
    <w:unhideWhenUsed/>
    <w:rsid w:val="00AC3CA7"/>
    <w:rPr>
      <w:color w:val="0563C1" w:themeColor="hyperlink"/>
      <w:u w:val="single"/>
    </w:rPr>
  </w:style>
  <w:style w:type="character" w:customStyle="1" w:styleId="UnresolvedMention1">
    <w:name w:val="Unresolved Mention1"/>
    <w:basedOn w:val="DefaultParagraphFont"/>
    <w:uiPriority w:val="99"/>
    <w:semiHidden/>
    <w:unhideWhenUsed/>
    <w:rsid w:val="00AC3CA7"/>
    <w:rPr>
      <w:color w:val="605E5C"/>
      <w:shd w:val="clear" w:color="auto" w:fill="E1DFDD"/>
    </w:rPr>
  </w:style>
  <w:style w:type="paragraph" w:customStyle="1" w:styleId="In-tableHeading">
    <w:name w:val="In-table Heading"/>
    <w:qFormat/>
    <w:rsid w:val="000751FF"/>
    <w:pPr>
      <w:keepNext/>
      <w:spacing w:after="0" w:line="240" w:lineRule="auto"/>
    </w:pPr>
    <w:rPr>
      <w:rFonts w:ascii="Arial Narrow" w:eastAsiaTheme="majorEastAsia" w:hAnsi="Arial Narrow"/>
      <w:b/>
      <w:sz w:val="20"/>
      <w:lang w:val="en-US" w:eastAsia="en-AU"/>
    </w:rPr>
  </w:style>
  <w:style w:type="paragraph" w:customStyle="1" w:styleId="table">
    <w:name w:val="table"/>
    <w:basedOn w:val="Normal"/>
    <w:link w:val="tableChar"/>
    <w:qFormat/>
    <w:rsid w:val="000751FF"/>
    <w:pPr>
      <w:spacing w:after="220" w:line="360" w:lineRule="auto"/>
    </w:pPr>
    <w:rPr>
      <w:rFonts w:ascii="Sabon" w:hAnsi="Sabon"/>
      <w:sz w:val="22"/>
      <w:szCs w:val="22"/>
      <w:lang w:eastAsia="en-US"/>
    </w:rPr>
  </w:style>
  <w:style w:type="character" w:customStyle="1" w:styleId="form-strength">
    <w:name w:val="form-strength"/>
    <w:basedOn w:val="DefaultParagraphFont"/>
    <w:rsid w:val="000751FF"/>
  </w:style>
  <w:style w:type="character" w:customStyle="1" w:styleId="tableChar">
    <w:name w:val="table Char"/>
    <w:basedOn w:val="DefaultParagraphFont"/>
    <w:link w:val="table"/>
    <w:rsid w:val="000751FF"/>
    <w:rPr>
      <w:rFonts w:ascii="Sabon" w:eastAsia="Times New Roman" w:hAnsi="Sabon"/>
      <w:sz w:val="22"/>
      <w:szCs w:val="22"/>
    </w:rPr>
  </w:style>
  <w:style w:type="paragraph" w:customStyle="1" w:styleId="PBACHeading1">
    <w:name w:val="PBAC Heading 1"/>
    <w:qFormat/>
    <w:rsid w:val="000C4686"/>
    <w:pPr>
      <w:keepNext/>
      <w:keepLines/>
      <w:spacing w:after="120" w:line="240" w:lineRule="auto"/>
      <w:ind w:left="720" w:hanging="720"/>
      <w:outlineLvl w:val="0"/>
    </w:pPr>
    <w:rPr>
      <w:rFonts w:asciiTheme="minorHAnsi" w:eastAsia="Times New Roman" w:hAnsiTheme="minorHAnsi" w:cstheme="minorHAnsi"/>
      <w:b/>
      <w:snapToGrid w:val="0"/>
      <w:sz w:val="32"/>
      <w:szCs w:val="28"/>
    </w:rPr>
  </w:style>
  <w:style w:type="paragraph" w:customStyle="1" w:styleId="3-SubsectionHeading">
    <w:name w:val="3-Subsection Heading"/>
    <w:basedOn w:val="Heading2"/>
    <w:next w:val="Normal"/>
    <w:link w:val="3-SubsectionHeadingChar"/>
    <w:qFormat/>
    <w:rsid w:val="000C4686"/>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DefaultParagraphFont"/>
    <w:link w:val="3-SubsectionHeading"/>
    <w:rsid w:val="000C4686"/>
    <w:rPr>
      <w:rFonts w:asciiTheme="minorHAnsi" w:eastAsiaTheme="majorEastAsia" w:hAnsiTheme="minorHAnsi" w:cstheme="majorBidi"/>
      <w:b/>
      <w:i/>
      <w:spacing w:val="5"/>
      <w:kern w:val="28"/>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72137">
      <w:bodyDiv w:val="1"/>
      <w:marLeft w:val="0"/>
      <w:marRight w:val="0"/>
      <w:marTop w:val="0"/>
      <w:marBottom w:val="0"/>
      <w:divBdr>
        <w:top w:val="none" w:sz="0" w:space="0" w:color="auto"/>
        <w:left w:val="none" w:sz="0" w:space="0" w:color="auto"/>
        <w:bottom w:val="none" w:sz="0" w:space="0" w:color="auto"/>
        <w:right w:val="none" w:sz="0" w:space="0" w:color="auto"/>
      </w:divBdr>
      <w:divsChild>
        <w:div w:id="1821388073">
          <w:marLeft w:val="0"/>
          <w:marRight w:val="0"/>
          <w:marTop w:val="0"/>
          <w:marBottom w:val="0"/>
          <w:divBdr>
            <w:top w:val="none" w:sz="0" w:space="0" w:color="auto"/>
            <w:left w:val="none" w:sz="0" w:space="0" w:color="auto"/>
            <w:bottom w:val="none" w:sz="0" w:space="0" w:color="auto"/>
            <w:right w:val="none" w:sz="0" w:space="0" w:color="auto"/>
          </w:divBdr>
        </w:div>
      </w:divsChild>
    </w:div>
    <w:div w:id="132454039">
      <w:bodyDiv w:val="1"/>
      <w:marLeft w:val="0"/>
      <w:marRight w:val="0"/>
      <w:marTop w:val="0"/>
      <w:marBottom w:val="0"/>
      <w:divBdr>
        <w:top w:val="none" w:sz="0" w:space="0" w:color="auto"/>
        <w:left w:val="none" w:sz="0" w:space="0" w:color="auto"/>
        <w:bottom w:val="none" w:sz="0" w:space="0" w:color="auto"/>
        <w:right w:val="none" w:sz="0" w:space="0" w:color="auto"/>
      </w:divBdr>
    </w:div>
    <w:div w:id="535699028">
      <w:bodyDiv w:val="1"/>
      <w:marLeft w:val="0"/>
      <w:marRight w:val="0"/>
      <w:marTop w:val="0"/>
      <w:marBottom w:val="0"/>
      <w:divBdr>
        <w:top w:val="none" w:sz="0" w:space="0" w:color="auto"/>
        <w:left w:val="none" w:sz="0" w:space="0" w:color="auto"/>
        <w:bottom w:val="none" w:sz="0" w:space="0" w:color="auto"/>
        <w:right w:val="none" w:sz="0" w:space="0" w:color="auto"/>
      </w:divBdr>
    </w:div>
    <w:div w:id="556013298">
      <w:bodyDiv w:val="1"/>
      <w:marLeft w:val="0"/>
      <w:marRight w:val="0"/>
      <w:marTop w:val="0"/>
      <w:marBottom w:val="0"/>
      <w:divBdr>
        <w:top w:val="none" w:sz="0" w:space="0" w:color="auto"/>
        <w:left w:val="none" w:sz="0" w:space="0" w:color="auto"/>
        <w:bottom w:val="none" w:sz="0" w:space="0" w:color="auto"/>
        <w:right w:val="none" w:sz="0" w:space="0" w:color="auto"/>
      </w:divBdr>
      <w:divsChild>
        <w:div w:id="494807387">
          <w:marLeft w:val="0"/>
          <w:marRight w:val="0"/>
          <w:marTop w:val="0"/>
          <w:marBottom w:val="0"/>
          <w:divBdr>
            <w:top w:val="none" w:sz="0" w:space="0" w:color="auto"/>
            <w:left w:val="none" w:sz="0" w:space="0" w:color="auto"/>
            <w:bottom w:val="none" w:sz="0" w:space="0" w:color="auto"/>
            <w:right w:val="none" w:sz="0" w:space="0" w:color="auto"/>
          </w:divBdr>
        </w:div>
      </w:divsChild>
    </w:div>
    <w:div w:id="571550493">
      <w:bodyDiv w:val="1"/>
      <w:marLeft w:val="0"/>
      <w:marRight w:val="0"/>
      <w:marTop w:val="0"/>
      <w:marBottom w:val="0"/>
      <w:divBdr>
        <w:top w:val="none" w:sz="0" w:space="0" w:color="auto"/>
        <w:left w:val="none" w:sz="0" w:space="0" w:color="auto"/>
        <w:bottom w:val="none" w:sz="0" w:space="0" w:color="auto"/>
        <w:right w:val="none" w:sz="0" w:space="0" w:color="auto"/>
      </w:divBdr>
      <w:divsChild>
        <w:div w:id="653752499">
          <w:marLeft w:val="0"/>
          <w:marRight w:val="0"/>
          <w:marTop w:val="0"/>
          <w:marBottom w:val="0"/>
          <w:divBdr>
            <w:top w:val="none" w:sz="0" w:space="0" w:color="auto"/>
            <w:left w:val="none" w:sz="0" w:space="0" w:color="auto"/>
            <w:bottom w:val="none" w:sz="0" w:space="0" w:color="auto"/>
            <w:right w:val="none" w:sz="0" w:space="0" w:color="auto"/>
          </w:divBdr>
        </w:div>
      </w:divsChild>
    </w:div>
    <w:div w:id="771164089">
      <w:bodyDiv w:val="1"/>
      <w:marLeft w:val="0"/>
      <w:marRight w:val="0"/>
      <w:marTop w:val="0"/>
      <w:marBottom w:val="0"/>
      <w:divBdr>
        <w:top w:val="none" w:sz="0" w:space="0" w:color="auto"/>
        <w:left w:val="none" w:sz="0" w:space="0" w:color="auto"/>
        <w:bottom w:val="none" w:sz="0" w:space="0" w:color="auto"/>
        <w:right w:val="none" w:sz="0" w:space="0" w:color="auto"/>
      </w:divBdr>
      <w:divsChild>
        <w:div w:id="526603955">
          <w:marLeft w:val="0"/>
          <w:marRight w:val="0"/>
          <w:marTop w:val="0"/>
          <w:marBottom w:val="0"/>
          <w:divBdr>
            <w:top w:val="none" w:sz="0" w:space="0" w:color="auto"/>
            <w:left w:val="none" w:sz="0" w:space="0" w:color="auto"/>
            <w:bottom w:val="none" w:sz="0" w:space="0" w:color="auto"/>
            <w:right w:val="none" w:sz="0" w:space="0" w:color="auto"/>
          </w:divBdr>
        </w:div>
      </w:divsChild>
    </w:div>
    <w:div w:id="978651012">
      <w:bodyDiv w:val="1"/>
      <w:marLeft w:val="0"/>
      <w:marRight w:val="0"/>
      <w:marTop w:val="0"/>
      <w:marBottom w:val="0"/>
      <w:divBdr>
        <w:top w:val="none" w:sz="0" w:space="0" w:color="auto"/>
        <w:left w:val="none" w:sz="0" w:space="0" w:color="auto"/>
        <w:bottom w:val="none" w:sz="0" w:space="0" w:color="auto"/>
        <w:right w:val="none" w:sz="0" w:space="0" w:color="auto"/>
      </w:divBdr>
      <w:divsChild>
        <w:div w:id="629869747">
          <w:marLeft w:val="0"/>
          <w:marRight w:val="0"/>
          <w:marTop w:val="0"/>
          <w:marBottom w:val="0"/>
          <w:divBdr>
            <w:top w:val="none" w:sz="0" w:space="0" w:color="auto"/>
            <w:left w:val="none" w:sz="0" w:space="0" w:color="auto"/>
            <w:bottom w:val="none" w:sz="0" w:space="0" w:color="auto"/>
            <w:right w:val="none" w:sz="0" w:space="0" w:color="auto"/>
          </w:divBdr>
        </w:div>
      </w:divsChild>
    </w:div>
    <w:div w:id="1057431457">
      <w:bodyDiv w:val="1"/>
      <w:marLeft w:val="0"/>
      <w:marRight w:val="0"/>
      <w:marTop w:val="0"/>
      <w:marBottom w:val="0"/>
      <w:divBdr>
        <w:top w:val="none" w:sz="0" w:space="0" w:color="auto"/>
        <w:left w:val="none" w:sz="0" w:space="0" w:color="auto"/>
        <w:bottom w:val="none" w:sz="0" w:space="0" w:color="auto"/>
        <w:right w:val="none" w:sz="0" w:space="0" w:color="auto"/>
      </w:divBdr>
    </w:div>
    <w:div w:id="1299529708">
      <w:bodyDiv w:val="1"/>
      <w:marLeft w:val="0"/>
      <w:marRight w:val="0"/>
      <w:marTop w:val="0"/>
      <w:marBottom w:val="0"/>
      <w:divBdr>
        <w:top w:val="none" w:sz="0" w:space="0" w:color="auto"/>
        <w:left w:val="none" w:sz="0" w:space="0" w:color="auto"/>
        <w:bottom w:val="none" w:sz="0" w:space="0" w:color="auto"/>
        <w:right w:val="none" w:sz="0" w:space="0" w:color="auto"/>
      </w:divBdr>
    </w:div>
    <w:div w:id="1308165470">
      <w:bodyDiv w:val="1"/>
      <w:marLeft w:val="0"/>
      <w:marRight w:val="0"/>
      <w:marTop w:val="0"/>
      <w:marBottom w:val="0"/>
      <w:divBdr>
        <w:top w:val="none" w:sz="0" w:space="0" w:color="auto"/>
        <w:left w:val="none" w:sz="0" w:space="0" w:color="auto"/>
        <w:bottom w:val="none" w:sz="0" w:space="0" w:color="auto"/>
        <w:right w:val="none" w:sz="0" w:space="0" w:color="auto"/>
      </w:divBdr>
      <w:divsChild>
        <w:div w:id="406341465">
          <w:marLeft w:val="0"/>
          <w:marRight w:val="0"/>
          <w:marTop w:val="0"/>
          <w:marBottom w:val="0"/>
          <w:divBdr>
            <w:top w:val="none" w:sz="0" w:space="0" w:color="auto"/>
            <w:left w:val="none" w:sz="0" w:space="0" w:color="auto"/>
            <w:bottom w:val="none" w:sz="0" w:space="0" w:color="auto"/>
            <w:right w:val="none" w:sz="0" w:space="0" w:color="auto"/>
          </w:divBdr>
        </w:div>
      </w:divsChild>
    </w:div>
    <w:div w:id="1373308130">
      <w:bodyDiv w:val="1"/>
      <w:marLeft w:val="0"/>
      <w:marRight w:val="0"/>
      <w:marTop w:val="0"/>
      <w:marBottom w:val="0"/>
      <w:divBdr>
        <w:top w:val="none" w:sz="0" w:space="0" w:color="auto"/>
        <w:left w:val="none" w:sz="0" w:space="0" w:color="auto"/>
        <w:bottom w:val="none" w:sz="0" w:space="0" w:color="auto"/>
        <w:right w:val="none" w:sz="0" w:space="0" w:color="auto"/>
      </w:divBdr>
    </w:div>
    <w:div w:id="1591891900">
      <w:bodyDiv w:val="1"/>
      <w:marLeft w:val="0"/>
      <w:marRight w:val="0"/>
      <w:marTop w:val="0"/>
      <w:marBottom w:val="0"/>
      <w:divBdr>
        <w:top w:val="none" w:sz="0" w:space="0" w:color="auto"/>
        <w:left w:val="none" w:sz="0" w:space="0" w:color="auto"/>
        <w:bottom w:val="none" w:sz="0" w:space="0" w:color="auto"/>
        <w:right w:val="none" w:sz="0" w:space="0" w:color="auto"/>
      </w:divBdr>
    </w:div>
    <w:div w:id="1685862786">
      <w:bodyDiv w:val="1"/>
      <w:marLeft w:val="0"/>
      <w:marRight w:val="0"/>
      <w:marTop w:val="0"/>
      <w:marBottom w:val="0"/>
      <w:divBdr>
        <w:top w:val="none" w:sz="0" w:space="0" w:color="auto"/>
        <w:left w:val="none" w:sz="0" w:space="0" w:color="auto"/>
        <w:bottom w:val="none" w:sz="0" w:space="0" w:color="auto"/>
        <w:right w:val="none" w:sz="0" w:space="0" w:color="auto"/>
      </w:divBdr>
    </w:div>
    <w:div w:id="1902903657">
      <w:bodyDiv w:val="1"/>
      <w:marLeft w:val="0"/>
      <w:marRight w:val="0"/>
      <w:marTop w:val="0"/>
      <w:marBottom w:val="0"/>
      <w:divBdr>
        <w:top w:val="none" w:sz="0" w:space="0" w:color="auto"/>
        <w:left w:val="none" w:sz="0" w:space="0" w:color="auto"/>
        <w:bottom w:val="none" w:sz="0" w:space="0" w:color="auto"/>
        <w:right w:val="none" w:sz="0" w:space="0" w:color="auto"/>
      </w:divBdr>
    </w:div>
    <w:div w:id="1958178370">
      <w:bodyDiv w:val="1"/>
      <w:marLeft w:val="0"/>
      <w:marRight w:val="0"/>
      <w:marTop w:val="0"/>
      <w:marBottom w:val="0"/>
      <w:divBdr>
        <w:top w:val="none" w:sz="0" w:space="0" w:color="auto"/>
        <w:left w:val="none" w:sz="0" w:space="0" w:color="auto"/>
        <w:bottom w:val="none" w:sz="0" w:space="0" w:color="auto"/>
        <w:right w:val="none" w:sz="0" w:space="0" w:color="auto"/>
      </w:divBdr>
    </w:div>
    <w:div w:id="1959068095">
      <w:bodyDiv w:val="1"/>
      <w:marLeft w:val="0"/>
      <w:marRight w:val="0"/>
      <w:marTop w:val="0"/>
      <w:marBottom w:val="0"/>
      <w:divBdr>
        <w:top w:val="none" w:sz="0" w:space="0" w:color="auto"/>
        <w:left w:val="none" w:sz="0" w:space="0" w:color="auto"/>
        <w:bottom w:val="none" w:sz="0" w:space="0" w:color="auto"/>
        <w:right w:val="none" w:sz="0" w:space="0" w:color="auto"/>
      </w:divBdr>
    </w:div>
    <w:div w:id="2010864810">
      <w:bodyDiv w:val="1"/>
      <w:marLeft w:val="0"/>
      <w:marRight w:val="0"/>
      <w:marTop w:val="0"/>
      <w:marBottom w:val="0"/>
      <w:divBdr>
        <w:top w:val="none" w:sz="0" w:space="0" w:color="auto"/>
        <w:left w:val="none" w:sz="0" w:space="0" w:color="auto"/>
        <w:bottom w:val="none" w:sz="0" w:space="0" w:color="auto"/>
        <w:right w:val="none" w:sz="0" w:space="0" w:color="auto"/>
      </w:divBdr>
      <w:divsChild>
        <w:div w:id="274556007">
          <w:marLeft w:val="0"/>
          <w:marRight w:val="0"/>
          <w:marTop w:val="0"/>
          <w:marBottom w:val="0"/>
          <w:divBdr>
            <w:top w:val="none" w:sz="0" w:space="0" w:color="auto"/>
            <w:left w:val="none" w:sz="0" w:space="0" w:color="auto"/>
            <w:bottom w:val="none" w:sz="0" w:space="0" w:color="auto"/>
            <w:right w:val="none" w:sz="0" w:space="0" w:color="auto"/>
          </w:divBdr>
        </w:div>
      </w:divsChild>
    </w:div>
    <w:div w:id="2014801425">
      <w:bodyDiv w:val="1"/>
      <w:marLeft w:val="0"/>
      <w:marRight w:val="0"/>
      <w:marTop w:val="0"/>
      <w:marBottom w:val="0"/>
      <w:divBdr>
        <w:top w:val="none" w:sz="0" w:space="0" w:color="auto"/>
        <w:left w:val="none" w:sz="0" w:space="0" w:color="auto"/>
        <w:bottom w:val="none" w:sz="0" w:space="0" w:color="auto"/>
        <w:right w:val="none" w:sz="0" w:space="0" w:color="auto"/>
      </w:divBdr>
      <w:divsChild>
        <w:div w:id="1157500505">
          <w:marLeft w:val="0"/>
          <w:marRight w:val="0"/>
          <w:marTop w:val="0"/>
          <w:marBottom w:val="0"/>
          <w:divBdr>
            <w:top w:val="none" w:sz="0" w:space="0" w:color="auto"/>
            <w:left w:val="none" w:sz="0" w:space="0" w:color="auto"/>
            <w:bottom w:val="none" w:sz="0" w:space="0" w:color="auto"/>
            <w:right w:val="none" w:sz="0" w:space="0" w:color="auto"/>
          </w:divBdr>
        </w:div>
      </w:divsChild>
    </w:div>
    <w:div w:id="210340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28B1A-98FF-414A-8A91-7F296F237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2888</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2022-03-30T05:02:00Z</dcterms:created>
  <dcterms:modified xsi:type="dcterms:W3CDTF">2022-06-17T00:42:00Z</dcterms:modified>
</cp:coreProperties>
</file>