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14FBF" w14:textId="17852AD2" w:rsidR="007A57F4" w:rsidRDefault="000D1FCC" w:rsidP="007A57F4">
      <w:pPr>
        <w:pStyle w:val="1-MainHeading"/>
      </w:pPr>
      <w:bookmarkStart w:id="0" w:name="_Toc93491250"/>
      <w:r>
        <w:t>5.09</w:t>
      </w:r>
      <w:r w:rsidR="007A57F4">
        <w:tab/>
      </w:r>
      <w:r w:rsidR="007679F6">
        <w:t>ENFORTUMAB VEDOTIN</w:t>
      </w:r>
      <w:r w:rsidR="007A57F4">
        <w:t>,</w:t>
      </w:r>
      <w:r w:rsidR="007A57F4">
        <w:br/>
      </w:r>
      <w:r>
        <w:t>Powder</w:t>
      </w:r>
      <w:r w:rsidR="00123C1E">
        <w:t xml:space="preserve"> for I</w:t>
      </w:r>
      <w:r>
        <w:t>.</w:t>
      </w:r>
      <w:r w:rsidR="00123C1E">
        <w:t>V</w:t>
      </w:r>
      <w:r>
        <w:t>.</w:t>
      </w:r>
      <w:r w:rsidR="00123C1E">
        <w:t xml:space="preserve"> infusion</w:t>
      </w:r>
      <w:r>
        <w:t xml:space="preserve"> 20</w:t>
      </w:r>
      <w:r w:rsidR="00CE46CD">
        <w:t xml:space="preserve"> </w:t>
      </w:r>
      <w:r>
        <w:t>mg</w:t>
      </w:r>
      <w:r w:rsidR="007A57F4">
        <w:t>,</w:t>
      </w:r>
      <w:r w:rsidR="007A57F4">
        <w:br/>
      </w:r>
      <w:r w:rsidR="006E0F31">
        <w:t>Powder for I.V. infusion</w:t>
      </w:r>
      <w:r w:rsidR="00123C1E">
        <w:t xml:space="preserve"> 30</w:t>
      </w:r>
      <w:r w:rsidR="00CE46CD">
        <w:t xml:space="preserve"> </w:t>
      </w:r>
      <w:r w:rsidR="00123C1E">
        <w:t>mg</w:t>
      </w:r>
      <w:r w:rsidR="007A57F4">
        <w:t>,</w:t>
      </w:r>
      <w:r w:rsidR="007A57F4">
        <w:br/>
      </w:r>
      <w:proofErr w:type="spellStart"/>
      <w:r w:rsidR="00123C1E">
        <w:t>P</w:t>
      </w:r>
      <w:r w:rsidR="00CE46CD">
        <w:t>adcev</w:t>
      </w:r>
      <w:proofErr w:type="spellEnd"/>
      <w:r w:rsidR="00123C1E">
        <w:t>®</w:t>
      </w:r>
      <w:r w:rsidR="007A57F4" w:rsidRPr="004A6040">
        <w:t>,</w:t>
      </w:r>
      <w:r w:rsidR="007A57F4" w:rsidRPr="004A6040">
        <w:br/>
      </w:r>
      <w:r w:rsidR="00123C1E">
        <w:t>Astellas Pharma Australia Pty Ltd</w:t>
      </w:r>
      <w:r w:rsidR="007A57F4" w:rsidRPr="004A6040">
        <w:t>.</w:t>
      </w:r>
      <w:bookmarkEnd w:id="0"/>
    </w:p>
    <w:p w14:paraId="51402B39" w14:textId="77777777" w:rsidR="007A57F4" w:rsidRPr="00407F2D" w:rsidRDefault="007A57F4" w:rsidP="0083510F">
      <w:pPr>
        <w:pStyle w:val="2-SectionHeading"/>
        <w:numPr>
          <w:ilvl w:val="0"/>
          <w:numId w:val="15"/>
        </w:numPr>
      </w:pPr>
      <w:bookmarkStart w:id="1" w:name="_Toc93491252"/>
      <w:r w:rsidRPr="00407F2D">
        <w:t xml:space="preserve">Purpose of </w:t>
      </w:r>
      <w:r>
        <w:t>submission</w:t>
      </w:r>
      <w:bookmarkEnd w:id="1"/>
    </w:p>
    <w:p w14:paraId="25C71814" w14:textId="1C55D463" w:rsidR="007A57F4" w:rsidRPr="008B1757" w:rsidRDefault="007A57F4" w:rsidP="007A57F4">
      <w:pPr>
        <w:pStyle w:val="3-BodyText"/>
      </w:pPr>
      <w:r>
        <w:t xml:space="preserve">The </w:t>
      </w:r>
      <w:r w:rsidR="00657163">
        <w:t xml:space="preserve">Category 1 </w:t>
      </w:r>
      <w:r>
        <w:t xml:space="preserve">submission </w:t>
      </w:r>
      <w:r w:rsidRPr="004E18E9">
        <w:t xml:space="preserve">requested </w:t>
      </w:r>
      <w:r>
        <w:t xml:space="preserve">a </w:t>
      </w:r>
      <w:r w:rsidRPr="004E18E9">
        <w:t>Section 100</w:t>
      </w:r>
      <w:r>
        <w:t xml:space="preserve"> (Efficient Funding of Chemotherapy) </w:t>
      </w:r>
      <w:r w:rsidRPr="004E18E9">
        <w:t xml:space="preserve">listing for </w:t>
      </w:r>
      <w:proofErr w:type="spellStart"/>
      <w:r w:rsidR="007679F6">
        <w:t>enfortumab</w:t>
      </w:r>
      <w:proofErr w:type="spellEnd"/>
      <w:r w:rsidR="007679F6">
        <w:t xml:space="preserve"> </w:t>
      </w:r>
      <w:proofErr w:type="spellStart"/>
      <w:r w:rsidR="007679F6">
        <w:t>vedotin</w:t>
      </w:r>
      <w:proofErr w:type="spellEnd"/>
      <w:r w:rsidRPr="004E18E9">
        <w:t xml:space="preserve"> for the treatment of </w:t>
      </w:r>
      <w:r>
        <w:t>p</w:t>
      </w:r>
      <w:r w:rsidRPr="00471115">
        <w:t>atients with locally advanced (Stage III) or metastatic (Stage IV) urothelial cancer who have progressed on or after a platinum-containing chemotherapy regimen and either a programmed cell death-1 (PD-1) inhibitor or a programmed cell death ligand-1 (PD-L1) inhibitor</w:t>
      </w:r>
      <w:r>
        <w:t>.</w:t>
      </w:r>
    </w:p>
    <w:p w14:paraId="61F38018" w14:textId="4CF8E7C9" w:rsidR="007A57F4" w:rsidRDefault="007A57F4" w:rsidP="007A57F4">
      <w:pPr>
        <w:pStyle w:val="3-BodyText"/>
      </w:pPr>
      <w:r w:rsidRPr="005750C5">
        <w:t xml:space="preserve">Listing was requested </w:t>
      </w:r>
      <w:proofErr w:type="gramStart"/>
      <w:r w:rsidRPr="005750C5">
        <w:t>on the basis of</w:t>
      </w:r>
      <w:proofErr w:type="gramEnd"/>
      <w:r w:rsidRPr="005750C5">
        <w:t xml:space="preserve"> a </w:t>
      </w:r>
      <w:r>
        <w:t>cost-utility</w:t>
      </w:r>
      <w:r w:rsidRPr="005750C5">
        <w:t xml:space="preserve"> analysis </w:t>
      </w:r>
      <w:r>
        <w:t xml:space="preserve">of </w:t>
      </w:r>
      <w:proofErr w:type="spellStart"/>
      <w:r w:rsidR="007679F6">
        <w:t>enfortumab</w:t>
      </w:r>
      <w:proofErr w:type="spellEnd"/>
      <w:r w:rsidR="007679F6">
        <w:t xml:space="preserve"> </w:t>
      </w:r>
      <w:proofErr w:type="spellStart"/>
      <w:r w:rsidR="007679F6">
        <w:t>vedotin</w:t>
      </w:r>
      <w:proofErr w:type="spellEnd"/>
      <w:r>
        <w:t xml:space="preserve"> </w:t>
      </w:r>
      <w:r w:rsidRPr="005750C5">
        <w:t>versus</w:t>
      </w:r>
      <w:r>
        <w:t xml:space="preserve"> docetaxel or paclitaxel.</w:t>
      </w:r>
      <w:r w:rsidRPr="005750C5">
        <w:t xml:space="preserve"> </w:t>
      </w:r>
      <w:r>
        <w:t>The key components of the clinical issue addressed by the submission are summarised below.</w:t>
      </w:r>
    </w:p>
    <w:p w14:paraId="558607D6" w14:textId="091256E7" w:rsidR="007A57F4" w:rsidRDefault="007A57F4" w:rsidP="007A57F4">
      <w:pPr>
        <w:pStyle w:val="TableFigureHeading"/>
        <w:rPr>
          <w:rStyle w:val="CommentReference"/>
          <w:b/>
          <w:szCs w:val="24"/>
        </w:rPr>
      </w:pPr>
      <w:r>
        <w:t xml:space="preserve">Table </w:t>
      </w:r>
      <w:r w:rsidR="00F06F14">
        <w:fldChar w:fldCharType="begin"/>
      </w:r>
      <w:r w:rsidR="00F06F14">
        <w:instrText xml:space="preserve"> SEQ Table \* ARABIC </w:instrText>
      </w:r>
      <w:r w:rsidR="00F06F14">
        <w:fldChar w:fldCharType="separate"/>
      </w:r>
      <w:r w:rsidR="00234F7B">
        <w:rPr>
          <w:noProof/>
        </w:rPr>
        <w:t>1</w:t>
      </w:r>
      <w:r w:rsidR="00F06F14">
        <w:rPr>
          <w:noProof/>
        </w:rPr>
        <w:fldChar w:fldCharType="end"/>
      </w:r>
      <w:r>
        <w:t>:</w:t>
      </w:r>
      <w:r w:rsidRPr="004A6040">
        <w:rPr>
          <w:rStyle w:val="CommentReference"/>
          <w:b/>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7"/>
        <w:gridCol w:w="7360"/>
      </w:tblGrid>
      <w:tr w:rsidR="007A57F4" w:rsidRPr="00AC6E62" w14:paraId="6FD0A9FA" w14:textId="77777777" w:rsidTr="00D26531">
        <w:tc>
          <w:tcPr>
            <w:tcW w:w="1668" w:type="dxa"/>
            <w:vAlign w:val="center"/>
          </w:tcPr>
          <w:p w14:paraId="11E784E5" w14:textId="77777777" w:rsidR="007A57F4" w:rsidRPr="00AC6E62" w:rsidRDefault="007A57F4" w:rsidP="00125618">
            <w:pPr>
              <w:keepNext/>
              <w:jc w:val="left"/>
              <w:rPr>
                <w:rFonts w:ascii="Arial Narrow" w:eastAsiaTheme="majorEastAsia" w:hAnsi="Arial Narrow" w:cs="Times New Roman"/>
                <w:b/>
                <w:sz w:val="20"/>
                <w:lang w:val="en-US"/>
              </w:rPr>
            </w:pPr>
            <w:r w:rsidRPr="00AC6E62">
              <w:rPr>
                <w:rFonts w:ascii="Arial Narrow" w:eastAsiaTheme="majorEastAsia" w:hAnsi="Arial Narrow" w:cs="Times New Roman"/>
                <w:b/>
                <w:sz w:val="20"/>
                <w:lang w:val="en-US"/>
              </w:rPr>
              <w:t>Component</w:t>
            </w:r>
          </w:p>
        </w:tc>
        <w:tc>
          <w:tcPr>
            <w:tcW w:w="7488" w:type="dxa"/>
            <w:vAlign w:val="center"/>
          </w:tcPr>
          <w:p w14:paraId="79E20B19" w14:textId="77777777" w:rsidR="007A57F4" w:rsidRPr="00AC6E62" w:rsidRDefault="007A57F4" w:rsidP="00125618">
            <w:pPr>
              <w:keepNext/>
              <w:jc w:val="left"/>
              <w:rPr>
                <w:rFonts w:ascii="Arial Narrow" w:eastAsiaTheme="majorEastAsia" w:hAnsi="Arial Narrow" w:cs="Times New Roman"/>
                <w:b/>
                <w:sz w:val="20"/>
                <w:lang w:val="en-US"/>
              </w:rPr>
            </w:pPr>
            <w:r w:rsidRPr="00AC6E62">
              <w:rPr>
                <w:rFonts w:ascii="Arial Narrow" w:eastAsiaTheme="majorEastAsia" w:hAnsi="Arial Narrow" w:cs="Times New Roman"/>
                <w:b/>
                <w:sz w:val="20"/>
                <w:lang w:val="en-US"/>
              </w:rPr>
              <w:t>Description</w:t>
            </w:r>
          </w:p>
        </w:tc>
      </w:tr>
      <w:tr w:rsidR="007A57F4" w:rsidRPr="00AC6E62" w14:paraId="5E4EF3F2" w14:textId="77777777" w:rsidTr="00D26531">
        <w:tc>
          <w:tcPr>
            <w:tcW w:w="1668" w:type="dxa"/>
            <w:vAlign w:val="center"/>
          </w:tcPr>
          <w:p w14:paraId="3315CB3D"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Population</w:t>
            </w:r>
          </w:p>
        </w:tc>
        <w:tc>
          <w:tcPr>
            <w:tcW w:w="7488" w:type="dxa"/>
          </w:tcPr>
          <w:p w14:paraId="6622C0E5"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Patients with locally advanced (Stage III) or metastatic (Stage IV) urothelial cancer and WHO performance status of 0 or 1 who have progressed on or after treatment with a platinum-containing chemotherapy regimen and either a programmed cell death-1 (PD-1) inhibitor or a programmed cell death ligand-1 (PD-L1) inhibitor</w:t>
            </w:r>
          </w:p>
        </w:tc>
      </w:tr>
      <w:tr w:rsidR="007A57F4" w:rsidRPr="00AC6E62" w14:paraId="75675AE2" w14:textId="77777777" w:rsidTr="00D26531">
        <w:tc>
          <w:tcPr>
            <w:tcW w:w="1668" w:type="dxa"/>
            <w:vAlign w:val="center"/>
          </w:tcPr>
          <w:p w14:paraId="15F17431"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Intervention</w:t>
            </w:r>
          </w:p>
        </w:tc>
        <w:tc>
          <w:tcPr>
            <w:tcW w:w="7488" w:type="dxa"/>
          </w:tcPr>
          <w:p w14:paraId="6B033724" w14:textId="645EAE6E" w:rsidR="007A57F4" w:rsidRPr="00AC6E62" w:rsidRDefault="007679F6" w:rsidP="00125618">
            <w:pPr>
              <w:keepNext/>
              <w:jc w:val="left"/>
              <w:rPr>
                <w:rFonts w:ascii="Arial Narrow" w:eastAsiaTheme="majorEastAsia" w:hAnsi="Arial Narrow" w:cs="Times New Roman"/>
                <w:bCs/>
                <w:sz w:val="20"/>
              </w:rPr>
            </w:pPr>
            <w:proofErr w:type="spellStart"/>
            <w:r>
              <w:rPr>
                <w:rFonts w:ascii="Arial Narrow" w:eastAsiaTheme="majorEastAsia" w:hAnsi="Arial Narrow" w:cs="Times New Roman"/>
                <w:bCs/>
                <w:sz w:val="20"/>
              </w:rPr>
              <w:t>Enfortumab</w:t>
            </w:r>
            <w:proofErr w:type="spellEnd"/>
            <w:r>
              <w:rPr>
                <w:rFonts w:ascii="Arial Narrow" w:eastAsiaTheme="majorEastAsia" w:hAnsi="Arial Narrow" w:cs="Times New Roman"/>
                <w:bCs/>
                <w:sz w:val="20"/>
              </w:rPr>
              <w:t xml:space="preserve"> </w:t>
            </w:r>
            <w:proofErr w:type="spellStart"/>
            <w:r>
              <w:rPr>
                <w:rFonts w:ascii="Arial Narrow" w:eastAsiaTheme="majorEastAsia" w:hAnsi="Arial Narrow" w:cs="Times New Roman"/>
                <w:bCs/>
                <w:sz w:val="20"/>
              </w:rPr>
              <w:t>vedotin</w:t>
            </w:r>
            <w:proofErr w:type="spellEnd"/>
            <w:r w:rsidR="007A57F4" w:rsidRPr="00AC6E62">
              <w:rPr>
                <w:rFonts w:ascii="Arial Narrow" w:eastAsiaTheme="majorEastAsia" w:hAnsi="Arial Narrow" w:cs="Times New Roman"/>
                <w:bCs/>
                <w:sz w:val="20"/>
              </w:rPr>
              <w:t xml:space="preserve"> 1.25 mg/kg (to a maximum of 125 mg) on Days 1, 8 and 15 of each 28-day treatment cycle until disease progression or unacceptable toxicity</w:t>
            </w:r>
          </w:p>
        </w:tc>
      </w:tr>
      <w:tr w:rsidR="007A57F4" w:rsidRPr="00AC6E62" w14:paraId="2095182C" w14:textId="77777777" w:rsidTr="00D26531">
        <w:tc>
          <w:tcPr>
            <w:tcW w:w="1668" w:type="dxa"/>
            <w:vAlign w:val="center"/>
          </w:tcPr>
          <w:p w14:paraId="19168538"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Comparator</w:t>
            </w:r>
          </w:p>
        </w:tc>
        <w:tc>
          <w:tcPr>
            <w:tcW w:w="7488" w:type="dxa"/>
          </w:tcPr>
          <w:p w14:paraId="1001653A"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Docetaxel 75 mg/m</w:t>
            </w:r>
            <w:r w:rsidRPr="00AC6E62">
              <w:rPr>
                <w:rFonts w:ascii="Arial Narrow" w:eastAsiaTheme="majorEastAsia" w:hAnsi="Arial Narrow" w:cs="Times New Roman"/>
                <w:bCs/>
                <w:sz w:val="20"/>
                <w:vertAlign w:val="superscript"/>
              </w:rPr>
              <w:t>2</w:t>
            </w:r>
            <w:r w:rsidRPr="00AC6E62">
              <w:rPr>
                <w:rFonts w:ascii="Arial Narrow" w:eastAsiaTheme="majorEastAsia" w:hAnsi="Arial Narrow" w:cs="Times New Roman"/>
                <w:bCs/>
                <w:sz w:val="20"/>
              </w:rPr>
              <w:t xml:space="preserve"> on Day 1 of each 21-day treatment cycle or paclitaxel 175 mg/m</w:t>
            </w:r>
            <w:r w:rsidRPr="00AC6E62">
              <w:rPr>
                <w:rFonts w:ascii="Arial Narrow" w:eastAsiaTheme="majorEastAsia" w:hAnsi="Arial Narrow" w:cs="Times New Roman"/>
                <w:bCs/>
                <w:sz w:val="20"/>
                <w:vertAlign w:val="superscript"/>
              </w:rPr>
              <w:t>2</w:t>
            </w:r>
            <w:r w:rsidRPr="00AC6E62">
              <w:rPr>
                <w:rFonts w:ascii="Arial Narrow" w:eastAsiaTheme="majorEastAsia" w:hAnsi="Arial Narrow" w:cs="Times New Roman"/>
                <w:bCs/>
                <w:sz w:val="20"/>
              </w:rPr>
              <w:t xml:space="preserve"> on Day 1 of each 21-day treatment cycle until disease progression or unacceptable toxicity</w:t>
            </w:r>
          </w:p>
        </w:tc>
      </w:tr>
      <w:tr w:rsidR="007A57F4" w:rsidRPr="00AC6E62" w14:paraId="37BEFE6F" w14:textId="77777777" w:rsidTr="00D26531">
        <w:tc>
          <w:tcPr>
            <w:tcW w:w="1668" w:type="dxa"/>
            <w:vAlign w:val="center"/>
          </w:tcPr>
          <w:p w14:paraId="12CD0902"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Outcomes</w:t>
            </w:r>
          </w:p>
        </w:tc>
        <w:tc>
          <w:tcPr>
            <w:tcW w:w="7488" w:type="dxa"/>
          </w:tcPr>
          <w:p w14:paraId="5EDF4DF8"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Overall survival, progression-free survival, quality-adjusted survival, overall response rates, safety</w:t>
            </w:r>
          </w:p>
        </w:tc>
      </w:tr>
      <w:tr w:rsidR="007A57F4" w:rsidRPr="00AC6E62" w14:paraId="11762854" w14:textId="77777777" w:rsidTr="00D26531">
        <w:tc>
          <w:tcPr>
            <w:tcW w:w="1668" w:type="dxa"/>
            <w:vAlign w:val="center"/>
          </w:tcPr>
          <w:p w14:paraId="3533ABE9" w14:textId="77777777" w:rsidR="007A57F4" w:rsidRPr="00AC6E62" w:rsidRDefault="007A57F4" w:rsidP="00125618">
            <w:pPr>
              <w:keepNext/>
              <w:jc w:val="left"/>
              <w:rPr>
                <w:rFonts w:ascii="Arial Narrow" w:eastAsiaTheme="majorEastAsia" w:hAnsi="Arial Narrow" w:cs="Times New Roman"/>
                <w:bCs/>
                <w:sz w:val="20"/>
              </w:rPr>
            </w:pPr>
            <w:r w:rsidRPr="00AC6E62">
              <w:rPr>
                <w:rFonts w:ascii="Arial Narrow" w:eastAsiaTheme="majorEastAsia" w:hAnsi="Arial Narrow" w:cs="Times New Roman"/>
                <w:bCs/>
                <w:sz w:val="20"/>
              </w:rPr>
              <w:t>Clinical claim</w:t>
            </w:r>
          </w:p>
        </w:tc>
        <w:tc>
          <w:tcPr>
            <w:tcW w:w="7488" w:type="dxa"/>
          </w:tcPr>
          <w:p w14:paraId="1A56DD58" w14:textId="59040933" w:rsidR="007A57F4" w:rsidRPr="00AC6E62" w:rsidRDefault="007A57F4" w:rsidP="00125618">
            <w:pPr>
              <w:keepNext/>
              <w:jc w:val="left"/>
              <w:rPr>
                <w:rFonts w:ascii="Arial Narrow" w:eastAsiaTheme="majorEastAsia" w:hAnsi="Arial Narrow" w:cs="Times New Roman"/>
                <w:bCs/>
                <w:i/>
                <w:iCs/>
                <w:sz w:val="20"/>
              </w:rPr>
            </w:pPr>
            <w:r w:rsidRPr="00AC6E62">
              <w:rPr>
                <w:rFonts w:ascii="Arial Narrow" w:eastAsiaTheme="majorEastAsia" w:hAnsi="Arial Narrow" w:cs="Times New Roman"/>
                <w:bCs/>
                <w:sz w:val="20"/>
              </w:rPr>
              <w:t xml:space="preserve">In patients with locally advanced (Stage III) or metastatic (Stage IV) urothelial cancer and WHO performance status of 0 or 1 who have progressed on or after treatment with a platinum-containing chemotherapy regimen and either a </w:t>
            </w:r>
            <w:r>
              <w:rPr>
                <w:rFonts w:ascii="Arial Narrow" w:eastAsiaTheme="majorEastAsia" w:hAnsi="Arial Narrow" w:cs="Times New Roman"/>
                <w:bCs/>
                <w:sz w:val="20"/>
              </w:rPr>
              <w:t>PD-1</w:t>
            </w:r>
            <w:r w:rsidRPr="00AC6E62">
              <w:rPr>
                <w:rFonts w:ascii="Arial Narrow" w:eastAsiaTheme="majorEastAsia" w:hAnsi="Arial Narrow" w:cs="Times New Roman"/>
                <w:bCs/>
                <w:sz w:val="20"/>
              </w:rPr>
              <w:t xml:space="preserve"> inhibitor or a </w:t>
            </w:r>
            <w:r>
              <w:rPr>
                <w:rFonts w:ascii="Arial Narrow" w:eastAsiaTheme="majorEastAsia" w:hAnsi="Arial Narrow" w:cs="Times New Roman"/>
                <w:bCs/>
                <w:sz w:val="20"/>
              </w:rPr>
              <w:t>PD-L1</w:t>
            </w:r>
            <w:r w:rsidRPr="00AC6E62">
              <w:rPr>
                <w:rFonts w:ascii="Arial Narrow" w:eastAsiaTheme="majorEastAsia" w:hAnsi="Arial Narrow" w:cs="Times New Roman"/>
                <w:bCs/>
                <w:sz w:val="20"/>
              </w:rPr>
              <w:t xml:space="preserve"> inhibitor, </w:t>
            </w:r>
            <w:proofErr w:type="spellStart"/>
            <w:r w:rsidR="007679F6" w:rsidRPr="00B14F39">
              <w:rPr>
                <w:rFonts w:ascii="Arial Narrow" w:eastAsiaTheme="majorEastAsia" w:hAnsi="Arial Narrow" w:cs="Times New Roman"/>
                <w:bCs/>
                <w:sz w:val="20"/>
                <w:u w:val="single"/>
              </w:rPr>
              <w:t>enfortumab</w:t>
            </w:r>
            <w:proofErr w:type="spellEnd"/>
            <w:r w:rsidR="007679F6" w:rsidRPr="00B14F39">
              <w:rPr>
                <w:rFonts w:ascii="Arial Narrow" w:eastAsiaTheme="majorEastAsia" w:hAnsi="Arial Narrow" w:cs="Times New Roman"/>
                <w:bCs/>
                <w:sz w:val="20"/>
                <w:u w:val="single"/>
              </w:rPr>
              <w:t xml:space="preserve"> </w:t>
            </w:r>
            <w:proofErr w:type="spellStart"/>
            <w:r w:rsidR="007679F6" w:rsidRPr="00B14F39">
              <w:rPr>
                <w:rFonts w:ascii="Arial Narrow" w:eastAsiaTheme="majorEastAsia" w:hAnsi="Arial Narrow" w:cs="Times New Roman"/>
                <w:bCs/>
                <w:sz w:val="20"/>
                <w:u w:val="single"/>
              </w:rPr>
              <w:t>vedotin</w:t>
            </w:r>
            <w:proofErr w:type="spellEnd"/>
            <w:r w:rsidRPr="00B14F39">
              <w:rPr>
                <w:rFonts w:ascii="Arial Narrow" w:eastAsiaTheme="majorEastAsia" w:hAnsi="Arial Narrow" w:cs="Times New Roman"/>
                <w:bCs/>
                <w:sz w:val="20"/>
                <w:u w:val="single"/>
              </w:rPr>
              <w:t xml:space="preserve"> has superior clinical efficacy and non-inferior safety compared with docetaxel or paclitaxel.</w:t>
            </w:r>
          </w:p>
        </w:tc>
      </w:tr>
    </w:tbl>
    <w:p w14:paraId="7CF5CA32" w14:textId="0B109D39" w:rsidR="007A57F4" w:rsidRDefault="007A57F4" w:rsidP="007A57F4">
      <w:pPr>
        <w:pStyle w:val="TableFigureFooter"/>
      </w:pPr>
      <w:r w:rsidRPr="00AC6E62">
        <w:t xml:space="preserve">Source: Table 1.1-1, pp 2-3 of the submission (modification </w:t>
      </w:r>
      <w:r w:rsidR="00B14F39" w:rsidRPr="00B14F39">
        <w:rPr>
          <w:u w:val="single"/>
        </w:rPr>
        <w:t>underlined</w:t>
      </w:r>
      <w:r w:rsidRPr="00AC6E62">
        <w:t xml:space="preserve"> made to clinical claim to correct an obvious typographical error in the submission).</w:t>
      </w:r>
    </w:p>
    <w:p w14:paraId="7C5ADC64" w14:textId="77777777" w:rsidR="007A57F4" w:rsidRPr="00407F2D" w:rsidRDefault="007A57F4" w:rsidP="007A57F4">
      <w:pPr>
        <w:pStyle w:val="2-SectionHeading"/>
      </w:pPr>
      <w:bookmarkStart w:id="2" w:name="_Toc93491253"/>
      <w:r w:rsidRPr="00407F2D">
        <w:lastRenderedPageBreak/>
        <w:t>Background</w:t>
      </w:r>
      <w:bookmarkEnd w:id="2"/>
    </w:p>
    <w:p w14:paraId="44C5EED3" w14:textId="77777777" w:rsidR="007A57F4" w:rsidRPr="004151CF" w:rsidRDefault="007A57F4" w:rsidP="007A57F4">
      <w:pPr>
        <w:pStyle w:val="4-SubsectionHeading"/>
      </w:pPr>
      <w:bookmarkStart w:id="3" w:name="_Toc93491254"/>
      <w:r w:rsidRPr="004151CF">
        <w:t>Registration status</w:t>
      </w:r>
      <w:bookmarkEnd w:id="3"/>
    </w:p>
    <w:p w14:paraId="5D0AB68E" w14:textId="54D39756" w:rsidR="00B14F39" w:rsidRPr="00965340" w:rsidRDefault="00725DEE" w:rsidP="007A57F4">
      <w:pPr>
        <w:pStyle w:val="3-BodyText"/>
        <w:rPr>
          <w:i/>
          <w:iCs/>
        </w:rPr>
      </w:pPr>
      <w:r w:rsidRPr="00965340">
        <w:rPr>
          <w:rFonts w:ascii="Calibri" w:eastAsia="Calibri" w:hAnsi="Calibri"/>
          <w:b/>
          <w:i/>
          <w:iCs/>
          <w:szCs w:val="22"/>
        </w:rPr>
        <w:t xml:space="preserve">TGA status at time of </w:t>
      </w:r>
      <w:r w:rsidR="00965340">
        <w:rPr>
          <w:rFonts w:ascii="Calibri" w:eastAsia="Calibri" w:hAnsi="Calibri"/>
          <w:b/>
          <w:i/>
          <w:iCs/>
          <w:szCs w:val="22"/>
        </w:rPr>
        <w:t>PBAC consideration</w:t>
      </w:r>
      <w:r w:rsidRPr="00965340">
        <w:rPr>
          <w:rFonts w:ascii="Calibri" w:eastAsia="Calibri" w:hAnsi="Calibri"/>
          <w:i/>
          <w:iCs/>
          <w:szCs w:val="22"/>
        </w:rPr>
        <w:t xml:space="preserve">: </w:t>
      </w:r>
      <w:r w:rsidR="00B14F39" w:rsidRPr="00965340">
        <w:rPr>
          <w:rFonts w:ascii="Calibri" w:eastAsia="Calibri" w:hAnsi="Calibri"/>
          <w:i/>
          <w:iCs/>
          <w:szCs w:val="22"/>
        </w:rPr>
        <w:t>not registered.</w:t>
      </w:r>
    </w:p>
    <w:p w14:paraId="7867F049" w14:textId="2B8208BF" w:rsidR="007A57F4" w:rsidRPr="0070260D" w:rsidRDefault="007A57F4" w:rsidP="007A57F4">
      <w:pPr>
        <w:pStyle w:val="3-BodyText"/>
        <w:rPr>
          <w:iCs/>
        </w:rPr>
      </w:pPr>
      <w:r w:rsidRPr="004E18E9">
        <w:t xml:space="preserve">The submission was made under the TGA/PBAC Parallel Process. </w:t>
      </w:r>
      <w:r w:rsidRPr="00616DBD">
        <w:rPr>
          <w:iCs/>
        </w:rPr>
        <w:t xml:space="preserve">The submission noted that </w:t>
      </w:r>
      <w:proofErr w:type="spellStart"/>
      <w:r w:rsidR="007679F6">
        <w:rPr>
          <w:iCs/>
        </w:rPr>
        <w:t>enfortumab</w:t>
      </w:r>
      <w:proofErr w:type="spellEnd"/>
      <w:r w:rsidR="007679F6">
        <w:rPr>
          <w:iCs/>
        </w:rPr>
        <w:t xml:space="preserve"> </w:t>
      </w:r>
      <w:proofErr w:type="spellStart"/>
      <w:r w:rsidR="007679F6">
        <w:rPr>
          <w:iCs/>
        </w:rPr>
        <w:t>vedotin</w:t>
      </w:r>
      <w:proofErr w:type="spellEnd"/>
      <w:r>
        <w:rPr>
          <w:iCs/>
        </w:rPr>
        <w:t xml:space="preserve"> </w:t>
      </w:r>
      <w:r w:rsidRPr="00616DBD">
        <w:rPr>
          <w:iCs/>
        </w:rPr>
        <w:t>is being evaluated as part of Project ORBIS, which is a collaboration between the TGA, U.S. Food and Drug Administration (FDA) and Health Canada</w:t>
      </w:r>
      <w:r>
        <w:rPr>
          <w:iCs/>
        </w:rPr>
        <w:t xml:space="preserve">, and a letter was received from </w:t>
      </w:r>
      <w:r w:rsidRPr="00616DBD">
        <w:rPr>
          <w:iCs/>
        </w:rPr>
        <w:t>TGA on 29 October</w:t>
      </w:r>
      <w:r>
        <w:rPr>
          <w:iCs/>
        </w:rPr>
        <w:t xml:space="preserve"> </w:t>
      </w:r>
      <w:r w:rsidR="006E0F31">
        <w:rPr>
          <w:iCs/>
        </w:rPr>
        <w:t xml:space="preserve">2021 </w:t>
      </w:r>
      <w:r w:rsidRPr="00616DBD">
        <w:rPr>
          <w:iCs/>
        </w:rPr>
        <w:t>stating that the evaluation phase had been completed</w:t>
      </w:r>
      <w:r w:rsidRPr="0070260D">
        <w:rPr>
          <w:iCs/>
        </w:rPr>
        <w:t>.</w:t>
      </w:r>
      <w:r w:rsidR="00B14F39" w:rsidRPr="0070260D">
        <w:rPr>
          <w:iCs/>
        </w:rPr>
        <w:t xml:space="preserve"> The TGA Delegates Overview dated 5 January 2022 was </w:t>
      </w:r>
      <w:r w:rsidR="00612A06" w:rsidRPr="0070260D">
        <w:rPr>
          <w:iCs/>
        </w:rPr>
        <w:t xml:space="preserve">provided by the sponsor and the ESC noted that the delegate sought </w:t>
      </w:r>
      <w:r w:rsidR="00B14F39" w:rsidRPr="0070260D">
        <w:rPr>
          <w:iCs/>
        </w:rPr>
        <w:t>advice</w:t>
      </w:r>
      <w:r w:rsidR="00612A06" w:rsidRPr="0070260D">
        <w:rPr>
          <w:iCs/>
        </w:rPr>
        <w:t xml:space="preserve"> on the submission</w:t>
      </w:r>
      <w:r w:rsidR="00B14F39" w:rsidRPr="0070260D">
        <w:rPr>
          <w:iCs/>
        </w:rPr>
        <w:t xml:space="preserve"> at the February </w:t>
      </w:r>
      <w:r w:rsidR="00612A06" w:rsidRPr="0070260D">
        <w:rPr>
          <w:iCs/>
        </w:rPr>
        <w:t xml:space="preserve">ACM meeting. </w:t>
      </w:r>
      <w:r w:rsidR="0004127C">
        <w:rPr>
          <w:iCs/>
        </w:rPr>
        <w:t xml:space="preserve">The pre-PBAC response noted the ACM </w:t>
      </w:r>
      <w:r w:rsidR="0004127C">
        <w:t xml:space="preserve">discussed the safety profile associated with </w:t>
      </w:r>
      <w:proofErr w:type="spellStart"/>
      <w:r w:rsidR="0004127C">
        <w:t>enfortumab</w:t>
      </w:r>
      <w:proofErr w:type="spellEnd"/>
      <w:r w:rsidR="0004127C">
        <w:t xml:space="preserve"> </w:t>
      </w:r>
      <w:proofErr w:type="spellStart"/>
      <w:r w:rsidR="0004127C">
        <w:t>vedotin</w:t>
      </w:r>
      <w:proofErr w:type="spellEnd"/>
      <w:r w:rsidR="004A472F">
        <w:t xml:space="preserve"> at its February meeting</w:t>
      </w:r>
      <w:r w:rsidR="0004127C">
        <w:t xml:space="preserve">, and suggested that a boxed warning would be appropriate along with an education campaign targeted towards patients and clinicians to further raise awareness of the </w:t>
      </w:r>
      <w:r w:rsidR="000E7331">
        <w:t xml:space="preserve">significant and severe </w:t>
      </w:r>
      <w:r w:rsidR="0004127C">
        <w:t>off-target toxicity</w:t>
      </w:r>
      <w:r w:rsidR="000E7331">
        <w:t xml:space="preserve">, particularly </w:t>
      </w:r>
      <w:r w:rsidR="00190F03">
        <w:t>skin reactions and neuropathy</w:t>
      </w:r>
      <w:r w:rsidR="0004127C">
        <w:t xml:space="preserve">. </w:t>
      </w:r>
      <w:r w:rsidR="006D5C43">
        <w:rPr>
          <w:iCs/>
        </w:rPr>
        <w:t>The PBAC noted the</w:t>
      </w:r>
      <w:r w:rsidR="00004748">
        <w:rPr>
          <w:iCs/>
        </w:rPr>
        <w:t xml:space="preserve"> minutes from the February meeting stated the ACM considered </w:t>
      </w:r>
      <w:proofErr w:type="spellStart"/>
      <w:r w:rsidR="00004748">
        <w:rPr>
          <w:iCs/>
        </w:rPr>
        <w:t>enfortumab</w:t>
      </w:r>
      <w:proofErr w:type="spellEnd"/>
      <w:r w:rsidR="00004748">
        <w:rPr>
          <w:iCs/>
        </w:rPr>
        <w:t xml:space="preserve"> </w:t>
      </w:r>
      <w:proofErr w:type="spellStart"/>
      <w:r w:rsidR="00004748">
        <w:rPr>
          <w:iCs/>
        </w:rPr>
        <w:t>vedotin</w:t>
      </w:r>
      <w:proofErr w:type="spellEnd"/>
      <w:r w:rsidR="00004748">
        <w:rPr>
          <w:iCs/>
        </w:rPr>
        <w:t xml:space="preserve"> to have an overall positive benefit-risk profile for the indication outlined in the paragraph below. </w:t>
      </w:r>
    </w:p>
    <w:p w14:paraId="467A2657" w14:textId="7C93514C" w:rsidR="007A57F4" w:rsidRPr="005F6530" w:rsidRDefault="007A57F4" w:rsidP="007A57F4">
      <w:pPr>
        <w:pStyle w:val="3-BodyText"/>
        <w:rPr>
          <w:iCs/>
        </w:rPr>
      </w:pPr>
      <w:r>
        <w:rPr>
          <w:iCs/>
        </w:rPr>
        <w:t xml:space="preserve">The proposed TGA indication is </w:t>
      </w:r>
      <w:r w:rsidRPr="005F6530">
        <w:rPr>
          <w:rFonts w:cs="Calibri"/>
          <w:iCs/>
          <w:lang w:eastAsia="en-US"/>
        </w:rPr>
        <w:t xml:space="preserve">for the treatment of adult patients with locally advanced or metastatic </w:t>
      </w:r>
      <w:r w:rsidR="00C81C42">
        <w:rPr>
          <w:rFonts w:cs="Calibri"/>
          <w:iCs/>
          <w:lang w:eastAsia="en-US"/>
        </w:rPr>
        <w:t>(la/m) urothelial cancer (</w:t>
      </w:r>
      <w:r w:rsidRPr="005F6530">
        <w:rPr>
          <w:rFonts w:cs="Calibri"/>
          <w:iCs/>
          <w:lang w:eastAsia="en-US"/>
        </w:rPr>
        <w:t>UC) who have received a programmed death receptor-1 (PD-1) or programmed death ligand 1 (PD-L1) inhibitor and who:</w:t>
      </w:r>
    </w:p>
    <w:p w14:paraId="571DC154" w14:textId="11EB5BB3" w:rsidR="007A57F4" w:rsidRPr="005F6530" w:rsidRDefault="007A57F4" w:rsidP="0083510F">
      <w:pPr>
        <w:pStyle w:val="ListParagraph"/>
        <w:numPr>
          <w:ilvl w:val="0"/>
          <w:numId w:val="12"/>
        </w:numPr>
        <w:ind w:left="1092"/>
        <w:rPr>
          <w:lang w:eastAsia="en-US"/>
        </w:rPr>
      </w:pPr>
      <w:r w:rsidRPr="005F6530">
        <w:rPr>
          <w:lang w:eastAsia="en-US"/>
        </w:rPr>
        <w:t xml:space="preserve">have received a platinum-containing chemotherapy in the neoadjuvant/adjuvant, </w:t>
      </w:r>
      <w:r w:rsidR="006E0F31">
        <w:rPr>
          <w:lang w:eastAsia="en-US"/>
        </w:rPr>
        <w:t>la/m</w:t>
      </w:r>
      <w:r w:rsidRPr="005F6530">
        <w:rPr>
          <w:lang w:eastAsia="en-US"/>
        </w:rPr>
        <w:t xml:space="preserve"> setting or</w:t>
      </w:r>
    </w:p>
    <w:p w14:paraId="2B8E98AC" w14:textId="739FDB4E" w:rsidR="007A57F4" w:rsidRDefault="007A57F4" w:rsidP="0083510F">
      <w:pPr>
        <w:pStyle w:val="ListParagraph"/>
        <w:numPr>
          <w:ilvl w:val="0"/>
          <w:numId w:val="12"/>
        </w:numPr>
        <w:ind w:left="1092"/>
        <w:rPr>
          <w:rFonts w:cs="Calibri"/>
          <w:iCs/>
          <w:lang w:eastAsia="en-US"/>
        </w:rPr>
      </w:pPr>
      <w:r w:rsidRPr="005F6530">
        <w:rPr>
          <w:rFonts w:cs="Calibri"/>
          <w:iCs/>
          <w:lang w:eastAsia="en-US"/>
        </w:rPr>
        <w:t>are not eligible for cisplatin-containing chemotherapy.</w:t>
      </w:r>
    </w:p>
    <w:p w14:paraId="56AD272F" w14:textId="258D8026" w:rsidR="00AD0866" w:rsidRPr="00AD0866" w:rsidRDefault="00AD0866" w:rsidP="00AD0866">
      <w:pPr>
        <w:pStyle w:val="ListParagraph"/>
        <w:numPr>
          <w:ilvl w:val="0"/>
          <w:numId w:val="0"/>
        </w:numPr>
        <w:ind w:left="720"/>
        <w:rPr>
          <w:i/>
        </w:rPr>
      </w:pPr>
      <w:bookmarkStart w:id="4" w:name="_Hlk76375324"/>
      <w:r w:rsidRPr="00AD0866">
        <w:rPr>
          <w:i/>
        </w:rPr>
        <w:t>For more detail on PBAC’s view, see section 7 PBAC outcome.</w:t>
      </w:r>
      <w:bookmarkEnd w:id="4"/>
    </w:p>
    <w:p w14:paraId="1883BA34" w14:textId="22EDFD19" w:rsidR="007A57F4" w:rsidRDefault="007A57F4" w:rsidP="007A57F4">
      <w:pPr>
        <w:pStyle w:val="2-SectionHeading"/>
      </w:pPr>
      <w:bookmarkStart w:id="5" w:name="_Toc93491255"/>
      <w:r w:rsidRPr="00407F2D">
        <w:t>Requested listing</w:t>
      </w:r>
      <w:bookmarkEnd w:id="5"/>
    </w:p>
    <w:p w14:paraId="37C7B89F" w14:textId="204C6889" w:rsidR="004A4FA5" w:rsidRPr="00F06F14" w:rsidRDefault="004A4FA5" w:rsidP="004A4FA5">
      <w:pPr>
        <w:pStyle w:val="ListParagraph"/>
        <w:numPr>
          <w:ilvl w:val="1"/>
          <w:numId w:val="1"/>
        </w:numPr>
        <w:rPr>
          <w:rFonts w:cs="Calibri"/>
          <w:bCs/>
          <w:iCs/>
        </w:rPr>
      </w:pPr>
      <w:r w:rsidRPr="004A4FA5">
        <w:rPr>
          <w:rFonts w:cs="Calibri"/>
          <w:bCs/>
          <w:iCs/>
        </w:rPr>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8"/>
        <w:gridCol w:w="1417"/>
        <w:gridCol w:w="1276"/>
        <w:gridCol w:w="1134"/>
        <w:gridCol w:w="2551"/>
      </w:tblGrid>
      <w:tr w:rsidR="004A4FA5" w:rsidRPr="00234F7B" w14:paraId="43F0BF75" w14:textId="77777777" w:rsidTr="00EC7D63">
        <w:trPr>
          <w:cantSplit/>
          <w:trHeight w:val="471"/>
        </w:trPr>
        <w:tc>
          <w:tcPr>
            <w:tcW w:w="2689" w:type="dxa"/>
            <w:gridSpan w:val="2"/>
          </w:tcPr>
          <w:p w14:paraId="04027CEA" w14:textId="77777777" w:rsidR="004A4FA5" w:rsidRPr="00234F7B" w:rsidRDefault="004A4FA5" w:rsidP="00AB0384">
            <w:pPr>
              <w:keepNext/>
              <w:ind w:left="-57"/>
              <w:rPr>
                <w:rFonts w:ascii="Arial Narrow" w:hAnsi="Arial Narrow"/>
                <w:b/>
                <w:sz w:val="20"/>
                <w:szCs w:val="20"/>
              </w:rPr>
            </w:pPr>
            <w:r w:rsidRPr="00234F7B">
              <w:rPr>
                <w:rFonts w:ascii="Arial Narrow" w:hAnsi="Arial Narrow"/>
                <w:b/>
                <w:sz w:val="20"/>
                <w:szCs w:val="20"/>
              </w:rPr>
              <w:lastRenderedPageBreak/>
              <w:t>MEDICINAL PRODUCT</w:t>
            </w:r>
          </w:p>
          <w:p w14:paraId="6E7ED115" w14:textId="77777777" w:rsidR="004A4FA5" w:rsidRPr="00234F7B" w:rsidRDefault="004A4FA5" w:rsidP="00AB0384">
            <w:pPr>
              <w:keepNext/>
              <w:ind w:left="-57"/>
              <w:rPr>
                <w:rFonts w:ascii="Arial Narrow" w:hAnsi="Arial Narrow"/>
                <w:b/>
                <w:sz w:val="20"/>
                <w:szCs w:val="20"/>
              </w:rPr>
            </w:pPr>
            <w:r w:rsidRPr="00234F7B">
              <w:rPr>
                <w:rFonts w:ascii="Arial Narrow" w:hAnsi="Arial Narrow"/>
                <w:b/>
                <w:sz w:val="20"/>
                <w:szCs w:val="20"/>
              </w:rPr>
              <w:t>Form</w:t>
            </w:r>
          </w:p>
        </w:tc>
        <w:tc>
          <w:tcPr>
            <w:tcW w:w="1417" w:type="dxa"/>
          </w:tcPr>
          <w:p w14:paraId="1227F5B0" w14:textId="77777777" w:rsidR="004A4FA5" w:rsidRPr="00234F7B" w:rsidRDefault="004A4FA5" w:rsidP="00AB0384">
            <w:pPr>
              <w:keepNext/>
              <w:ind w:left="-108"/>
              <w:jc w:val="center"/>
              <w:rPr>
                <w:rFonts w:ascii="Arial Narrow" w:hAnsi="Arial Narrow"/>
                <w:b/>
                <w:sz w:val="20"/>
                <w:szCs w:val="20"/>
              </w:rPr>
            </w:pPr>
            <w:r w:rsidRPr="00234F7B">
              <w:rPr>
                <w:rFonts w:ascii="Arial Narrow" w:hAnsi="Arial Narrow"/>
                <w:b/>
                <w:sz w:val="20"/>
                <w:szCs w:val="20"/>
              </w:rPr>
              <w:t>PBS item code</w:t>
            </w:r>
          </w:p>
        </w:tc>
        <w:tc>
          <w:tcPr>
            <w:tcW w:w="1276" w:type="dxa"/>
          </w:tcPr>
          <w:p w14:paraId="22091983" w14:textId="77777777" w:rsidR="004A4FA5" w:rsidRPr="00234F7B" w:rsidRDefault="004A4FA5" w:rsidP="00AB0384">
            <w:pPr>
              <w:keepNext/>
              <w:ind w:left="-108"/>
              <w:jc w:val="center"/>
              <w:rPr>
                <w:rFonts w:ascii="Arial Narrow" w:hAnsi="Arial Narrow"/>
                <w:b/>
                <w:sz w:val="20"/>
                <w:szCs w:val="20"/>
              </w:rPr>
            </w:pPr>
            <w:r w:rsidRPr="00234F7B">
              <w:rPr>
                <w:rFonts w:ascii="Arial Narrow" w:hAnsi="Arial Narrow"/>
                <w:b/>
                <w:sz w:val="20"/>
                <w:szCs w:val="20"/>
              </w:rPr>
              <w:t>Max.</w:t>
            </w:r>
          </w:p>
          <w:p w14:paraId="52246F62" w14:textId="77777777" w:rsidR="004A4FA5" w:rsidRPr="00234F7B" w:rsidRDefault="004A4FA5" w:rsidP="00AB0384">
            <w:pPr>
              <w:keepNext/>
              <w:ind w:left="-108"/>
              <w:jc w:val="center"/>
              <w:rPr>
                <w:rFonts w:ascii="Arial Narrow" w:hAnsi="Arial Narrow"/>
                <w:b/>
                <w:sz w:val="20"/>
                <w:szCs w:val="20"/>
              </w:rPr>
            </w:pPr>
            <w:r w:rsidRPr="00234F7B">
              <w:rPr>
                <w:rFonts w:ascii="Arial Narrow" w:hAnsi="Arial Narrow"/>
                <w:b/>
                <w:sz w:val="20"/>
                <w:szCs w:val="20"/>
              </w:rPr>
              <w:t>Amount</w:t>
            </w:r>
          </w:p>
        </w:tc>
        <w:tc>
          <w:tcPr>
            <w:tcW w:w="1134" w:type="dxa"/>
          </w:tcPr>
          <w:p w14:paraId="07435648" w14:textId="77777777" w:rsidR="004A4FA5" w:rsidRPr="00234F7B" w:rsidRDefault="004A4FA5" w:rsidP="00AB0384">
            <w:pPr>
              <w:keepNext/>
              <w:ind w:left="-108"/>
              <w:jc w:val="center"/>
              <w:rPr>
                <w:rFonts w:ascii="Arial Narrow" w:hAnsi="Arial Narrow"/>
                <w:b/>
                <w:sz w:val="20"/>
                <w:szCs w:val="20"/>
              </w:rPr>
            </w:pPr>
            <w:proofErr w:type="gramStart"/>
            <w:r w:rsidRPr="00234F7B">
              <w:rPr>
                <w:rFonts w:ascii="Arial Narrow" w:hAnsi="Arial Narrow"/>
                <w:b/>
                <w:sz w:val="20"/>
                <w:szCs w:val="20"/>
              </w:rPr>
              <w:t>№.of</w:t>
            </w:r>
            <w:proofErr w:type="gramEnd"/>
            <w:r w:rsidRPr="00234F7B">
              <w:rPr>
                <w:rFonts w:ascii="Arial Narrow" w:hAnsi="Arial Narrow"/>
                <w:b/>
                <w:sz w:val="20"/>
                <w:szCs w:val="20"/>
              </w:rPr>
              <w:t xml:space="preserve"> </w:t>
            </w:r>
            <w:proofErr w:type="spellStart"/>
            <w:r w:rsidRPr="00234F7B">
              <w:rPr>
                <w:rFonts w:ascii="Arial Narrow" w:hAnsi="Arial Narrow"/>
                <w:b/>
                <w:sz w:val="20"/>
                <w:szCs w:val="20"/>
              </w:rPr>
              <w:t>Rpts</w:t>
            </w:r>
            <w:proofErr w:type="spellEnd"/>
          </w:p>
        </w:tc>
        <w:tc>
          <w:tcPr>
            <w:tcW w:w="2551" w:type="dxa"/>
          </w:tcPr>
          <w:p w14:paraId="5AD1F6AA" w14:textId="571D04D8" w:rsidR="004A4FA5" w:rsidRPr="00234F7B" w:rsidRDefault="004A4FA5" w:rsidP="00AB0384">
            <w:pPr>
              <w:keepNext/>
              <w:ind w:left="-108"/>
              <w:jc w:val="center"/>
              <w:rPr>
                <w:rFonts w:ascii="Arial Narrow" w:hAnsi="Arial Narrow"/>
                <w:b/>
                <w:sz w:val="20"/>
                <w:szCs w:val="20"/>
              </w:rPr>
            </w:pPr>
            <w:r w:rsidRPr="00571EE9">
              <w:rPr>
                <w:rFonts w:ascii="Arial Narrow" w:hAnsi="Arial Narrow"/>
                <w:b/>
                <w:sz w:val="20"/>
                <w:szCs w:val="20"/>
              </w:rPr>
              <w:t>Dispensed price for maximum amount</w:t>
            </w:r>
          </w:p>
        </w:tc>
      </w:tr>
      <w:tr w:rsidR="004A4FA5" w:rsidRPr="00234F7B" w14:paraId="1E969E40" w14:textId="77777777" w:rsidTr="00EC7D63">
        <w:trPr>
          <w:cantSplit/>
          <w:trHeight w:val="577"/>
        </w:trPr>
        <w:tc>
          <w:tcPr>
            <w:tcW w:w="2689" w:type="dxa"/>
            <w:gridSpan w:val="2"/>
          </w:tcPr>
          <w:p w14:paraId="05EDD455" w14:textId="77777777" w:rsidR="004A4FA5" w:rsidRPr="00234F7B" w:rsidRDefault="004A4FA5" w:rsidP="00AB0384">
            <w:pPr>
              <w:pStyle w:val="TableText0"/>
              <w:rPr>
                <w:smallCaps/>
                <w:szCs w:val="20"/>
              </w:rPr>
            </w:pPr>
            <w:r w:rsidRPr="00234F7B">
              <w:rPr>
                <w:smallCaps/>
                <w:szCs w:val="20"/>
              </w:rPr>
              <w:t>ENFORTUMAB VEDOTIN</w:t>
            </w:r>
          </w:p>
          <w:p w14:paraId="0FF778C7" w14:textId="77777777" w:rsidR="004A4FA5" w:rsidRPr="00234F7B" w:rsidRDefault="004A4FA5" w:rsidP="00AB0384">
            <w:pPr>
              <w:pStyle w:val="TableText0"/>
              <w:rPr>
                <w:smallCaps/>
                <w:szCs w:val="20"/>
              </w:rPr>
            </w:pPr>
            <w:r w:rsidRPr="00234F7B">
              <w:rPr>
                <w:szCs w:val="20"/>
              </w:rPr>
              <w:t xml:space="preserve">20 mg powder for injection, 1 vial </w:t>
            </w:r>
          </w:p>
          <w:p w14:paraId="23E1311A" w14:textId="77777777" w:rsidR="004A4FA5" w:rsidRPr="00234F7B" w:rsidRDefault="004A4FA5" w:rsidP="00AB0384">
            <w:pPr>
              <w:pStyle w:val="TableText0"/>
              <w:rPr>
                <w:szCs w:val="20"/>
              </w:rPr>
            </w:pPr>
            <w:r w:rsidRPr="00234F7B">
              <w:rPr>
                <w:szCs w:val="20"/>
              </w:rPr>
              <w:t xml:space="preserve">30 mg powder for injection, 1 vial </w:t>
            </w:r>
          </w:p>
          <w:p w14:paraId="11257EE0" w14:textId="77777777" w:rsidR="004A4FA5" w:rsidRPr="00234F7B" w:rsidRDefault="004A4FA5" w:rsidP="00AB0384">
            <w:pPr>
              <w:keepNext/>
              <w:ind w:left="-57"/>
              <w:rPr>
                <w:rFonts w:ascii="Arial Narrow" w:hAnsi="Arial Narrow"/>
                <w:sz w:val="20"/>
                <w:szCs w:val="20"/>
              </w:rPr>
            </w:pPr>
          </w:p>
        </w:tc>
        <w:tc>
          <w:tcPr>
            <w:tcW w:w="1417" w:type="dxa"/>
          </w:tcPr>
          <w:p w14:paraId="66811557" w14:textId="77777777" w:rsidR="004A4FA5" w:rsidRPr="00234F7B" w:rsidRDefault="004A4FA5" w:rsidP="00AB0384">
            <w:pPr>
              <w:keepNext/>
              <w:ind w:left="-108"/>
              <w:jc w:val="center"/>
              <w:rPr>
                <w:rFonts w:ascii="Arial Narrow" w:hAnsi="Arial Narrow"/>
                <w:sz w:val="20"/>
                <w:szCs w:val="20"/>
              </w:rPr>
            </w:pPr>
            <w:r w:rsidRPr="00234F7B">
              <w:rPr>
                <w:rFonts w:ascii="Arial Narrow" w:hAnsi="Arial Narrow"/>
                <w:sz w:val="20"/>
                <w:szCs w:val="20"/>
              </w:rPr>
              <w:t>NEW</w:t>
            </w:r>
          </w:p>
        </w:tc>
        <w:tc>
          <w:tcPr>
            <w:tcW w:w="1276" w:type="dxa"/>
          </w:tcPr>
          <w:p w14:paraId="011C8CC4" w14:textId="77777777" w:rsidR="004A4FA5" w:rsidRPr="00234F7B" w:rsidRDefault="004A4FA5" w:rsidP="00AB0384">
            <w:pPr>
              <w:keepNext/>
              <w:jc w:val="center"/>
              <w:rPr>
                <w:rFonts w:ascii="Arial Narrow" w:hAnsi="Arial Narrow"/>
                <w:sz w:val="20"/>
                <w:szCs w:val="20"/>
              </w:rPr>
            </w:pPr>
            <w:r w:rsidRPr="00234F7B">
              <w:rPr>
                <w:rFonts w:ascii="Arial Narrow" w:hAnsi="Arial Narrow"/>
                <w:sz w:val="20"/>
                <w:szCs w:val="20"/>
              </w:rPr>
              <w:t>125 mg</w:t>
            </w:r>
          </w:p>
        </w:tc>
        <w:tc>
          <w:tcPr>
            <w:tcW w:w="1134" w:type="dxa"/>
          </w:tcPr>
          <w:p w14:paraId="3CA8D31A" w14:textId="77777777" w:rsidR="004A4FA5" w:rsidRPr="00234F7B" w:rsidRDefault="004A4FA5" w:rsidP="00AB0384">
            <w:pPr>
              <w:keepNext/>
              <w:jc w:val="center"/>
              <w:rPr>
                <w:rFonts w:ascii="Arial Narrow" w:hAnsi="Arial Narrow"/>
                <w:sz w:val="20"/>
                <w:szCs w:val="20"/>
              </w:rPr>
            </w:pPr>
            <w:r w:rsidRPr="00234F7B">
              <w:rPr>
                <w:rFonts w:ascii="Arial Narrow" w:hAnsi="Arial Narrow"/>
                <w:sz w:val="20"/>
                <w:szCs w:val="20"/>
              </w:rPr>
              <w:t>9</w:t>
            </w:r>
          </w:p>
        </w:tc>
        <w:tc>
          <w:tcPr>
            <w:tcW w:w="2551" w:type="dxa"/>
          </w:tcPr>
          <w:p w14:paraId="642A75A1" w14:textId="77777777" w:rsidR="004A4FA5" w:rsidRPr="004A4FA5" w:rsidRDefault="004A4FA5" w:rsidP="004A4FA5">
            <w:pPr>
              <w:keepNext/>
              <w:jc w:val="center"/>
              <w:rPr>
                <w:rFonts w:ascii="Arial Narrow" w:hAnsi="Arial Narrow"/>
                <w:sz w:val="20"/>
                <w:szCs w:val="20"/>
              </w:rPr>
            </w:pPr>
            <w:r w:rsidRPr="004A4FA5">
              <w:rPr>
                <w:rFonts w:ascii="Arial Narrow" w:hAnsi="Arial Narrow"/>
                <w:sz w:val="20"/>
                <w:szCs w:val="20"/>
              </w:rPr>
              <w:t>Public Hospital:</w:t>
            </w:r>
          </w:p>
          <w:p w14:paraId="4BEF9327" w14:textId="5AEC2A05" w:rsidR="004A4FA5" w:rsidRPr="00633EFC" w:rsidRDefault="004A4FA5" w:rsidP="004A4FA5">
            <w:pPr>
              <w:keepNext/>
              <w:jc w:val="center"/>
              <w:rPr>
                <w:rFonts w:ascii="Arial Narrow" w:hAnsi="Arial Narrow"/>
                <w:sz w:val="20"/>
                <w:szCs w:val="20"/>
              </w:rPr>
            </w:pPr>
            <w:r w:rsidRPr="004A4FA5">
              <w:rPr>
                <w:rFonts w:ascii="Arial Narrow" w:hAnsi="Arial Narrow"/>
                <w:sz w:val="20"/>
                <w:szCs w:val="20"/>
              </w:rPr>
              <w:t>$</w:t>
            </w:r>
            <w:r w:rsidRPr="00633EFC">
              <w:rPr>
                <w:rFonts w:ascii="Arial Narrow" w:hAnsi="Arial Narrow"/>
                <w:sz w:val="20"/>
                <w:szCs w:val="20"/>
              </w:rPr>
              <w:t>6,209.67 (published)</w:t>
            </w:r>
            <w:r w:rsidRPr="00633EFC">
              <w:rPr>
                <w:rFonts w:ascii="Arial Narrow" w:hAnsi="Arial Narrow"/>
                <w:sz w:val="20"/>
                <w:szCs w:val="20"/>
              </w:rPr>
              <w:br/>
              <w:t>$</w:t>
            </w:r>
            <w:r w:rsidR="00C828EC" w:rsidRPr="00C828EC">
              <w:rPr>
                <w:rFonts w:ascii="Arial Narrow" w:hAnsi="Arial Narrow"/>
                <w:color w:val="000000"/>
                <w:sz w:val="20"/>
                <w:szCs w:val="20"/>
                <w:shd w:val="solid" w:color="000000" w:fill="000000"/>
                <w14:textFill>
                  <w14:solidFill>
                    <w14:srgbClr w14:val="000000">
                      <w14:alpha w14:val="100000"/>
                    </w14:srgbClr>
                  </w14:solidFill>
                </w14:textFill>
              </w:rPr>
              <w:t>|</w:t>
            </w:r>
            <w:r w:rsidRPr="00633EFC">
              <w:rPr>
                <w:rFonts w:ascii="Arial Narrow" w:hAnsi="Arial Narrow"/>
                <w:sz w:val="20"/>
                <w:szCs w:val="20"/>
              </w:rPr>
              <w:t xml:space="preserve"> (effective)</w:t>
            </w:r>
          </w:p>
          <w:p w14:paraId="40ED2E10" w14:textId="77777777" w:rsidR="004A4FA5" w:rsidRPr="00633EFC" w:rsidRDefault="004A4FA5" w:rsidP="004A4FA5">
            <w:pPr>
              <w:keepNext/>
              <w:jc w:val="center"/>
              <w:rPr>
                <w:rFonts w:ascii="Arial Narrow" w:hAnsi="Arial Narrow"/>
                <w:sz w:val="20"/>
                <w:szCs w:val="20"/>
              </w:rPr>
            </w:pPr>
            <w:r w:rsidRPr="00633EFC">
              <w:rPr>
                <w:rFonts w:ascii="Arial Narrow" w:hAnsi="Arial Narrow"/>
                <w:sz w:val="20"/>
                <w:szCs w:val="20"/>
              </w:rPr>
              <w:t>Private Hospital:</w:t>
            </w:r>
          </w:p>
          <w:p w14:paraId="3F50ECBB" w14:textId="61C8C301" w:rsidR="004A4FA5" w:rsidRPr="00234F7B" w:rsidRDefault="004A4FA5" w:rsidP="004A4FA5">
            <w:pPr>
              <w:keepNext/>
              <w:jc w:val="center"/>
              <w:rPr>
                <w:rFonts w:ascii="Arial Narrow" w:hAnsi="Arial Narrow"/>
                <w:sz w:val="20"/>
                <w:szCs w:val="20"/>
              </w:rPr>
            </w:pPr>
            <w:r w:rsidRPr="00633EFC">
              <w:rPr>
                <w:rFonts w:ascii="Arial Narrow" w:hAnsi="Arial Narrow"/>
                <w:sz w:val="20"/>
                <w:szCs w:val="20"/>
              </w:rPr>
              <w:t>$6,336.43 (published</w:t>
            </w:r>
            <w:r w:rsidRPr="004A4FA5">
              <w:rPr>
                <w:rFonts w:ascii="Arial Narrow" w:hAnsi="Arial Narrow"/>
                <w:sz w:val="20"/>
                <w:szCs w:val="20"/>
              </w:rPr>
              <w:t>)</w:t>
            </w:r>
            <w:r w:rsidRPr="004A4FA5">
              <w:rPr>
                <w:rFonts w:ascii="Arial Narrow" w:hAnsi="Arial Narrow"/>
                <w:sz w:val="20"/>
                <w:szCs w:val="20"/>
              </w:rPr>
              <w:br/>
              <w:t>$</w:t>
            </w:r>
            <w:r w:rsidR="00C828EC" w:rsidRPr="00C828EC">
              <w:rPr>
                <w:rFonts w:ascii="Arial Narrow" w:hAnsi="Arial Narrow"/>
                <w:color w:val="000000"/>
                <w:sz w:val="20"/>
                <w:szCs w:val="20"/>
                <w:shd w:val="solid" w:color="000000" w:fill="000000"/>
                <w14:textFill>
                  <w14:solidFill>
                    <w14:srgbClr w14:val="000000">
                      <w14:alpha w14:val="100000"/>
                    </w14:srgbClr>
                  </w14:solidFill>
                </w14:textFill>
              </w:rPr>
              <w:t>|</w:t>
            </w:r>
            <w:r w:rsidRPr="004A4FA5">
              <w:rPr>
                <w:rFonts w:ascii="Arial Narrow" w:hAnsi="Arial Narrow"/>
                <w:sz w:val="20"/>
                <w:szCs w:val="20"/>
              </w:rPr>
              <w:t xml:space="preserve"> (effective)</w:t>
            </w:r>
          </w:p>
        </w:tc>
      </w:tr>
      <w:tr w:rsidR="004A4FA5" w:rsidRPr="00234F7B" w14:paraId="5A9B7BF0" w14:textId="77777777" w:rsidTr="00AB0384">
        <w:trPr>
          <w:cantSplit/>
          <w:trHeight w:val="225"/>
        </w:trPr>
        <w:tc>
          <w:tcPr>
            <w:tcW w:w="9067" w:type="dxa"/>
            <w:gridSpan w:val="6"/>
          </w:tcPr>
          <w:p w14:paraId="1341B3CD" w14:textId="77777777" w:rsidR="004A4FA5" w:rsidRPr="00234F7B" w:rsidRDefault="004A4FA5" w:rsidP="00AB0384">
            <w:pPr>
              <w:keepNext/>
              <w:ind w:left="-57"/>
              <w:rPr>
                <w:rFonts w:ascii="Arial Narrow" w:hAnsi="Arial Narrow"/>
                <w:b/>
                <w:sz w:val="20"/>
                <w:szCs w:val="20"/>
              </w:rPr>
            </w:pPr>
            <w:r w:rsidRPr="00234F7B">
              <w:rPr>
                <w:rFonts w:ascii="Arial Narrow" w:hAnsi="Arial Narrow"/>
                <w:b/>
                <w:sz w:val="20"/>
                <w:szCs w:val="20"/>
              </w:rPr>
              <w:t xml:space="preserve">Available brands </w:t>
            </w:r>
          </w:p>
        </w:tc>
      </w:tr>
      <w:tr w:rsidR="004A4FA5" w:rsidRPr="00234F7B" w14:paraId="3B12EAAE" w14:textId="77777777" w:rsidTr="00AB0384">
        <w:trPr>
          <w:cantSplit/>
          <w:trHeight w:val="360"/>
        </w:trPr>
        <w:tc>
          <w:tcPr>
            <w:tcW w:w="9067" w:type="dxa"/>
            <w:gridSpan w:val="6"/>
          </w:tcPr>
          <w:p w14:paraId="19EE966F" w14:textId="77777777" w:rsidR="004A4FA5" w:rsidRPr="00234F7B" w:rsidRDefault="004A4FA5" w:rsidP="00AB0384">
            <w:pPr>
              <w:ind w:left="-57"/>
              <w:rPr>
                <w:rFonts w:ascii="Arial Narrow" w:hAnsi="Arial Narrow"/>
                <w:sz w:val="20"/>
                <w:szCs w:val="20"/>
              </w:rPr>
            </w:pPr>
            <w:proofErr w:type="spellStart"/>
            <w:r w:rsidRPr="00234F7B">
              <w:rPr>
                <w:rFonts w:ascii="Arial Narrow" w:hAnsi="Arial Narrow"/>
                <w:sz w:val="20"/>
                <w:szCs w:val="20"/>
              </w:rPr>
              <w:t>Padcev</w:t>
            </w:r>
            <w:proofErr w:type="spellEnd"/>
          </w:p>
          <w:p w14:paraId="710DD78B" w14:textId="77777777" w:rsidR="004A4FA5" w:rsidRPr="00234F7B" w:rsidRDefault="004A4FA5" w:rsidP="00AB0384">
            <w:pPr>
              <w:ind w:left="-57"/>
              <w:rPr>
                <w:rFonts w:ascii="Arial Narrow" w:hAnsi="Arial Narrow"/>
                <w:sz w:val="20"/>
                <w:szCs w:val="20"/>
              </w:rPr>
            </w:pPr>
            <w:r w:rsidRPr="00234F7B">
              <w:rPr>
                <w:rFonts w:ascii="Arial Narrow" w:hAnsi="Arial Narrow"/>
                <w:sz w:val="20"/>
                <w:szCs w:val="20"/>
              </w:rPr>
              <w:t>(</w:t>
            </w:r>
            <w:proofErr w:type="spellStart"/>
            <w:r w:rsidRPr="00234F7B">
              <w:rPr>
                <w:rFonts w:ascii="Arial Narrow" w:hAnsi="Arial Narrow"/>
                <w:sz w:val="20"/>
                <w:szCs w:val="20"/>
              </w:rPr>
              <w:t>enfortumab</w:t>
            </w:r>
            <w:proofErr w:type="spellEnd"/>
            <w:r w:rsidRPr="00234F7B">
              <w:rPr>
                <w:rFonts w:ascii="Arial Narrow" w:hAnsi="Arial Narrow"/>
                <w:sz w:val="20"/>
                <w:szCs w:val="20"/>
              </w:rPr>
              <w:t xml:space="preserve"> </w:t>
            </w:r>
            <w:proofErr w:type="spellStart"/>
            <w:r w:rsidRPr="00234F7B">
              <w:rPr>
                <w:rFonts w:ascii="Arial Narrow" w:hAnsi="Arial Narrow"/>
                <w:sz w:val="20"/>
                <w:szCs w:val="20"/>
              </w:rPr>
              <w:t>vedotin</w:t>
            </w:r>
            <w:proofErr w:type="spellEnd"/>
            <w:r w:rsidRPr="00234F7B">
              <w:rPr>
                <w:rFonts w:ascii="Arial Narrow" w:hAnsi="Arial Narrow"/>
                <w:sz w:val="20"/>
                <w:szCs w:val="20"/>
              </w:rPr>
              <w:t xml:space="preserve"> 20 mg powder for injection, 1 vial)</w:t>
            </w:r>
          </w:p>
        </w:tc>
      </w:tr>
      <w:tr w:rsidR="004A4FA5" w:rsidRPr="00234F7B" w14:paraId="605FC482" w14:textId="77777777" w:rsidTr="00AB0384">
        <w:trPr>
          <w:cantSplit/>
          <w:trHeight w:val="360"/>
        </w:trPr>
        <w:tc>
          <w:tcPr>
            <w:tcW w:w="9067" w:type="dxa"/>
            <w:gridSpan w:val="6"/>
          </w:tcPr>
          <w:p w14:paraId="5FC1E05D" w14:textId="77777777" w:rsidR="004A4FA5" w:rsidRPr="00234F7B" w:rsidRDefault="004A4FA5" w:rsidP="00AB0384">
            <w:pPr>
              <w:ind w:left="-57"/>
              <w:rPr>
                <w:rFonts w:ascii="Arial Narrow" w:hAnsi="Arial Narrow"/>
                <w:sz w:val="20"/>
                <w:szCs w:val="20"/>
              </w:rPr>
            </w:pPr>
            <w:proofErr w:type="spellStart"/>
            <w:r w:rsidRPr="00234F7B">
              <w:rPr>
                <w:rFonts w:ascii="Arial Narrow" w:hAnsi="Arial Narrow"/>
                <w:sz w:val="20"/>
                <w:szCs w:val="20"/>
              </w:rPr>
              <w:t>Padcev</w:t>
            </w:r>
            <w:proofErr w:type="spellEnd"/>
          </w:p>
          <w:p w14:paraId="2BC930BE" w14:textId="77777777" w:rsidR="004A4FA5" w:rsidRPr="00234F7B" w:rsidRDefault="004A4FA5" w:rsidP="00AB0384">
            <w:pPr>
              <w:ind w:left="-57"/>
              <w:rPr>
                <w:rFonts w:ascii="Arial Narrow" w:hAnsi="Arial Narrow"/>
                <w:sz w:val="20"/>
                <w:szCs w:val="20"/>
              </w:rPr>
            </w:pPr>
            <w:r w:rsidRPr="00234F7B">
              <w:rPr>
                <w:rFonts w:ascii="Arial Narrow" w:hAnsi="Arial Narrow"/>
                <w:sz w:val="20"/>
                <w:szCs w:val="20"/>
              </w:rPr>
              <w:t>(</w:t>
            </w:r>
            <w:proofErr w:type="spellStart"/>
            <w:r w:rsidRPr="00234F7B">
              <w:rPr>
                <w:rFonts w:ascii="Arial Narrow" w:hAnsi="Arial Narrow"/>
                <w:sz w:val="20"/>
                <w:szCs w:val="20"/>
              </w:rPr>
              <w:t>enfortumab</w:t>
            </w:r>
            <w:proofErr w:type="spellEnd"/>
            <w:r w:rsidRPr="00234F7B">
              <w:rPr>
                <w:rFonts w:ascii="Arial Narrow" w:hAnsi="Arial Narrow"/>
                <w:sz w:val="20"/>
                <w:szCs w:val="20"/>
              </w:rPr>
              <w:t xml:space="preserve"> </w:t>
            </w:r>
            <w:proofErr w:type="spellStart"/>
            <w:r w:rsidRPr="00234F7B">
              <w:rPr>
                <w:rFonts w:ascii="Arial Narrow" w:hAnsi="Arial Narrow"/>
                <w:sz w:val="20"/>
                <w:szCs w:val="20"/>
              </w:rPr>
              <w:t>vedotin</w:t>
            </w:r>
            <w:proofErr w:type="spellEnd"/>
            <w:r w:rsidRPr="00234F7B">
              <w:rPr>
                <w:rFonts w:ascii="Arial Narrow" w:hAnsi="Arial Narrow"/>
                <w:sz w:val="20"/>
                <w:szCs w:val="20"/>
              </w:rPr>
              <w:t xml:space="preserve"> 30 mg powder for injection, 1 vial)</w:t>
            </w:r>
          </w:p>
        </w:tc>
      </w:tr>
      <w:tr w:rsidR="004A4FA5" w:rsidRPr="00234F7B" w14:paraId="61D1CEFC" w14:textId="77777777" w:rsidTr="001F429B">
        <w:trPr>
          <w:cantSplit/>
          <w:trHeight w:val="173"/>
        </w:trPr>
        <w:tc>
          <w:tcPr>
            <w:tcW w:w="9067" w:type="dxa"/>
            <w:gridSpan w:val="6"/>
          </w:tcPr>
          <w:p w14:paraId="5502A71C" w14:textId="77777777" w:rsidR="004A4FA5" w:rsidRPr="00234F7B" w:rsidRDefault="004A4FA5" w:rsidP="00AB0384">
            <w:pPr>
              <w:ind w:left="-57"/>
              <w:rPr>
                <w:rFonts w:ascii="Arial Narrow" w:hAnsi="Arial Narrow"/>
                <w:sz w:val="20"/>
                <w:szCs w:val="20"/>
              </w:rPr>
            </w:pPr>
          </w:p>
        </w:tc>
      </w:tr>
      <w:tr w:rsidR="004A4FA5" w:rsidRPr="00234F7B" w14:paraId="69DBD23D" w14:textId="77777777" w:rsidTr="00EC7D63">
        <w:trPr>
          <w:cantSplit/>
          <w:trHeight w:val="219"/>
        </w:trPr>
        <w:tc>
          <w:tcPr>
            <w:tcW w:w="9067" w:type="dxa"/>
            <w:gridSpan w:val="6"/>
          </w:tcPr>
          <w:p w14:paraId="48FE9661" w14:textId="77777777" w:rsidR="004A4FA5" w:rsidRPr="00234F7B" w:rsidRDefault="004A4FA5" w:rsidP="00AB0384">
            <w:pPr>
              <w:rPr>
                <w:rFonts w:ascii="Arial Narrow" w:hAnsi="Arial Narrow"/>
                <w:sz w:val="20"/>
                <w:szCs w:val="20"/>
              </w:rPr>
            </w:pPr>
            <w:r w:rsidRPr="00234F7B">
              <w:rPr>
                <w:rFonts w:ascii="Arial Narrow" w:hAnsi="Arial Narrow"/>
                <w:b/>
                <w:sz w:val="20"/>
                <w:szCs w:val="20"/>
              </w:rPr>
              <w:t>Restriction Summary [new] / Treatment of Concept: [new]</w:t>
            </w:r>
          </w:p>
        </w:tc>
      </w:tr>
      <w:tr w:rsidR="004A4FA5" w:rsidRPr="00234F7B" w14:paraId="134F1146" w14:textId="77777777" w:rsidTr="00AB0384">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707F88F6" w14:textId="4CBE380B" w:rsidR="004A4FA5" w:rsidRPr="00EC7D63" w:rsidRDefault="004A4FA5" w:rsidP="00DD59C9">
            <w:pPr>
              <w:rPr>
                <w:rFonts w:ascii="Arial Narrow" w:hAnsi="Arial Narrow"/>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5683A49D" w14:textId="63076929" w:rsidR="004A4FA5" w:rsidRPr="00234F7B" w:rsidRDefault="004A4FA5" w:rsidP="00EC7D63">
            <w:pPr>
              <w:rPr>
                <w:rFonts w:ascii="Arial Narrow" w:hAnsi="Arial Narrow"/>
                <w:sz w:val="20"/>
                <w:szCs w:val="20"/>
              </w:rPr>
            </w:pPr>
            <w:r w:rsidRPr="00234F7B">
              <w:rPr>
                <w:rFonts w:ascii="Arial Narrow" w:hAnsi="Arial Narrow"/>
                <w:b/>
                <w:sz w:val="20"/>
                <w:szCs w:val="20"/>
              </w:rPr>
              <w:t>Category / Program:</w:t>
            </w:r>
            <w:r w:rsidR="00EC7D63">
              <w:rPr>
                <w:rFonts w:ascii="Arial Narrow" w:hAnsi="Arial Narrow"/>
                <w:b/>
                <w:sz w:val="20"/>
                <w:szCs w:val="20"/>
              </w:rPr>
              <w:t xml:space="preserve"> </w:t>
            </w:r>
            <w:r w:rsidRPr="00234F7B">
              <w:rPr>
                <w:rFonts w:ascii="Arial Narrow" w:hAnsi="Arial Narrow"/>
                <w:sz w:val="20"/>
                <w:szCs w:val="20"/>
              </w:rPr>
              <w:t>Section 100 – Efficient Funding of Chemotherapy Public/Private hospitals</w:t>
            </w:r>
          </w:p>
        </w:tc>
      </w:tr>
      <w:tr w:rsidR="004A4FA5" w:rsidRPr="00234F7B" w14:paraId="1CA1C0D3" w14:textId="77777777" w:rsidTr="00AB0384">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5B567608" w14:textId="77777777" w:rsidR="004A4FA5" w:rsidRPr="00234F7B" w:rsidRDefault="004A4FA5" w:rsidP="00AB0384">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1EFAF550" w14:textId="77777777" w:rsidR="004A4FA5" w:rsidRPr="00234F7B" w:rsidRDefault="004A4FA5" w:rsidP="00AB0384">
            <w:pPr>
              <w:rPr>
                <w:rFonts w:ascii="Arial Narrow" w:hAnsi="Arial Narrow"/>
                <w:b/>
                <w:sz w:val="20"/>
                <w:szCs w:val="20"/>
              </w:rPr>
            </w:pPr>
            <w:r w:rsidRPr="00234F7B">
              <w:rPr>
                <w:rFonts w:ascii="Arial Narrow" w:hAnsi="Arial Narrow"/>
                <w:b/>
                <w:sz w:val="20"/>
                <w:szCs w:val="20"/>
              </w:rPr>
              <w:t xml:space="preserve">Prescriber type: </w:t>
            </w:r>
            <w:r w:rsidRPr="00234F7B">
              <w:rPr>
                <w:rFonts w:ascii="Arial Narrow" w:hAnsi="Arial Narrow"/>
                <w:sz w:val="20"/>
                <w:szCs w:val="20"/>
              </w:rPr>
              <w:fldChar w:fldCharType="begin">
                <w:ffData>
                  <w:name w:val="Check1"/>
                  <w:enabled/>
                  <w:calcOnExit w:val="0"/>
                  <w:checkBox>
                    <w:sizeAuto/>
                    <w:default w:val="0"/>
                  </w:checkBox>
                </w:ffData>
              </w:fldChar>
            </w:r>
            <w:r w:rsidRPr="00234F7B">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234F7B">
              <w:rPr>
                <w:rFonts w:ascii="Arial Narrow" w:hAnsi="Arial Narrow"/>
                <w:sz w:val="20"/>
                <w:szCs w:val="20"/>
              </w:rPr>
              <w:fldChar w:fldCharType="end"/>
            </w:r>
            <w:r w:rsidRPr="00234F7B">
              <w:rPr>
                <w:rFonts w:ascii="Arial Narrow" w:hAnsi="Arial Narrow"/>
                <w:sz w:val="20"/>
                <w:szCs w:val="20"/>
              </w:rPr>
              <w:t xml:space="preserve">Dental </w:t>
            </w:r>
            <w:r w:rsidRPr="00234F7B">
              <w:rPr>
                <w:rFonts w:ascii="Arial Narrow" w:hAnsi="Arial Narrow"/>
                <w:sz w:val="20"/>
                <w:szCs w:val="20"/>
              </w:rPr>
              <w:fldChar w:fldCharType="begin">
                <w:ffData>
                  <w:name w:val=""/>
                  <w:enabled/>
                  <w:calcOnExit w:val="0"/>
                  <w:checkBox>
                    <w:sizeAuto/>
                    <w:default w:val="1"/>
                  </w:checkBox>
                </w:ffData>
              </w:fldChar>
            </w:r>
            <w:r w:rsidRPr="00234F7B">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234F7B">
              <w:rPr>
                <w:rFonts w:ascii="Arial Narrow" w:hAnsi="Arial Narrow"/>
                <w:sz w:val="20"/>
                <w:szCs w:val="20"/>
              </w:rPr>
              <w:fldChar w:fldCharType="end"/>
            </w:r>
            <w:r w:rsidRPr="00234F7B">
              <w:rPr>
                <w:rFonts w:ascii="Arial Narrow" w:hAnsi="Arial Narrow"/>
                <w:sz w:val="20"/>
                <w:szCs w:val="20"/>
              </w:rPr>
              <w:t xml:space="preserve">Medical Practitioners </w:t>
            </w:r>
            <w:r w:rsidRPr="00234F7B">
              <w:rPr>
                <w:rFonts w:ascii="Arial Narrow" w:hAnsi="Arial Narrow"/>
                <w:sz w:val="20"/>
                <w:szCs w:val="20"/>
              </w:rPr>
              <w:fldChar w:fldCharType="begin">
                <w:ffData>
                  <w:name w:val="Check3"/>
                  <w:enabled/>
                  <w:calcOnExit w:val="0"/>
                  <w:checkBox>
                    <w:sizeAuto/>
                    <w:default w:val="0"/>
                  </w:checkBox>
                </w:ffData>
              </w:fldChar>
            </w:r>
            <w:r w:rsidRPr="00234F7B">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234F7B">
              <w:rPr>
                <w:rFonts w:ascii="Arial Narrow" w:hAnsi="Arial Narrow"/>
                <w:sz w:val="20"/>
                <w:szCs w:val="20"/>
              </w:rPr>
              <w:fldChar w:fldCharType="end"/>
            </w:r>
            <w:r w:rsidRPr="00234F7B">
              <w:rPr>
                <w:rFonts w:ascii="Arial Narrow" w:hAnsi="Arial Narrow"/>
                <w:sz w:val="20"/>
                <w:szCs w:val="20"/>
              </w:rPr>
              <w:t xml:space="preserve">Nurse practitioners </w:t>
            </w:r>
            <w:r w:rsidRPr="00234F7B">
              <w:rPr>
                <w:rFonts w:ascii="Arial Narrow" w:hAnsi="Arial Narrow"/>
                <w:sz w:val="20"/>
                <w:szCs w:val="20"/>
              </w:rPr>
              <w:fldChar w:fldCharType="begin">
                <w:ffData>
                  <w:name w:val=""/>
                  <w:enabled/>
                  <w:calcOnExit w:val="0"/>
                  <w:checkBox>
                    <w:sizeAuto/>
                    <w:default w:val="0"/>
                  </w:checkBox>
                </w:ffData>
              </w:fldChar>
            </w:r>
            <w:r w:rsidRPr="00234F7B">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234F7B">
              <w:rPr>
                <w:rFonts w:ascii="Arial Narrow" w:hAnsi="Arial Narrow"/>
                <w:sz w:val="20"/>
                <w:szCs w:val="20"/>
              </w:rPr>
              <w:fldChar w:fldCharType="end"/>
            </w:r>
            <w:r w:rsidRPr="00234F7B">
              <w:rPr>
                <w:rFonts w:ascii="Arial Narrow" w:hAnsi="Arial Narrow"/>
                <w:sz w:val="20"/>
                <w:szCs w:val="20"/>
              </w:rPr>
              <w:t xml:space="preserve">Optometrists </w:t>
            </w:r>
            <w:r w:rsidRPr="00234F7B">
              <w:rPr>
                <w:rFonts w:ascii="Arial Narrow" w:hAnsi="Arial Narrow"/>
                <w:sz w:val="20"/>
                <w:szCs w:val="20"/>
              </w:rPr>
              <w:fldChar w:fldCharType="begin">
                <w:ffData>
                  <w:name w:val="Check5"/>
                  <w:enabled/>
                  <w:calcOnExit w:val="0"/>
                  <w:checkBox>
                    <w:sizeAuto/>
                    <w:default w:val="0"/>
                  </w:checkBox>
                </w:ffData>
              </w:fldChar>
            </w:r>
            <w:r w:rsidRPr="00234F7B">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234F7B">
              <w:rPr>
                <w:rFonts w:ascii="Arial Narrow" w:hAnsi="Arial Narrow"/>
                <w:sz w:val="20"/>
                <w:szCs w:val="20"/>
              </w:rPr>
              <w:fldChar w:fldCharType="end"/>
            </w:r>
            <w:r w:rsidRPr="00234F7B">
              <w:rPr>
                <w:rFonts w:ascii="Arial Narrow" w:hAnsi="Arial Narrow"/>
                <w:sz w:val="20"/>
                <w:szCs w:val="20"/>
              </w:rPr>
              <w:t>Midwives</w:t>
            </w:r>
          </w:p>
        </w:tc>
      </w:tr>
      <w:tr w:rsidR="004A4FA5" w:rsidRPr="00234F7B" w14:paraId="04B7FAAE" w14:textId="77777777" w:rsidTr="00EC7D63">
        <w:tblPrEx>
          <w:tblCellMar>
            <w:top w:w="15" w:type="dxa"/>
            <w:left w:w="15" w:type="dxa"/>
            <w:bottom w:w="15" w:type="dxa"/>
            <w:right w:w="15" w:type="dxa"/>
          </w:tblCellMar>
          <w:tblLook w:val="04A0" w:firstRow="1" w:lastRow="0" w:firstColumn="1" w:lastColumn="0" w:noHBand="0" w:noVBand="1"/>
        </w:tblPrEx>
        <w:trPr>
          <w:trHeight w:val="116"/>
        </w:trPr>
        <w:tc>
          <w:tcPr>
            <w:tcW w:w="1271" w:type="dxa"/>
            <w:vMerge/>
            <w:tcBorders>
              <w:left w:val="single" w:sz="4" w:space="0" w:color="auto"/>
              <w:bottom w:val="single" w:sz="4" w:space="0" w:color="auto"/>
              <w:right w:val="single" w:sz="4" w:space="0" w:color="auto"/>
            </w:tcBorders>
          </w:tcPr>
          <w:p w14:paraId="046F326D" w14:textId="77777777" w:rsidR="004A4FA5" w:rsidRPr="00234F7B" w:rsidRDefault="004A4FA5" w:rsidP="00AB0384">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3D3065A3" w14:textId="571906ED" w:rsidR="004A4FA5" w:rsidRPr="00234F7B" w:rsidRDefault="004A4FA5" w:rsidP="00EC7D63">
            <w:pPr>
              <w:rPr>
                <w:rFonts w:ascii="Arial Narrow" w:eastAsia="Calibri" w:hAnsi="Arial Narrow"/>
                <w:sz w:val="20"/>
                <w:szCs w:val="20"/>
              </w:rPr>
            </w:pPr>
            <w:r w:rsidRPr="00234F7B">
              <w:rPr>
                <w:rFonts w:ascii="Arial Narrow" w:hAnsi="Arial Narrow"/>
                <w:b/>
                <w:sz w:val="20"/>
                <w:szCs w:val="20"/>
              </w:rPr>
              <w:t>Restriction Type:</w:t>
            </w:r>
            <w:r w:rsidR="00EC7D63">
              <w:rPr>
                <w:rFonts w:ascii="Arial Narrow" w:hAnsi="Arial Narrow"/>
                <w:b/>
                <w:sz w:val="20"/>
                <w:szCs w:val="20"/>
              </w:rPr>
              <w:t xml:space="preserve"> </w:t>
            </w:r>
            <w:r w:rsidRPr="00234F7B">
              <w:rPr>
                <w:rFonts w:ascii="Arial Narrow" w:eastAsia="Calibri" w:hAnsi="Arial Narrow"/>
                <w:sz w:val="20"/>
                <w:szCs w:val="20"/>
              </w:rPr>
              <w:fldChar w:fldCharType="begin">
                <w:ffData>
                  <w:name w:val=""/>
                  <w:enabled/>
                  <w:calcOnExit w:val="0"/>
                  <w:checkBox>
                    <w:sizeAuto/>
                    <w:default w:val="1"/>
                  </w:checkBox>
                </w:ffData>
              </w:fldChar>
            </w:r>
            <w:r w:rsidRPr="00234F7B">
              <w:rPr>
                <w:rFonts w:ascii="Arial Narrow" w:eastAsia="Calibri" w:hAnsi="Arial Narrow"/>
                <w:sz w:val="20"/>
                <w:szCs w:val="20"/>
              </w:rPr>
              <w:instrText xml:space="preserve"> FORMCHECKBOX </w:instrText>
            </w:r>
            <w:r w:rsidR="00F06F14">
              <w:rPr>
                <w:rFonts w:ascii="Arial Narrow" w:eastAsia="Calibri" w:hAnsi="Arial Narrow"/>
                <w:sz w:val="20"/>
                <w:szCs w:val="20"/>
              </w:rPr>
            </w:r>
            <w:r w:rsidR="00F06F14">
              <w:rPr>
                <w:rFonts w:ascii="Arial Narrow" w:eastAsia="Calibri" w:hAnsi="Arial Narrow"/>
                <w:sz w:val="20"/>
                <w:szCs w:val="20"/>
              </w:rPr>
              <w:fldChar w:fldCharType="separate"/>
            </w:r>
            <w:r w:rsidRPr="00234F7B">
              <w:rPr>
                <w:rFonts w:ascii="Arial Narrow" w:eastAsia="Calibri" w:hAnsi="Arial Narrow"/>
                <w:sz w:val="20"/>
                <w:szCs w:val="20"/>
              </w:rPr>
              <w:fldChar w:fldCharType="end"/>
            </w:r>
            <w:r w:rsidRPr="00234F7B">
              <w:rPr>
                <w:rFonts w:ascii="Arial Narrow" w:eastAsia="Calibri" w:hAnsi="Arial Narrow"/>
                <w:sz w:val="20"/>
                <w:szCs w:val="20"/>
              </w:rPr>
              <w:t>Authority Required – Streamlined</w:t>
            </w:r>
          </w:p>
        </w:tc>
      </w:tr>
      <w:tr w:rsidR="004A4FA5" w:rsidRPr="00234F7B" w14:paraId="3688FAF9" w14:textId="77777777" w:rsidTr="00AB0384">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tcPr>
          <w:p w14:paraId="21189E3C" w14:textId="352AF732" w:rsidR="004A4FA5" w:rsidRPr="00234F7B" w:rsidRDefault="004A4FA5" w:rsidP="00AB0384">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487B200A"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Administrative Advice:</w:t>
            </w:r>
            <w:r w:rsidRPr="00234F7B">
              <w:rPr>
                <w:rFonts w:ascii="Arial Narrow" w:hAnsi="Arial Narrow"/>
                <w:sz w:val="20"/>
                <w:szCs w:val="20"/>
              </w:rPr>
              <w:t xml:space="preserve"> No increase in the maximum quantity or number of units may be authorised.</w:t>
            </w:r>
          </w:p>
        </w:tc>
      </w:tr>
      <w:tr w:rsidR="004A4FA5" w:rsidRPr="00234F7B" w14:paraId="7671E704" w14:textId="77777777" w:rsidTr="00AB0384">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tcPr>
          <w:p w14:paraId="4010E60B" w14:textId="4C5A0D9C" w:rsidR="004A4FA5" w:rsidRPr="00234F7B" w:rsidRDefault="004A4FA5" w:rsidP="00AB0384">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635607B0"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Administrative Advice:</w:t>
            </w:r>
            <w:r w:rsidRPr="00234F7B">
              <w:rPr>
                <w:rFonts w:ascii="Arial Narrow" w:hAnsi="Arial Narrow"/>
                <w:sz w:val="20"/>
                <w:szCs w:val="20"/>
              </w:rPr>
              <w:t xml:space="preserve"> No increase in the maximum number of repeats may be authorised.</w:t>
            </w:r>
          </w:p>
        </w:tc>
      </w:tr>
      <w:tr w:rsidR="004A4FA5" w:rsidRPr="00234F7B" w14:paraId="6F649805" w14:textId="77777777" w:rsidTr="00AB0384">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tcPr>
          <w:p w14:paraId="0AB87CDE" w14:textId="35C8E859" w:rsidR="004A4FA5" w:rsidRPr="00234F7B" w:rsidRDefault="004A4FA5" w:rsidP="00AB0384">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629B003A"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Administrative Advice:</w:t>
            </w:r>
            <w:r w:rsidRPr="00234F7B">
              <w:rPr>
                <w:rFonts w:ascii="Arial Narrow" w:hAnsi="Arial Narrow"/>
                <w:sz w:val="20"/>
                <w:szCs w:val="20"/>
              </w:rPr>
              <w:t xml:space="preserve"> Special Pricing Arrangements apply.</w:t>
            </w:r>
          </w:p>
        </w:tc>
      </w:tr>
      <w:tr w:rsidR="004A4FA5" w:rsidRPr="00234F7B" w14:paraId="252724E4"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0128E7B0" w14:textId="77777777" w:rsidR="004A4FA5" w:rsidRPr="00234F7B" w:rsidRDefault="004A4FA5" w:rsidP="00AB0384">
            <w:pPr>
              <w:rPr>
                <w:rFonts w:ascii="Arial Narrow" w:hAnsi="Arial Narrow"/>
                <w:b/>
                <w:bCs/>
                <w:sz w:val="20"/>
                <w:szCs w:val="20"/>
              </w:rPr>
            </w:pPr>
          </w:p>
        </w:tc>
        <w:tc>
          <w:tcPr>
            <w:tcW w:w="7796" w:type="dxa"/>
            <w:gridSpan w:val="5"/>
            <w:vAlign w:val="center"/>
          </w:tcPr>
          <w:p w14:paraId="194D05C2" w14:textId="77777777" w:rsidR="004A4FA5" w:rsidRPr="00234F7B" w:rsidRDefault="004A4FA5" w:rsidP="00AB0384">
            <w:pPr>
              <w:rPr>
                <w:rFonts w:ascii="Arial Narrow" w:hAnsi="Arial Narrow"/>
                <w:strike/>
                <w:sz w:val="20"/>
                <w:szCs w:val="20"/>
              </w:rPr>
            </w:pPr>
            <w:r w:rsidRPr="00234F7B">
              <w:rPr>
                <w:rFonts w:ascii="Arial Narrow" w:hAnsi="Arial Narrow"/>
                <w:b/>
                <w:bCs/>
                <w:strike/>
                <w:sz w:val="20"/>
                <w:szCs w:val="20"/>
              </w:rPr>
              <w:t>Administrative Advice:</w:t>
            </w:r>
          </w:p>
          <w:p w14:paraId="3AE2AD82" w14:textId="77777777" w:rsidR="004A4FA5" w:rsidRPr="00234F7B" w:rsidRDefault="004A4FA5" w:rsidP="00AB0384">
            <w:pPr>
              <w:rPr>
                <w:rFonts w:ascii="Arial Narrow" w:hAnsi="Arial Narrow"/>
                <w:sz w:val="20"/>
                <w:szCs w:val="20"/>
              </w:rPr>
            </w:pPr>
            <w:r w:rsidRPr="00234F7B">
              <w:rPr>
                <w:rFonts w:ascii="Arial Narrow" w:hAnsi="Arial Narrow"/>
                <w:strike/>
                <w:sz w:val="20"/>
                <w:szCs w:val="20"/>
              </w:rPr>
              <w:t xml:space="preserve">Patient should be treated with the recommended dose of </w:t>
            </w:r>
            <w:proofErr w:type="spellStart"/>
            <w:r w:rsidRPr="00234F7B">
              <w:rPr>
                <w:rFonts w:ascii="Arial Narrow" w:hAnsi="Arial Narrow"/>
                <w:strike/>
                <w:sz w:val="20"/>
                <w:szCs w:val="20"/>
              </w:rPr>
              <w:t>enfortumab</w:t>
            </w:r>
            <w:proofErr w:type="spellEnd"/>
            <w:r w:rsidRPr="00234F7B">
              <w:rPr>
                <w:rFonts w:ascii="Arial Narrow" w:hAnsi="Arial Narrow"/>
                <w:strike/>
                <w:sz w:val="20"/>
                <w:szCs w:val="20"/>
              </w:rPr>
              <w:t xml:space="preserve"> </w:t>
            </w:r>
            <w:proofErr w:type="spellStart"/>
            <w:r w:rsidRPr="00234F7B">
              <w:rPr>
                <w:rFonts w:ascii="Arial Narrow" w:hAnsi="Arial Narrow"/>
                <w:strike/>
                <w:sz w:val="20"/>
                <w:szCs w:val="20"/>
              </w:rPr>
              <w:t>vedotin</w:t>
            </w:r>
            <w:proofErr w:type="spellEnd"/>
            <w:r w:rsidRPr="00234F7B">
              <w:rPr>
                <w:rFonts w:ascii="Arial Narrow" w:hAnsi="Arial Narrow"/>
                <w:strike/>
                <w:sz w:val="20"/>
                <w:szCs w:val="20"/>
              </w:rPr>
              <w:t xml:space="preserve"> according to the TGA-approved Product Information.</w:t>
            </w:r>
          </w:p>
        </w:tc>
      </w:tr>
      <w:tr w:rsidR="004A4FA5" w:rsidRPr="00234F7B" w14:paraId="53103E0A"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69BEF3BA" w14:textId="77777777" w:rsidR="004A4FA5" w:rsidRPr="00234F7B" w:rsidRDefault="004A4FA5" w:rsidP="00AB0384">
            <w:pPr>
              <w:rPr>
                <w:rFonts w:ascii="Arial Narrow" w:hAnsi="Arial Narrow"/>
                <w:sz w:val="20"/>
                <w:szCs w:val="20"/>
              </w:rPr>
            </w:pPr>
          </w:p>
        </w:tc>
        <w:tc>
          <w:tcPr>
            <w:tcW w:w="7796" w:type="dxa"/>
            <w:gridSpan w:val="5"/>
            <w:vAlign w:val="center"/>
          </w:tcPr>
          <w:p w14:paraId="5D99098D" w14:textId="77777777" w:rsidR="004A4FA5" w:rsidRPr="00234F7B" w:rsidRDefault="004A4FA5" w:rsidP="00AB0384">
            <w:pPr>
              <w:rPr>
                <w:rFonts w:ascii="Arial Narrow" w:hAnsi="Arial Narrow"/>
                <w:b/>
                <w:bCs/>
                <w:sz w:val="20"/>
                <w:szCs w:val="20"/>
              </w:rPr>
            </w:pPr>
            <w:r w:rsidRPr="00234F7B">
              <w:rPr>
                <w:rFonts w:ascii="Arial Narrow" w:hAnsi="Arial Narrow"/>
                <w:b/>
                <w:bCs/>
                <w:sz w:val="20"/>
                <w:szCs w:val="20"/>
              </w:rPr>
              <w:t xml:space="preserve">Severity: </w:t>
            </w:r>
            <w:r w:rsidRPr="00234F7B">
              <w:rPr>
                <w:rFonts w:ascii="Arial Narrow" w:hAnsi="Arial Narrow"/>
                <w:bCs/>
                <w:sz w:val="20"/>
                <w:szCs w:val="20"/>
              </w:rPr>
              <w:t>Locally advanced (Stage III) or metastatic (Stage IV)</w:t>
            </w:r>
          </w:p>
        </w:tc>
      </w:tr>
      <w:tr w:rsidR="004A4FA5" w:rsidRPr="00234F7B" w14:paraId="5BAE8670"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3128DAFA" w14:textId="77777777" w:rsidR="004A4FA5" w:rsidRPr="00234F7B" w:rsidRDefault="004A4FA5" w:rsidP="00AB0384">
            <w:pPr>
              <w:rPr>
                <w:rFonts w:ascii="Arial Narrow" w:hAnsi="Arial Narrow"/>
                <w:b/>
                <w:bCs/>
                <w:sz w:val="20"/>
                <w:szCs w:val="20"/>
              </w:rPr>
            </w:pPr>
          </w:p>
        </w:tc>
        <w:tc>
          <w:tcPr>
            <w:tcW w:w="7796" w:type="dxa"/>
            <w:gridSpan w:val="5"/>
            <w:vAlign w:val="center"/>
          </w:tcPr>
          <w:p w14:paraId="07657E64" w14:textId="77777777" w:rsidR="004A4FA5" w:rsidRPr="00234F7B" w:rsidRDefault="004A4FA5" w:rsidP="00AB0384">
            <w:pPr>
              <w:rPr>
                <w:rFonts w:ascii="Arial Narrow" w:hAnsi="Arial Narrow"/>
                <w:b/>
                <w:bCs/>
                <w:sz w:val="20"/>
                <w:szCs w:val="20"/>
              </w:rPr>
            </w:pPr>
            <w:r w:rsidRPr="00234F7B">
              <w:rPr>
                <w:rFonts w:ascii="Arial Narrow" w:hAnsi="Arial Narrow"/>
                <w:b/>
                <w:bCs/>
                <w:sz w:val="20"/>
                <w:szCs w:val="20"/>
              </w:rPr>
              <w:t>Condition:</w:t>
            </w:r>
            <w:r w:rsidRPr="00234F7B">
              <w:rPr>
                <w:rFonts w:ascii="Arial Narrow" w:hAnsi="Arial Narrow"/>
                <w:bCs/>
                <w:sz w:val="20"/>
                <w:szCs w:val="20"/>
              </w:rPr>
              <w:t xml:space="preserve"> Urothelial cancer</w:t>
            </w:r>
          </w:p>
        </w:tc>
      </w:tr>
      <w:tr w:rsidR="004A4FA5" w:rsidRPr="00234F7B" w14:paraId="099605A4"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516854CC" w14:textId="77866D87" w:rsidR="004A4FA5" w:rsidRPr="00234F7B" w:rsidRDefault="004A4FA5" w:rsidP="00AB0384">
            <w:pPr>
              <w:rPr>
                <w:rFonts w:ascii="Arial Narrow" w:hAnsi="Arial Narrow"/>
                <w:b/>
                <w:bCs/>
                <w:sz w:val="20"/>
                <w:szCs w:val="20"/>
              </w:rPr>
            </w:pPr>
          </w:p>
        </w:tc>
        <w:tc>
          <w:tcPr>
            <w:tcW w:w="7796" w:type="dxa"/>
            <w:gridSpan w:val="5"/>
            <w:vAlign w:val="center"/>
            <w:hideMark/>
          </w:tcPr>
          <w:p w14:paraId="2A89F558"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Indication:</w:t>
            </w:r>
            <w:r w:rsidRPr="00234F7B">
              <w:rPr>
                <w:rFonts w:ascii="Arial Narrow" w:hAnsi="Arial Narrow"/>
                <w:sz w:val="20"/>
                <w:szCs w:val="20"/>
              </w:rPr>
              <w:t xml:space="preserve"> </w:t>
            </w:r>
            <w:r w:rsidRPr="00234F7B">
              <w:rPr>
                <w:rFonts w:ascii="Arial Narrow" w:hAnsi="Arial Narrow"/>
                <w:bCs/>
                <w:sz w:val="20"/>
                <w:szCs w:val="20"/>
              </w:rPr>
              <w:t>Locally advanced (Stage III) or metastatic (Stage IV) urothelial cancer</w:t>
            </w:r>
          </w:p>
        </w:tc>
      </w:tr>
      <w:tr w:rsidR="004A4FA5" w:rsidRPr="00234F7B" w14:paraId="77988BA6"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5B6321CB" w14:textId="77777777" w:rsidR="004A4FA5" w:rsidRPr="00234F7B" w:rsidRDefault="004A4FA5" w:rsidP="00AB0384">
            <w:pPr>
              <w:rPr>
                <w:rFonts w:ascii="Arial Narrow" w:hAnsi="Arial Narrow"/>
                <w:b/>
                <w:bCs/>
                <w:sz w:val="20"/>
                <w:szCs w:val="20"/>
              </w:rPr>
            </w:pPr>
          </w:p>
        </w:tc>
        <w:tc>
          <w:tcPr>
            <w:tcW w:w="7796" w:type="dxa"/>
            <w:gridSpan w:val="5"/>
            <w:vAlign w:val="center"/>
            <w:hideMark/>
          </w:tcPr>
          <w:p w14:paraId="051451F3"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Treatment Phase:</w:t>
            </w:r>
            <w:r w:rsidRPr="00234F7B">
              <w:rPr>
                <w:rFonts w:ascii="Arial Narrow" w:hAnsi="Arial Narrow"/>
                <w:sz w:val="20"/>
                <w:szCs w:val="20"/>
              </w:rPr>
              <w:t xml:space="preserve"> Initial treatment</w:t>
            </w:r>
          </w:p>
        </w:tc>
      </w:tr>
      <w:tr w:rsidR="004A4FA5" w:rsidRPr="00234F7B" w14:paraId="693B3B8B"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32325E3C" w14:textId="7B24D404" w:rsidR="004A4FA5" w:rsidRPr="00234F7B" w:rsidRDefault="004A4FA5" w:rsidP="00AB0384">
            <w:pPr>
              <w:rPr>
                <w:rFonts w:ascii="Arial Narrow" w:hAnsi="Arial Narrow"/>
                <w:sz w:val="20"/>
                <w:szCs w:val="20"/>
              </w:rPr>
            </w:pPr>
          </w:p>
        </w:tc>
        <w:tc>
          <w:tcPr>
            <w:tcW w:w="7796" w:type="dxa"/>
            <w:gridSpan w:val="5"/>
            <w:vAlign w:val="center"/>
            <w:hideMark/>
          </w:tcPr>
          <w:p w14:paraId="5155F23F"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Clinical criteria:</w:t>
            </w:r>
          </w:p>
        </w:tc>
      </w:tr>
      <w:tr w:rsidR="004A4FA5" w:rsidRPr="00234F7B" w14:paraId="7EF515AE"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2068297A" w14:textId="4EE6A6F2" w:rsidR="004A4FA5" w:rsidRPr="00234F7B" w:rsidRDefault="004A4FA5" w:rsidP="00AB0384">
            <w:pPr>
              <w:rPr>
                <w:rFonts w:ascii="Arial Narrow" w:hAnsi="Arial Narrow"/>
                <w:sz w:val="20"/>
                <w:szCs w:val="20"/>
              </w:rPr>
            </w:pPr>
          </w:p>
        </w:tc>
        <w:tc>
          <w:tcPr>
            <w:tcW w:w="7796" w:type="dxa"/>
            <w:gridSpan w:val="5"/>
            <w:vAlign w:val="center"/>
          </w:tcPr>
          <w:p w14:paraId="570BE8F6" w14:textId="77777777" w:rsidR="004A4FA5" w:rsidRPr="00234F7B" w:rsidRDefault="004A4FA5" w:rsidP="00AB0384">
            <w:pPr>
              <w:rPr>
                <w:rFonts w:ascii="Arial Narrow" w:hAnsi="Arial Narrow"/>
                <w:sz w:val="20"/>
                <w:szCs w:val="20"/>
              </w:rPr>
            </w:pPr>
            <w:r w:rsidRPr="00234F7B">
              <w:rPr>
                <w:rFonts w:ascii="Arial Narrow" w:hAnsi="Arial Narrow"/>
                <w:sz w:val="20"/>
                <w:szCs w:val="20"/>
              </w:rPr>
              <w:t>The condition must have progressed on or after prior platinum-containing chemotherapy; OR</w:t>
            </w:r>
          </w:p>
        </w:tc>
      </w:tr>
      <w:tr w:rsidR="004A4FA5" w:rsidRPr="00234F7B" w14:paraId="6A7A5C34"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1B4DBF21" w14:textId="019F77BF" w:rsidR="004A4FA5" w:rsidRPr="00234F7B" w:rsidRDefault="004A4FA5" w:rsidP="00AB0384">
            <w:pPr>
              <w:rPr>
                <w:rFonts w:ascii="Arial Narrow" w:hAnsi="Arial Narrow"/>
                <w:sz w:val="20"/>
                <w:szCs w:val="20"/>
              </w:rPr>
            </w:pPr>
          </w:p>
        </w:tc>
        <w:tc>
          <w:tcPr>
            <w:tcW w:w="7796" w:type="dxa"/>
            <w:gridSpan w:val="5"/>
            <w:vAlign w:val="center"/>
          </w:tcPr>
          <w:p w14:paraId="10AA25D7" w14:textId="77777777" w:rsidR="004A4FA5" w:rsidRPr="00234F7B" w:rsidRDefault="004A4FA5" w:rsidP="00AB0384">
            <w:pPr>
              <w:rPr>
                <w:rFonts w:ascii="Arial Narrow" w:hAnsi="Arial Narrow"/>
                <w:sz w:val="20"/>
                <w:szCs w:val="20"/>
              </w:rPr>
            </w:pPr>
            <w:r w:rsidRPr="00234F7B">
              <w:rPr>
                <w:rFonts w:ascii="Arial Narrow" w:hAnsi="Arial Narrow"/>
                <w:sz w:val="20"/>
                <w:szCs w:val="20"/>
              </w:rPr>
              <w:t>The condition must have progressed on or within 12 months of completion of adjuvant platinum-containing chemotherapy following cystectomy for localised muscle-invasive urothelial cancer; OR</w:t>
            </w:r>
          </w:p>
        </w:tc>
      </w:tr>
      <w:tr w:rsidR="004A4FA5" w:rsidRPr="00234F7B" w14:paraId="3D36E17F"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73303272" w14:textId="5DC18817" w:rsidR="004A4FA5" w:rsidRPr="00234F7B" w:rsidRDefault="004A4FA5" w:rsidP="00AB0384">
            <w:pPr>
              <w:rPr>
                <w:rFonts w:ascii="Arial Narrow" w:hAnsi="Arial Narrow"/>
                <w:sz w:val="20"/>
                <w:szCs w:val="20"/>
              </w:rPr>
            </w:pPr>
          </w:p>
        </w:tc>
        <w:tc>
          <w:tcPr>
            <w:tcW w:w="7796" w:type="dxa"/>
            <w:gridSpan w:val="5"/>
            <w:vAlign w:val="center"/>
            <w:hideMark/>
          </w:tcPr>
          <w:p w14:paraId="1B0C2D69" w14:textId="77777777" w:rsidR="004A4FA5" w:rsidRPr="00234F7B" w:rsidRDefault="004A4FA5" w:rsidP="00AB0384">
            <w:pPr>
              <w:rPr>
                <w:rFonts w:ascii="Arial Narrow" w:hAnsi="Arial Narrow"/>
                <w:sz w:val="20"/>
                <w:szCs w:val="20"/>
              </w:rPr>
            </w:pPr>
            <w:r w:rsidRPr="00234F7B">
              <w:rPr>
                <w:rFonts w:ascii="Arial Narrow" w:hAnsi="Arial Narrow"/>
                <w:sz w:val="20"/>
                <w:szCs w:val="20"/>
              </w:rPr>
              <w:t>The condition must have progressed on or within 12 months of completion of neoadjuvant platinum-containing chemotherapy prior to cystectomy for localised muscle-invasive urothelial cancer,</w:t>
            </w:r>
          </w:p>
        </w:tc>
      </w:tr>
      <w:tr w:rsidR="004A4FA5" w:rsidRPr="00234F7B" w14:paraId="6B006219"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7D75A27E" w14:textId="77777777" w:rsidR="004A4FA5" w:rsidRPr="00234F7B" w:rsidRDefault="004A4FA5" w:rsidP="00AB0384">
            <w:pPr>
              <w:rPr>
                <w:rFonts w:ascii="Arial Narrow" w:hAnsi="Arial Narrow"/>
                <w:b/>
                <w:bCs/>
                <w:sz w:val="20"/>
                <w:szCs w:val="20"/>
              </w:rPr>
            </w:pPr>
          </w:p>
        </w:tc>
        <w:tc>
          <w:tcPr>
            <w:tcW w:w="7796" w:type="dxa"/>
            <w:gridSpan w:val="5"/>
            <w:vAlign w:val="center"/>
            <w:hideMark/>
          </w:tcPr>
          <w:p w14:paraId="24E7C86A"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AND</w:t>
            </w:r>
          </w:p>
        </w:tc>
      </w:tr>
      <w:tr w:rsidR="004A4FA5" w:rsidRPr="00234F7B" w14:paraId="39FE5342"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08C03FE3" w14:textId="648ED2EA" w:rsidR="004A4FA5" w:rsidRPr="00234F7B" w:rsidRDefault="004A4FA5" w:rsidP="00AB0384">
            <w:pPr>
              <w:rPr>
                <w:rFonts w:ascii="Arial Narrow" w:hAnsi="Arial Narrow"/>
                <w:sz w:val="20"/>
                <w:szCs w:val="20"/>
              </w:rPr>
            </w:pPr>
          </w:p>
        </w:tc>
        <w:tc>
          <w:tcPr>
            <w:tcW w:w="7796" w:type="dxa"/>
            <w:gridSpan w:val="5"/>
            <w:vAlign w:val="center"/>
          </w:tcPr>
          <w:p w14:paraId="525FA308" w14:textId="77777777" w:rsidR="004A4FA5" w:rsidRPr="00234F7B" w:rsidRDefault="004A4FA5" w:rsidP="00AB0384">
            <w:pPr>
              <w:rPr>
                <w:rFonts w:ascii="Arial Narrow" w:hAnsi="Arial Narrow"/>
                <w:b/>
                <w:bCs/>
                <w:sz w:val="20"/>
                <w:szCs w:val="20"/>
              </w:rPr>
            </w:pPr>
            <w:r w:rsidRPr="00234F7B">
              <w:rPr>
                <w:rFonts w:ascii="Arial Narrow" w:hAnsi="Arial Narrow"/>
                <w:b/>
                <w:bCs/>
                <w:sz w:val="20"/>
                <w:szCs w:val="20"/>
              </w:rPr>
              <w:t>Clinical criteria:</w:t>
            </w:r>
          </w:p>
        </w:tc>
      </w:tr>
      <w:tr w:rsidR="004A4FA5" w:rsidRPr="00234F7B" w14:paraId="1233A04E"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6CCCCD49" w14:textId="77777777" w:rsidR="004A4FA5" w:rsidRPr="00234F7B" w:rsidRDefault="004A4FA5" w:rsidP="00AB0384">
            <w:pPr>
              <w:rPr>
                <w:rFonts w:ascii="Arial Narrow" w:hAnsi="Arial Narrow"/>
                <w:sz w:val="20"/>
                <w:szCs w:val="20"/>
              </w:rPr>
            </w:pPr>
          </w:p>
        </w:tc>
        <w:tc>
          <w:tcPr>
            <w:tcW w:w="7796" w:type="dxa"/>
            <w:gridSpan w:val="5"/>
            <w:vAlign w:val="center"/>
            <w:hideMark/>
          </w:tcPr>
          <w:p w14:paraId="07EC6036" w14:textId="77777777" w:rsidR="004A4FA5" w:rsidRPr="00234F7B" w:rsidRDefault="004A4FA5" w:rsidP="00AB0384">
            <w:pPr>
              <w:rPr>
                <w:rFonts w:ascii="Arial Narrow" w:hAnsi="Arial Narrow"/>
                <w:sz w:val="20"/>
                <w:szCs w:val="20"/>
              </w:rPr>
            </w:pPr>
            <w:r w:rsidRPr="00234F7B">
              <w:rPr>
                <w:rFonts w:ascii="Arial Narrow" w:hAnsi="Arial Narrow"/>
                <w:sz w:val="20"/>
                <w:szCs w:val="20"/>
              </w:rPr>
              <w:t>The condition must have progressed on or after either a programmed death protein 1 (PD-1) or programmed death ligand 1 (PD-L1) inhibitor; OR</w:t>
            </w:r>
          </w:p>
        </w:tc>
      </w:tr>
      <w:tr w:rsidR="004A4FA5" w:rsidRPr="00234F7B" w14:paraId="58B535DF"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61999C03" w14:textId="77777777" w:rsidR="004A4FA5" w:rsidRPr="00234F7B" w:rsidRDefault="004A4FA5" w:rsidP="00AB0384">
            <w:pPr>
              <w:rPr>
                <w:rFonts w:ascii="Arial Narrow" w:hAnsi="Arial Narrow"/>
                <w:sz w:val="20"/>
                <w:szCs w:val="20"/>
              </w:rPr>
            </w:pPr>
          </w:p>
        </w:tc>
        <w:tc>
          <w:tcPr>
            <w:tcW w:w="7796" w:type="dxa"/>
            <w:gridSpan w:val="5"/>
            <w:vAlign w:val="center"/>
          </w:tcPr>
          <w:p w14:paraId="5D030A76" w14:textId="77777777" w:rsidR="004A4FA5" w:rsidRPr="00234F7B" w:rsidRDefault="004A4FA5" w:rsidP="00AB0384">
            <w:pPr>
              <w:rPr>
                <w:rFonts w:ascii="Arial Narrow" w:hAnsi="Arial Narrow"/>
                <w:sz w:val="20"/>
                <w:szCs w:val="20"/>
              </w:rPr>
            </w:pPr>
            <w:r w:rsidRPr="00234F7B">
              <w:rPr>
                <w:rFonts w:ascii="Arial Narrow" w:hAnsi="Arial Narrow"/>
                <w:sz w:val="20"/>
                <w:szCs w:val="20"/>
              </w:rPr>
              <w:t>Patient must have developed intolerance to a programmed death protein 1 (PD-1) or programmed death ligand 1 (PD-L1) inhibitor necessitating permanent treatment withdrawal,</w:t>
            </w:r>
          </w:p>
        </w:tc>
      </w:tr>
      <w:tr w:rsidR="004A4FA5" w:rsidRPr="00234F7B" w14:paraId="35AE2759"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3AE08028" w14:textId="77777777" w:rsidR="004A4FA5" w:rsidRPr="00234F7B" w:rsidRDefault="004A4FA5" w:rsidP="00AB0384">
            <w:pPr>
              <w:rPr>
                <w:rFonts w:ascii="Arial Narrow" w:hAnsi="Arial Narrow"/>
                <w:b/>
                <w:bCs/>
                <w:sz w:val="20"/>
                <w:szCs w:val="20"/>
              </w:rPr>
            </w:pPr>
          </w:p>
        </w:tc>
        <w:tc>
          <w:tcPr>
            <w:tcW w:w="7796" w:type="dxa"/>
            <w:gridSpan w:val="5"/>
            <w:vAlign w:val="center"/>
            <w:hideMark/>
          </w:tcPr>
          <w:p w14:paraId="51A157B2"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AND</w:t>
            </w:r>
          </w:p>
        </w:tc>
      </w:tr>
      <w:tr w:rsidR="004A4FA5" w:rsidRPr="00234F7B" w14:paraId="17541B03"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75285972" w14:textId="563E4A46" w:rsidR="004A4FA5" w:rsidRPr="00234F7B" w:rsidRDefault="004A4FA5" w:rsidP="00AB0384">
            <w:pPr>
              <w:rPr>
                <w:rFonts w:ascii="Arial Narrow" w:hAnsi="Arial Narrow"/>
                <w:sz w:val="20"/>
                <w:szCs w:val="20"/>
              </w:rPr>
            </w:pPr>
          </w:p>
        </w:tc>
        <w:tc>
          <w:tcPr>
            <w:tcW w:w="7796" w:type="dxa"/>
            <w:gridSpan w:val="5"/>
            <w:vAlign w:val="center"/>
          </w:tcPr>
          <w:p w14:paraId="27FC5BA2" w14:textId="77777777" w:rsidR="004A4FA5" w:rsidRPr="00234F7B" w:rsidRDefault="004A4FA5" w:rsidP="00AB0384">
            <w:pPr>
              <w:rPr>
                <w:rFonts w:ascii="Arial Narrow" w:hAnsi="Arial Narrow"/>
                <w:b/>
                <w:bCs/>
                <w:sz w:val="20"/>
                <w:szCs w:val="20"/>
              </w:rPr>
            </w:pPr>
            <w:r w:rsidRPr="00234F7B">
              <w:rPr>
                <w:rFonts w:ascii="Arial Narrow" w:hAnsi="Arial Narrow"/>
                <w:b/>
                <w:bCs/>
                <w:sz w:val="20"/>
                <w:szCs w:val="20"/>
              </w:rPr>
              <w:t xml:space="preserve">Clinical criteria </w:t>
            </w:r>
          </w:p>
        </w:tc>
      </w:tr>
      <w:tr w:rsidR="004A4FA5" w:rsidRPr="00234F7B" w14:paraId="1CB0FA19"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109D0EAB" w14:textId="2EB45585" w:rsidR="004A4FA5" w:rsidRPr="00234F7B" w:rsidRDefault="004A4FA5" w:rsidP="00AB0384">
            <w:pPr>
              <w:rPr>
                <w:rFonts w:ascii="Arial Narrow" w:hAnsi="Arial Narrow"/>
                <w:sz w:val="20"/>
                <w:szCs w:val="20"/>
              </w:rPr>
            </w:pPr>
          </w:p>
        </w:tc>
        <w:tc>
          <w:tcPr>
            <w:tcW w:w="7796" w:type="dxa"/>
            <w:gridSpan w:val="5"/>
            <w:vAlign w:val="center"/>
            <w:hideMark/>
          </w:tcPr>
          <w:p w14:paraId="74488205" w14:textId="77777777" w:rsidR="004A4FA5" w:rsidRPr="00234F7B" w:rsidRDefault="004A4FA5" w:rsidP="00AB0384">
            <w:pPr>
              <w:rPr>
                <w:rFonts w:ascii="Arial Narrow" w:hAnsi="Arial Narrow"/>
                <w:sz w:val="20"/>
                <w:szCs w:val="20"/>
              </w:rPr>
            </w:pPr>
            <w:r w:rsidRPr="00234F7B">
              <w:rPr>
                <w:rFonts w:ascii="Arial Narrow" w:hAnsi="Arial Narrow"/>
                <w:sz w:val="20"/>
                <w:szCs w:val="20"/>
              </w:rPr>
              <w:t>Patient must have a WHO performance status of 0 or 1</w:t>
            </w:r>
            <w:r w:rsidRPr="00234F7B">
              <w:rPr>
                <w:rFonts w:ascii="Arial Narrow" w:hAnsi="Arial Narrow"/>
                <w:strike/>
                <w:sz w:val="20"/>
                <w:szCs w:val="20"/>
              </w:rPr>
              <w:t xml:space="preserve"> at the time of initiation of PBS-subsidised treatment with this drug for this condition</w:t>
            </w:r>
            <w:r w:rsidRPr="00234F7B">
              <w:rPr>
                <w:rFonts w:ascii="Arial Narrow" w:hAnsi="Arial Narrow"/>
                <w:sz w:val="20"/>
                <w:szCs w:val="20"/>
              </w:rPr>
              <w:t>.</w:t>
            </w:r>
          </w:p>
        </w:tc>
      </w:tr>
      <w:tr w:rsidR="004A4FA5" w:rsidRPr="00234F7B" w14:paraId="7A6155E6"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4C77435C" w14:textId="77777777" w:rsidR="004A4FA5" w:rsidRPr="00234F7B" w:rsidRDefault="004A4FA5" w:rsidP="00AB0384">
            <w:pPr>
              <w:rPr>
                <w:rFonts w:ascii="Arial Narrow" w:hAnsi="Arial Narrow"/>
                <w:b/>
                <w:bCs/>
                <w:sz w:val="20"/>
                <w:szCs w:val="20"/>
              </w:rPr>
            </w:pPr>
          </w:p>
        </w:tc>
        <w:tc>
          <w:tcPr>
            <w:tcW w:w="7796" w:type="dxa"/>
            <w:gridSpan w:val="5"/>
            <w:vAlign w:val="center"/>
            <w:hideMark/>
          </w:tcPr>
          <w:p w14:paraId="165FF5B1" w14:textId="77777777" w:rsidR="004A4FA5" w:rsidRPr="00234F7B" w:rsidRDefault="004A4FA5" w:rsidP="00AB0384">
            <w:pPr>
              <w:rPr>
                <w:rFonts w:ascii="Arial Narrow" w:hAnsi="Arial Narrow"/>
                <w:sz w:val="20"/>
                <w:szCs w:val="20"/>
              </w:rPr>
            </w:pPr>
            <w:r w:rsidRPr="00234F7B">
              <w:rPr>
                <w:rFonts w:ascii="Arial Narrow" w:hAnsi="Arial Narrow"/>
                <w:b/>
                <w:bCs/>
                <w:sz w:val="20"/>
                <w:szCs w:val="20"/>
              </w:rPr>
              <w:t>AND</w:t>
            </w:r>
          </w:p>
        </w:tc>
      </w:tr>
      <w:tr w:rsidR="004A4FA5" w:rsidRPr="00234F7B" w14:paraId="1FED42E5"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03294727" w14:textId="57418CFB" w:rsidR="004A4FA5" w:rsidRPr="00234F7B" w:rsidRDefault="004A4FA5" w:rsidP="00AB0384">
            <w:pPr>
              <w:rPr>
                <w:rFonts w:ascii="Arial Narrow" w:hAnsi="Arial Narrow"/>
                <w:sz w:val="20"/>
                <w:szCs w:val="20"/>
              </w:rPr>
            </w:pPr>
          </w:p>
        </w:tc>
        <w:tc>
          <w:tcPr>
            <w:tcW w:w="7796" w:type="dxa"/>
            <w:gridSpan w:val="5"/>
            <w:vAlign w:val="center"/>
          </w:tcPr>
          <w:p w14:paraId="619B5A8A" w14:textId="77777777" w:rsidR="004A4FA5" w:rsidRPr="00234F7B" w:rsidRDefault="004A4FA5" w:rsidP="00AB0384">
            <w:pPr>
              <w:rPr>
                <w:rFonts w:ascii="Arial Narrow" w:hAnsi="Arial Narrow"/>
                <w:b/>
                <w:bCs/>
                <w:sz w:val="20"/>
                <w:szCs w:val="20"/>
              </w:rPr>
            </w:pPr>
            <w:r w:rsidRPr="00234F7B">
              <w:rPr>
                <w:rFonts w:ascii="Arial Narrow" w:hAnsi="Arial Narrow"/>
                <w:b/>
                <w:bCs/>
                <w:sz w:val="20"/>
                <w:szCs w:val="20"/>
              </w:rPr>
              <w:t>Clinical criteria:</w:t>
            </w:r>
          </w:p>
        </w:tc>
      </w:tr>
      <w:tr w:rsidR="004A4FA5" w:rsidRPr="00234F7B" w14:paraId="063F2A1B" w14:textId="77777777" w:rsidTr="00AB0384">
        <w:tblPrEx>
          <w:tblCellMar>
            <w:top w:w="15" w:type="dxa"/>
            <w:left w:w="15" w:type="dxa"/>
            <w:bottom w:w="15" w:type="dxa"/>
            <w:right w:w="15" w:type="dxa"/>
          </w:tblCellMar>
          <w:tblLook w:val="04A0" w:firstRow="1" w:lastRow="0" w:firstColumn="1" w:lastColumn="0" w:noHBand="0" w:noVBand="1"/>
        </w:tblPrEx>
        <w:tc>
          <w:tcPr>
            <w:tcW w:w="1271" w:type="dxa"/>
          </w:tcPr>
          <w:p w14:paraId="6C2BFEBD" w14:textId="08CA65D5" w:rsidR="004A4FA5" w:rsidRPr="00234F7B" w:rsidRDefault="004A4FA5" w:rsidP="00AB0384">
            <w:pPr>
              <w:rPr>
                <w:rFonts w:ascii="Arial Narrow" w:hAnsi="Arial Narrow"/>
                <w:sz w:val="20"/>
                <w:szCs w:val="20"/>
              </w:rPr>
            </w:pPr>
          </w:p>
        </w:tc>
        <w:tc>
          <w:tcPr>
            <w:tcW w:w="7796" w:type="dxa"/>
            <w:gridSpan w:val="5"/>
            <w:vAlign w:val="center"/>
            <w:hideMark/>
          </w:tcPr>
          <w:p w14:paraId="6ED897A9" w14:textId="77777777" w:rsidR="004A4FA5" w:rsidRPr="00234F7B" w:rsidRDefault="004A4FA5" w:rsidP="00AB0384">
            <w:pPr>
              <w:rPr>
                <w:rFonts w:ascii="Arial Narrow" w:hAnsi="Arial Narrow"/>
                <w:sz w:val="20"/>
                <w:szCs w:val="20"/>
              </w:rPr>
            </w:pPr>
            <w:r w:rsidRPr="00234F7B">
              <w:rPr>
                <w:rFonts w:ascii="Arial Narrow" w:hAnsi="Arial Narrow"/>
                <w:sz w:val="20"/>
                <w:szCs w:val="20"/>
              </w:rPr>
              <w:t>The treatment must be the sole PBS-subsidised therapy for this condition.</w:t>
            </w:r>
          </w:p>
        </w:tc>
      </w:tr>
    </w:tbl>
    <w:p w14:paraId="403EFD17" w14:textId="77777777" w:rsidR="004A4FA5" w:rsidRDefault="004A4FA5" w:rsidP="00F06F14"/>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6"/>
      </w:tblGrid>
      <w:tr w:rsidR="004A4FA5" w:rsidRPr="00657163" w14:paraId="7A92FBB2" w14:textId="77777777" w:rsidTr="00AB0384">
        <w:tc>
          <w:tcPr>
            <w:tcW w:w="701" w:type="pct"/>
            <w:vMerge w:val="restart"/>
            <w:tcBorders>
              <w:top w:val="single" w:sz="4" w:space="0" w:color="auto"/>
              <w:left w:val="single" w:sz="4" w:space="0" w:color="auto"/>
              <w:right w:val="single" w:sz="4" w:space="0" w:color="auto"/>
            </w:tcBorders>
          </w:tcPr>
          <w:p w14:paraId="1FB99DA2" w14:textId="3FB4D7A9" w:rsidR="004A4FA5" w:rsidRPr="00EC7D63" w:rsidRDefault="004A4FA5" w:rsidP="00EC7D63">
            <w:pPr>
              <w:jc w:val="center"/>
              <w:rPr>
                <w:rFonts w:ascii="Arial Narrow" w:hAnsi="Arial Narrow"/>
                <w:sz w:val="20"/>
                <w:szCs w:val="20"/>
              </w:rPr>
            </w:pPr>
          </w:p>
        </w:tc>
        <w:tc>
          <w:tcPr>
            <w:tcW w:w="4299" w:type="pct"/>
            <w:tcBorders>
              <w:top w:val="single" w:sz="4" w:space="0" w:color="auto"/>
              <w:left w:val="single" w:sz="4" w:space="0" w:color="auto"/>
              <w:bottom w:val="single" w:sz="4" w:space="0" w:color="auto"/>
              <w:right w:val="single" w:sz="4" w:space="0" w:color="auto"/>
            </w:tcBorders>
          </w:tcPr>
          <w:p w14:paraId="0D686FBA" w14:textId="1B573EC9" w:rsidR="004A4FA5" w:rsidRPr="00657163" w:rsidRDefault="004A4FA5" w:rsidP="00EC7D63">
            <w:pPr>
              <w:rPr>
                <w:rFonts w:ascii="Arial Narrow" w:hAnsi="Arial Narrow"/>
                <w:sz w:val="20"/>
                <w:szCs w:val="20"/>
              </w:rPr>
            </w:pPr>
            <w:r w:rsidRPr="00657163">
              <w:rPr>
                <w:rFonts w:ascii="Arial Narrow" w:hAnsi="Arial Narrow"/>
                <w:b/>
                <w:sz w:val="20"/>
                <w:szCs w:val="20"/>
              </w:rPr>
              <w:t>Category / Program:</w:t>
            </w:r>
            <w:r w:rsidR="00EC7D63">
              <w:rPr>
                <w:rFonts w:ascii="Arial Narrow" w:hAnsi="Arial Narrow"/>
                <w:b/>
                <w:sz w:val="20"/>
                <w:szCs w:val="20"/>
              </w:rPr>
              <w:t xml:space="preserve"> </w:t>
            </w:r>
            <w:r w:rsidRPr="00657163">
              <w:rPr>
                <w:rFonts w:ascii="Arial Narrow" w:hAnsi="Arial Narrow"/>
                <w:sz w:val="20"/>
                <w:szCs w:val="20"/>
              </w:rPr>
              <w:t>Section 100 – Efficient Funding of Chemotherapy Public/Private hospitals</w:t>
            </w:r>
          </w:p>
        </w:tc>
      </w:tr>
      <w:tr w:rsidR="004A4FA5" w:rsidRPr="00657163" w14:paraId="63D28461" w14:textId="77777777" w:rsidTr="00AB0384">
        <w:trPr>
          <w:trHeight w:val="240"/>
        </w:trPr>
        <w:tc>
          <w:tcPr>
            <w:tcW w:w="701" w:type="pct"/>
            <w:vMerge/>
            <w:tcBorders>
              <w:left w:val="single" w:sz="4" w:space="0" w:color="auto"/>
              <w:right w:val="single" w:sz="4" w:space="0" w:color="auto"/>
            </w:tcBorders>
          </w:tcPr>
          <w:p w14:paraId="73CEE6A7" w14:textId="77777777" w:rsidR="004A4FA5" w:rsidRPr="00657163" w:rsidRDefault="004A4FA5" w:rsidP="00AB0384">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637392C5" w14:textId="77777777" w:rsidR="004A4FA5" w:rsidRPr="00657163" w:rsidRDefault="004A4FA5" w:rsidP="00AB0384">
            <w:pPr>
              <w:rPr>
                <w:rFonts w:ascii="Arial Narrow" w:hAnsi="Arial Narrow"/>
                <w:b/>
                <w:sz w:val="20"/>
                <w:szCs w:val="20"/>
              </w:rPr>
            </w:pPr>
            <w:r w:rsidRPr="00657163">
              <w:rPr>
                <w:rFonts w:ascii="Arial Narrow" w:hAnsi="Arial Narrow"/>
                <w:b/>
                <w:sz w:val="20"/>
                <w:szCs w:val="20"/>
              </w:rPr>
              <w:t xml:space="preserve">Prescriber type: </w:t>
            </w:r>
            <w:r w:rsidRPr="00657163">
              <w:rPr>
                <w:rFonts w:ascii="Arial Narrow" w:hAnsi="Arial Narrow"/>
                <w:sz w:val="20"/>
                <w:szCs w:val="20"/>
              </w:rPr>
              <w:fldChar w:fldCharType="begin">
                <w:ffData>
                  <w:name w:val="Check1"/>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Dental </w:t>
            </w:r>
            <w:r w:rsidRPr="00657163">
              <w:rPr>
                <w:rFonts w:ascii="Arial Narrow" w:hAnsi="Arial Narrow"/>
                <w:sz w:val="20"/>
                <w:szCs w:val="20"/>
              </w:rPr>
              <w:fldChar w:fldCharType="begin">
                <w:ffData>
                  <w:name w:val=""/>
                  <w:enabled/>
                  <w:calcOnExit w:val="0"/>
                  <w:checkBox>
                    <w:sizeAuto/>
                    <w:default w:val="1"/>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Medical Practitioners </w:t>
            </w:r>
            <w:r w:rsidRPr="00657163">
              <w:rPr>
                <w:rFonts w:ascii="Arial Narrow" w:hAnsi="Arial Narrow"/>
                <w:sz w:val="20"/>
                <w:szCs w:val="20"/>
              </w:rPr>
              <w:fldChar w:fldCharType="begin">
                <w:ffData>
                  <w:name w:val="Check3"/>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Nurse practitioners </w:t>
            </w:r>
            <w:r w:rsidRPr="00657163">
              <w:rPr>
                <w:rFonts w:ascii="Arial Narrow" w:hAnsi="Arial Narrow"/>
                <w:sz w:val="20"/>
                <w:szCs w:val="20"/>
              </w:rPr>
              <w:fldChar w:fldCharType="begin">
                <w:ffData>
                  <w:name w:val=""/>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Optometrists </w:t>
            </w:r>
            <w:r w:rsidRPr="00657163">
              <w:rPr>
                <w:rFonts w:ascii="Arial Narrow" w:hAnsi="Arial Narrow"/>
                <w:sz w:val="20"/>
                <w:szCs w:val="20"/>
              </w:rPr>
              <w:fldChar w:fldCharType="begin">
                <w:ffData>
                  <w:name w:val="Check5"/>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Midwives</w:t>
            </w:r>
          </w:p>
        </w:tc>
      </w:tr>
      <w:tr w:rsidR="004A4FA5" w:rsidRPr="00657163" w14:paraId="290E009B" w14:textId="77777777" w:rsidTr="00EC7D63">
        <w:trPr>
          <w:trHeight w:val="95"/>
        </w:trPr>
        <w:tc>
          <w:tcPr>
            <w:tcW w:w="701" w:type="pct"/>
            <w:vMerge/>
            <w:tcBorders>
              <w:left w:val="single" w:sz="4" w:space="0" w:color="auto"/>
              <w:bottom w:val="single" w:sz="4" w:space="0" w:color="auto"/>
              <w:right w:val="single" w:sz="4" w:space="0" w:color="auto"/>
            </w:tcBorders>
          </w:tcPr>
          <w:p w14:paraId="1E2D5DE6" w14:textId="77777777" w:rsidR="004A4FA5" w:rsidRPr="00657163" w:rsidRDefault="004A4FA5" w:rsidP="00AB0384">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3AB41171" w14:textId="79841642" w:rsidR="004A4FA5" w:rsidRPr="00657163" w:rsidRDefault="004A4FA5" w:rsidP="00EC7D63">
            <w:pPr>
              <w:rPr>
                <w:rFonts w:ascii="Arial Narrow" w:eastAsia="Calibri" w:hAnsi="Arial Narrow"/>
                <w:sz w:val="20"/>
                <w:szCs w:val="20"/>
              </w:rPr>
            </w:pPr>
            <w:r w:rsidRPr="00657163">
              <w:rPr>
                <w:rFonts w:ascii="Arial Narrow" w:hAnsi="Arial Narrow"/>
                <w:b/>
                <w:sz w:val="20"/>
                <w:szCs w:val="20"/>
              </w:rPr>
              <w:t>Restriction Type:</w:t>
            </w:r>
            <w:r w:rsidR="00EC7D63">
              <w:rPr>
                <w:rFonts w:ascii="Arial Narrow" w:hAnsi="Arial Narrow"/>
                <w:b/>
                <w:sz w:val="20"/>
                <w:szCs w:val="20"/>
              </w:rPr>
              <w:t xml:space="preserve"> </w:t>
            </w:r>
            <w:r w:rsidRPr="00657163">
              <w:rPr>
                <w:rFonts w:ascii="Arial Narrow" w:eastAsia="Calibri" w:hAnsi="Arial Narrow"/>
                <w:sz w:val="20"/>
                <w:szCs w:val="20"/>
              </w:rPr>
              <w:fldChar w:fldCharType="begin">
                <w:ffData>
                  <w:name w:val=""/>
                  <w:enabled/>
                  <w:calcOnExit w:val="0"/>
                  <w:checkBox>
                    <w:sizeAuto/>
                    <w:default w:val="1"/>
                  </w:checkBox>
                </w:ffData>
              </w:fldChar>
            </w:r>
            <w:r w:rsidRPr="00657163">
              <w:rPr>
                <w:rFonts w:ascii="Arial Narrow" w:eastAsia="Calibri" w:hAnsi="Arial Narrow"/>
                <w:sz w:val="20"/>
                <w:szCs w:val="20"/>
              </w:rPr>
              <w:instrText xml:space="preserve"> FORMCHECKBOX </w:instrText>
            </w:r>
            <w:r w:rsidR="00F06F14">
              <w:rPr>
                <w:rFonts w:ascii="Arial Narrow" w:eastAsia="Calibri" w:hAnsi="Arial Narrow"/>
                <w:sz w:val="20"/>
                <w:szCs w:val="20"/>
              </w:rPr>
            </w:r>
            <w:r w:rsidR="00F06F14">
              <w:rPr>
                <w:rFonts w:ascii="Arial Narrow" w:eastAsia="Calibri" w:hAnsi="Arial Narrow"/>
                <w:sz w:val="20"/>
                <w:szCs w:val="20"/>
              </w:rPr>
              <w:fldChar w:fldCharType="separate"/>
            </w:r>
            <w:r w:rsidRPr="00657163">
              <w:rPr>
                <w:rFonts w:ascii="Arial Narrow" w:eastAsia="Calibri" w:hAnsi="Arial Narrow"/>
                <w:sz w:val="20"/>
                <w:szCs w:val="20"/>
              </w:rPr>
              <w:fldChar w:fldCharType="end"/>
            </w:r>
            <w:r w:rsidRPr="00657163">
              <w:rPr>
                <w:rFonts w:ascii="Arial Narrow" w:eastAsia="Calibri" w:hAnsi="Arial Narrow"/>
                <w:sz w:val="20"/>
                <w:szCs w:val="20"/>
              </w:rPr>
              <w:t>Authority Required – Streamlined</w:t>
            </w:r>
          </w:p>
        </w:tc>
      </w:tr>
      <w:tr w:rsidR="004A4FA5" w:rsidRPr="00657163" w14:paraId="3E19F60D" w14:textId="77777777" w:rsidTr="00AB0384">
        <w:tc>
          <w:tcPr>
            <w:tcW w:w="701" w:type="pct"/>
            <w:tcBorders>
              <w:top w:val="single" w:sz="4" w:space="0" w:color="auto"/>
              <w:left w:val="single" w:sz="4" w:space="0" w:color="auto"/>
              <w:bottom w:val="single" w:sz="4" w:space="0" w:color="auto"/>
              <w:right w:val="single" w:sz="4" w:space="0" w:color="auto"/>
            </w:tcBorders>
          </w:tcPr>
          <w:p w14:paraId="193A0B02" w14:textId="67F80D10" w:rsidR="004A4FA5" w:rsidRPr="00657163" w:rsidRDefault="004A4FA5" w:rsidP="00AB0384">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62C51741"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quantity or number of units may be authorised.</w:t>
            </w:r>
          </w:p>
        </w:tc>
      </w:tr>
      <w:tr w:rsidR="004A4FA5" w:rsidRPr="00657163" w14:paraId="3604A199" w14:textId="77777777" w:rsidTr="00AB0384">
        <w:tc>
          <w:tcPr>
            <w:tcW w:w="701" w:type="pct"/>
            <w:tcBorders>
              <w:top w:val="single" w:sz="4" w:space="0" w:color="auto"/>
              <w:left w:val="single" w:sz="4" w:space="0" w:color="auto"/>
              <w:bottom w:val="single" w:sz="4" w:space="0" w:color="auto"/>
              <w:right w:val="single" w:sz="4" w:space="0" w:color="auto"/>
            </w:tcBorders>
          </w:tcPr>
          <w:p w14:paraId="0501179C" w14:textId="321A1C2B" w:rsidR="004A4FA5" w:rsidRPr="00657163" w:rsidRDefault="004A4FA5" w:rsidP="00AB0384">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15F368B5"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number of repeats may be authorised.</w:t>
            </w:r>
          </w:p>
        </w:tc>
      </w:tr>
      <w:tr w:rsidR="004A4FA5" w:rsidRPr="00657163" w14:paraId="4B81FCFD" w14:textId="77777777" w:rsidTr="00AB0384">
        <w:tc>
          <w:tcPr>
            <w:tcW w:w="701" w:type="pct"/>
            <w:tcBorders>
              <w:top w:val="single" w:sz="4" w:space="0" w:color="auto"/>
              <w:left w:val="single" w:sz="4" w:space="0" w:color="auto"/>
              <w:bottom w:val="single" w:sz="4" w:space="0" w:color="auto"/>
              <w:right w:val="single" w:sz="4" w:space="0" w:color="auto"/>
            </w:tcBorders>
          </w:tcPr>
          <w:p w14:paraId="6AB84D1C" w14:textId="2EB7730A" w:rsidR="004A4FA5" w:rsidRPr="00657163" w:rsidRDefault="004A4FA5" w:rsidP="00AB0384">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3B7325E8"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Special Pricing Arrangements apply.</w:t>
            </w:r>
          </w:p>
        </w:tc>
      </w:tr>
      <w:tr w:rsidR="004A4FA5" w:rsidRPr="00657163" w14:paraId="30EC88B6" w14:textId="77777777" w:rsidTr="00AB0384">
        <w:tc>
          <w:tcPr>
            <w:tcW w:w="701" w:type="pct"/>
          </w:tcPr>
          <w:p w14:paraId="54D3493B" w14:textId="77777777" w:rsidR="004A4FA5" w:rsidRPr="00657163" w:rsidRDefault="004A4FA5" w:rsidP="00AB0384">
            <w:pPr>
              <w:rPr>
                <w:rFonts w:ascii="Arial Narrow" w:hAnsi="Arial Narrow"/>
                <w:b/>
                <w:bCs/>
                <w:sz w:val="20"/>
                <w:szCs w:val="20"/>
              </w:rPr>
            </w:pPr>
          </w:p>
        </w:tc>
        <w:tc>
          <w:tcPr>
            <w:tcW w:w="4299" w:type="pct"/>
            <w:vAlign w:val="center"/>
          </w:tcPr>
          <w:p w14:paraId="48AD35AC" w14:textId="77777777" w:rsidR="004A4FA5" w:rsidRPr="00657163" w:rsidRDefault="004A4FA5" w:rsidP="00AB0384">
            <w:pPr>
              <w:rPr>
                <w:rFonts w:ascii="Arial Narrow" w:hAnsi="Arial Narrow"/>
                <w:strike/>
                <w:sz w:val="20"/>
                <w:szCs w:val="20"/>
              </w:rPr>
            </w:pPr>
            <w:r w:rsidRPr="00657163">
              <w:rPr>
                <w:rFonts w:ascii="Arial Narrow" w:hAnsi="Arial Narrow"/>
                <w:b/>
                <w:bCs/>
                <w:strike/>
                <w:sz w:val="20"/>
                <w:szCs w:val="20"/>
              </w:rPr>
              <w:t>Administrative Advice:</w:t>
            </w:r>
          </w:p>
          <w:p w14:paraId="37F0EE23" w14:textId="77777777" w:rsidR="004A4FA5" w:rsidRPr="00657163" w:rsidRDefault="004A4FA5" w:rsidP="00AB0384">
            <w:pPr>
              <w:rPr>
                <w:rFonts w:ascii="Arial Narrow" w:hAnsi="Arial Narrow"/>
                <w:sz w:val="20"/>
                <w:szCs w:val="20"/>
              </w:rPr>
            </w:pPr>
            <w:r w:rsidRPr="00657163">
              <w:rPr>
                <w:rFonts w:ascii="Arial Narrow" w:hAnsi="Arial Narrow"/>
                <w:strike/>
                <w:sz w:val="20"/>
                <w:szCs w:val="20"/>
              </w:rPr>
              <w:t xml:space="preserve">Patient should be treated with the recommended dose of </w:t>
            </w:r>
            <w:proofErr w:type="spellStart"/>
            <w:r w:rsidRPr="00657163">
              <w:rPr>
                <w:rFonts w:ascii="Arial Narrow" w:hAnsi="Arial Narrow"/>
                <w:strike/>
                <w:sz w:val="20"/>
                <w:szCs w:val="20"/>
              </w:rPr>
              <w:t>enfortumab</w:t>
            </w:r>
            <w:proofErr w:type="spellEnd"/>
            <w:r w:rsidRPr="00657163">
              <w:rPr>
                <w:rFonts w:ascii="Arial Narrow" w:hAnsi="Arial Narrow"/>
                <w:strike/>
                <w:sz w:val="20"/>
                <w:szCs w:val="20"/>
              </w:rPr>
              <w:t xml:space="preserve"> </w:t>
            </w:r>
            <w:proofErr w:type="spellStart"/>
            <w:r w:rsidRPr="00657163">
              <w:rPr>
                <w:rFonts w:ascii="Arial Narrow" w:hAnsi="Arial Narrow"/>
                <w:strike/>
                <w:sz w:val="20"/>
                <w:szCs w:val="20"/>
              </w:rPr>
              <w:t>vedotin</w:t>
            </w:r>
            <w:proofErr w:type="spellEnd"/>
            <w:r w:rsidRPr="00657163">
              <w:rPr>
                <w:rFonts w:ascii="Arial Narrow" w:hAnsi="Arial Narrow"/>
                <w:strike/>
                <w:sz w:val="20"/>
                <w:szCs w:val="20"/>
              </w:rPr>
              <w:t xml:space="preserve"> according to the TGA-approved Product Information.</w:t>
            </w:r>
          </w:p>
        </w:tc>
      </w:tr>
      <w:tr w:rsidR="004A4FA5" w:rsidRPr="00657163" w14:paraId="3FF484A2" w14:textId="77777777" w:rsidTr="00AB0384">
        <w:tc>
          <w:tcPr>
            <w:tcW w:w="701" w:type="pct"/>
          </w:tcPr>
          <w:p w14:paraId="7D457957" w14:textId="77777777" w:rsidR="004A4FA5" w:rsidRPr="00657163" w:rsidRDefault="004A4FA5" w:rsidP="00AB0384">
            <w:pPr>
              <w:rPr>
                <w:rFonts w:ascii="Arial Narrow" w:hAnsi="Arial Narrow"/>
                <w:sz w:val="20"/>
                <w:szCs w:val="20"/>
              </w:rPr>
            </w:pPr>
          </w:p>
        </w:tc>
        <w:tc>
          <w:tcPr>
            <w:tcW w:w="4299" w:type="pct"/>
            <w:vAlign w:val="center"/>
          </w:tcPr>
          <w:p w14:paraId="6D4D0CE4"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 xml:space="preserve">Severity: </w:t>
            </w:r>
            <w:r w:rsidRPr="00657163">
              <w:rPr>
                <w:rFonts w:ascii="Arial Narrow" w:hAnsi="Arial Narrow"/>
                <w:bCs/>
                <w:sz w:val="20"/>
                <w:szCs w:val="20"/>
              </w:rPr>
              <w:t>Locally advanced (Stage III) or metastatic (Stage IV)</w:t>
            </w:r>
          </w:p>
        </w:tc>
      </w:tr>
      <w:tr w:rsidR="004A4FA5" w:rsidRPr="00657163" w14:paraId="4FC68228" w14:textId="77777777" w:rsidTr="00AB0384">
        <w:tc>
          <w:tcPr>
            <w:tcW w:w="701" w:type="pct"/>
          </w:tcPr>
          <w:p w14:paraId="229113CB" w14:textId="77777777" w:rsidR="004A4FA5" w:rsidRPr="00657163" w:rsidRDefault="004A4FA5" w:rsidP="00AB0384">
            <w:pPr>
              <w:rPr>
                <w:rFonts w:ascii="Arial Narrow" w:hAnsi="Arial Narrow"/>
                <w:b/>
                <w:bCs/>
                <w:sz w:val="20"/>
                <w:szCs w:val="20"/>
              </w:rPr>
            </w:pPr>
          </w:p>
        </w:tc>
        <w:tc>
          <w:tcPr>
            <w:tcW w:w="4299" w:type="pct"/>
            <w:vAlign w:val="center"/>
          </w:tcPr>
          <w:p w14:paraId="32B11D87"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Condition:</w:t>
            </w:r>
            <w:r w:rsidRPr="00657163">
              <w:rPr>
                <w:rFonts w:ascii="Arial Narrow" w:hAnsi="Arial Narrow"/>
                <w:bCs/>
                <w:sz w:val="20"/>
                <w:szCs w:val="20"/>
              </w:rPr>
              <w:t xml:space="preserve"> Urothelial cancer</w:t>
            </w:r>
          </w:p>
        </w:tc>
      </w:tr>
      <w:tr w:rsidR="004A4FA5" w:rsidRPr="00657163" w14:paraId="0560F5FF" w14:textId="77777777" w:rsidTr="00AB0384">
        <w:tc>
          <w:tcPr>
            <w:tcW w:w="701" w:type="pct"/>
          </w:tcPr>
          <w:p w14:paraId="0D7C28A1" w14:textId="4EC5232B" w:rsidR="004A4FA5" w:rsidRPr="00657163" w:rsidRDefault="004A4FA5" w:rsidP="00AB0384">
            <w:pPr>
              <w:rPr>
                <w:rFonts w:ascii="Arial Narrow" w:hAnsi="Arial Narrow"/>
                <w:b/>
                <w:bCs/>
                <w:sz w:val="20"/>
                <w:szCs w:val="20"/>
              </w:rPr>
            </w:pPr>
          </w:p>
        </w:tc>
        <w:tc>
          <w:tcPr>
            <w:tcW w:w="4299" w:type="pct"/>
            <w:vAlign w:val="center"/>
            <w:hideMark/>
          </w:tcPr>
          <w:p w14:paraId="6F2F51C5"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Indication:</w:t>
            </w:r>
            <w:r w:rsidRPr="00657163">
              <w:rPr>
                <w:rFonts w:ascii="Arial Narrow" w:hAnsi="Arial Narrow"/>
                <w:sz w:val="20"/>
                <w:szCs w:val="20"/>
              </w:rPr>
              <w:t xml:space="preserve"> </w:t>
            </w:r>
            <w:r w:rsidRPr="00657163">
              <w:rPr>
                <w:rFonts w:ascii="Arial Narrow" w:hAnsi="Arial Narrow"/>
                <w:bCs/>
                <w:sz w:val="20"/>
                <w:szCs w:val="20"/>
              </w:rPr>
              <w:t>Locally advanced (Stage III) or metastatic (Stage IV) urothelial cancer</w:t>
            </w:r>
          </w:p>
        </w:tc>
      </w:tr>
      <w:tr w:rsidR="004A4FA5" w:rsidRPr="00657163" w14:paraId="6D792E18" w14:textId="77777777" w:rsidTr="00AB0384">
        <w:tc>
          <w:tcPr>
            <w:tcW w:w="701" w:type="pct"/>
          </w:tcPr>
          <w:p w14:paraId="73C9DBD3" w14:textId="77777777" w:rsidR="004A4FA5" w:rsidRPr="00657163" w:rsidRDefault="004A4FA5" w:rsidP="00AB0384">
            <w:pPr>
              <w:rPr>
                <w:rFonts w:ascii="Arial Narrow" w:hAnsi="Arial Narrow"/>
                <w:b/>
                <w:bCs/>
                <w:sz w:val="20"/>
                <w:szCs w:val="20"/>
              </w:rPr>
            </w:pPr>
          </w:p>
        </w:tc>
        <w:tc>
          <w:tcPr>
            <w:tcW w:w="4299" w:type="pct"/>
            <w:vAlign w:val="center"/>
            <w:hideMark/>
          </w:tcPr>
          <w:p w14:paraId="22032397"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Treatment Phase:</w:t>
            </w:r>
            <w:r w:rsidRPr="00657163">
              <w:rPr>
                <w:rFonts w:ascii="Arial Narrow" w:hAnsi="Arial Narrow"/>
                <w:sz w:val="20"/>
                <w:szCs w:val="20"/>
              </w:rPr>
              <w:t xml:space="preserve"> Continuing treatment</w:t>
            </w:r>
          </w:p>
        </w:tc>
      </w:tr>
      <w:tr w:rsidR="004A4FA5" w:rsidRPr="00657163" w14:paraId="57CAFA16" w14:textId="77777777" w:rsidTr="00AB0384">
        <w:tc>
          <w:tcPr>
            <w:tcW w:w="701" w:type="pct"/>
          </w:tcPr>
          <w:p w14:paraId="5CEA518B" w14:textId="7BE30EF8" w:rsidR="004A4FA5" w:rsidRPr="00657163" w:rsidRDefault="004A4FA5" w:rsidP="00AB0384">
            <w:pPr>
              <w:rPr>
                <w:rFonts w:ascii="Arial Narrow" w:hAnsi="Arial Narrow"/>
                <w:sz w:val="20"/>
                <w:szCs w:val="20"/>
              </w:rPr>
            </w:pPr>
          </w:p>
        </w:tc>
        <w:tc>
          <w:tcPr>
            <w:tcW w:w="4299" w:type="pct"/>
            <w:vAlign w:val="center"/>
            <w:hideMark/>
          </w:tcPr>
          <w:p w14:paraId="24472108"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Clinical criteria:</w:t>
            </w:r>
          </w:p>
        </w:tc>
      </w:tr>
      <w:tr w:rsidR="004A4FA5" w:rsidRPr="00657163" w14:paraId="77E129F3" w14:textId="77777777" w:rsidTr="00AB0384">
        <w:tc>
          <w:tcPr>
            <w:tcW w:w="701" w:type="pct"/>
          </w:tcPr>
          <w:p w14:paraId="20E8F117" w14:textId="50C244F1" w:rsidR="004A4FA5" w:rsidRPr="00657163" w:rsidRDefault="004A4FA5" w:rsidP="00AB0384">
            <w:pPr>
              <w:rPr>
                <w:rFonts w:ascii="Arial Narrow" w:hAnsi="Arial Narrow"/>
                <w:sz w:val="20"/>
                <w:szCs w:val="20"/>
              </w:rPr>
            </w:pPr>
          </w:p>
        </w:tc>
        <w:tc>
          <w:tcPr>
            <w:tcW w:w="4299" w:type="pct"/>
            <w:vAlign w:val="center"/>
            <w:hideMark/>
          </w:tcPr>
          <w:p w14:paraId="2375C3B1"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Patient must have previously received PBS-subsidised treatment with this drug for this condition,</w:t>
            </w:r>
          </w:p>
        </w:tc>
      </w:tr>
      <w:tr w:rsidR="004A4FA5" w:rsidRPr="00657163" w14:paraId="7EE20B5B" w14:textId="77777777" w:rsidTr="00AB0384">
        <w:tc>
          <w:tcPr>
            <w:tcW w:w="701" w:type="pct"/>
          </w:tcPr>
          <w:p w14:paraId="14134884" w14:textId="77777777" w:rsidR="004A4FA5" w:rsidRPr="00657163" w:rsidRDefault="004A4FA5" w:rsidP="00AB0384">
            <w:pPr>
              <w:rPr>
                <w:rFonts w:ascii="Arial Narrow" w:hAnsi="Arial Narrow"/>
                <w:b/>
                <w:bCs/>
                <w:sz w:val="20"/>
                <w:szCs w:val="20"/>
              </w:rPr>
            </w:pPr>
          </w:p>
        </w:tc>
        <w:tc>
          <w:tcPr>
            <w:tcW w:w="4299" w:type="pct"/>
            <w:vAlign w:val="center"/>
            <w:hideMark/>
          </w:tcPr>
          <w:p w14:paraId="42D19F88"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AND</w:t>
            </w:r>
          </w:p>
        </w:tc>
      </w:tr>
      <w:tr w:rsidR="004A4FA5" w:rsidRPr="00657163" w14:paraId="22531E30" w14:textId="77777777" w:rsidTr="00AB0384">
        <w:tc>
          <w:tcPr>
            <w:tcW w:w="701" w:type="pct"/>
          </w:tcPr>
          <w:p w14:paraId="40DA91ED" w14:textId="47DBAD56" w:rsidR="004A4FA5" w:rsidRPr="00657163" w:rsidRDefault="004A4FA5" w:rsidP="00AB0384">
            <w:pPr>
              <w:rPr>
                <w:rFonts w:ascii="Arial Narrow" w:hAnsi="Arial Narrow"/>
                <w:b/>
                <w:bCs/>
                <w:sz w:val="20"/>
                <w:szCs w:val="20"/>
              </w:rPr>
            </w:pPr>
          </w:p>
        </w:tc>
        <w:tc>
          <w:tcPr>
            <w:tcW w:w="4299" w:type="pct"/>
            <w:vAlign w:val="center"/>
          </w:tcPr>
          <w:p w14:paraId="1C1D1248"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Clinical criteria:</w:t>
            </w:r>
          </w:p>
        </w:tc>
      </w:tr>
      <w:tr w:rsidR="004A4FA5" w:rsidRPr="00657163" w14:paraId="23033ECD" w14:textId="77777777" w:rsidTr="00AB0384">
        <w:tc>
          <w:tcPr>
            <w:tcW w:w="701" w:type="pct"/>
          </w:tcPr>
          <w:p w14:paraId="69B9DC98" w14:textId="5195A9A3" w:rsidR="004A4FA5" w:rsidRPr="00657163" w:rsidRDefault="004A4FA5" w:rsidP="00AB0384">
            <w:pPr>
              <w:rPr>
                <w:rFonts w:ascii="Arial Narrow" w:hAnsi="Arial Narrow"/>
                <w:sz w:val="20"/>
                <w:szCs w:val="20"/>
              </w:rPr>
            </w:pPr>
          </w:p>
        </w:tc>
        <w:tc>
          <w:tcPr>
            <w:tcW w:w="4299" w:type="pct"/>
            <w:vAlign w:val="center"/>
            <w:hideMark/>
          </w:tcPr>
          <w:p w14:paraId="1A50A629"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 xml:space="preserve">Patient must not have developed </w:t>
            </w:r>
            <w:r w:rsidRPr="00657163">
              <w:rPr>
                <w:rFonts w:ascii="Arial Narrow" w:hAnsi="Arial Narrow"/>
                <w:i/>
                <w:iCs/>
                <w:sz w:val="20"/>
                <w:szCs w:val="20"/>
              </w:rPr>
              <w:t xml:space="preserve">disease progression </w:t>
            </w:r>
            <w:r w:rsidRPr="00657163">
              <w:rPr>
                <w:rFonts w:ascii="Arial Narrow" w:hAnsi="Arial Narrow"/>
                <w:strike/>
                <w:sz w:val="20"/>
                <w:szCs w:val="20"/>
              </w:rPr>
              <w:t>progressive disease</w:t>
            </w:r>
            <w:r w:rsidRPr="00657163">
              <w:rPr>
                <w:rFonts w:ascii="Arial Narrow" w:hAnsi="Arial Narrow"/>
                <w:sz w:val="20"/>
                <w:szCs w:val="20"/>
              </w:rPr>
              <w:t xml:space="preserve"> while being treated with this drug for this condition, </w:t>
            </w:r>
          </w:p>
        </w:tc>
      </w:tr>
      <w:tr w:rsidR="004A4FA5" w:rsidRPr="00657163" w14:paraId="42B2558F" w14:textId="77777777" w:rsidTr="00AB0384">
        <w:tc>
          <w:tcPr>
            <w:tcW w:w="701" w:type="pct"/>
          </w:tcPr>
          <w:p w14:paraId="4E8CF206" w14:textId="77777777" w:rsidR="004A4FA5" w:rsidRPr="00657163" w:rsidRDefault="004A4FA5" w:rsidP="00AB0384">
            <w:pPr>
              <w:rPr>
                <w:rFonts w:ascii="Arial Narrow" w:hAnsi="Arial Narrow"/>
                <w:b/>
                <w:bCs/>
                <w:sz w:val="20"/>
                <w:szCs w:val="20"/>
              </w:rPr>
            </w:pPr>
          </w:p>
        </w:tc>
        <w:tc>
          <w:tcPr>
            <w:tcW w:w="4299" w:type="pct"/>
            <w:vAlign w:val="center"/>
            <w:hideMark/>
          </w:tcPr>
          <w:p w14:paraId="102DA8D3"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AND</w:t>
            </w:r>
          </w:p>
        </w:tc>
      </w:tr>
      <w:tr w:rsidR="004A4FA5" w:rsidRPr="00657163" w14:paraId="0616A9E1" w14:textId="77777777" w:rsidTr="00AB0384">
        <w:tc>
          <w:tcPr>
            <w:tcW w:w="701" w:type="pct"/>
          </w:tcPr>
          <w:p w14:paraId="4E891D8C" w14:textId="7599B38B" w:rsidR="004A4FA5" w:rsidRPr="00657163" w:rsidRDefault="004A4FA5" w:rsidP="00AB0384">
            <w:pPr>
              <w:rPr>
                <w:rFonts w:ascii="Arial Narrow" w:hAnsi="Arial Narrow"/>
                <w:sz w:val="20"/>
                <w:szCs w:val="20"/>
              </w:rPr>
            </w:pPr>
          </w:p>
        </w:tc>
        <w:tc>
          <w:tcPr>
            <w:tcW w:w="4299" w:type="pct"/>
            <w:vAlign w:val="center"/>
          </w:tcPr>
          <w:p w14:paraId="7D3F7273"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 xml:space="preserve">Clinical criteria </w:t>
            </w:r>
          </w:p>
        </w:tc>
      </w:tr>
      <w:tr w:rsidR="004A4FA5" w:rsidRPr="00657163" w14:paraId="51F245F0" w14:textId="77777777" w:rsidTr="00AB0384">
        <w:tc>
          <w:tcPr>
            <w:tcW w:w="701" w:type="pct"/>
          </w:tcPr>
          <w:p w14:paraId="2E7FD935" w14:textId="2489D9D4" w:rsidR="004A4FA5" w:rsidRPr="00657163" w:rsidRDefault="004A4FA5" w:rsidP="00AB0384">
            <w:pPr>
              <w:rPr>
                <w:rFonts w:ascii="Arial Narrow" w:hAnsi="Arial Narrow"/>
                <w:sz w:val="20"/>
                <w:szCs w:val="20"/>
              </w:rPr>
            </w:pPr>
          </w:p>
        </w:tc>
        <w:tc>
          <w:tcPr>
            <w:tcW w:w="4299" w:type="pct"/>
            <w:vAlign w:val="center"/>
            <w:hideMark/>
          </w:tcPr>
          <w:p w14:paraId="79BC9021"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The treatment must be the sole PBS-subsidised therapy for this condition.</w:t>
            </w:r>
          </w:p>
        </w:tc>
      </w:tr>
    </w:tbl>
    <w:p w14:paraId="5671DD15" w14:textId="77777777" w:rsidR="004A4FA5" w:rsidRDefault="004A4FA5" w:rsidP="004A4FA5">
      <w:pPr>
        <w:spacing w:after="200"/>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69"/>
        <w:gridCol w:w="7798"/>
      </w:tblGrid>
      <w:tr w:rsidR="004A4FA5" w:rsidRPr="00657163" w14:paraId="5E7D4C0E" w14:textId="77777777" w:rsidTr="00AB0384">
        <w:tc>
          <w:tcPr>
            <w:tcW w:w="700" w:type="pct"/>
            <w:vMerge w:val="restart"/>
            <w:tcBorders>
              <w:top w:val="single" w:sz="4" w:space="0" w:color="auto"/>
              <w:left w:val="single" w:sz="4" w:space="0" w:color="auto"/>
              <w:right w:val="single" w:sz="4" w:space="0" w:color="auto"/>
            </w:tcBorders>
          </w:tcPr>
          <w:p w14:paraId="3C27210F" w14:textId="17C23D39" w:rsidR="004A4FA5" w:rsidRPr="00EC7D63" w:rsidRDefault="004A4FA5" w:rsidP="00EC7D63">
            <w:pPr>
              <w:jc w:val="cente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tcPr>
          <w:p w14:paraId="6AE140BC" w14:textId="7C31342E" w:rsidR="004A4FA5" w:rsidRPr="00657163" w:rsidRDefault="004A4FA5" w:rsidP="00EC7D63">
            <w:pPr>
              <w:rPr>
                <w:rFonts w:ascii="Arial Narrow" w:hAnsi="Arial Narrow"/>
                <w:sz w:val="20"/>
                <w:szCs w:val="20"/>
              </w:rPr>
            </w:pPr>
            <w:r w:rsidRPr="00657163">
              <w:rPr>
                <w:rFonts w:ascii="Arial Narrow" w:hAnsi="Arial Narrow"/>
                <w:b/>
                <w:sz w:val="20"/>
                <w:szCs w:val="20"/>
              </w:rPr>
              <w:t>Category / Program:</w:t>
            </w:r>
            <w:r w:rsidR="00EC7D63">
              <w:rPr>
                <w:rFonts w:ascii="Arial Narrow" w:hAnsi="Arial Narrow"/>
                <w:b/>
                <w:sz w:val="20"/>
                <w:szCs w:val="20"/>
              </w:rPr>
              <w:t xml:space="preserve"> </w:t>
            </w:r>
            <w:r w:rsidRPr="00657163">
              <w:rPr>
                <w:rFonts w:ascii="Arial Narrow" w:hAnsi="Arial Narrow"/>
                <w:sz w:val="20"/>
                <w:szCs w:val="20"/>
              </w:rPr>
              <w:t>Section 100 – Efficient Funding of Chemotherapy Public/Private hospitals</w:t>
            </w:r>
          </w:p>
        </w:tc>
      </w:tr>
      <w:tr w:rsidR="004A4FA5" w:rsidRPr="00657163" w14:paraId="615D8615" w14:textId="77777777" w:rsidTr="00AB0384">
        <w:trPr>
          <w:trHeight w:val="240"/>
        </w:trPr>
        <w:tc>
          <w:tcPr>
            <w:tcW w:w="700" w:type="pct"/>
            <w:vMerge/>
            <w:tcBorders>
              <w:left w:val="single" w:sz="4" w:space="0" w:color="auto"/>
              <w:right w:val="single" w:sz="4" w:space="0" w:color="auto"/>
            </w:tcBorders>
          </w:tcPr>
          <w:p w14:paraId="07DB9453" w14:textId="77777777" w:rsidR="004A4FA5" w:rsidRPr="00657163" w:rsidRDefault="004A4FA5" w:rsidP="00AB0384">
            <w:pPr>
              <w:rPr>
                <w:rFonts w:ascii="Arial Narrow" w:hAnsi="Arial Narrow"/>
                <w:b/>
                <w:sz w:val="20"/>
                <w:szCs w:val="20"/>
              </w:rPr>
            </w:pPr>
          </w:p>
        </w:tc>
        <w:tc>
          <w:tcPr>
            <w:tcW w:w="4300" w:type="pct"/>
            <w:tcBorders>
              <w:top w:val="single" w:sz="4" w:space="0" w:color="auto"/>
              <w:left w:val="single" w:sz="4" w:space="0" w:color="auto"/>
              <w:bottom w:val="single" w:sz="4" w:space="0" w:color="auto"/>
              <w:right w:val="single" w:sz="4" w:space="0" w:color="auto"/>
            </w:tcBorders>
          </w:tcPr>
          <w:p w14:paraId="0DD5E276" w14:textId="77777777" w:rsidR="004A4FA5" w:rsidRPr="00657163" w:rsidRDefault="004A4FA5" w:rsidP="00AB0384">
            <w:pPr>
              <w:rPr>
                <w:rFonts w:ascii="Arial Narrow" w:hAnsi="Arial Narrow"/>
                <w:b/>
                <w:sz w:val="20"/>
                <w:szCs w:val="20"/>
              </w:rPr>
            </w:pPr>
            <w:r w:rsidRPr="00657163">
              <w:rPr>
                <w:rFonts w:ascii="Arial Narrow" w:hAnsi="Arial Narrow"/>
                <w:b/>
                <w:sz w:val="20"/>
                <w:szCs w:val="20"/>
              </w:rPr>
              <w:t xml:space="preserve">Prescriber type: </w:t>
            </w:r>
            <w:r w:rsidRPr="00657163">
              <w:rPr>
                <w:rFonts w:ascii="Arial Narrow" w:hAnsi="Arial Narrow"/>
                <w:sz w:val="20"/>
                <w:szCs w:val="20"/>
              </w:rPr>
              <w:fldChar w:fldCharType="begin">
                <w:ffData>
                  <w:name w:val="Check1"/>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Dental </w:t>
            </w:r>
            <w:r w:rsidRPr="00657163">
              <w:rPr>
                <w:rFonts w:ascii="Arial Narrow" w:hAnsi="Arial Narrow"/>
                <w:sz w:val="20"/>
                <w:szCs w:val="20"/>
              </w:rPr>
              <w:fldChar w:fldCharType="begin">
                <w:ffData>
                  <w:name w:val=""/>
                  <w:enabled/>
                  <w:calcOnExit w:val="0"/>
                  <w:checkBox>
                    <w:sizeAuto/>
                    <w:default w:val="1"/>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Medical Practitioners </w:t>
            </w:r>
            <w:r w:rsidRPr="00657163">
              <w:rPr>
                <w:rFonts w:ascii="Arial Narrow" w:hAnsi="Arial Narrow"/>
                <w:sz w:val="20"/>
                <w:szCs w:val="20"/>
              </w:rPr>
              <w:fldChar w:fldCharType="begin">
                <w:ffData>
                  <w:name w:val="Check3"/>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Nurse practitioners </w:t>
            </w:r>
            <w:r w:rsidRPr="00657163">
              <w:rPr>
                <w:rFonts w:ascii="Arial Narrow" w:hAnsi="Arial Narrow"/>
                <w:sz w:val="20"/>
                <w:szCs w:val="20"/>
              </w:rPr>
              <w:fldChar w:fldCharType="begin">
                <w:ffData>
                  <w:name w:val=""/>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Optometrists </w:t>
            </w:r>
            <w:r w:rsidRPr="00657163">
              <w:rPr>
                <w:rFonts w:ascii="Arial Narrow" w:hAnsi="Arial Narrow"/>
                <w:sz w:val="20"/>
                <w:szCs w:val="20"/>
              </w:rPr>
              <w:fldChar w:fldCharType="begin">
                <w:ffData>
                  <w:name w:val="Check5"/>
                  <w:enabled/>
                  <w:calcOnExit w:val="0"/>
                  <w:checkBox>
                    <w:sizeAuto/>
                    <w:default w:val="0"/>
                  </w:checkBox>
                </w:ffData>
              </w:fldChar>
            </w:r>
            <w:r w:rsidRPr="00657163">
              <w:rPr>
                <w:rFonts w:ascii="Arial Narrow" w:hAnsi="Arial Narrow"/>
                <w:sz w:val="20"/>
                <w:szCs w:val="20"/>
              </w:rPr>
              <w:instrText xml:space="preserve"> FORMCHECKBOX </w:instrText>
            </w:r>
            <w:r w:rsidR="00F06F14">
              <w:rPr>
                <w:rFonts w:ascii="Arial Narrow" w:hAnsi="Arial Narrow"/>
                <w:sz w:val="20"/>
                <w:szCs w:val="20"/>
              </w:rPr>
            </w:r>
            <w:r w:rsidR="00F06F14">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Midwives</w:t>
            </w:r>
          </w:p>
        </w:tc>
      </w:tr>
      <w:tr w:rsidR="004A4FA5" w:rsidRPr="00657163" w14:paraId="47F6AC4F" w14:textId="77777777" w:rsidTr="00AB0384">
        <w:tc>
          <w:tcPr>
            <w:tcW w:w="700" w:type="pct"/>
            <w:vMerge/>
            <w:tcBorders>
              <w:left w:val="single" w:sz="4" w:space="0" w:color="auto"/>
              <w:bottom w:val="single" w:sz="4" w:space="0" w:color="auto"/>
              <w:right w:val="single" w:sz="4" w:space="0" w:color="auto"/>
            </w:tcBorders>
          </w:tcPr>
          <w:p w14:paraId="5BEDBCD4" w14:textId="77777777" w:rsidR="004A4FA5" w:rsidRPr="00657163" w:rsidRDefault="004A4FA5" w:rsidP="00AB0384">
            <w:pPr>
              <w:rPr>
                <w:rFonts w:ascii="Arial Narrow" w:hAnsi="Arial Narrow"/>
                <w:b/>
                <w:sz w:val="20"/>
                <w:szCs w:val="20"/>
              </w:rPr>
            </w:pPr>
          </w:p>
        </w:tc>
        <w:tc>
          <w:tcPr>
            <w:tcW w:w="4300" w:type="pct"/>
            <w:tcBorders>
              <w:top w:val="single" w:sz="4" w:space="0" w:color="auto"/>
              <w:left w:val="single" w:sz="4" w:space="0" w:color="auto"/>
              <w:bottom w:val="single" w:sz="4" w:space="0" w:color="auto"/>
              <w:right w:val="single" w:sz="4" w:space="0" w:color="auto"/>
            </w:tcBorders>
          </w:tcPr>
          <w:p w14:paraId="0F5B9884" w14:textId="0886A7DE" w:rsidR="004A4FA5" w:rsidRPr="00657163" w:rsidRDefault="004A4FA5" w:rsidP="00EC7D63">
            <w:pPr>
              <w:rPr>
                <w:rFonts w:ascii="Arial Narrow" w:eastAsia="Calibri" w:hAnsi="Arial Narrow"/>
                <w:sz w:val="20"/>
                <w:szCs w:val="20"/>
              </w:rPr>
            </w:pPr>
            <w:r w:rsidRPr="00657163">
              <w:rPr>
                <w:rFonts w:ascii="Arial Narrow" w:hAnsi="Arial Narrow"/>
                <w:b/>
                <w:sz w:val="20"/>
                <w:szCs w:val="20"/>
              </w:rPr>
              <w:t>Restriction Type:</w:t>
            </w:r>
            <w:r w:rsidR="00EC7D63">
              <w:rPr>
                <w:rFonts w:ascii="Arial Narrow" w:hAnsi="Arial Narrow"/>
                <w:b/>
                <w:sz w:val="20"/>
                <w:szCs w:val="20"/>
              </w:rPr>
              <w:t xml:space="preserve"> </w:t>
            </w:r>
            <w:r w:rsidRPr="00657163">
              <w:rPr>
                <w:rFonts w:ascii="Arial Narrow" w:eastAsia="Calibri" w:hAnsi="Arial Narrow"/>
                <w:sz w:val="20"/>
                <w:szCs w:val="20"/>
              </w:rPr>
              <w:fldChar w:fldCharType="begin">
                <w:ffData>
                  <w:name w:val=""/>
                  <w:enabled/>
                  <w:calcOnExit w:val="0"/>
                  <w:checkBox>
                    <w:sizeAuto/>
                    <w:default w:val="1"/>
                  </w:checkBox>
                </w:ffData>
              </w:fldChar>
            </w:r>
            <w:r w:rsidRPr="00657163">
              <w:rPr>
                <w:rFonts w:ascii="Arial Narrow" w:eastAsia="Calibri" w:hAnsi="Arial Narrow"/>
                <w:sz w:val="20"/>
                <w:szCs w:val="20"/>
              </w:rPr>
              <w:instrText xml:space="preserve"> FORMCHECKBOX </w:instrText>
            </w:r>
            <w:r w:rsidR="00F06F14">
              <w:rPr>
                <w:rFonts w:ascii="Arial Narrow" w:eastAsia="Calibri" w:hAnsi="Arial Narrow"/>
                <w:sz w:val="20"/>
                <w:szCs w:val="20"/>
              </w:rPr>
            </w:r>
            <w:r w:rsidR="00F06F14">
              <w:rPr>
                <w:rFonts w:ascii="Arial Narrow" w:eastAsia="Calibri" w:hAnsi="Arial Narrow"/>
                <w:sz w:val="20"/>
                <w:szCs w:val="20"/>
              </w:rPr>
              <w:fldChar w:fldCharType="separate"/>
            </w:r>
            <w:r w:rsidRPr="00657163">
              <w:rPr>
                <w:rFonts w:ascii="Arial Narrow" w:eastAsia="Calibri" w:hAnsi="Arial Narrow"/>
                <w:sz w:val="20"/>
                <w:szCs w:val="20"/>
              </w:rPr>
              <w:fldChar w:fldCharType="end"/>
            </w:r>
            <w:r w:rsidRPr="00657163">
              <w:rPr>
                <w:rFonts w:ascii="Arial Narrow" w:eastAsia="Calibri" w:hAnsi="Arial Narrow"/>
                <w:sz w:val="20"/>
                <w:szCs w:val="20"/>
              </w:rPr>
              <w:t>Authority Required – Streamlined</w:t>
            </w:r>
          </w:p>
        </w:tc>
      </w:tr>
      <w:tr w:rsidR="004A4FA5" w:rsidRPr="00657163" w14:paraId="4C84E97C" w14:textId="77777777" w:rsidTr="00AB0384">
        <w:tc>
          <w:tcPr>
            <w:tcW w:w="700" w:type="pct"/>
          </w:tcPr>
          <w:p w14:paraId="5D3D40EB" w14:textId="57765715" w:rsidR="004A4FA5" w:rsidRPr="00657163" w:rsidRDefault="004A4FA5" w:rsidP="00AB0384">
            <w:pPr>
              <w:rPr>
                <w:rFonts w:ascii="Arial Narrow" w:hAnsi="Arial Narrow"/>
                <w:b/>
                <w:bCs/>
                <w:sz w:val="20"/>
                <w:szCs w:val="20"/>
              </w:rPr>
            </w:pPr>
          </w:p>
        </w:tc>
        <w:tc>
          <w:tcPr>
            <w:tcW w:w="4300" w:type="pct"/>
          </w:tcPr>
          <w:p w14:paraId="11F058A2"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quantity or number of units may be authorised.</w:t>
            </w:r>
          </w:p>
        </w:tc>
      </w:tr>
      <w:tr w:rsidR="004A4FA5" w:rsidRPr="00657163" w14:paraId="58269F50" w14:textId="77777777" w:rsidTr="00AB0384">
        <w:tc>
          <w:tcPr>
            <w:tcW w:w="700" w:type="pct"/>
          </w:tcPr>
          <w:p w14:paraId="21FE2173" w14:textId="71F79BE4" w:rsidR="004A4FA5" w:rsidRPr="00657163" w:rsidRDefault="004A4FA5" w:rsidP="00AB0384">
            <w:pPr>
              <w:rPr>
                <w:rFonts w:ascii="Arial Narrow" w:hAnsi="Arial Narrow"/>
                <w:b/>
                <w:bCs/>
                <w:sz w:val="20"/>
                <w:szCs w:val="20"/>
              </w:rPr>
            </w:pPr>
          </w:p>
        </w:tc>
        <w:tc>
          <w:tcPr>
            <w:tcW w:w="4300" w:type="pct"/>
          </w:tcPr>
          <w:p w14:paraId="2D5605BB"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number of repeats may be authorised.</w:t>
            </w:r>
          </w:p>
        </w:tc>
      </w:tr>
      <w:tr w:rsidR="004A4FA5" w:rsidRPr="00657163" w14:paraId="43C66039" w14:textId="77777777" w:rsidTr="00AB0384">
        <w:tc>
          <w:tcPr>
            <w:tcW w:w="700" w:type="pct"/>
          </w:tcPr>
          <w:p w14:paraId="5CBAABBC" w14:textId="43245CCF" w:rsidR="004A4FA5" w:rsidRPr="00657163" w:rsidRDefault="004A4FA5" w:rsidP="00AB0384">
            <w:pPr>
              <w:rPr>
                <w:rFonts w:ascii="Arial Narrow" w:hAnsi="Arial Narrow"/>
                <w:b/>
                <w:bCs/>
                <w:sz w:val="20"/>
                <w:szCs w:val="20"/>
              </w:rPr>
            </w:pPr>
          </w:p>
        </w:tc>
        <w:tc>
          <w:tcPr>
            <w:tcW w:w="4300" w:type="pct"/>
          </w:tcPr>
          <w:p w14:paraId="005B25D1"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Special Pricing Arrangements apply.</w:t>
            </w:r>
          </w:p>
        </w:tc>
      </w:tr>
      <w:tr w:rsidR="004A4FA5" w:rsidRPr="00657163" w14:paraId="0234CF94" w14:textId="77777777" w:rsidTr="00AB0384">
        <w:tc>
          <w:tcPr>
            <w:tcW w:w="700" w:type="pct"/>
          </w:tcPr>
          <w:p w14:paraId="2C664560" w14:textId="77777777" w:rsidR="004A4FA5" w:rsidRPr="00657163" w:rsidRDefault="004A4FA5" w:rsidP="00AB0384">
            <w:pPr>
              <w:rPr>
                <w:rFonts w:ascii="Arial Narrow" w:hAnsi="Arial Narrow"/>
                <w:b/>
                <w:bCs/>
                <w:sz w:val="20"/>
                <w:szCs w:val="20"/>
              </w:rPr>
            </w:pPr>
          </w:p>
        </w:tc>
        <w:tc>
          <w:tcPr>
            <w:tcW w:w="4300" w:type="pct"/>
            <w:vAlign w:val="center"/>
            <w:hideMark/>
          </w:tcPr>
          <w:p w14:paraId="6A802D7E" w14:textId="77777777" w:rsidR="004A4FA5" w:rsidRPr="00657163" w:rsidRDefault="004A4FA5" w:rsidP="00AB0384">
            <w:pPr>
              <w:rPr>
                <w:rFonts w:ascii="Arial Narrow" w:hAnsi="Arial Narrow"/>
                <w:strike/>
                <w:sz w:val="20"/>
                <w:szCs w:val="20"/>
              </w:rPr>
            </w:pPr>
            <w:r w:rsidRPr="00657163">
              <w:rPr>
                <w:rFonts w:ascii="Arial Narrow" w:hAnsi="Arial Narrow"/>
                <w:b/>
                <w:bCs/>
                <w:strike/>
                <w:sz w:val="20"/>
                <w:szCs w:val="20"/>
              </w:rPr>
              <w:t>Administrative Advice:</w:t>
            </w:r>
          </w:p>
          <w:p w14:paraId="525E2EC3" w14:textId="77777777" w:rsidR="004A4FA5" w:rsidRPr="00657163" w:rsidRDefault="004A4FA5" w:rsidP="00AB0384">
            <w:pPr>
              <w:rPr>
                <w:rFonts w:ascii="Arial Narrow" w:hAnsi="Arial Narrow"/>
                <w:sz w:val="20"/>
                <w:szCs w:val="20"/>
              </w:rPr>
            </w:pPr>
            <w:r w:rsidRPr="00657163">
              <w:rPr>
                <w:rFonts w:ascii="Arial Narrow" w:hAnsi="Arial Narrow"/>
                <w:strike/>
                <w:sz w:val="20"/>
                <w:szCs w:val="20"/>
              </w:rPr>
              <w:t xml:space="preserve">Patient should be treated with the recommended dose of </w:t>
            </w:r>
            <w:proofErr w:type="spellStart"/>
            <w:r w:rsidRPr="00657163">
              <w:rPr>
                <w:rFonts w:ascii="Arial Narrow" w:hAnsi="Arial Narrow"/>
                <w:strike/>
                <w:sz w:val="20"/>
                <w:szCs w:val="20"/>
              </w:rPr>
              <w:t>enfortumab</w:t>
            </w:r>
            <w:proofErr w:type="spellEnd"/>
            <w:r w:rsidRPr="00657163">
              <w:rPr>
                <w:rFonts w:ascii="Arial Narrow" w:hAnsi="Arial Narrow"/>
                <w:strike/>
                <w:sz w:val="20"/>
                <w:szCs w:val="20"/>
              </w:rPr>
              <w:t xml:space="preserve"> </w:t>
            </w:r>
            <w:proofErr w:type="spellStart"/>
            <w:r w:rsidRPr="00657163">
              <w:rPr>
                <w:rFonts w:ascii="Arial Narrow" w:hAnsi="Arial Narrow"/>
                <w:strike/>
                <w:sz w:val="20"/>
                <w:szCs w:val="20"/>
              </w:rPr>
              <w:t>vedotin</w:t>
            </w:r>
            <w:proofErr w:type="spellEnd"/>
            <w:r w:rsidRPr="00657163">
              <w:rPr>
                <w:rFonts w:ascii="Arial Narrow" w:hAnsi="Arial Narrow"/>
                <w:strike/>
                <w:sz w:val="20"/>
                <w:szCs w:val="20"/>
              </w:rPr>
              <w:t xml:space="preserve"> according to the TGA-approved Product Information.</w:t>
            </w:r>
          </w:p>
        </w:tc>
      </w:tr>
      <w:tr w:rsidR="004A4FA5" w:rsidRPr="00657163" w14:paraId="5CD400A8" w14:textId="77777777" w:rsidTr="00AB0384">
        <w:tc>
          <w:tcPr>
            <w:tcW w:w="700" w:type="pct"/>
          </w:tcPr>
          <w:p w14:paraId="3F0C00FC" w14:textId="77777777" w:rsidR="004A4FA5" w:rsidRPr="00657163" w:rsidRDefault="004A4FA5" w:rsidP="00AB0384">
            <w:pPr>
              <w:rPr>
                <w:rFonts w:ascii="Arial Narrow" w:hAnsi="Arial Narrow"/>
                <w:b/>
                <w:bCs/>
                <w:sz w:val="20"/>
                <w:szCs w:val="20"/>
              </w:rPr>
            </w:pPr>
          </w:p>
        </w:tc>
        <w:tc>
          <w:tcPr>
            <w:tcW w:w="4300" w:type="pct"/>
            <w:vAlign w:val="center"/>
            <w:hideMark/>
          </w:tcPr>
          <w:p w14:paraId="4A8EA16F"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 xml:space="preserve">Severity: </w:t>
            </w:r>
            <w:r w:rsidRPr="00657163">
              <w:rPr>
                <w:rFonts w:ascii="Arial Narrow" w:hAnsi="Arial Narrow"/>
                <w:bCs/>
                <w:sz w:val="20"/>
                <w:szCs w:val="20"/>
              </w:rPr>
              <w:t>Locally advanced (Stage III) or metastatic (Stage IV)</w:t>
            </w:r>
          </w:p>
        </w:tc>
      </w:tr>
      <w:tr w:rsidR="004A4FA5" w:rsidRPr="00657163" w14:paraId="60673DB2" w14:textId="77777777" w:rsidTr="00AB0384">
        <w:tc>
          <w:tcPr>
            <w:tcW w:w="700" w:type="pct"/>
          </w:tcPr>
          <w:p w14:paraId="4C2A04FF" w14:textId="77777777" w:rsidR="004A4FA5" w:rsidRPr="00657163" w:rsidRDefault="004A4FA5" w:rsidP="00AB0384">
            <w:pPr>
              <w:rPr>
                <w:rFonts w:ascii="Arial Narrow" w:hAnsi="Arial Narrow"/>
                <w:b/>
                <w:bCs/>
                <w:sz w:val="20"/>
                <w:szCs w:val="20"/>
              </w:rPr>
            </w:pPr>
          </w:p>
        </w:tc>
        <w:tc>
          <w:tcPr>
            <w:tcW w:w="4300" w:type="pct"/>
            <w:vAlign w:val="center"/>
            <w:hideMark/>
          </w:tcPr>
          <w:p w14:paraId="030E8DEC"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Condition:</w:t>
            </w:r>
            <w:r w:rsidRPr="00657163">
              <w:rPr>
                <w:rFonts w:ascii="Arial Narrow" w:hAnsi="Arial Narrow"/>
                <w:bCs/>
                <w:sz w:val="20"/>
                <w:szCs w:val="20"/>
              </w:rPr>
              <w:t xml:space="preserve"> Urothelial cancer</w:t>
            </w:r>
          </w:p>
        </w:tc>
      </w:tr>
      <w:tr w:rsidR="004A4FA5" w:rsidRPr="00657163" w14:paraId="79580529" w14:textId="77777777" w:rsidTr="00AB0384">
        <w:tc>
          <w:tcPr>
            <w:tcW w:w="700" w:type="pct"/>
          </w:tcPr>
          <w:p w14:paraId="73B6C0E3" w14:textId="65094917" w:rsidR="004A4FA5" w:rsidRPr="00657163" w:rsidRDefault="004A4FA5" w:rsidP="00AB0384">
            <w:pPr>
              <w:rPr>
                <w:rFonts w:ascii="Arial Narrow" w:hAnsi="Arial Narrow"/>
                <w:sz w:val="20"/>
                <w:szCs w:val="20"/>
              </w:rPr>
            </w:pPr>
          </w:p>
        </w:tc>
        <w:tc>
          <w:tcPr>
            <w:tcW w:w="4300" w:type="pct"/>
            <w:vAlign w:val="center"/>
            <w:hideMark/>
          </w:tcPr>
          <w:p w14:paraId="4512B289"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Indication:</w:t>
            </w:r>
            <w:r w:rsidRPr="00657163">
              <w:rPr>
                <w:rFonts w:ascii="Arial Narrow" w:hAnsi="Arial Narrow"/>
                <w:sz w:val="20"/>
                <w:szCs w:val="20"/>
              </w:rPr>
              <w:t xml:space="preserve"> </w:t>
            </w:r>
            <w:r w:rsidRPr="00657163">
              <w:rPr>
                <w:rFonts w:ascii="Arial Narrow" w:hAnsi="Arial Narrow"/>
                <w:bCs/>
                <w:sz w:val="20"/>
                <w:szCs w:val="20"/>
              </w:rPr>
              <w:t>Locally advanced (Stage III) or metastatic (Stage IV) urothelial cancer</w:t>
            </w:r>
          </w:p>
        </w:tc>
      </w:tr>
      <w:tr w:rsidR="004A4FA5" w:rsidRPr="00657163" w14:paraId="43E86436" w14:textId="77777777" w:rsidTr="00AB0384">
        <w:tc>
          <w:tcPr>
            <w:tcW w:w="700" w:type="pct"/>
          </w:tcPr>
          <w:p w14:paraId="40CAFC77" w14:textId="77777777" w:rsidR="004A4FA5" w:rsidRPr="00657163" w:rsidRDefault="004A4FA5" w:rsidP="00AB0384">
            <w:pPr>
              <w:rPr>
                <w:rFonts w:ascii="Arial Narrow" w:hAnsi="Arial Narrow"/>
                <w:sz w:val="20"/>
                <w:szCs w:val="20"/>
              </w:rPr>
            </w:pPr>
          </w:p>
        </w:tc>
        <w:tc>
          <w:tcPr>
            <w:tcW w:w="4300" w:type="pct"/>
            <w:vAlign w:val="center"/>
          </w:tcPr>
          <w:p w14:paraId="464443C3"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Treatment Phase:</w:t>
            </w:r>
            <w:r w:rsidRPr="00657163">
              <w:rPr>
                <w:rFonts w:ascii="Arial Narrow" w:hAnsi="Arial Narrow"/>
                <w:sz w:val="20"/>
                <w:szCs w:val="20"/>
              </w:rPr>
              <w:t xml:space="preserve"> Grandfather treatment </w:t>
            </w:r>
            <w:r w:rsidRPr="00657163">
              <w:rPr>
                <w:rFonts w:ascii="Arial Narrow" w:hAnsi="Arial Narrow"/>
                <w:strike/>
                <w:sz w:val="20"/>
                <w:szCs w:val="20"/>
              </w:rPr>
              <w:t>(initial treatment of a patient commenced on non-PBS-subsidised treatment)</w:t>
            </w:r>
          </w:p>
        </w:tc>
      </w:tr>
      <w:tr w:rsidR="004A4FA5" w:rsidRPr="00657163" w14:paraId="0DEE5D33" w14:textId="77777777" w:rsidTr="00AB0384">
        <w:tc>
          <w:tcPr>
            <w:tcW w:w="700" w:type="pct"/>
          </w:tcPr>
          <w:p w14:paraId="45593353" w14:textId="77777777" w:rsidR="004A4FA5" w:rsidRPr="00657163" w:rsidRDefault="004A4FA5" w:rsidP="00AB0384">
            <w:pPr>
              <w:rPr>
                <w:rFonts w:ascii="Arial Narrow" w:hAnsi="Arial Narrow"/>
                <w:sz w:val="20"/>
                <w:szCs w:val="20"/>
              </w:rPr>
            </w:pPr>
          </w:p>
        </w:tc>
        <w:tc>
          <w:tcPr>
            <w:tcW w:w="4300" w:type="pct"/>
            <w:vAlign w:val="center"/>
          </w:tcPr>
          <w:p w14:paraId="0A12CA7A"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Clinical criteria:</w:t>
            </w:r>
          </w:p>
        </w:tc>
      </w:tr>
      <w:tr w:rsidR="004A4FA5" w:rsidRPr="00657163" w14:paraId="19DDEEF7" w14:textId="77777777" w:rsidTr="00AB0384">
        <w:tc>
          <w:tcPr>
            <w:tcW w:w="700" w:type="pct"/>
          </w:tcPr>
          <w:p w14:paraId="0C7A2DD2" w14:textId="77777777" w:rsidR="004A4FA5" w:rsidRPr="00657163" w:rsidRDefault="004A4FA5" w:rsidP="00AB0384">
            <w:pPr>
              <w:rPr>
                <w:rFonts w:ascii="Arial Narrow" w:hAnsi="Arial Narrow"/>
                <w:sz w:val="20"/>
                <w:szCs w:val="20"/>
              </w:rPr>
            </w:pPr>
          </w:p>
        </w:tc>
        <w:tc>
          <w:tcPr>
            <w:tcW w:w="4300" w:type="pct"/>
            <w:vAlign w:val="center"/>
          </w:tcPr>
          <w:p w14:paraId="463C7EEC" w14:textId="77777777" w:rsidR="004A4FA5" w:rsidRPr="00657163" w:rsidRDefault="004A4FA5" w:rsidP="00AB0384">
            <w:pPr>
              <w:rPr>
                <w:rFonts w:ascii="Arial Narrow" w:hAnsi="Arial Narrow"/>
                <w:b/>
                <w:bCs/>
                <w:sz w:val="20"/>
                <w:szCs w:val="20"/>
              </w:rPr>
            </w:pPr>
            <w:r w:rsidRPr="00657163">
              <w:rPr>
                <w:rFonts w:ascii="Arial Narrow" w:hAnsi="Arial Narrow"/>
                <w:sz w:val="20"/>
                <w:szCs w:val="20"/>
              </w:rPr>
              <w:t>Patient must have received treatment with this drug for this condition prior to [listing date],</w:t>
            </w:r>
          </w:p>
        </w:tc>
      </w:tr>
      <w:tr w:rsidR="004A4FA5" w:rsidRPr="00657163" w14:paraId="26A5F015" w14:textId="77777777" w:rsidTr="00AB0384">
        <w:tc>
          <w:tcPr>
            <w:tcW w:w="700" w:type="pct"/>
          </w:tcPr>
          <w:p w14:paraId="72253B4A" w14:textId="77777777" w:rsidR="004A4FA5" w:rsidRPr="00657163" w:rsidRDefault="004A4FA5" w:rsidP="00AB0384">
            <w:pPr>
              <w:rPr>
                <w:rFonts w:ascii="Arial Narrow" w:hAnsi="Arial Narrow"/>
                <w:sz w:val="20"/>
                <w:szCs w:val="20"/>
              </w:rPr>
            </w:pPr>
          </w:p>
        </w:tc>
        <w:tc>
          <w:tcPr>
            <w:tcW w:w="4300" w:type="pct"/>
            <w:vAlign w:val="center"/>
          </w:tcPr>
          <w:p w14:paraId="1960839D"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AND</w:t>
            </w:r>
          </w:p>
        </w:tc>
      </w:tr>
      <w:tr w:rsidR="004A4FA5" w:rsidRPr="00657163" w14:paraId="37B17DE3" w14:textId="77777777" w:rsidTr="00AB0384">
        <w:tc>
          <w:tcPr>
            <w:tcW w:w="700" w:type="pct"/>
          </w:tcPr>
          <w:p w14:paraId="46F82B7F" w14:textId="77777777" w:rsidR="004A4FA5" w:rsidRPr="00657163" w:rsidRDefault="004A4FA5" w:rsidP="00AB0384">
            <w:pPr>
              <w:rPr>
                <w:rFonts w:ascii="Arial Narrow" w:hAnsi="Arial Narrow"/>
                <w:b/>
                <w:bCs/>
                <w:sz w:val="20"/>
                <w:szCs w:val="20"/>
              </w:rPr>
            </w:pPr>
          </w:p>
        </w:tc>
        <w:tc>
          <w:tcPr>
            <w:tcW w:w="4300" w:type="pct"/>
            <w:vAlign w:val="center"/>
            <w:hideMark/>
          </w:tcPr>
          <w:p w14:paraId="39A9871F"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Clinical criteria:</w:t>
            </w:r>
          </w:p>
        </w:tc>
      </w:tr>
      <w:tr w:rsidR="004A4FA5" w:rsidRPr="00657163" w14:paraId="12602D0F" w14:textId="77777777" w:rsidTr="00AB0384">
        <w:tc>
          <w:tcPr>
            <w:tcW w:w="700" w:type="pct"/>
          </w:tcPr>
          <w:p w14:paraId="2F374E33" w14:textId="77777777" w:rsidR="004A4FA5" w:rsidRPr="00657163" w:rsidRDefault="004A4FA5" w:rsidP="00AB0384">
            <w:pPr>
              <w:rPr>
                <w:rFonts w:ascii="Arial Narrow" w:hAnsi="Arial Narrow"/>
                <w:sz w:val="20"/>
                <w:szCs w:val="20"/>
              </w:rPr>
            </w:pPr>
          </w:p>
        </w:tc>
        <w:tc>
          <w:tcPr>
            <w:tcW w:w="4300" w:type="pct"/>
            <w:vAlign w:val="center"/>
            <w:hideMark/>
          </w:tcPr>
          <w:p w14:paraId="77BFC11B"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Patient must have been treated with platinum-containing chemotherapy prior to initiation of non-PBS-subsidised treatment with this drug for this condition; OR</w:t>
            </w:r>
          </w:p>
        </w:tc>
      </w:tr>
      <w:tr w:rsidR="004A4FA5" w:rsidRPr="00657163" w14:paraId="63F0B57F" w14:textId="77777777" w:rsidTr="00AB0384">
        <w:tc>
          <w:tcPr>
            <w:tcW w:w="700" w:type="pct"/>
          </w:tcPr>
          <w:p w14:paraId="0EAD62DB" w14:textId="77777777" w:rsidR="004A4FA5" w:rsidRPr="00657163" w:rsidRDefault="004A4FA5" w:rsidP="00AB0384">
            <w:pPr>
              <w:rPr>
                <w:rFonts w:ascii="Arial Narrow" w:hAnsi="Arial Narrow"/>
                <w:b/>
                <w:bCs/>
                <w:sz w:val="20"/>
                <w:szCs w:val="20"/>
              </w:rPr>
            </w:pPr>
          </w:p>
        </w:tc>
        <w:tc>
          <w:tcPr>
            <w:tcW w:w="4300" w:type="pct"/>
            <w:vAlign w:val="center"/>
            <w:hideMark/>
          </w:tcPr>
          <w:p w14:paraId="2CB62D33"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AND</w:t>
            </w:r>
          </w:p>
        </w:tc>
      </w:tr>
      <w:tr w:rsidR="004A4FA5" w:rsidRPr="00657163" w14:paraId="09DF44CA" w14:textId="77777777" w:rsidTr="00AB0384">
        <w:tc>
          <w:tcPr>
            <w:tcW w:w="700" w:type="pct"/>
          </w:tcPr>
          <w:p w14:paraId="246FBD47" w14:textId="77777777" w:rsidR="004A4FA5" w:rsidRPr="00657163" w:rsidRDefault="004A4FA5" w:rsidP="00AB0384">
            <w:pPr>
              <w:rPr>
                <w:rFonts w:ascii="Arial Narrow" w:hAnsi="Arial Narrow"/>
                <w:b/>
                <w:bCs/>
                <w:sz w:val="20"/>
                <w:szCs w:val="20"/>
              </w:rPr>
            </w:pPr>
          </w:p>
        </w:tc>
        <w:tc>
          <w:tcPr>
            <w:tcW w:w="4300" w:type="pct"/>
            <w:vAlign w:val="center"/>
          </w:tcPr>
          <w:p w14:paraId="6DBD1519"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Clinical criteria:</w:t>
            </w:r>
          </w:p>
        </w:tc>
      </w:tr>
      <w:tr w:rsidR="004A4FA5" w:rsidRPr="00657163" w14:paraId="18872A9D" w14:textId="77777777" w:rsidTr="00AB0384">
        <w:tc>
          <w:tcPr>
            <w:tcW w:w="700" w:type="pct"/>
          </w:tcPr>
          <w:p w14:paraId="555EB1A7" w14:textId="77777777" w:rsidR="004A4FA5" w:rsidRPr="00657163" w:rsidRDefault="004A4FA5" w:rsidP="00AB0384">
            <w:pPr>
              <w:rPr>
                <w:rFonts w:ascii="Arial Narrow" w:hAnsi="Arial Narrow"/>
                <w:sz w:val="20"/>
                <w:szCs w:val="20"/>
              </w:rPr>
            </w:pPr>
          </w:p>
        </w:tc>
        <w:tc>
          <w:tcPr>
            <w:tcW w:w="4300" w:type="pct"/>
            <w:vAlign w:val="center"/>
            <w:hideMark/>
          </w:tcPr>
          <w:p w14:paraId="2CD23D51"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Patient must have been treated with a programmed death protein 1 (PD-1) or programmed death ligand 1 (PD-L1) inhibitor prior to initiation of non-PBS-subsidised treatment with this drug for this condition,</w:t>
            </w:r>
          </w:p>
        </w:tc>
      </w:tr>
      <w:tr w:rsidR="004A4FA5" w:rsidRPr="00657163" w14:paraId="600C46B0" w14:textId="77777777" w:rsidTr="00AB0384">
        <w:tc>
          <w:tcPr>
            <w:tcW w:w="700" w:type="pct"/>
          </w:tcPr>
          <w:p w14:paraId="147A88E1" w14:textId="77777777" w:rsidR="004A4FA5" w:rsidRPr="00657163" w:rsidRDefault="004A4FA5" w:rsidP="00AB0384">
            <w:pPr>
              <w:rPr>
                <w:rFonts w:ascii="Arial Narrow" w:hAnsi="Arial Narrow"/>
                <w:b/>
                <w:bCs/>
                <w:sz w:val="20"/>
                <w:szCs w:val="20"/>
              </w:rPr>
            </w:pPr>
          </w:p>
        </w:tc>
        <w:tc>
          <w:tcPr>
            <w:tcW w:w="4300" w:type="pct"/>
            <w:vAlign w:val="center"/>
            <w:hideMark/>
          </w:tcPr>
          <w:p w14:paraId="3BE1C9EC" w14:textId="77777777" w:rsidR="004A4FA5" w:rsidRPr="00657163" w:rsidRDefault="004A4FA5" w:rsidP="00AB0384">
            <w:pPr>
              <w:rPr>
                <w:rFonts w:ascii="Arial Narrow" w:hAnsi="Arial Narrow"/>
                <w:sz w:val="20"/>
                <w:szCs w:val="20"/>
              </w:rPr>
            </w:pPr>
            <w:r w:rsidRPr="00657163">
              <w:rPr>
                <w:rFonts w:ascii="Arial Narrow" w:hAnsi="Arial Narrow"/>
                <w:b/>
                <w:bCs/>
                <w:sz w:val="20"/>
                <w:szCs w:val="20"/>
              </w:rPr>
              <w:t>AND</w:t>
            </w:r>
          </w:p>
        </w:tc>
      </w:tr>
      <w:tr w:rsidR="004A4FA5" w:rsidRPr="00657163" w14:paraId="54248DD8" w14:textId="77777777" w:rsidTr="00AB0384">
        <w:tc>
          <w:tcPr>
            <w:tcW w:w="700" w:type="pct"/>
          </w:tcPr>
          <w:p w14:paraId="5200B39D" w14:textId="77777777" w:rsidR="004A4FA5" w:rsidRPr="00657163" w:rsidRDefault="004A4FA5" w:rsidP="00AB0384">
            <w:pPr>
              <w:rPr>
                <w:rFonts w:ascii="Arial Narrow" w:hAnsi="Arial Narrow"/>
                <w:b/>
                <w:bCs/>
                <w:sz w:val="20"/>
                <w:szCs w:val="20"/>
              </w:rPr>
            </w:pPr>
          </w:p>
        </w:tc>
        <w:tc>
          <w:tcPr>
            <w:tcW w:w="4300" w:type="pct"/>
            <w:vAlign w:val="center"/>
          </w:tcPr>
          <w:p w14:paraId="7FF77A87"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Clinical criteria:</w:t>
            </w:r>
          </w:p>
        </w:tc>
      </w:tr>
      <w:tr w:rsidR="004A4FA5" w:rsidRPr="00657163" w14:paraId="70D32157" w14:textId="77777777" w:rsidTr="00AB0384">
        <w:tc>
          <w:tcPr>
            <w:tcW w:w="700" w:type="pct"/>
            <w:tcBorders>
              <w:top w:val="single" w:sz="4" w:space="0" w:color="auto"/>
              <w:left w:val="single" w:sz="4" w:space="0" w:color="auto"/>
              <w:bottom w:val="single" w:sz="4" w:space="0" w:color="auto"/>
              <w:right w:val="single" w:sz="4" w:space="0" w:color="auto"/>
            </w:tcBorders>
          </w:tcPr>
          <w:p w14:paraId="19627A9A" w14:textId="77777777" w:rsidR="004A4FA5" w:rsidRPr="00657163" w:rsidRDefault="004A4FA5" w:rsidP="00AB0384">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hideMark/>
          </w:tcPr>
          <w:p w14:paraId="72062555"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Patient must have had a WHO performance status of 0 or 1 at the time of initiation of non-PBS-subsidised treatment with this drug for this condition,</w:t>
            </w:r>
          </w:p>
        </w:tc>
      </w:tr>
      <w:tr w:rsidR="004A4FA5" w:rsidRPr="00657163" w14:paraId="3B389160" w14:textId="77777777" w:rsidTr="00AB0384">
        <w:tc>
          <w:tcPr>
            <w:tcW w:w="700" w:type="pct"/>
          </w:tcPr>
          <w:p w14:paraId="6EB3035C" w14:textId="77777777" w:rsidR="004A4FA5" w:rsidRPr="00657163" w:rsidRDefault="004A4FA5" w:rsidP="00AB0384">
            <w:pPr>
              <w:rPr>
                <w:rFonts w:ascii="Arial Narrow" w:hAnsi="Arial Narrow"/>
                <w:b/>
                <w:bCs/>
                <w:sz w:val="20"/>
                <w:szCs w:val="20"/>
              </w:rPr>
            </w:pPr>
          </w:p>
        </w:tc>
        <w:tc>
          <w:tcPr>
            <w:tcW w:w="4300" w:type="pct"/>
            <w:vAlign w:val="center"/>
          </w:tcPr>
          <w:p w14:paraId="6494CAE5"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AND</w:t>
            </w:r>
          </w:p>
        </w:tc>
      </w:tr>
      <w:tr w:rsidR="004A4FA5" w:rsidRPr="00657163" w14:paraId="09586885" w14:textId="77777777" w:rsidTr="00AB0384">
        <w:tc>
          <w:tcPr>
            <w:tcW w:w="700" w:type="pct"/>
          </w:tcPr>
          <w:p w14:paraId="042DF615" w14:textId="3045D3AB" w:rsidR="004A4FA5" w:rsidRPr="00657163" w:rsidRDefault="004A4FA5" w:rsidP="00AB0384">
            <w:pPr>
              <w:rPr>
                <w:rFonts w:ascii="Arial Narrow" w:hAnsi="Arial Narrow"/>
                <w:b/>
                <w:bCs/>
                <w:sz w:val="20"/>
                <w:szCs w:val="20"/>
              </w:rPr>
            </w:pPr>
          </w:p>
        </w:tc>
        <w:tc>
          <w:tcPr>
            <w:tcW w:w="4300" w:type="pct"/>
            <w:vAlign w:val="center"/>
          </w:tcPr>
          <w:p w14:paraId="72462DD0" w14:textId="77777777" w:rsidR="004A4FA5" w:rsidRPr="00657163" w:rsidRDefault="004A4FA5" w:rsidP="00AB0384">
            <w:pPr>
              <w:rPr>
                <w:rFonts w:ascii="Arial Narrow" w:hAnsi="Arial Narrow"/>
                <w:b/>
                <w:bCs/>
                <w:i/>
                <w:iCs/>
                <w:sz w:val="20"/>
                <w:szCs w:val="20"/>
              </w:rPr>
            </w:pPr>
            <w:r w:rsidRPr="00657163">
              <w:rPr>
                <w:rFonts w:ascii="Arial Narrow" w:hAnsi="Arial Narrow"/>
                <w:b/>
                <w:bCs/>
                <w:i/>
                <w:iCs/>
                <w:sz w:val="20"/>
                <w:szCs w:val="20"/>
              </w:rPr>
              <w:t>Clinical criteria:</w:t>
            </w:r>
          </w:p>
        </w:tc>
      </w:tr>
      <w:tr w:rsidR="004A4FA5" w:rsidRPr="00657163" w14:paraId="4B57AAC4" w14:textId="77777777" w:rsidTr="00AB0384">
        <w:tc>
          <w:tcPr>
            <w:tcW w:w="700" w:type="pct"/>
          </w:tcPr>
          <w:p w14:paraId="1FAE75C8" w14:textId="01D61893" w:rsidR="004A4FA5" w:rsidRPr="00657163" w:rsidRDefault="004A4FA5" w:rsidP="00AB0384">
            <w:pPr>
              <w:rPr>
                <w:rFonts w:ascii="Arial Narrow" w:hAnsi="Arial Narrow"/>
                <w:b/>
                <w:bCs/>
                <w:sz w:val="20"/>
                <w:szCs w:val="20"/>
              </w:rPr>
            </w:pPr>
          </w:p>
        </w:tc>
        <w:tc>
          <w:tcPr>
            <w:tcW w:w="4300" w:type="pct"/>
            <w:vAlign w:val="center"/>
          </w:tcPr>
          <w:p w14:paraId="02E94DBB" w14:textId="77777777" w:rsidR="004A4FA5" w:rsidRPr="00657163" w:rsidRDefault="004A4FA5" w:rsidP="00AB0384">
            <w:pPr>
              <w:rPr>
                <w:rFonts w:ascii="Arial Narrow" w:hAnsi="Arial Narrow"/>
                <w:b/>
                <w:bCs/>
                <w:i/>
                <w:iCs/>
                <w:sz w:val="20"/>
                <w:szCs w:val="20"/>
              </w:rPr>
            </w:pPr>
            <w:r w:rsidRPr="00657163">
              <w:rPr>
                <w:rFonts w:ascii="Arial Narrow" w:hAnsi="Arial Narrow"/>
                <w:i/>
                <w:iCs/>
                <w:sz w:val="20"/>
                <w:szCs w:val="20"/>
              </w:rPr>
              <w:t>Patient must not have developed disease progression while being treated with this drug for this condition,</w:t>
            </w:r>
          </w:p>
        </w:tc>
      </w:tr>
      <w:tr w:rsidR="004A4FA5" w:rsidRPr="00657163" w14:paraId="7DDB436A" w14:textId="77777777" w:rsidTr="00AB0384">
        <w:tc>
          <w:tcPr>
            <w:tcW w:w="700" w:type="pct"/>
          </w:tcPr>
          <w:p w14:paraId="7D3F0502" w14:textId="77777777" w:rsidR="004A4FA5" w:rsidRPr="00657163" w:rsidRDefault="004A4FA5" w:rsidP="00AB0384">
            <w:pPr>
              <w:rPr>
                <w:rFonts w:ascii="Arial Narrow" w:hAnsi="Arial Narrow"/>
                <w:sz w:val="20"/>
                <w:szCs w:val="20"/>
              </w:rPr>
            </w:pPr>
          </w:p>
        </w:tc>
        <w:tc>
          <w:tcPr>
            <w:tcW w:w="4300" w:type="pct"/>
            <w:vAlign w:val="center"/>
          </w:tcPr>
          <w:p w14:paraId="75B00C78"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AND</w:t>
            </w:r>
          </w:p>
        </w:tc>
      </w:tr>
      <w:tr w:rsidR="004A4FA5" w:rsidRPr="00657163" w14:paraId="02656533" w14:textId="77777777" w:rsidTr="00AB0384">
        <w:tc>
          <w:tcPr>
            <w:tcW w:w="700" w:type="pct"/>
          </w:tcPr>
          <w:p w14:paraId="5FB62208" w14:textId="0D795D87" w:rsidR="004A4FA5" w:rsidRPr="00657163" w:rsidRDefault="004A4FA5" w:rsidP="00AB0384">
            <w:pPr>
              <w:rPr>
                <w:rFonts w:ascii="Arial Narrow" w:hAnsi="Arial Narrow"/>
                <w:b/>
                <w:bCs/>
                <w:sz w:val="20"/>
                <w:szCs w:val="20"/>
              </w:rPr>
            </w:pPr>
          </w:p>
        </w:tc>
        <w:tc>
          <w:tcPr>
            <w:tcW w:w="4300" w:type="pct"/>
            <w:vAlign w:val="center"/>
          </w:tcPr>
          <w:p w14:paraId="694475BB"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Clinical criteria:</w:t>
            </w:r>
          </w:p>
        </w:tc>
      </w:tr>
      <w:tr w:rsidR="004A4FA5" w:rsidRPr="00657163" w14:paraId="638B626C" w14:textId="77777777" w:rsidTr="00AB0384">
        <w:tc>
          <w:tcPr>
            <w:tcW w:w="700" w:type="pct"/>
            <w:tcBorders>
              <w:top w:val="single" w:sz="4" w:space="0" w:color="auto"/>
              <w:left w:val="single" w:sz="4" w:space="0" w:color="auto"/>
              <w:bottom w:val="single" w:sz="4" w:space="0" w:color="auto"/>
              <w:right w:val="single" w:sz="4" w:space="0" w:color="auto"/>
            </w:tcBorders>
          </w:tcPr>
          <w:p w14:paraId="06E7F5FA" w14:textId="0405B846" w:rsidR="004A4FA5" w:rsidRPr="00657163" w:rsidRDefault="004A4FA5" w:rsidP="00AB0384">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hideMark/>
          </w:tcPr>
          <w:p w14:paraId="0BD41DE4"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The treatment must be the sole PBS-subsidised therapy for this condition.</w:t>
            </w:r>
          </w:p>
        </w:tc>
      </w:tr>
      <w:tr w:rsidR="004A4FA5" w:rsidRPr="00657163" w14:paraId="5A94EAA7" w14:textId="77777777" w:rsidTr="00AB0384">
        <w:tc>
          <w:tcPr>
            <w:tcW w:w="700" w:type="pct"/>
            <w:tcBorders>
              <w:top w:val="single" w:sz="4" w:space="0" w:color="auto"/>
              <w:left w:val="single" w:sz="4" w:space="0" w:color="auto"/>
              <w:bottom w:val="single" w:sz="4" w:space="0" w:color="auto"/>
              <w:right w:val="single" w:sz="4" w:space="0" w:color="auto"/>
            </w:tcBorders>
          </w:tcPr>
          <w:p w14:paraId="754BB96D" w14:textId="6A7B10B2" w:rsidR="004A4FA5" w:rsidRPr="00657163" w:rsidRDefault="004A4FA5" w:rsidP="00AB0384">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tcPr>
          <w:p w14:paraId="75158EFE"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Prescribing instructions</w:t>
            </w:r>
          </w:p>
          <w:p w14:paraId="571BA4FA" w14:textId="77777777" w:rsidR="004A4FA5" w:rsidRPr="00657163" w:rsidRDefault="004A4FA5" w:rsidP="00AB0384">
            <w:pPr>
              <w:rPr>
                <w:rFonts w:ascii="Arial Narrow" w:hAnsi="Arial Narrow"/>
                <w:sz w:val="20"/>
                <w:szCs w:val="20"/>
              </w:rPr>
            </w:pPr>
            <w:r w:rsidRPr="00657163">
              <w:rPr>
                <w:rFonts w:ascii="Arial Narrow" w:hAnsi="Arial Narrow"/>
                <w:sz w:val="20"/>
                <w:szCs w:val="20"/>
              </w:rPr>
              <w:t>A patient may qualify for PBS-subsidised treatment under this restriction once only. For continuing PBS-subsidised treatment, a Grandfathered patient must qualify under the 'Continuing treatment' criteria.</w:t>
            </w:r>
          </w:p>
        </w:tc>
      </w:tr>
      <w:tr w:rsidR="004A4FA5" w:rsidRPr="00657163" w14:paraId="58DDCB1F" w14:textId="77777777" w:rsidTr="00AB0384">
        <w:tc>
          <w:tcPr>
            <w:tcW w:w="700" w:type="pct"/>
            <w:tcBorders>
              <w:top w:val="single" w:sz="4" w:space="0" w:color="auto"/>
              <w:left w:val="single" w:sz="4" w:space="0" w:color="auto"/>
              <w:bottom w:val="single" w:sz="4" w:space="0" w:color="auto"/>
              <w:right w:val="single" w:sz="4" w:space="0" w:color="auto"/>
            </w:tcBorders>
          </w:tcPr>
          <w:p w14:paraId="1DFAEEB9" w14:textId="0E3C7082" w:rsidR="004A4FA5" w:rsidRPr="00657163" w:rsidRDefault="004A4FA5" w:rsidP="00AB0384">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tcPr>
          <w:p w14:paraId="3EA4F1D2" w14:textId="77777777" w:rsidR="004A4FA5" w:rsidRPr="00657163" w:rsidRDefault="004A4FA5" w:rsidP="00AB0384">
            <w:pPr>
              <w:rPr>
                <w:rFonts w:ascii="Arial Narrow" w:hAnsi="Arial Narrow"/>
                <w:b/>
                <w:bCs/>
                <w:sz w:val="20"/>
                <w:szCs w:val="20"/>
              </w:rPr>
            </w:pPr>
            <w:r w:rsidRPr="00657163">
              <w:rPr>
                <w:rFonts w:ascii="Arial Narrow" w:hAnsi="Arial Narrow"/>
                <w:b/>
                <w:bCs/>
                <w:sz w:val="20"/>
                <w:szCs w:val="20"/>
              </w:rPr>
              <w:t xml:space="preserve">Administrative advice: </w:t>
            </w:r>
            <w:r w:rsidRPr="00657163">
              <w:rPr>
                <w:rFonts w:ascii="Arial Narrow" w:hAnsi="Arial Narrow"/>
                <w:sz w:val="20"/>
                <w:szCs w:val="20"/>
              </w:rPr>
              <w:t>This grandfather restriction will cease to operate from 12 months after the date specified in the clinical criteria.</w:t>
            </w:r>
          </w:p>
        </w:tc>
      </w:tr>
    </w:tbl>
    <w:p w14:paraId="552810A6" w14:textId="77777777" w:rsidR="007A57F4" w:rsidRDefault="007A57F4" w:rsidP="007A57F4"/>
    <w:p w14:paraId="7D139887" w14:textId="4B248085" w:rsidR="007A57F4" w:rsidRDefault="007A57F4" w:rsidP="007A57F4">
      <w:pPr>
        <w:pStyle w:val="3-BodyText"/>
      </w:pPr>
      <w:r w:rsidRPr="000F17FC">
        <w:t xml:space="preserve">The submission proposed a special pricing arrangement (SPA) and stated that the effective price was to offer a </w:t>
      </w:r>
      <w:proofErr w:type="gramStart"/>
      <w:r w:rsidR="00C828EC" w:rsidRPr="00F06F14">
        <w:rPr>
          <w:color w:val="000000"/>
          <w:w w:val="15"/>
          <w:shd w:val="solid" w:color="000000" w:fill="000000"/>
          <w:fitText w:val="-20" w:id="-1502409472"/>
          <w14:textFill>
            <w14:solidFill>
              <w14:srgbClr w14:val="000000">
                <w14:alpha w14:val="100000"/>
              </w14:srgbClr>
            </w14:solidFill>
          </w14:textFill>
        </w:rPr>
        <w:t xml:space="preserve">|  </w:t>
      </w:r>
      <w:r w:rsidR="00C828EC" w:rsidRPr="00F06F14">
        <w:rPr>
          <w:color w:val="000000"/>
          <w:spacing w:val="-69"/>
          <w:w w:val="15"/>
          <w:shd w:val="solid" w:color="000000" w:fill="000000"/>
          <w:fitText w:val="-20" w:id="-1502409472"/>
          <w14:textFill>
            <w14:solidFill>
              <w14:srgbClr w14:val="000000">
                <w14:alpha w14:val="100000"/>
              </w14:srgbClr>
            </w14:solidFill>
          </w14:textFill>
        </w:rPr>
        <w:t>|</w:t>
      </w:r>
      <w:proofErr w:type="gramEnd"/>
      <w:r w:rsidRPr="000F17FC">
        <w:t xml:space="preserve">% rebate on government expenditure on </w:t>
      </w:r>
      <w:proofErr w:type="spellStart"/>
      <w:r w:rsidR="007679F6">
        <w:t>enfortumab</w:t>
      </w:r>
      <w:proofErr w:type="spellEnd"/>
      <w:r w:rsidR="007679F6">
        <w:t xml:space="preserve"> </w:t>
      </w:r>
      <w:proofErr w:type="spellStart"/>
      <w:r w:rsidR="007679F6">
        <w:t>vedotin</w:t>
      </w:r>
      <w:proofErr w:type="spellEnd"/>
      <w:r w:rsidR="00AA2904">
        <w:t>. The proposed ex-manufacturer prices of a 30mg vial are $1,413.09 (published) and $</w:t>
      </w:r>
      <w:proofErr w:type="gramStart"/>
      <w:r w:rsidR="00C828EC" w:rsidRPr="00F06F14">
        <w:rPr>
          <w:color w:val="000000"/>
          <w:w w:val="15"/>
          <w:shd w:val="solid" w:color="000000" w:fill="000000"/>
          <w:fitText w:val="-20" w:id="-1502409471"/>
          <w14:textFill>
            <w14:solidFill>
              <w14:srgbClr w14:val="000000">
                <w14:alpha w14:val="100000"/>
              </w14:srgbClr>
            </w14:solidFill>
          </w14:textFill>
        </w:rPr>
        <w:t xml:space="preserve">|  </w:t>
      </w:r>
      <w:r w:rsidR="00C828EC" w:rsidRPr="00F06F14">
        <w:rPr>
          <w:color w:val="000000"/>
          <w:spacing w:val="-69"/>
          <w:w w:val="15"/>
          <w:shd w:val="solid" w:color="000000" w:fill="000000"/>
          <w:fitText w:val="-20" w:id="-1502409471"/>
          <w14:textFill>
            <w14:solidFill>
              <w14:srgbClr w14:val="000000">
                <w14:alpha w14:val="100000"/>
              </w14:srgbClr>
            </w14:solidFill>
          </w14:textFill>
        </w:rPr>
        <w:t>|</w:t>
      </w:r>
      <w:proofErr w:type="gramEnd"/>
      <w:r w:rsidR="00AA2904">
        <w:t xml:space="preserve"> (effective)</w:t>
      </w:r>
      <w:r w:rsidR="007814F8">
        <w:t>.</w:t>
      </w:r>
      <w:r w:rsidRPr="000F17FC">
        <w:t xml:space="preserve"> </w:t>
      </w:r>
    </w:p>
    <w:p w14:paraId="63219C5C" w14:textId="369657DC" w:rsidR="00C72BBD" w:rsidRDefault="00C72BBD" w:rsidP="007A57F4">
      <w:pPr>
        <w:pStyle w:val="3-BodyText"/>
      </w:pPr>
      <w:r>
        <w:t xml:space="preserve">The PBAC considered the requested Authority Required (Streamlined) listing was appropriate as the risk of use outside of the proposed population was low given the toxicity profile of </w:t>
      </w:r>
      <w:proofErr w:type="spellStart"/>
      <w:r>
        <w:t>enfortumab</w:t>
      </w:r>
      <w:proofErr w:type="spellEnd"/>
      <w:r>
        <w:t xml:space="preserve"> </w:t>
      </w:r>
      <w:proofErr w:type="spellStart"/>
      <w:r>
        <w:t>vedotin</w:t>
      </w:r>
      <w:proofErr w:type="spellEnd"/>
      <w:r>
        <w:t xml:space="preserve">. </w:t>
      </w:r>
    </w:p>
    <w:p w14:paraId="2B81F42C" w14:textId="64A9CEAC" w:rsidR="00C72BBD" w:rsidRDefault="007A57F4" w:rsidP="00C72BBD">
      <w:pPr>
        <w:pStyle w:val="3-BodyText"/>
      </w:pPr>
      <w:r w:rsidRPr="00BC77AB">
        <w:t xml:space="preserve">The proposed restrictions were consistent with the selection criteria in the key trial EV-301, and narrower than the draft TGA indication, as the proposed PBS listing does not permit use in patients who have not previously been treated with platinum-containing chemotherapy. </w:t>
      </w:r>
      <w:r w:rsidR="003D3E8A" w:rsidRPr="00BC77AB">
        <w:t xml:space="preserve">The </w:t>
      </w:r>
      <w:r w:rsidR="00C72BBD">
        <w:t>PBAC</w:t>
      </w:r>
      <w:r w:rsidR="003D3E8A" w:rsidRPr="00BC77AB">
        <w:t xml:space="preserve"> </w:t>
      </w:r>
      <w:r w:rsidR="00C72BBD">
        <w:t>considered</w:t>
      </w:r>
      <w:r w:rsidR="003D3E8A" w:rsidRPr="00BC77AB">
        <w:t xml:space="preserve"> the requirement for patients to have a WHO performance status (PS) of 0 or 1 at the time of initiating treatment was </w:t>
      </w:r>
      <w:r w:rsidR="00C72BBD">
        <w:t xml:space="preserve">appropriate and noted it was </w:t>
      </w:r>
      <w:r w:rsidR="003D3E8A" w:rsidRPr="00BC77AB">
        <w:t>consistent with the EV-301 trial.</w:t>
      </w:r>
      <w:r w:rsidR="003D3E8A" w:rsidRPr="00C72BBD">
        <w:t xml:space="preserve"> </w:t>
      </w:r>
    </w:p>
    <w:p w14:paraId="3381154D" w14:textId="0BEF18F7" w:rsidR="00C72BBD" w:rsidRDefault="007379DE" w:rsidP="00C72BBD">
      <w:pPr>
        <w:pStyle w:val="3-BodyText"/>
      </w:pPr>
      <w:r>
        <w:t>The PBAC noted that, a</w:t>
      </w:r>
      <w:r w:rsidR="00C72BBD" w:rsidRPr="00B54500">
        <w:t xml:space="preserve">s progression following prior PD-(L)1 inhibitor treatment is a requirement in the proposed listing, patients who have received pembrolizumab must have already satisfied the restrictions surrounding prior platinum-containing chemotherapy. For patients who receive prior avelumab, </w:t>
      </w:r>
      <w:proofErr w:type="gramStart"/>
      <w:r w:rsidR="00C72BBD" w:rsidRPr="00B54500">
        <w:t>by definition they</w:t>
      </w:r>
      <w:proofErr w:type="gramEnd"/>
      <w:r w:rsidR="00C72BBD" w:rsidRPr="00B54500">
        <w:t xml:space="preserve"> must not have progressed on platinum-containing chemotherapy.</w:t>
      </w:r>
      <w:r w:rsidR="00C72BBD">
        <w:t xml:space="preserve"> An </w:t>
      </w:r>
      <w:proofErr w:type="gramStart"/>
      <w:r w:rsidR="00C72BBD">
        <w:t>inclusion criteria</w:t>
      </w:r>
      <w:proofErr w:type="gramEnd"/>
      <w:r w:rsidR="00C72BBD">
        <w:t xml:space="preserve"> of the EV-301 trial was a requirement for patients to have received p</w:t>
      </w:r>
      <w:r w:rsidR="00C72BBD" w:rsidRPr="00287B9A">
        <w:t>rior platinum-containing (cisplatin or carboplatin) chemotherapy in the metastatic or locally advanced, adjuvant or neoadjuvant setting</w:t>
      </w:r>
      <w:r w:rsidR="00C72BBD">
        <w:t xml:space="preserve">. </w:t>
      </w:r>
      <w:r>
        <w:t>As such, t</w:t>
      </w:r>
      <w:r w:rsidR="00C72BBD">
        <w:t>he PBAC consider</w:t>
      </w:r>
      <w:r>
        <w:t xml:space="preserve">ed it appropriate that </w:t>
      </w:r>
      <w:r w:rsidR="00C72BBD">
        <w:t xml:space="preserve">a clinical criterion </w:t>
      </w:r>
      <w:proofErr w:type="gramStart"/>
      <w:r w:rsidR="00C72BBD">
        <w:t>stating</w:t>
      </w:r>
      <w:proofErr w:type="gramEnd"/>
      <w:r w:rsidR="00C72BBD">
        <w:t xml:space="preserve"> ‘</w:t>
      </w:r>
      <w:r w:rsidR="00C72BBD" w:rsidRPr="00287B9A">
        <w:t>Patient must have received platinum-based chemotherapy</w:t>
      </w:r>
      <w:r w:rsidR="00C72BBD">
        <w:t>’</w:t>
      </w:r>
      <w:r w:rsidR="005F5F4E">
        <w:t>,</w:t>
      </w:r>
      <w:r w:rsidR="00C72BBD">
        <w:t xml:space="preserve"> replace the following clinical criteria in the initial treatment restriction and it’s equivalent in the grandfathering restriction: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6"/>
      </w:tblGrid>
      <w:tr w:rsidR="00C72BBD" w:rsidRPr="00234F7B" w14:paraId="7A924F73" w14:textId="77777777" w:rsidTr="00AB0384">
        <w:tc>
          <w:tcPr>
            <w:tcW w:w="1271" w:type="dxa"/>
          </w:tcPr>
          <w:p w14:paraId="7A1AF23A" w14:textId="1FC213A8" w:rsidR="00C72BBD" w:rsidRPr="00234F7B" w:rsidRDefault="00C72BBD" w:rsidP="00EC7D63">
            <w:pPr>
              <w:keepNext/>
              <w:rPr>
                <w:rFonts w:ascii="Arial Narrow" w:hAnsi="Arial Narrow"/>
                <w:sz w:val="20"/>
                <w:szCs w:val="20"/>
              </w:rPr>
            </w:pPr>
          </w:p>
        </w:tc>
        <w:tc>
          <w:tcPr>
            <w:tcW w:w="7796" w:type="dxa"/>
            <w:vAlign w:val="center"/>
            <w:hideMark/>
          </w:tcPr>
          <w:p w14:paraId="76CB914E" w14:textId="77777777" w:rsidR="00C72BBD" w:rsidRPr="00234F7B" w:rsidRDefault="00C72BBD" w:rsidP="00EC7D63">
            <w:pPr>
              <w:keepNext/>
              <w:rPr>
                <w:rFonts w:ascii="Arial Narrow" w:hAnsi="Arial Narrow"/>
                <w:sz w:val="20"/>
                <w:szCs w:val="20"/>
              </w:rPr>
            </w:pPr>
            <w:r w:rsidRPr="00234F7B">
              <w:rPr>
                <w:rFonts w:ascii="Arial Narrow" w:hAnsi="Arial Narrow"/>
                <w:b/>
                <w:bCs/>
                <w:sz w:val="20"/>
                <w:szCs w:val="20"/>
              </w:rPr>
              <w:t>Clinical criteria:</w:t>
            </w:r>
          </w:p>
        </w:tc>
      </w:tr>
      <w:tr w:rsidR="00C72BBD" w:rsidRPr="00234F7B" w14:paraId="271942F0" w14:textId="77777777" w:rsidTr="00AB0384">
        <w:tc>
          <w:tcPr>
            <w:tcW w:w="1271" w:type="dxa"/>
          </w:tcPr>
          <w:p w14:paraId="59FEE131" w14:textId="7378D345" w:rsidR="00C72BBD" w:rsidRPr="00234F7B" w:rsidRDefault="00C72BBD" w:rsidP="00EC7D63">
            <w:pPr>
              <w:keepNext/>
              <w:rPr>
                <w:rFonts w:ascii="Arial Narrow" w:hAnsi="Arial Narrow"/>
                <w:sz w:val="20"/>
                <w:szCs w:val="20"/>
              </w:rPr>
            </w:pPr>
          </w:p>
        </w:tc>
        <w:tc>
          <w:tcPr>
            <w:tcW w:w="7796" w:type="dxa"/>
            <w:vAlign w:val="center"/>
          </w:tcPr>
          <w:p w14:paraId="2211FCBA" w14:textId="77777777" w:rsidR="00C72BBD" w:rsidRPr="00234F7B" w:rsidRDefault="00C72BBD" w:rsidP="00EC7D63">
            <w:pPr>
              <w:keepNext/>
              <w:rPr>
                <w:rFonts w:ascii="Arial Narrow" w:hAnsi="Arial Narrow"/>
                <w:sz w:val="20"/>
                <w:szCs w:val="20"/>
              </w:rPr>
            </w:pPr>
            <w:r w:rsidRPr="00234F7B">
              <w:rPr>
                <w:rFonts w:ascii="Arial Narrow" w:hAnsi="Arial Narrow"/>
                <w:sz w:val="20"/>
                <w:szCs w:val="20"/>
              </w:rPr>
              <w:t>The condition must have progressed on or after prior platinum-containing chemotherapy; OR</w:t>
            </w:r>
          </w:p>
        </w:tc>
      </w:tr>
      <w:tr w:rsidR="00C72BBD" w:rsidRPr="00234F7B" w14:paraId="0C9A47F7" w14:textId="77777777" w:rsidTr="00AB0384">
        <w:tc>
          <w:tcPr>
            <w:tcW w:w="1271" w:type="dxa"/>
          </w:tcPr>
          <w:p w14:paraId="0F29C316" w14:textId="7D4DE397" w:rsidR="00C72BBD" w:rsidRPr="00234F7B" w:rsidRDefault="00C72BBD" w:rsidP="00EC7D63">
            <w:pPr>
              <w:keepNext/>
              <w:rPr>
                <w:rFonts w:ascii="Arial Narrow" w:hAnsi="Arial Narrow"/>
                <w:sz w:val="20"/>
                <w:szCs w:val="20"/>
              </w:rPr>
            </w:pPr>
          </w:p>
        </w:tc>
        <w:tc>
          <w:tcPr>
            <w:tcW w:w="7796" w:type="dxa"/>
            <w:vAlign w:val="center"/>
          </w:tcPr>
          <w:p w14:paraId="502DEAEC" w14:textId="77777777" w:rsidR="00C72BBD" w:rsidRPr="00234F7B" w:rsidRDefault="00C72BBD" w:rsidP="00EC7D63">
            <w:pPr>
              <w:keepNext/>
              <w:rPr>
                <w:rFonts w:ascii="Arial Narrow" w:hAnsi="Arial Narrow"/>
                <w:sz w:val="20"/>
                <w:szCs w:val="20"/>
              </w:rPr>
            </w:pPr>
            <w:r w:rsidRPr="00234F7B">
              <w:rPr>
                <w:rFonts w:ascii="Arial Narrow" w:hAnsi="Arial Narrow"/>
                <w:sz w:val="20"/>
                <w:szCs w:val="20"/>
              </w:rPr>
              <w:t>The condition must have progressed on or within 12 months of completion of adjuvant platinum-containing chemotherapy following cystectomy for localised muscle-invasive urothelial cancer; OR</w:t>
            </w:r>
          </w:p>
        </w:tc>
      </w:tr>
      <w:tr w:rsidR="00C72BBD" w:rsidRPr="00234F7B" w14:paraId="63905A67" w14:textId="77777777" w:rsidTr="00AB0384">
        <w:tc>
          <w:tcPr>
            <w:tcW w:w="1271" w:type="dxa"/>
          </w:tcPr>
          <w:p w14:paraId="15C7753F" w14:textId="30211CDB" w:rsidR="00C72BBD" w:rsidRPr="00234F7B" w:rsidRDefault="00C72BBD" w:rsidP="00EC7D63">
            <w:pPr>
              <w:keepNext/>
              <w:rPr>
                <w:rFonts w:ascii="Arial Narrow" w:hAnsi="Arial Narrow"/>
                <w:sz w:val="20"/>
                <w:szCs w:val="20"/>
              </w:rPr>
            </w:pPr>
          </w:p>
        </w:tc>
        <w:tc>
          <w:tcPr>
            <w:tcW w:w="7796" w:type="dxa"/>
            <w:vAlign w:val="center"/>
            <w:hideMark/>
          </w:tcPr>
          <w:p w14:paraId="1FE9B34D" w14:textId="77777777" w:rsidR="00C72BBD" w:rsidRPr="00234F7B" w:rsidRDefault="00C72BBD" w:rsidP="00EC7D63">
            <w:pPr>
              <w:keepNext/>
              <w:rPr>
                <w:rFonts w:ascii="Arial Narrow" w:hAnsi="Arial Narrow"/>
                <w:sz w:val="20"/>
                <w:szCs w:val="20"/>
              </w:rPr>
            </w:pPr>
            <w:r w:rsidRPr="00234F7B">
              <w:rPr>
                <w:rFonts w:ascii="Arial Narrow" w:hAnsi="Arial Narrow"/>
                <w:sz w:val="20"/>
                <w:szCs w:val="20"/>
              </w:rPr>
              <w:t>The condition must have progressed on or within 12 months of completion of neoadjuvant platinum-containing chemotherapy prior to cystectomy for localised muscle-invasive urothelial cancer,</w:t>
            </w:r>
          </w:p>
        </w:tc>
      </w:tr>
    </w:tbl>
    <w:p w14:paraId="4C4E7556" w14:textId="4AEECEA9" w:rsidR="00C72BBD" w:rsidRDefault="00C72BBD" w:rsidP="00F06F14">
      <w:pPr>
        <w:pStyle w:val="3-BodyText"/>
        <w:numPr>
          <w:ilvl w:val="0"/>
          <w:numId w:val="0"/>
        </w:numPr>
        <w:spacing w:after="0"/>
      </w:pPr>
    </w:p>
    <w:p w14:paraId="47C9CB81" w14:textId="77777777" w:rsidR="005C425E" w:rsidRDefault="005C425E" w:rsidP="005C425E">
      <w:pPr>
        <w:pStyle w:val="3-BodyText"/>
      </w:pPr>
      <w:r>
        <w:t>The PBAC considered the inclusion of a grandfathering restriction was appropriate.</w:t>
      </w:r>
      <w:r w:rsidRPr="00A05B02">
        <w:t xml:space="preserve"> </w:t>
      </w:r>
    </w:p>
    <w:p w14:paraId="2F6DD570" w14:textId="7338094D" w:rsidR="00AD0866" w:rsidRPr="00C72BBD" w:rsidRDefault="00AD0866" w:rsidP="00C72BBD">
      <w:pPr>
        <w:pStyle w:val="3-BodyText"/>
        <w:numPr>
          <w:ilvl w:val="0"/>
          <w:numId w:val="0"/>
        </w:numPr>
        <w:ind w:left="720"/>
        <w:rPr>
          <w:i/>
          <w:iCs/>
        </w:rPr>
      </w:pPr>
      <w:r w:rsidRPr="00C72BBD">
        <w:rPr>
          <w:i/>
          <w:iCs/>
        </w:rPr>
        <w:t>For more detail on PBAC’s view, see section 7 PBAC outcome.</w:t>
      </w:r>
    </w:p>
    <w:p w14:paraId="1D3CBD13" w14:textId="77777777" w:rsidR="007A57F4" w:rsidRPr="00407F2D" w:rsidRDefault="007A57F4" w:rsidP="007A57F4">
      <w:pPr>
        <w:pStyle w:val="2-SectionHeading"/>
      </w:pPr>
      <w:bookmarkStart w:id="6" w:name="_Toc93491256"/>
      <w:r>
        <w:t>Population and disease</w:t>
      </w:r>
      <w:bookmarkEnd w:id="6"/>
    </w:p>
    <w:p w14:paraId="3E2E347B" w14:textId="26C71D75" w:rsidR="007A57F4" w:rsidRDefault="007A57F4" w:rsidP="007A57F4">
      <w:pPr>
        <w:pStyle w:val="3-BodyText"/>
      </w:pPr>
      <w:r w:rsidRPr="000B42DD">
        <w:t xml:space="preserve">Urothelial cancer (formerly transitional cell cancer) originates in the urothelial cells, which line the bladder, urethra, </w:t>
      </w:r>
      <w:proofErr w:type="gramStart"/>
      <w:r w:rsidRPr="000B42DD">
        <w:t>ureters</w:t>
      </w:r>
      <w:proofErr w:type="gramEnd"/>
      <w:r w:rsidRPr="000B42DD">
        <w:t xml:space="preserve"> and renal pelvis. Urothelial cancer is the predominant histologic type of bladder cancer in Western countries, account</w:t>
      </w:r>
      <w:r w:rsidR="00DB5CFB">
        <w:t>ing</w:t>
      </w:r>
      <w:r w:rsidRPr="000B42DD">
        <w:t xml:space="preserve"> for approximately 90% of all bladder cancers. Approximately 25% of patients with bladder cancer present with or develop metastatic disease.</w:t>
      </w:r>
    </w:p>
    <w:p w14:paraId="0DA01D77" w14:textId="315A160C" w:rsidR="007A57F4" w:rsidRPr="00A25DCB" w:rsidRDefault="007A57F4" w:rsidP="007A57F4">
      <w:pPr>
        <w:pStyle w:val="3-BodyText"/>
      </w:pPr>
      <w:r w:rsidRPr="008847E1">
        <w:t>Systemic chemotherapy is the standard of care for the initial treatment of patients with inoperable locally advanced or metastatic urothelial malignancies</w:t>
      </w:r>
      <w:r>
        <w:t xml:space="preserve"> (la/</w:t>
      </w:r>
      <w:proofErr w:type="spellStart"/>
      <w:r>
        <w:t>mUC</w:t>
      </w:r>
      <w:proofErr w:type="spellEnd"/>
      <w:r>
        <w:t>)</w:t>
      </w:r>
      <w:r w:rsidRPr="008847E1">
        <w:t>.</w:t>
      </w:r>
      <w:r>
        <w:t xml:space="preserve"> </w:t>
      </w:r>
      <w:r w:rsidRPr="008847E1">
        <w:t>Median survival after initiation of a platinum-containing chemotherapy regimen in the absence of maintenance treatment is approximately 15 months</w:t>
      </w:r>
      <w:r>
        <w:t xml:space="preserve">. </w:t>
      </w:r>
      <w:r w:rsidRPr="008847E1">
        <w:t>In March 2021, the PBAC recommended the PBS listing of avelumab, a PD-L1 inhibitor, as a maintenance treatment for patients who did not have progression of disease after administration of a course of first-line platinum-containing chemotherapy for la/</w:t>
      </w:r>
      <w:proofErr w:type="spellStart"/>
      <w:r w:rsidRPr="008847E1">
        <w:t>mUC</w:t>
      </w:r>
      <w:proofErr w:type="spellEnd"/>
      <w:r w:rsidRPr="008847E1">
        <w:t>. Median survival after initiation of maintenance therapy with avelumab following a platinum-containing chemotherapy regimen is approximately 21 months</w:t>
      </w:r>
      <w:r w:rsidR="004A5D50">
        <w:rPr>
          <w:rStyle w:val="FootnoteReference"/>
        </w:rPr>
        <w:footnoteReference w:id="1"/>
      </w:r>
      <w:r>
        <w:t>.</w:t>
      </w:r>
      <w:r w:rsidR="00E07624">
        <w:t xml:space="preserve"> </w:t>
      </w:r>
      <w:r w:rsidR="00E07624" w:rsidRPr="00A25DCB">
        <w:t>The ESC considered the overall survival of the comparator best supportive care (BSC) arm of the JAVELIN Bladder 100</w:t>
      </w:r>
      <w:r w:rsidR="007E0442" w:rsidRPr="00A25DCB">
        <w:t xml:space="preserve"> (avelumab)</w:t>
      </w:r>
      <w:r w:rsidR="00E07624" w:rsidRPr="00A25DCB">
        <w:t xml:space="preserve"> trial was likely underestimated due to a lower proportion of patients receiving subsequent treatment with a PD-1/PD-L1 inhibitor than would be expected in the Australian setting; 61% of patients in the BSC arm who had disease progression received a PD-1/PD-L1 inhibitor, compared to an anticipated 80% in Australian clinical practice. As such, the ESC considered the overall survival results were uncertain and favoured avelumab (para 6.13 and 6.16, avelumab </w:t>
      </w:r>
      <w:r w:rsidR="00A97113">
        <w:t>Public Summary Document (</w:t>
      </w:r>
      <w:r w:rsidR="00E07624" w:rsidRPr="00A25DCB">
        <w:t>PSD</w:t>
      </w:r>
      <w:r w:rsidR="00A97113">
        <w:t>)</w:t>
      </w:r>
      <w:r w:rsidR="00E07624" w:rsidRPr="00A25DCB">
        <w:t>, March 2021 PBAC meeting).</w:t>
      </w:r>
    </w:p>
    <w:p w14:paraId="52971C58" w14:textId="54D7CB67" w:rsidR="007A57F4" w:rsidRDefault="007A57F4" w:rsidP="00AA2904">
      <w:pPr>
        <w:pStyle w:val="3-BodyText"/>
      </w:pPr>
      <w:r w:rsidRPr="008847E1">
        <w:t>Pembrolizumab, a PD-1 inhibitor, is TGA-registered and PBS-listed for use in patients with la/</w:t>
      </w:r>
      <w:proofErr w:type="spellStart"/>
      <w:r w:rsidRPr="008847E1">
        <w:t>mUC</w:t>
      </w:r>
      <w:proofErr w:type="spellEnd"/>
      <w:r w:rsidRPr="008847E1">
        <w:t xml:space="preserve"> who have progressed during or after platinum-containing therapy. Median survival after initiation of treatment with pembrolizumab is approximately 10 months</w:t>
      </w:r>
      <w:r w:rsidR="00B350FE">
        <w:rPr>
          <w:rStyle w:val="FootnoteReference"/>
        </w:rPr>
        <w:footnoteReference w:id="2"/>
      </w:r>
      <w:r>
        <w:t>.</w:t>
      </w:r>
      <w:r w:rsidR="006B32FD">
        <w:t xml:space="preserve"> </w:t>
      </w:r>
    </w:p>
    <w:p w14:paraId="0A274C11" w14:textId="1AB82678" w:rsidR="007A57F4" w:rsidRDefault="007A57F4" w:rsidP="007A57F4">
      <w:pPr>
        <w:pStyle w:val="3-BodyText"/>
      </w:pPr>
      <w:r w:rsidRPr="008847E1">
        <w:t xml:space="preserve">Following progression with PD-(L)1 </w:t>
      </w:r>
      <w:proofErr w:type="gramStart"/>
      <w:r w:rsidRPr="008847E1">
        <w:t>inhibitors</w:t>
      </w:r>
      <w:proofErr w:type="gramEnd"/>
      <w:r w:rsidRPr="008847E1">
        <w:t>, the general approach to management involves the administration of single-agent chemotherapy, e.g., docetaxel or paclitaxel.</w:t>
      </w:r>
    </w:p>
    <w:p w14:paraId="209DD177" w14:textId="2877E655" w:rsidR="007A57F4" w:rsidRPr="0070260D" w:rsidRDefault="007A57F4" w:rsidP="007A57F4">
      <w:pPr>
        <w:pStyle w:val="3-BodyText"/>
      </w:pPr>
      <w:r>
        <w:t xml:space="preserve">The submission proposed </w:t>
      </w:r>
      <w:proofErr w:type="spellStart"/>
      <w:r w:rsidR="007679F6">
        <w:t>enfortumab</w:t>
      </w:r>
      <w:proofErr w:type="spellEnd"/>
      <w:r w:rsidR="007679F6">
        <w:t xml:space="preserve"> </w:t>
      </w:r>
      <w:proofErr w:type="spellStart"/>
      <w:r w:rsidR="007679F6">
        <w:t>vedotin</w:t>
      </w:r>
      <w:proofErr w:type="spellEnd"/>
      <w:r>
        <w:t xml:space="preserve"> as an alternative to single agent docetaxel or paclitaxel for the la/</w:t>
      </w:r>
      <w:proofErr w:type="spellStart"/>
      <w:r>
        <w:t>mUC</w:t>
      </w:r>
      <w:proofErr w:type="spellEnd"/>
      <w:r>
        <w:t xml:space="preserve"> patients who have </w:t>
      </w:r>
      <w:r w:rsidRPr="00460AD0">
        <w:t xml:space="preserve">progressed on or after a platinum-containing chemotherapy regimen and either a </w:t>
      </w:r>
      <w:r>
        <w:t>PD-1</w:t>
      </w:r>
      <w:r w:rsidRPr="00460AD0">
        <w:t xml:space="preserve"> inhibitor or a </w:t>
      </w:r>
      <w:r>
        <w:t>PD-L1</w:t>
      </w:r>
      <w:r w:rsidRPr="00460AD0">
        <w:t xml:space="preserve"> inhibitor</w:t>
      </w:r>
      <w:r>
        <w:t>.</w:t>
      </w:r>
      <w:r w:rsidR="00851480">
        <w:t xml:space="preserve"> </w:t>
      </w:r>
      <w:r w:rsidR="00851480" w:rsidRPr="0070260D">
        <w:t xml:space="preserve">The </w:t>
      </w:r>
      <w:r w:rsidR="004A472F">
        <w:t xml:space="preserve">PBAC agreed with the </w:t>
      </w:r>
      <w:r w:rsidR="00851480" w:rsidRPr="0070260D">
        <w:t xml:space="preserve">ESC </w:t>
      </w:r>
      <w:r w:rsidR="004A472F">
        <w:t>that</w:t>
      </w:r>
      <w:r w:rsidR="00851480" w:rsidRPr="0070260D">
        <w:t xml:space="preserve"> the proposed place in therapy was reasonable. </w:t>
      </w:r>
    </w:p>
    <w:p w14:paraId="617978ED" w14:textId="37DB618F" w:rsidR="007A57F4" w:rsidRDefault="007679F6" w:rsidP="007A57F4">
      <w:pPr>
        <w:pStyle w:val="3-BodyText"/>
      </w:pPr>
      <w:proofErr w:type="spellStart"/>
      <w:r>
        <w:t>Enfortumab</w:t>
      </w:r>
      <w:proofErr w:type="spellEnd"/>
      <w:r>
        <w:t xml:space="preserve"> </w:t>
      </w:r>
      <w:proofErr w:type="spellStart"/>
      <w:r>
        <w:t>vedotin</w:t>
      </w:r>
      <w:proofErr w:type="spellEnd"/>
      <w:r w:rsidR="007A57F4" w:rsidRPr="0076597D">
        <w:t xml:space="preserve"> is a Nectin-4 directed antibody-drug conjugate comprising a fully human IgG1</w:t>
      </w:r>
      <w:r w:rsidR="007A57F4" w:rsidRPr="0076597D">
        <w:rPr>
          <w:vertAlign w:val="subscript"/>
        </w:rPr>
        <w:t>k</w:t>
      </w:r>
      <w:r w:rsidR="007A57F4" w:rsidRPr="0076597D">
        <w:t xml:space="preserve"> antibody conjugated to the microtubule-disrupting agent monomethyl auristatin E (MMAE) via a protease-cleavable linker. </w:t>
      </w:r>
      <w:proofErr w:type="spellStart"/>
      <w:r>
        <w:t>Enfortumab</w:t>
      </w:r>
      <w:proofErr w:type="spellEnd"/>
      <w:r>
        <w:t xml:space="preserve"> </w:t>
      </w:r>
      <w:proofErr w:type="spellStart"/>
      <w:r>
        <w:t>vedotin</w:t>
      </w:r>
      <w:proofErr w:type="spellEnd"/>
      <w:r w:rsidR="007A57F4" w:rsidRPr="0076597D">
        <w:t xml:space="preserve"> is thought to induce antitumour activity by binding to Nectin-4 protein on the surface of cancer cells, leading to internalisation, proteolytic cleavage of the linker and intracellular release of MMAE, which subsequently disrupts tubulin polymerisation and leads to mitotic arrest and apoptosis of the tumour cell. The underlying aim of therapy with </w:t>
      </w:r>
      <w:proofErr w:type="spellStart"/>
      <w:r>
        <w:t>enfortumab</w:t>
      </w:r>
      <w:proofErr w:type="spellEnd"/>
      <w:r>
        <w:t xml:space="preserve"> </w:t>
      </w:r>
      <w:proofErr w:type="spellStart"/>
      <w:r>
        <w:t>vedotin</w:t>
      </w:r>
      <w:proofErr w:type="spellEnd"/>
      <w:r w:rsidR="007A57F4" w:rsidRPr="0076597D">
        <w:t xml:space="preserve"> is to target delivery of the cytotoxic agent to cancer cells and to minimise exposure to normal tissue.</w:t>
      </w:r>
    </w:p>
    <w:p w14:paraId="0C210CDE" w14:textId="25585D3C" w:rsidR="007A57F4" w:rsidRDefault="007A57F4" w:rsidP="007A57F4">
      <w:pPr>
        <w:pStyle w:val="3-BodyText"/>
      </w:pPr>
      <w:r w:rsidRPr="0076597D">
        <w:t xml:space="preserve">The recommended dose of </w:t>
      </w:r>
      <w:proofErr w:type="spellStart"/>
      <w:r w:rsidR="007679F6">
        <w:t>enfortumab</w:t>
      </w:r>
      <w:proofErr w:type="spellEnd"/>
      <w:r w:rsidR="007679F6">
        <w:t xml:space="preserve"> </w:t>
      </w:r>
      <w:proofErr w:type="spellStart"/>
      <w:r w:rsidR="007679F6">
        <w:t>vedotin</w:t>
      </w:r>
      <w:proofErr w:type="spellEnd"/>
      <w:r w:rsidRPr="0076597D">
        <w:t xml:space="preserve"> is 1.25 mg/kg, up to a maximum of 125 mg for patients weighing ≥100 kg. It is administered as an intravenous (IV) infusion on Days 1, 8 and 15 of a 28-day cycle until disease progression or unacceptable toxicity.</w:t>
      </w:r>
    </w:p>
    <w:p w14:paraId="49FD8942" w14:textId="5C99B62F" w:rsidR="00AD0866" w:rsidRPr="00AD0866" w:rsidRDefault="00AD0866" w:rsidP="00AD0866">
      <w:pPr>
        <w:pStyle w:val="3-BodyText"/>
        <w:numPr>
          <w:ilvl w:val="0"/>
          <w:numId w:val="0"/>
        </w:numPr>
        <w:ind w:left="720"/>
        <w:rPr>
          <w:i/>
          <w:iCs/>
        </w:rPr>
      </w:pPr>
      <w:r w:rsidRPr="00AD0866">
        <w:rPr>
          <w:i/>
          <w:iCs/>
        </w:rPr>
        <w:t>For more detail on PBAC’s view, see section 7 PBAC outcome.</w:t>
      </w:r>
    </w:p>
    <w:p w14:paraId="6AF76249" w14:textId="77777777" w:rsidR="007A57F4" w:rsidRPr="00407F2D" w:rsidRDefault="007A57F4" w:rsidP="007A57F4">
      <w:pPr>
        <w:pStyle w:val="2-SectionHeading"/>
      </w:pPr>
      <w:bookmarkStart w:id="7" w:name="_Toc93491257"/>
      <w:r w:rsidRPr="00407F2D">
        <w:t>Comparator</w:t>
      </w:r>
      <w:bookmarkEnd w:id="7"/>
    </w:p>
    <w:p w14:paraId="2F8268DB" w14:textId="213E93C6" w:rsidR="007A57F4" w:rsidRPr="00AD0866" w:rsidRDefault="007A57F4" w:rsidP="007A57F4">
      <w:pPr>
        <w:pStyle w:val="3-BodyText"/>
        <w:rPr>
          <w:snapToGrid/>
          <w:lang w:val="en-US"/>
        </w:rPr>
      </w:pPr>
      <w:r w:rsidRPr="00FC5E11">
        <w:t xml:space="preserve">The submission nominated docetaxel or paclitaxel, administered as single agents, as the main comparators. </w:t>
      </w:r>
      <w:r w:rsidRPr="0070260D">
        <w:rPr>
          <w:iCs/>
          <w:snapToGrid/>
          <w:lang w:val="en-US"/>
        </w:rPr>
        <w:t xml:space="preserve">The </w:t>
      </w:r>
      <w:r w:rsidR="00851480" w:rsidRPr="0070260D">
        <w:rPr>
          <w:iCs/>
          <w:snapToGrid/>
          <w:lang w:val="en-US"/>
        </w:rPr>
        <w:t xml:space="preserve">ESC considered the </w:t>
      </w:r>
      <w:r w:rsidRPr="0070260D">
        <w:rPr>
          <w:iCs/>
          <w:snapToGrid/>
          <w:lang w:val="en-US"/>
        </w:rPr>
        <w:t>nominated comparator</w:t>
      </w:r>
      <w:r w:rsidR="00582AB0">
        <w:rPr>
          <w:iCs/>
          <w:snapToGrid/>
          <w:lang w:val="en-US"/>
        </w:rPr>
        <w:t>s</w:t>
      </w:r>
      <w:r w:rsidRPr="0070260D">
        <w:rPr>
          <w:iCs/>
          <w:snapToGrid/>
          <w:lang w:val="en-US"/>
        </w:rPr>
        <w:t xml:space="preserve"> </w:t>
      </w:r>
      <w:r w:rsidR="00290B29" w:rsidRPr="0070260D">
        <w:rPr>
          <w:iCs/>
          <w:snapToGrid/>
          <w:lang w:val="en-US"/>
        </w:rPr>
        <w:t>w</w:t>
      </w:r>
      <w:r w:rsidR="00582AB0">
        <w:rPr>
          <w:iCs/>
          <w:snapToGrid/>
          <w:lang w:val="en-US"/>
        </w:rPr>
        <w:t>ere</w:t>
      </w:r>
      <w:r w:rsidRPr="0070260D">
        <w:rPr>
          <w:iCs/>
          <w:snapToGrid/>
          <w:lang w:val="en-US"/>
        </w:rPr>
        <w:t xml:space="preserve"> appropriate. </w:t>
      </w:r>
      <w:r w:rsidRPr="0070260D">
        <w:rPr>
          <w:iCs/>
          <w:snapToGrid/>
        </w:rPr>
        <w:t>The</w:t>
      </w:r>
      <w:r w:rsidRPr="00FC5E11">
        <w:rPr>
          <w:snapToGrid/>
        </w:rPr>
        <w:t xml:space="preserve"> submission acknowledged that for some patients, these treatments may be displaced</w:t>
      </w:r>
      <w:r>
        <w:rPr>
          <w:snapToGrid/>
        </w:rPr>
        <w:t xml:space="preserve"> to </w:t>
      </w:r>
      <w:r w:rsidR="00B350FE">
        <w:rPr>
          <w:snapToGrid/>
        </w:rPr>
        <w:t xml:space="preserve">a </w:t>
      </w:r>
      <w:r>
        <w:rPr>
          <w:snapToGrid/>
        </w:rPr>
        <w:t>later line</w:t>
      </w:r>
      <w:r w:rsidRPr="00FC5E11">
        <w:rPr>
          <w:snapToGrid/>
        </w:rPr>
        <w:t>, not replaced.</w:t>
      </w:r>
    </w:p>
    <w:p w14:paraId="6368CD79" w14:textId="2DEC5AB9" w:rsidR="00AD0866" w:rsidRPr="00AD0866" w:rsidRDefault="00AD0866" w:rsidP="00AD0866">
      <w:pPr>
        <w:pStyle w:val="3-BodyText"/>
        <w:numPr>
          <w:ilvl w:val="0"/>
          <w:numId w:val="0"/>
        </w:numPr>
        <w:ind w:left="720"/>
        <w:rPr>
          <w:i/>
          <w:iCs/>
        </w:rPr>
      </w:pPr>
      <w:r w:rsidRPr="00AD0866">
        <w:rPr>
          <w:i/>
          <w:iCs/>
        </w:rPr>
        <w:t>For more detail on PBAC’s view, see section 7 PBAC outcome.</w:t>
      </w:r>
    </w:p>
    <w:p w14:paraId="38FD6769" w14:textId="1AE80AC3" w:rsidR="007A57F4" w:rsidRDefault="007A57F4" w:rsidP="007A57F4">
      <w:pPr>
        <w:pStyle w:val="2-SectionHeading"/>
      </w:pPr>
      <w:bookmarkStart w:id="8" w:name="_Toc93491258"/>
      <w:r>
        <w:t>C</w:t>
      </w:r>
      <w:r w:rsidRPr="00407F2D">
        <w:t>onsideration of the evidence</w:t>
      </w:r>
      <w:bookmarkEnd w:id="8"/>
    </w:p>
    <w:p w14:paraId="1843C738" w14:textId="77777777" w:rsidR="00AD0866" w:rsidRPr="006E1229" w:rsidRDefault="00AD0866" w:rsidP="00AD0866">
      <w:pPr>
        <w:pStyle w:val="4-SubsectionHeading"/>
      </w:pPr>
      <w:bookmarkStart w:id="9" w:name="_Hlk76375935"/>
      <w:r w:rsidRPr="006E1229">
        <w:t>Sponsor hearing</w:t>
      </w:r>
    </w:p>
    <w:p w14:paraId="27C8B144" w14:textId="3AFA2ADC" w:rsidR="00AD0866" w:rsidRPr="00F91542" w:rsidRDefault="00AD0866" w:rsidP="00AD0866">
      <w:pPr>
        <w:widowControl w:val="0"/>
        <w:numPr>
          <w:ilvl w:val="1"/>
          <w:numId w:val="1"/>
        </w:numPr>
        <w:spacing w:after="120"/>
        <w:rPr>
          <w:rFonts w:cs="Calibri"/>
          <w:bCs/>
          <w:snapToGrid w:val="0"/>
        </w:rPr>
      </w:pPr>
      <w:r w:rsidRPr="00F91542">
        <w:rPr>
          <w:rFonts w:cs="Calibri"/>
          <w:bCs/>
          <w:snapToGrid w:val="0"/>
        </w:rPr>
        <w:t>There was no hearing for this item.</w:t>
      </w:r>
    </w:p>
    <w:p w14:paraId="538FC8ED" w14:textId="2D45047E" w:rsidR="00AD0866" w:rsidRDefault="00AD0866" w:rsidP="00AD0866">
      <w:pPr>
        <w:pStyle w:val="4-SubsectionHeading"/>
      </w:pPr>
      <w:r w:rsidRPr="006E1229">
        <w:t>Consumer comments</w:t>
      </w:r>
    </w:p>
    <w:p w14:paraId="2521729D" w14:textId="0B930115" w:rsidR="004F371E" w:rsidRPr="00836F75" w:rsidRDefault="004F371E" w:rsidP="004F371E">
      <w:pPr>
        <w:widowControl w:val="0"/>
        <w:numPr>
          <w:ilvl w:val="1"/>
          <w:numId w:val="1"/>
        </w:numPr>
        <w:spacing w:after="120"/>
        <w:rPr>
          <w:rFonts w:asciiTheme="minorHAnsi" w:hAnsiTheme="minorHAnsi"/>
          <w:bCs/>
          <w:snapToGrid w:val="0"/>
        </w:rPr>
      </w:pPr>
      <w:bookmarkStart w:id="10" w:name="_Hlk76382618"/>
      <w:r w:rsidRPr="00836F75">
        <w:rPr>
          <w:rFonts w:asciiTheme="minorHAnsi" w:hAnsiTheme="minorHAnsi"/>
          <w:bCs/>
          <w:snapToGrid w:val="0"/>
        </w:rPr>
        <w:t>The PBAC noted and welcomed the input from individuals (</w:t>
      </w:r>
      <w:r>
        <w:rPr>
          <w:rFonts w:asciiTheme="minorHAnsi" w:hAnsiTheme="minorHAnsi"/>
          <w:bCs/>
          <w:snapToGrid w:val="0"/>
        </w:rPr>
        <w:t>1</w:t>
      </w:r>
      <w:r w:rsidRPr="00836F75">
        <w:rPr>
          <w:rFonts w:asciiTheme="minorHAnsi" w:hAnsiTheme="minorHAnsi"/>
          <w:bCs/>
          <w:snapToGrid w:val="0"/>
        </w:rPr>
        <w:t>) and organisations (</w:t>
      </w:r>
      <w:r>
        <w:rPr>
          <w:rFonts w:asciiTheme="minorHAnsi" w:hAnsiTheme="minorHAnsi"/>
          <w:bCs/>
          <w:snapToGrid w:val="0"/>
        </w:rPr>
        <w:t>3</w:t>
      </w:r>
      <w:r w:rsidRPr="00836F75">
        <w:rPr>
          <w:rFonts w:asciiTheme="minorHAnsi" w:hAnsiTheme="minorHAnsi"/>
          <w:bCs/>
          <w:snapToGrid w:val="0"/>
        </w:rPr>
        <w:t xml:space="preserve">) via the Consumer Comments facility on the PBS website. The comments described </w:t>
      </w:r>
      <w:r>
        <w:rPr>
          <w:rFonts w:asciiTheme="minorHAnsi" w:hAnsiTheme="minorHAnsi"/>
          <w:bCs/>
          <w:snapToGrid w:val="0"/>
        </w:rPr>
        <w:t xml:space="preserve">the lack of treatment options currently available for patients with this indication. Comments from Rare Cancers Australia and BEAT Bladder Cancer Australia described the </w:t>
      </w:r>
      <w:r w:rsidRPr="00836F75">
        <w:rPr>
          <w:rFonts w:asciiTheme="minorHAnsi" w:hAnsiTheme="minorHAnsi"/>
          <w:bCs/>
          <w:snapToGrid w:val="0"/>
        </w:rPr>
        <w:t xml:space="preserve">benefits of treatment with </w:t>
      </w:r>
      <w:proofErr w:type="spellStart"/>
      <w:r>
        <w:rPr>
          <w:rFonts w:asciiTheme="minorHAnsi" w:hAnsiTheme="minorHAnsi"/>
          <w:bCs/>
          <w:snapToGrid w:val="0"/>
        </w:rPr>
        <w:t>enfortumab</w:t>
      </w:r>
      <w:proofErr w:type="spellEnd"/>
      <w:r>
        <w:rPr>
          <w:rFonts w:asciiTheme="minorHAnsi" w:hAnsiTheme="minorHAnsi"/>
          <w:bCs/>
          <w:snapToGrid w:val="0"/>
        </w:rPr>
        <w:t xml:space="preserve"> </w:t>
      </w:r>
      <w:proofErr w:type="spellStart"/>
      <w:r>
        <w:rPr>
          <w:rFonts w:asciiTheme="minorHAnsi" w:hAnsiTheme="minorHAnsi"/>
          <w:bCs/>
          <w:snapToGrid w:val="0"/>
        </w:rPr>
        <w:t>vedotin</w:t>
      </w:r>
      <w:proofErr w:type="spellEnd"/>
      <w:r w:rsidRPr="00836F75">
        <w:rPr>
          <w:rFonts w:asciiTheme="minorHAnsi" w:hAnsiTheme="minorHAnsi"/>
          <w:bCs/>
          <w:snapToGrid w:val="0"/>
        </w:rPr>
        <w:t xml:space="preserve"> including the </w:t>
      </w:r>
      <w:r>
        <w:rPr>
          <w:rFonts w:asciiTheme="minorHAnsi" w:hAnsiTheme="minorHAnsi"/>
          <w:bCs/>
          <w:snapToGrid w:val="0"/>
        </w:rPr>
        <w:t xml:space="preserve">potential for extended survival. </w:t>
      </w:r>
    </w:p>
    <w:bookmarkEnd w:id="10"/>
    <w:p w14:paraId="4BCA292B" w14:textId="26B9F4B4" w:rsidR="004F371E" w:rsidRPr="004F371E" w:rsidRDefault="004F371E" w:rsidP="004F371E">
      <w:pPr>
        <w:widowControl w:val="0"/>
        <w:numPr>
          <w:ilvl w:val="1"/>
          <w:numId w:val="1"/>
        </w:numPr>
        <w:spacing w:after="120"/>
        <w:rPr>
          <w:rFonts w:asciiTheme="minorHAnsi" w:hAnsiTheme="minorHAnsi"/>
          <w:bCs/>
          <w:snapToGrid w:val="0"/>
        </w:rPr>
      </w:pPr>
      <w:r w:rsidRPr="00A74363">
        <w:rPr>
          <w:rFonts w:asciiTheme="minorHAnsi" w:hAnsiTheme="minorHAnsi"/>
          <w:bCs/>
          <w:snapToGrid w:val="0"/>
        </w:rPr>
        <w:t>The Medical Oncology Group of Australia (MOGA) also expressed its strong support for the</w:t>
      </w:r>
      <w:r>
        <w:rPr>
          <w:rFonts w:asciiTheme="minorHAnsi" w:hAnsiTheme="minorHAnsi"/>
          <w:bCs/>
          <w:snapToGrid w:val="0"/>
        </w:rPr>
        <w:t xml:space="preserve"> </w:t>
      </w:r>
      <w:proofErr w:type="spellStart"/>
      <w:r>
        <w:rPr>
          <w:rFonts w:asciiTheme="minorHAnsi" w:hAnsiTheme="minorHAnsi"/>
          <w:bCs/>
          <w:snapToGrid w:val="0"/>
        </w:rPr>
        <w:t>enfortumab</w:t>
      </w:r>
      <w:proofErr w:type="spellEnd"/>
      <w:r>
        <w:rPr>
          <w:rFonts w:asciiTheme="minorHAnsi" w:hAnsiTheme="minorHAnsi"/>
          <w:bCs/>
          <w:snapToGrid w:val="0"/>
        </w:rPr>
        <w:t xml:space="preserve"> </w:t>
      </w:r>
      <w:proofErr w:type="spellStart"/>
      <w:r>
        <w:rPr>
          <w:rFonts w:asciiTheme="minorHAnsi" w:hAnsiTheme="minorHAnsi"/>
          <w:bCs/>
          <w:snapToGrid w:val="0"/>
        </w:rPr>
        <w:t>vedotin</w:t>
      </w:r>
      <w:proofErr w:type="spellEnd"/>
      <w:r w:rsidRPr="00A74363">
        <w:rPr>
          <w:rFonts w:asciiTheme="minorHAnsi" w:hAnsiTheme="minorHAnsi"/>
          <w:bCs/>
          <w:snapToGrid w:val="0"/>
        </w:rPr>
        <w:t xml:space="preserve"> submission, categorising it as one of the therapies of “highest priority for PBS listing” </w:t>
      </w:r>
      <w:proofErr w:type="gramStart"/>
      <w:r w:rsidRPr="00A74363">
        <w:rPr>
          <w:rFonts w:asciiTheme="minorHAnsi" w:hAnsiTheme="minorHAnsi"/>
          <w:bCs/>
          <w:snapToGrid w:val="0"/>
        </w:rPr>
        <w:t>on the basis of</w:t>
      </w:r>
      <w:proofErr w:type="gramEnd"/>
      <w:r w:rsidRPr="00A74363">
        <w:rPr>
          <w:rFonts w:asciiTheme="minorHAnsi" w:hAnsiTheme="minorHAnsi"/>
          <w:bCs/>
          <w:snapToGrid w:val="0"/>
        </w:rPr>
        <w:t xml:space="preserve"> the </w:t>
      </w:r>
      <w:r>
        <w:rPr>
          <w:rFonts w:asciiTheme="minorHAnsi" w:hAnsiTheme="minorHAnsi"/>
          <w:bCs/>
          <w:snapToGrid w:val="0"/>
        </w:rPr>
        <w:t>EV-301</w:t>
      </w:r>
      <w:r w:rsidRPr="00A74363">
        <w:rPr>
          <w:rFonts w:asciiTheme="minorHAnsi" w:hAnsiTheme="minorHAnsi"/>
          <w:bCs/>
          <w:snapToGrid w:val="0"/>
        </w:rPr>
        <w:t xml:space="preserve"> trial. The PBAC noted that the MOGA presented a European Society for Medical Oncology Magnitude of Clinical Benefit Scale (ESMO-MCBS) </w:t>
      </w:r>
      <w:r w:rsidRPr="00525B39">
        <w:rPr>
          <w:rFonts w:asciiTheme="minorHAnsi" w:hAnsiTheme="minorHAnsi"/>
          <w:bCs/>
          <w:snapToGrid w:val="0"/>
        </w:rPr>
        <w:t xml:space="preserve">for </w:t>
      </w:r>
      <w:proofErr w:type="spellStart"/>
      <w:r>
        <w:rPr>
          <w:rFonts w:asciiTheme="minorHAnsi" w:hAnsiTheme="minorHAnsi"/>
          <w:bCs/>
          <w:snapToGrid w:val="0"/>
        </w:rPr>
        <w:t>enfortumab</w:t>
      </w:r>
      <w:proofErr w:type="spellEnd"/>
      <w:r>
        <w:rPr>
          <w:rFonts w:asciiTheme="minorHAnsi" w:hAnsiTheme="minorHAnsi"/>
          <w:bCs/>
          <w:snapToGrid w:val="0"/>
        </w:rPr>
        <w:t xml:space="preserve"> </w:t>
      </w:r>
      <w:proofErr w:type="spellStart"/>
      <w:r>
        <w:rPr>
          <w:rFonts w:asciiTheme="minorHAnsi" w:hAnsiTheme="minorHAnsi"/>
          <w:bCs/>
          <w:snapToGrid w:val="0"/>
        </w:rPr>
        <w:t>vedotin</w:t>
      </w:r>
      <w:proofErr w:type="spellEnd"/>
      <w:r w:rsidRPr="00525B39">
        <w:rPr>
          <w:rFonts w:asciiTheme="minorHAnsi" w:hAnsiTheme="minorHAnsi"/>
          <w:bCs/>
          <w:snapToGrid w:val="0"/>
        </w:rPr>
        <w:t xml:space="preserve">, which was limited to </w:t>
      </w:r>
      <w:r>
        <w:rPr>
          <w:rFonts w:asciiTheme="minorHAnsi" w:hAnsiTheme="minorHAnsi"/>
          <w:bCs/>
          <w:snapToGrid w:val="0"/>
        </w:rPr>
        <w:t>4</w:t>
      </w:r>
      <w:r w:rsidRPr="00525B39">
        <w:rPr>
          <w:rFonts w:asciiTheme="minorHAnsi" w:hAnsiTheme="minorHAnsi"/>
          <w:bCs/>
          <w:snapToGrid w:val="0"/>
        </w:rPr>
        <w:t xml:space="preserve"> (out of a maximum of 5, where 5 and 4 represent the grades with substantial </w:t>
      </w:r>
      <w:proofErr w:type="gramStart"/>
      <w:r w:rsidRPr="00525B39">
        <w:rPr>
          <w:rFonts w:asciiTheme="minorHAnsi" w:hAnsiTheme="minorHAnsi"/>
          <w:bCs/>
          <w:snapToGrid w:val="0"/>
        </w:rPr>
        <w:t>improvement)</w:t>
      </w:r>
      <w:r w:rsidRPr="00FC4AE0">
        <w:rPr>
          <w:rFonts w:asciiTheme="minorHAnsi" w:hAnsiTheme="minorHAnsi"/>
          <w:bCs/>
          <w:snapToGrid w:val="0"/>
        </w:rPr>
        <w:t>[</w:t>
      </w:r>
      <w:proofErr w:type="gramEnd"/>
      <w:r w:rsidRPr="00FC4AE0">
        <w:rPr>
          <w:rFonts w:asciiTheme="minorHAnsi" w:hAnsiTheme="minorHAnsi"/>
          <w:bCs/>
          <w:snapToGrid w:val="0"/>
        </w:rPr>
        <w:t>1]</w:t>
      </w:r>
      <w:r w:rsidRPr="00525B39">
        <w:rPr>
          <w:rFonts w:asciiTheme="minorHAnsi" w:hAnsiTheme="minorHAnsi"/>
          <w:bCs/>
          <w:snapToGrid w:val="0"/>
        </w:rPr>
        <w:t xml:space="preserve">, based on a comparison with </w:t>
      </w:r>
      <w:r>
        <w:rPr>
          <w:rFonts w:asciiTheme="minorHAnsi" w:hAnsiTheme="minorHAnsi"/>
          <w:bCs/>
          <w:snapToGrid w:val="0"/>
        </w:rPr>
        <w:t>chemotherapy</w:t>
      </w:r>
      <w:r w:rsidRPr="00525B39">
        <w:rPr>
          <w:rFonts w:asciiTheme="minorHAnsi" w:hAnsiTheme="minorHAnsi"/>
          <w:bCs/>
          <w:snapToGrid w:val="0"/>
        </w:rPr>
        <w:t>.</w:t>
      </w:r>
      <w:r>
        <w:rPr>
          <w:rStyle w:val="FootnoteReference"/>
          <w:rFonts w:asciiTheme="minorHAnsi" w:hAnsiTheme="minorHAnsi"/>
          <w:bCs/>
          <w:snapToGrid w:val="0"/>
        </w:rPr>
        <w:footnoteReference w:id="3"/>
      </w:r>
    </w:p>
    <w:p w14:paraId="6C74F66B" w14:textId="77777777" w:rsidR="007A57F4" w:rsidRPr="00C9624D" w:rsidRDefault="007A57F4" w:rsidP="007A57F4">
      <w:pPr>
        <w:pStyle w:val="4-SubsectionHeading"/>
      </w:pPr>
      <w:bookmarkStart w:id="11" w:name="_Toc93491259"/>
      <w:bookmarkEnd w:id="9"/>
      <w:r w:rsidRPr="00C9624D">
        <w:t>Clinical trials</w:t>
      </w:r>
      <w:bookmarkEnd w:id="11"/>
    </w:p>
    <w:p w14:paraId="5E1E4774" w14:textId="22104E3C" w:rsidR="007A57F4" w:rsidRPr="00A25DCB" w:rsidRDefault="007A57F4" w:rsidP="007A57F4">
      <w:pPr>
        <w:pStyle w:val="3-BodyText"/>
        <w:rPr>
          <w:iCs/>
        </w:rPr>
      </w:pPr>
      <w:r w:rsidRPr="00DB2881">
        <w:rPr>
          <w:snapToGrid/>
          <w:lang w:val="en-US"/>
        </w:rPr>
        <w:t xml:space="preserve">The submission was based on one head-to-head </w:t>
      </w:r>
      <w:r w:rsidRPr="00B60002">
        <w:rPr>
          <w:snapToGrid/>
        </w:rPr>
        <w:t xml:space="preserve">Phase </w:t>
      </w:r>
      <w:r>
        <w:rPr>
          <w:snapToGrid/>
        </w:rPr>
        <w:t>III</w:t>
      </w:r>
      <w:r w:rsidRPr="00B60002">
        <w:rPr>
          <w:snapToGrid/>
        </w:rPr>
        <w:t xml:space="preserve">, multicentre, randomised, controlled, open-label trial </w:t>
      </w:r>
      <w:r>
        <w:rPr>
          <w:snapToGrid/>
        </w:rPr>
        <w:t xml:space="preserve">comparing </w:t>
      </w:r>
      <w:proofErr w:type="spellStart"/>
      <w:r w:rsidR="007679F6">
        <w:rPr>
          <w:snapToGrid/>
        </w:rPr>
        <w:t>enfortumab</w:t>
      </w:r>
      <w:proofErr w:type="spellEnd"/>
      <w:r w:rsidR="007679F6">
        <w:rPr>
          <w:snapToGrid/>
        </w:rPr>
        <w:t xml:space="preserve"> </w:t>
      </w:r>
      <w:proofErr w:type="spellStart"/>
      <w:r w:rsidR="007679F6">
        <w:rPr>
          <w:snapToGrid/>
        </w:rPr>
        <w:t>vedotin</w:t>
      </w:r>
      <w:proofErr w:type="spellEnd"/>
      <w:r w:rsidRPr="00B60002">
        <w:rPr>
          <w:snapToGrid/>
        </w:rPr>
        <w:t xml:space="preserve"> </w:t>
      </w:r>
      <w:r>
        <w:rPr>
          <w:snapToGrid/>
        </w:rPr>
        <w:t>with</w:t>
      </w:r>
      <w:r w:rsidRPr="00B60002">
        <w:rPr>
          <w:snapToGrid/>
        </w:rPr>
        <w:t xml:space="preserve"> chemotherapy (investigator’s choice of docetaxel, paclitaxel or vinflunine; the selection was nominated before randomisation) in patients with la/</w:t>
      </w:r>
      <w:proofErr w:type="spellStart"/>
      <w:r w:rsidRPr="00B60002">
        <w:rPr>
          <w:snapToGrid/>
        </w:rPr>
        <w:t>mUC</w:t>
      </w:r>
      <w:proofErr w:type="spellEnd"/>
      <w:r w:rsidRPr="00B60002">
        <w:rPr>
          <w:snapToGrid/>
        </w:rPr>
        <w:t xml:space="preserve"> who had previously been treated with a platinum-c</w:t>
      </w:r>
      <w:r>
        <w:rPr>
          <w:snapToGrid/>
        </w:rPr>
        <w:t>ontaining regimen and a PD</w:t>
      </w:r>
      <w:r>
        <w:rPr>
          <w:snapToGrid/>
        </w:rPr>
        <w:noBreakHyphen/>
        <w:t>(L)1</w:t>
      </w:r>
      <w:r w:rsidRPr="00B60002">
        <w:rPr>
          <w:snapToGrid/>
        </w:rPr>
        <w:t>inhibitor</w:t>
      </w:r>
      <w:r>
        <w:rPr>
          <w:snapToGrid/>
        </w:rPr>
        <w:t xml:space="preserve"> </w:t>
      </w:r>
      <w:r w:rsidRPr="00DB2881">
        <w:rPr>
          <w:snapToGrid/>
          <w:lang w:val="en-US"/>
        </w:rPr>
        <w:t>(n=</w:t>
      </w:r>
      <w:r>
        <w:rPr>
          <w:snapToGrid/>
          <w:lang w:val="en-US"/>
        </w:rPr>
        <w:t>608</w:t>
      </w:r>
      <w:r w:rsidRPr="00DB2881">
        <w:rPr>
          <w:snapToGrid/>
          <w:lang w:val="en-US"/>
        </w:rPr>
        <w:t xml:space="preserve">) (EV-301). </w:t>
      </w:r>
      <w:r w:rsidRPr="00A25DCB">
        <w:rPr>
          <w:iCs/>
          <w:snapToGrid/>
        </w:rPr>
        <w:t xml:space="preserve">Vinflunine is not PBS subsidised, however </w:t>
      </w:r>
      <w:r w:rsidR="00A915A5">
        <w:rPr>
          <w:iCs/>
          <w:snapToGrid/>
        </w:rPr>
        <w:t xml:space="preserve">the </w:t>
      </w:r>
      <w:r w:rsidRPr="00A25DCB">
        <w:rPr>
          <w:iCs/>
          <w:snapToGrid/>
        </w:rPr>
        <w:t>PBAC has previously considered a trial in urothelial cancer</w:t>
      </w:r>
      <w:r w:rsidR="000E7331">
        <w:rPr>
          <w:iCs/>
          <w:snapToGrid/>
        </w:rPr>
        <w:t xml:space="preserve"> (</w:t>
      </w:r>
      <w:r w:rsidR="001E6D76">
        <w:rPr>
          <w:iCs/>
          <w:snapToGrid/>
        </w:rPr>
        <w:t>KN045</w:t>
      </w:r>
      <w:r w:rsidR="000E7331">
        <w:rPr>
          <w:iCs/>
          <w:snapToGrid/>
        </w:rPr>
        <w:t>)</w:t>
      </w:r>
      <w:r w:rsidRPr="00A25DCB">
        <w:rPr>
          <w:iCs/>
          <w:snapToGrid/>
        </w:rPr>
        <w:t xml:space="preserve">, which resulted in similar PFS and OS </w:t>
      </w:r>
      <w:r w:rsidR="00582AB0">
        <w:rPr>
          <w:iCs/>
          <w:snapToGrid/>
        </w:rPr>
        <w:t xml:space="preserve">regardless of </w:t>
      </w:r>
      <w:r w:rsidRPr="00A25DCB">
        <w:rPr>
          <w:iCs/>
          <w:snapToGrid/>
        </w:rPr>
        <w:t>whether vinflunine was included in the analysis with docetaxel and paclitaxel (paragraph 7.12, pembrolizumab, P</w:t>
      </w:r>
      <w:r w:rsidR="00A97113">
        <w:rPr>
          <w:iCs/>
          <w:snapToGrid/>
        </w:rPr>
        <w:t>SD</w:t>
      </w:r>
      <w:r w:rsidRPr="00A25DCB">
        <w:rPr>
          <w:iCs/>
          <w:snapToGrid/>
        </w:rPr>
        <w:t>, July 2018 PBAC meeting).</w:t>
      </w:r>
    </w:p>
    <w:p w14:paraId="4AA80C39" w14:textId="77777777" w:rsidR="007A57F4" w:rsidRPr="00B50DB8" w:rsidRDefault="007A57F4" w:rsidP="007A57F4">
      <w:pPr>
        <w:pStyle w:val="3-BodyText"/>
      </w:pPr>
      <w:r>
        <w:rPr>
          <w:snapToGrid/>
          <w:lang w:val="en-US"/>
        </w:rPr>
        <w:t>Details of the trial presented in the submission are provided in the table below</w:t>
      </w:r>
    </w:p>
    <w:p w14:paraId="2BE9D3CE" w14:textId="1232E6D8" w:rsidR="007A57F4" w:rsidRDefault="007A57F4" w:rsidP="00657163">
      <w:pPr>
        <w:pStyle w:val="TableFigureHeading"/>
        <w:keepLines/>
        <w:rPr>
          <w:rStyle w:val="CommentReference"/>
          <w:b/>
          <w:szCs w:val="24"/>
        </w:rPr>
      </w:pPr>
      <w:r>
        <w:t xml:space="preserve">Table </w:t>
      </w:r>
      <w:r w:rsidR="00F06F14">
        <w:fldChar w:fldCharType="begin"/>
      </w:r>
      <w:r w:rsidR="00F06F14">
        <w:instrText xml:space="preserve"> SEQ Table \* ARABIC </w:instrText>
      </w:r>
      <w:r w:rsidR="00F06F14">
        <w:fldChar w:fldCharType="separate"/>
      </w:r>
      <w:r w:rsidR="00234F7B">
        <w:rPr>
          <w:noProof/>
        </w:rPr>
        <w:t>2</w:t>
      </w:r>
      <w:r w:rsidR="00F06F14">
        <w:rPr>
          <w:noProof/>
        </w:rPr>
        <w:fldChar w:fldCharType="end"/>
      </w:r>
      <w:r>
        <w:t xml:space="preserve">: </w:t>
      </w:r>
      <w:r w:rsidRPr="002E4F02">
        <w:rPr>
          <w:rStyle w:val="CommentReference"/>
          <w:b/>
          <w:szCs w:val="24"/>
        </w:rPr>
        <w:t>Trials</w:t>
      </w:r>
      <w:r>
        <w:rPr>
          <w:rStyle w:val="CommentReference"/>
          <w:b/>
          <w:szCs w:val="24"/>
        </w:rPr>
        <w:t xml:space="preserve"> </w:t>
      </w:r>
      <w:r w:rsidRPr="002E4F02">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362"/>
        <w:gridCol w:w="5383"/>
        <w:gridCol w:w="2272"/>
      </w:tblGrid>
      <w:tr w:rsidR="007A57F4" w:rsidRPr="00B41614" w14:paraId="259B0AE7" w14:textId="77777777" w:rsidTr="00125618">
        <w:trPr>
          <w:tblHeader/>
        </w:trPr>
        <w:tc>
          <w:tcPr>
            <w:tcW w:w="755" w:type="pct"/>
            <w:vAlign w:val="center"/>
          </w:tcPr>
          <w:p w14:paraId="446F4B4B" w14:textId="77777777" w:rsidR="007A57F4" w:rsidRPr="00B41614" w:rsidRDefault="007A57F4" w:rsidP="00657163">
            <w:pPr>
              <w:pStyle w:val="In-tableHeading"/>
              <w:keepLines/>
            </w:pPr>
            <w:r w:rsidRPr="00B41614">
              <w:t>Trial ID</w:t>
            </w:r>
          </w:p>
        </w:tc>
        <w:tc>
          <w:tcPr>
            <w:tcW w:w="2985" w:type="pct"/>
            <w:tcBorders>
              <w:bottom w:val="single" w:sz="4" w:space="0" w:color="auto"/>
            </w:tcBorders>
            <w:vAlign w:val="center"/>
          </w:tcPr>
          <w:p w14:paraId="7CA864B1" w14:textId="77777777" w:rsidR="007A57F4" w:rsidRPr="00B41614" w:rsidRDefault="007A57F4" w:rsidP="00657163">
            <w:pPr>
              <w:pStyle w:val="In-tableHeading"/>
              <w:keepLines/>
            </w:pPr>
            <w:r w:rsidRPr="00B41614">
              <w:t>Protocol title/ Publication title</w:t>
            </w:r>
          </w:p>
        </w:tc>
        <w:tc>
          <w:tcPr>
            <w:tcW w:w="1260" w:type="pct"/>
            <w:tcBorders>
              <w:bottom w:val="single" w:sz="4" w:space="0" w:color="auto"/>
            </w:tcBorders>
            <w:vAlign w:val="center"/>
          </w:tcPr>
          <w:p w14:paraId="632BE272" w14:textId="77777777" w:rsidR="007A57F4" w:rsidRPr="00B41614" w:rsidRDefault="007A57F4" w:rsidP="00657163">
            <w:pPr>
              <w:pStyle w:val="In-tableHeading"/>
              <w:keepLines/>
            </w:pPr>
            <w:r w:rsidRPr="00B41614">
              <w:t>Publication citation</w:t>
            </w:r>
          </w:p>
        </w:tc>
      </w:tr>
      <w:tr w:rsidR="007A57F4" w:rsidRPr="00CB38A8" w14:paraId="5A9616C5" w14:textId="77777777" w:rsidTr="00125618">
        <w:trPr>
          <w:trHeight w:val="932"/>
        </w:trPr>
        <w:tc>
          <w:tcPr>
            <w:tcW w:w="755" w:type="pct"/>
            <w:vMerge w:val="restart"/>
            <w:vAlign w:val="center"/>
          </w:tcPr>
          <w:p w14:paraId="47FE1171" w14:textId="77777777" w:rsidR="007A57F4" w:rsidRPr="00674713" w:rsidRDefault="007A57F4" w:rsidP="00657163">
            <w:pPr>
              <w:keepNext/>
              <w:keepLines/>
              <w:rPr>
                <w:rFonts w:ascii="Arial Narrow" w:hAnsi="Arial Narrow"/>
                <w:sz w:val="20"/>
                <w:szCs w:val="20"/>
              </w:rPr>
            </w:pPr>
            <w:r w:rsidRPr="00674713">
              <w:rPr>
                <w:rFonts w:ascii="Arial Narrow" w:hAnsi="Arial Narrow"/>
                <w:sz w:val="20"/>
                <w:szCs w:val="20"/>
              </w:rPr>
              <w:t>EV-301</w:t>
            </w:r>
          </w:p>
          <w:p w14:paraId="78EFE780" w14:textId="77777777" w:rsidR="007A57F4" w:rsidRPr="00674713" w:rsidRDefault="007A57F4" w:rsidP="00657163">
            <w:pPr>
              <w:pStyle w:val="TableText0"/>
              <w:keepLines/>
              <w:rPr>
                <w:szCs w:val="20"/>
              </w:rPr>
            </w:pPr>
            <w:r w:rsidRPr="00674713">
              <w:rPr>
                <w:szCs w:val="20"/>
              </w:rPr>
              <w:t>NCT03474107</w:t>
            </w:r>
          </w:p>
        </w:tc>
        <w:tc>
          <w:tcPr>
            <w:tcW w:w="2985" w:type="pct"/>
            <w:tcBorders>
              <w:bottom w:val="nil"/>
            </w:tcBorders>
          </w:tcPr>
          <w:p w14:paraId="26911655" w14:textId="3F2887B2" w:rsidR="007A57F4" w:rsidRPr="00674713" w:rsidRDefault="007A57F4" w:rsidP="00657163">
            <w:pPr>
              <w:keepNext/>
              <w:keepLines/>
              <w:contextualSpacing/>
              <w:jc w:val="left"/>
              <w:rPr>
                <w:rFonts w:ascii="Arial Narrow" w:hAnsi="Arial Narrow"/>
                <w:sz w:val="20"/>
                <w:szCs w:val="20"/>
              </w:rPr>
            </w:pPr>
            <w:r w:rsidRPr="00674713">
              <w:rPr>
                <w:rFonts w:ascii="Arial Narrow" w:hAnsi="Arial Narrow"/>
                <w:sz w:val="20"/>
                <w:szCs w:val="20"/>
              </w:rPr>
              <w:t xml:space="preserve">EV-301 primary analysis clinical study report (CSR). An open-label, randomized Phase 3 study to evaluate </w:t>
            </w:r>
            <w:proofErr w:type="spellStart"/>
            <w:r w:rsidR="007679F6">
              <w:rPr>
                <w:rFonts w:ascii="Arial Narrow" w:hAnsi="Arial Narrow"/>
                <w:sz w:val="20"/>
                <w:szCs w:val="20"/>
              </w:rPr>
              <w:t>enfortumab</w:t>
            </w:r>
            <w:proofErr w:type="spellEnd"/>
            <w:r w:rsidR="007679F6">
              <w:rPr>
                <w:rFonts w:ascii="Arial Narrow" w:hAnsi="Arial Narrow"/>
                <w:sz w:val="20"/>
                <w:szCs w:val="20"/>
              </w:rPr>
              <w:t xml:space="preserve"> </w:t>
            </w:r>
            <w:proofErr w:type="spellStart"/>
            <w:r w:rsidR="007679F6">
              <w:rPr>
                <w:rFonts w:ascii="Arial Narrow" w:hAnsi="Arial Narrow"/>
                <w:sz w:val="20"/>
                <w:szCs w:val="20"/>
              </w:rPr>
              <w:t>vedotin</w:t>
            </w:r>
            <w:proofErr w:type="spellEnd"/>
            <w:r w:rsidRPr="00674713">
              <w:rPr>
                <w:rFonts w:ascii="Arial Narrow" w:hAnsi="Arial Narrow"/>
                <w:sz w:val="20"/>
                <w:szCs w:val="20"/>
              </w:rPr>
              <w:t xml:space="preserve"> vs chemotherapy in subjects with previously treated locally advanced or metastatic urothelial cancer</w:t>
            </w:r>
          </w:p>
        </w:tc>
        <w:tc>
          <w:tcPr>
            <w:tcW w:w="1260" w:type="pct"/>
            <w:tcBorders>
              <w:bottom w:val="nil"/>
            </w:tcBorders>
          </w:tcPr>
          <w:p w14:paraId="27128609" w14:textId="77777777" w:rsidR="007A57F4" w:rsidRPr="00674713" w:rsidRDefault="007A57F4" w:rsidP="00657163">
            <w:pPr>
              <w:pStyle w:val="TableText0"/>
              <w:keepLines/>
              <w:rPr>
                <w:szCs w:val="20"/>
              </w:rPr>
            </w:pPr>
            <w:r w:rsidRPr="00674713">
              <w:rPr>
                <w:szCs w:val="20"/>
              </w:rPr>
              <w:t>25 Jan 2021.</w:t>
            </w:r>
          </w:p>
          <w:p w14:paraId="0CACC1DE" w14:textId="77777777" w:rsidR="007A57F4" w:rsidRPr="00674713" w:rsidRDefault="007A57F4" w:rsidP="00657163">
            <w:pPr>
              <w:pStyle w:val="TableText0"/>
              <w:keepLines/>
              <w:rPr>
                <w:szCs w:val="20"/>
              </w:rPr>
            </w:pPr>
          </w:p>
        </w:tc>
      </w:tr>
      <w:tr w:rsidR="007A57F4" w:rsidRPr="00CB38A8" w14:paraId="3D2DEFF1" w14:textId="77777777" w:rsidTr="00125618">
        <w:trPr>
          <w:trHeight w:val="509"/>
        </w:trPr>
        <w:tc>
          <w:tcPr>
            <w:tcW w:w="755" w:type="pct"/>
            <w:vMerge/>
            <w:vAlign w:val="center"/>
          </w:tcPr>
          <w:p w14:paraId="4AF47B74" w14:textId="77777777" w:rsidR="007A57F4" w:rsidRPr="00674713" w:rsidRDefault="007A57F4" w:rsidP="00657163">
            <w:pPr>
              <w:pStyle w:val="TableText0"/>
              <w:keepLines/>
              <w:rPr>
                <w:szCs w:val="20"/>
              </w:rPr>
            </w:pPr>
          </w:p>
        </w:tc>
        <w:tc>
          <w:tcPr>
            <w:tcW w:w="2985" w:type="pct"/>
            <w:tcBorders>
              <w:top w:val="nil"/>
              <w:bottom w:val="nil"/>
            </w:tcBorders>
          </w:tcPr>
          <w:p w14:paraId="2030DC98" w14:textId="77777777" w:rsidR="007A57F4" w:rsidRPr="00674713" w:rsidRDefault="007A57F4" w:rsidP="00657163">
            <w:pPr>
              <w:keepNext/>
              <w:keepLines/>
              <w:contextualSpacing/>
              <w:jc w:val="left"/>
              <w:rPr>
                <w:rFonts w:ascii="Arial Narrow" w:hAnsi="Arial Narrow"/>
                <w:sz w:val="20"/>
                <w:szCs w:val="20"/>
              </w:rPr>
            </w:pPr>
            <w:r w:rsidRPr="00674713">
              <w:rPr>
                <w:rFonts w:ascii="Arial Narrow" w:hAnsi="Arial Narrow"/>
                <w:sz w:val="20"/>
                <w:szCs w:val="20"/>
              </w:rPr>
              <w:t xml:space="preserve">Patient reported outcomes (PRO) Analysis of Data Collected in the EV-301 Study. </w:t>
            </w:r>
          </w:p>
        </w:tc>
        <w:tc>
          <w:tcPr>
            <w:tcW w:w="1260" w:type="pct"/>
            <w:tcBorders>
              <w:top w:val="nil"/>
              <w:bottom w:val="nil"/>
            </w:tcBorders>
          </w:tcPr>
          <w:p w14:paraId="0D8B89B0" w14:textId="77777777" w:rsidR="007A57F4" w:rsidRPr="00674713" w:rsidRDefault="007A57F4" w:rsidP="00657163">
            <w:pPr>
              <w:pStyle w:val="TableText0"/>
              <w:keepLines/>
              <w:rPr>
                <w:szCs w:val="20"/>
              </w:rPr>
            </w:pPr>
            <w:r w:rsidRPr="00674713">
              <w:rPr>
                <w:szCs w:val="20"/>
              </w:rPr>
              <w:t>25 Jan 2021.</w:t>
            </w:r>
          </w:p>
        </w:tc>
      </w:tr>
      <w:tr w:rsidR="007A57F4" w:rsidRPr="00CB38A8" w14:paraId="585CCD1A" w14:textId="77777777" w:rsidTr="00125618">
        <w:trPr>
          <w:trHeight w:val="688"/>
        </w:trPr>
        <w:tc>
          <w:tcPr>
            <w:tcW w:w="755" w:type="pct"/>
            <w:vMerge/>
            <w:tcBorders>
              <w:bottom w:val="single" w:sz="4" w:space="0" w:color="auto"/>
            </w:tcBorders>
            <w:vAlign w:val="center"/>
          </w:tcPr>
          <w:p w14:paraId="265AC393" w14:textId="77777777" w:rsidR="007A57F4" w:rsidRPr="00674713" w:rsidRDefault="007A57F4" w:rsidP="00657163">
            <w:pPr>
              <w:pStyle w:val="TableText0"/>
              <w:keepLines/>
              <w:rPr>
                <w:szCs w:val="20"/>
              </w:rPr>
            </w:pPr>
          </w:p>
        </w:tc>
        <w:tc>
          <w:tcPr>
            <w:tcW w:w="2985" w:type="pct"/>
            <w:tcBorders>
              <w:top w:val="nil"/>
              <w:bottom w:val="nil"/>
            </w:tcBorders>
          </w:tcPr>
          <w:p w14:paraId="030D9BC6" w14:textId="139D3F5D" w:rsidR="007A57F4" w:rsidRPr="00674713" w:rsidRDefault="007A57F4" w:rsidP="00657163">
            <w:pPr>
              <w:keepNext/>
              <w:keepLines/>
              <w:contextualSpacing/>
              <w:jc w:val="left"/>
              <w:rPr>
                <w:rFonts w:ascii="Arial Narrow" w:hAnsi="Arial Narrow"/>
                <w:sz w:val="20"/>
                <w:szCs w:val="20"/>
              </w:rPr>
            </w:pPr>
            <w:r w:rsidRPr="00674713">
              <w:rPr>
                <w:rFonts w:ascii="Arial Narrow" w:hAnsi="Arial Narrow"/>
                <w:sz w:val="20"/>
                <w:szCs w:val="20"/>
              </w:rPr>
              <w:t xml:space="preserve">Powles T, Rosenberg JE, </w:t>
            </w:r>
            <w:r w:rsidRPr="00674713">
              <w:rPr>
                <w:rFonts w:ascii="Arial Narrow" w:hAnsi="Arial Narrow"/>
                <w:i/>
                <w:iCs/>
                <w:sz w:val="20"/>
                <w:szCs w:val="20"/>
              </w:rPr>
              <w:t>et al</w:t>
            </w:r>
            <w:r w:rsidRPr="00674713">
              <w:rPr>
                <w:rFonts w:ascii="Arial Narrow" w:hAnsi="Arial Narrow"/>
                <w:sz w:val="20"/>
                <w:szCs w:val="20"/>
              </w:rPr>
              <w:t xml:space="preserve">. Primary results of EV-301: A Phase III trial of </w:t>
            </w:r>
            <w:proofErr w:type="spellStart"/>
            <w:r w:rsidR="007679F6">
              <w:rPr>
                <w:rFonts w:ascii="Arial Narrow" w:hAnsi="Arial Narrow"/>
                <w:sz w:val="20"/>
                <w:szCs w:val="20"/>
              </w:rPr>
              <w:t>enfortumab</w:t>
            </w:r>
            <w:proofErr w:type="spellEnd"/>
            <w:r w:rsidR="007679F6">
              <w:rPr>
                <w:rFonts w:ascii="Arial Narrow" w:hAnsi="Arial Narrow"/>
                <w:sz w:val="20"/>
                <w:szCs w:val="20"/>
              </w:rPr>
              <w:t xml:space="preserve"> </w:t>
            </w:r>
            <w:proofErr w:type="spellStart"/>
            <w:r w:rsidR="007679F6">
              <w:rPr>
                <w:rFonts w:ascii="Arial Narrow" w:hAnsi="Arial Narrow"/>
                <w:sz w:val="20"/>
                <w:szCs w:val="20"/>
              </w:rPr>
              <w:t>vedotin</w:t>
            </w:r>
            <w:proofErr w:type="spellEnd"/>
            <w:r w:rsidRPr="00674713">
              <w:rPr>
                <w:rFonts w:ascii="Arial Narrow" w:hAnsi="Arial Narrow"/>
                <w:sz w:val="20"/>
                <w:szCs w:val="20"/>
              </w:rPr>
              <w:t xml:space="preserve"> versus chemotherapy in patients with previously treated locally advanced or metastatic urothelial carcinoma.</w:t>
            </w:r>
          </w:p>
        </w:tc>
        <w:tc>
          <w:tcPr>
            <w:tcW w:w="1260" w:type="pct"/>
            <w:tcBorders>
              <w:top w:val="nil"/>
              <w:bottom w:val="nil"/>
            </w:tcBorders>
          </w:tcPr>
          <w:p w14:paraId="3C1DA557" w14:textId="77777777" w:rsidR="007A57F4" w:rsidRPr="00674713" w:rsidRDefault="007A57F4" w:rsidP="00657163">
            <w:pPr>
              <w:pStyle w:val="TableText0"/>
              <w:keepLines/>
              <w:rPr>
                <w:szCs w:val="20"/>
              </w:rPr>
            </w:pPr>
            <w:r w:rsidRPr="00674713">
              <w:rPr>
                <w:i/>
                <w:szCs w:val="20"/>
              </w:rPr>
              <w:t xml:space="preserve">Journal of Clinical Oncology. </w:t>
            </w:r>
            <w:r w:rsidRPr="00674713">
              <w:rPr>
                <w:szCs w:val="20"/>
              </w:rPr>
              <w:t>2021;39(Suppl. 6):393.</w:t>
            </w:r>
          </w:p>
        </w:tc>
      </w:tr>
      <w:tr w:rsidR="007A57F4" w:rsidRPr="00CB38A8" w14:paraId="7FCF1998" w14:textId="77777777" w:rsidTr="00125618">
        <w:trPr>
          <w:trHeight w:val="739"/>
        </w:trPr>
        <w:tc>
          <w:tcPr>
            <w:tcW w:w="755" w:type="pct"/>
            <w:vMerge/>
            <w:tcBorders>
              <w:bottom w:val="single" w:sz="4" w:space="0" w:color="auto"/>
            </w:tcBorders>
          </w:tcPr>
          <w:p w14:paraId="7B354EC2" w14:textId="77777777" w:rsidR="007A57F4" w:rsidRPr="00674713" w:rsidRDefault="007A57F4" w:rsidP="00657163">
            <w:pPr>
              <w:keepNext/>
              <w:keepLines/>
              <w:rPr>
                <w:rFonts w:ascii="Arial Narrow" w:hAnsi="Arial Narrow"/>
                <w:sz w:val="20"/>
                <w:szCs w:val="20"/>
              </w:rPr>
            </w:pPr>
          </w:p>
        </w:tc>
        <w:tc>
          <w:tcPr>
            <w:tcW w:w="2985" w:type="pct"/>
            <w:tcBorders>
              <w:top w:val="nil"/>
              <w:bottom w:val="single" w:sz="4" w:space="0" w:color="auto"/>
            </w:tcBorders>
          </w:tcPr>
          <w:p w14:paraId="471B7365" w14:textId="6842BAC0" w:rsidR="007A57F4" w:rsidRPr="00674713" w:rsidRDefault="007A57F4" w:rsidP="00657163">
            <w:pPr>
              <w:keepNext/>
              <w:keepLines/>
              <w:contextualSpacing/>
              <w:jc w:val="left"/>
              <w:rPr>
                <w:rFonts w:ascii="Arial Narrow" w:hAnsi="Arial Narrow"/>
                <w:sz w:val="20"/>
                <w:szCs w:val="20"/>
              </w:rPr>
            </w:pPr>
            <w:r w:rsidRPr="00674713">
              <w:rPr>
                <w:rFonts w:ascii="Arial Narrow" w:hAnsi="Arial Narrow"/>
                <w:sz w:val="20"/>
                <w:szCs w:val="20"/>
              </w:rPr>
              <w:t xml:space="preserve">Powles T, Rosenberg JE, </w:t>
            </w:r>
            <w:r w:rsidRPr="00674713">
              <w:rPr>
                <w:rFonts w:ascii="Arial Narrow" w:hAnsi="Arial Narrow"/>
                <w:i/>
                <w:iCs/>
                <w:sz w:val="20"/>
                <w:szCs w:val="20"/>
              </w:rPr>
              <w:t>et al</w:t>
            </w:r>
            <w:r w:rsidRPr="00674713">
              <w:rPr>
                <w:rFonts w:ascii="Arial Narrow" w:hAnsi="Arial Narrow"/>
                <w:sz w:val="20"/>
                <w:szCs w:val="20"/>
              </w:rPr>
              <w:t xml:space="preserve">. Primary results of EV-301: A Phase III trial of </w:t>
            </w:r>
            <w:proofErr w:type="spellStart"/>
            <w:r w:rsidR="007679F6">
              <w:rPr>
                <w:rFonts w:ascii="Arial Narrow" w:hAnsi="Arial Narrow"/>
                <w:sz w:val="20"/>
                <w:szCs w:val="20"/>
              </w:rPr>
              <w:t>enfortumab</w:t>
            </w:r>
            <w:proofErr w:type="spellEnd"/>
            <w:r w:rsidR="007679F6">
              <w:rPr>
                <w:rFonts w:ascii="Arial Narrow" w:hAnsi="Arial Narrow"/>
                <w:sz w:val="20"/>
                <w:szCs w:val="20"/>
              </w:rPr>
              <w:t xml:space="preserve"> </w:t>
            </w:r>
            <w:proofErr w:type="spellStart"/>
            <w:r w:rsidR="007679F6">
              <w:rPr>
                <w:rFonts w:ascii="Arial Narrow" w:hAnsi="Arial Narrow"/>
                <w:sz w:val="20"/>
                <w:szCs w:val="20"/>
              </w:rPr>
              <w:t>vedotin</w:t>
            </w:r>
            <w:proofErr w:type="spellEnd"/>
            <w:r w:rsidRPr="00674713">
              <w:rPr>
                <w:rFonts w:ascii="Arial Narrow" w:hAnsi="Arial Narrow"/>
                <w:sz w:val="20"/>
                <w:szCs w:val="20"/>
              </w:rPr>
              <w:t xml:space="preserve"> versus chemotherapy in patients with previously treated locally advanced or metastatic urothelial carcinoma.</w:t>
            </w:r>
          </w:p>
        </w:tc>
        <w:tc>
          <w:tcPr>
            <w:tcW w:w="1260" w:type="pct"/>
            <w:tcBorders>
              <w:top w:val="nil"/>
              <w:bottom w:val="single" w:sz="4" w:space="0" w:color="auto"/>
            </w:tcBorders>
          </w:tcPr>
          <w:p w14:paraId="0326BA8B" w14:textId="77777777" w:rsidR="007A57F4" w:rsidRPr="00674713" w:rsidRDefault="007A57F4" w:rsidP="00657163">
            <w:pPr>
              <w:pStyle w:val="TableText0"/>
              <w:keepLines/>
              <w:rPr>
                <w:i/>
                <w:szCs w:val="20"/>
                <w:lang w:val="en-US"/>
              </w:rPr>
            </w:pPr>
            <w:r w:rsidRPr="00674713">
              <w:rPr>
                <w:i/>
                <w:szCs w:val="20"/>
              </w:rPr>
              <w:t xml:space="preserve">Journal of Clinical Oncology. </w:t>
            </w:r>
            <w:r w:rsidRPr="00674713">
              <w:rPr>
                <w:szCs w:val="20"/>
              </w:rPr>
              <w:t>2021;39(Suppl. 6):393.</w:t>
            </w:r>
          </w:p>
        </w:tc>
      </w:tr>
    </w:tbl>
    <w:p w14:paraId="4715D7C7" w14:textId="77777777" w:rsidR="007A57F4" w:rsidRPr="00B1011F" w:rsidRDefault="007A57F4" w:rsidP="007A57F4">
      <w:pPr>
        <w:pStyle w:val="TableFigureFooter"/>
        <w:rPr>
          <w:sz w:val="20"/>
        </w:rPr>
      </w:pPr>
      <w:r>
        <w:t>Source: Table 2.2-1, pp 20-21 of the submission</w:t>
      </w:r>
    </w:p>
    <w:p w14:paraId="2C03CBEE" w14:textId="77777777" w:rsidR="007A57F4" w:rsidRPr="00DB2881" w:rsidRDefault="007A57F4" w:rsidP="007A57F4">
      <w:pPr>
        <w:pStyle w:val="3-BodyText"/>
      </w:pPr>
      <w:r w:rsidRPr="00DB2881">
        <w:t xml:space="preserve">The key features of the direct randomised trial EV-301 are summarised in the table below. </w:t>
      </w:r>
    </w:p>
    <w:p w14:paraId="28B32CC0" w14:textId="0E97AF63" w:rsidR="007A57F4" w:rsidRPr="00EC5836" w:rsidRDefault="007A57F4" w:rsidP="007A57F4">
      <w:pPr>
        <w:pStyle w:val="TableFigureHeading"/>
        <w:rPr>
          <w:rStyle w:val="CommentReference"/>
          <w:b/>
          <w:szCs w:val="24"/>
        </w:rPr>
      </w:pPr>
      <w:r>
        <w:t xml:space="preserve">Table </w:t>
      </w:r>
      <w:r w:rsidR="00F06F14">
        <w:fldChar w:fldCharType="begin"/>
      </w:r>
      <w:r w:rsidR="00F06F14">
        <w:instrText xml:space="preserve"> SEQ Table \* ARABIC </w:instrText>
      </w:r>
      <w:r w:rsidR="00F06F14">
        <w:fldChar w:fldCharType="separate"/>
      </w:r>
      <w:r w:rsidR="00234F7B">
        <w:rPr>
          <w:noProof/>
        </w:rPr>
        <w:t>3</w:t>
      </w:r>
      <w:r w:rsidR="00F06F14">
        <w:rPr>
          <w:noProof/>
        </w:rPr>
        <w:fldChar w:fldCharType="end"/>
      </w:r>
      <w:r>
        <w:t xml:space="preserve">: </w:t>
      </w:r>
      <w:r w:rsidRPr="00EC5836">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7A57F4" w:rsidRPr="00B41614" w14:paraId="49624898" w14:textId="77777777" w:rsidTr="00125618">
        <w:trPr>
          <w:cantSplit/>
          <w:tblHeader/>
        </w:trPr>
        <w:tc>
          <w:tcPr>
            <w:tcW w:w="713" w:type="pct"/>
            <w:shd w:val="clear" w:color="auto" w:fill="auto"/>
            <w:vAlign w:val="center"/>
          </w:tcPr>
          <w:p w14:paraId="7CC87991" w14:textId="77777777" w:rsidR="007A57F4" w:rsidRPr="00B41614" w:rsidRDefault="007A57F4" w:rsidP="00125618">
            <w:pPr>
              <w:pStyle w:val="In-tableHeading"/>
            </w:pPr>
            <w:r w:rsidRPr="00B41614">
              <w:t>Trial</w:t>
            </w:r>
          </w:p>
        </w:tc>
        <w:tc>
          <w:tcPr>
            <w:tcW w:w="466" w:type="pct"/>
            <w:shd w:val="clear" w:color="auto" w:fill="auto"/>
            <w:vAlign w:val="center"/>
          </w:tcPr>
          <w:p w14:paraId="31ECBC3E" w14:textId="77777777" w:rsidR="007A57F4" w:rsidRPr="00B41614" w:rsidRDefault="007A57F4" w:rsidP="00125618">
            <w:pPr>
              <w:pStyle w:val="In-tableHeading"/>
              <w:jc w:val="center"/>
            </w:pPr>
            <w:r w:rsidRPr="00B41614">
              <w:t>N</w:t>
            </w:r>
          </w:p>
        </w:tc>
        <w:tc>
          <w:tcPr>
            <w:tcW w:w="782" w:type="pct"/>
            <w:shd w:val="clear" w:color="auto" w:fill="auto"/>
            <w:vAlign w:val="center"/>
          </w:tcPr>
          <w:p w14:paraId="61FE6712" w14:textId="77777777" w:rsidR="007A57F4" w:rsidRPr="00B41614" w:rsidRDefault="007A57F4" w:rsidP="00125618">
            <w:pPr>
              <w:pStyle w:val="In-tableHeading"/>
              <w:jc w:val="center"/>
            </w:pPr>
            <w:r w:rsidRPr="00B41614">
              <w:t>Design/ duration</w:t>
            </w:r>
          </w:p>
        </w:tc>
        <w:tc>
          <w:tcPr>
            <w:tcW w:w="621" w:type="pct"/>
            <w:shd w:val="clear" w:color="auto" w:fill="auto"/>
            <w:vAlign w:val="center"/>
          </w:tcPr>
          <w:p w14:paraId="77C5017E" w14:textId="77777777" w:rsidR="007A57F4" w:rsidRPr="00B41614" w:rsidRDefault="007A57F4" w:rsidP="00125618">
            <w:pPr>
              <w:pStyle w:val="In-tableHeading"/>
              <w:jc w:val="center"/>
            </w:pPr>
            <w:r w:rsidRPr="00B41614">
              <w:t>Risk of bias</w:t>
            </w:r>
          </w:p>
        </w:tc>
        <w:tc>
          <w:tcPr>
            <w:tcW w:w="857" w:type="pct"/>
            <w:shd w:val="clear" w:color="auto" w:fill="auto"/>
            <w:vAlign w:val="center"/>
          </w:tcPr>
          <w:p w14:paraId="5BD72473" w14:textId="77777777" w:rsidR="007A57F4" w:rsidRPr="00B41614" w:rsidRDefault="007A57F4" w:rsidP="00125618">
            <w:pPr>
              <w:pStyle w:val="In-tableHeading"/>
              <w:jc w:val="center"/>
            </w:pPr>
            <w:r w:rsidRPr="00B41614">
              <w:t>Patient population</w:t>
            </w:r>
          </w:p>
        </w:tc>
        <w:tc>
          <w:tcPr>
            <w:tcW w:w="622" w:type="pct"/>
            <w:shd w:val="clear" w:color="auto" w:fill="auto"/>
            <w:vAlign w:val="center"/>
          </w:tcPr>
          <w:p w14:paraId="679E3C59" w14:textId="77777777" w:rsidR="007A57F4" w:rsidRPr="00B41614" w:rsidRDefault="007A57F4" w:rsidP="00125618">
            <w:pPr>
              <w:pStyle w:val="In-tableHeading"/>
              <w:jc w:val="center"/>
            </w:pPr>
            <w:r w:rsidRPr="00B41614">
              <w:t>Outcome(s)</w:t>
            </w:r>
          </w:p>
        </w:tc>
        <w:tc>
          <w:tcPr>
            <w:tcW w:w="939" w:type="pct"/>
            <w:shd w:val="clear" w:color="auto" w:fill="auto"/>
            <w:vAlign w:val="center"/>
          </w:tcPr>
          <w:p w14:paraId="3C7E03BD" w14:textId="77777777" w:rsidR="007A57F4" w:rsidRPr="00B41614" w:rsidRDefault="007A57F4" w:rsidP="00125618">
            <w:pPr>
              <w:pStyle w:val="In-tableHeading"/>
              <w:jc w:val="center"/>
            </w:pPr>
            <w:r w:rsidRPr="00B41614">
              <w:t>Use in modelled evaluation</w:t>
            </w:r>
          </w:p>
        </w:tc>
      </w:tr>
      <w:tr w:rsidR="007A57F4" w:rsidRPr="00E2771E" w14:paraId="27052CF1" w14:textId="77777777" w:rsidTr="00125618">
        <w:trPr>
          <w:cantSplit/>
        </w:trPr>
        <w:tc>
          <w:tcPr>
            <w:tcW w:w="5000" w:type="pct"/>
            <w:gridSpan w:val="7"/>
            <w:shd w:val="clear" w:color="auto" w:fill="auto"/>
            <w:vAlign w:val="center"/>
          </w:tcPr>
          <w:p w14:paraId="5A87CE60" w14:textId="0E5E2AD7" w:rsidR="007A57F4" w:rsidRPr="00EC5836" w:rsidRDefault="007679F6" w:rsidP="00125618">
            <w:pPr>
              <w:pStyle w:val="In-tableHeading"/>
            </w:pPr>
            <w:proofErr w:type="spellStart"/>
            <w:r>
              <w:t>Enfortumab</w:t>
            </w:r>
            <w:proofErr w:type="spellEnd"/>
            <w:r>
              <w:t xml:space="preserve"> </w:t>
            </w:r>
            <w:proofErr w:type="spellStart"/>
            <w:r>
              <w:t>vedotin</w:t>
            </w:r>
            <w:proofErr w:type="spellEnd"/>
            <w:r w:rsidR="007A57F4">
              <w:t xml:space="preserve"> vs. chemotherapy</w:t>
            </w:r>
          </w:p>
        </w:tc>
      </w:tr>
      <w:tr w:rsidR="007A57F4" w:rsidRPr="00E2771E" w14:paraId="5B596E2A" w14:textId="77777777" w:rsidTr="00125618">
        <w:trPr>
          <w:cantSplit/>
        </w:trPr>
        <w:tc>
          <w:tcPr>
            <w:tcW w:w="713" w:type="pct"/>
            <w:shd w:val="clear" w:color="auto" w:fill="auto"/>
            <w:vAlign w:val="center"/>
          </w:tcPr>
          <w:p w14:paraId="0C99DAE4" w14:textId="77777777" w:rsidR="007A57F4" w:rsidRPr="00E2771E" w:rsidRDefault="007A57F4" w:rsidP="00125618">
            <w:pPr>
              <w:pStyle w:val="TableText0"/>
              <w:rPr>
                <w:lang w:val="en-US"/>
              </w:rPr>
            </w:pPr>
            <w:r>
              <w:rPr>
                <w:lang w:val="en-US"/>
              </w:rPr>
              <w:t>EV-301</w:t>
            </w:r>
          </w:p>
        </w:tc>
        <w:tc>
          <w:tcPr>
            <w:tcW w:w="466" w:type="pct"/>
            <w:shd w:val="clear" w:color="auto" w:fill="auto"/>
            <w:vAlign w:val="center"/>
          </w:tcPr>
          <w:p w14:paraId="056F1F4B" w14:textId="77777777" w:rsidR="007A57F4" w:rsidRPr="00E2771E" w:rsidRDefault="007A57F4" w:rsidP="00125618">
            <w:pPr>
              <w:pStyle w:val="TableText0"/>
              <w:jc w:val="center"/>
              <w:rPr>
                <w:lang w:val="en-US"/>
              </w:rPr>
            </w:pPr>
            <w:r>
              <w:rPr>
                <w:lang w:val="en-US"/>
              </w:rPr>
              <w:t>608</w:t>
            </w:r>
          </w:p>
        </w:tc>
        <w:tc>
          <w:tcPr>
            <w:tcW w:w="782" w:type="pct"/>
            <w:shd w:val="clear" w:color="auto" w:fill="auto"/>
            <w:vAlign w:val="center"/>
          </w:tcPr>
          <w:p w14:paraId="13103825" w14:textId="77777777" w:rsidR="007A57F4" w:rsidRPr="00E2771E" w:rsidRDefault="007A57F4" w:rsidP="00125618">
            <w:pPr>
              <w:pStyle w:val="TableText0"/>
              <w:jc w:val="center"/>
              <w:rPr>
                <w:lang w:val="en-US"/>
              </w:rPr>
            </w:pPr>
            <w:r w:rsidRPr="00E2771E">
              <w:rPr>
                <w:lang w:val="en-US"/>
              </w:rPr>
              <w:t xml:space="preserve">R, </w:t>
            </w:r>
            <w:r>
              <w:rPr>
                <w:lang w:val="en-US"/>
              </w:rPr>
              <w:t>OL, MC</w:t>
            </w:r>
          </w:p>
          <w:p w14:paraId="7046AA3F" w14:textId="77777777" w:rsidR="007A57F4" w:rsidRPr="00E2771E" w:rsidRDefault="007A57F4" w:rsidP="00125618">
            <w:pPr>
              <w:pStyle w:val="TableText0"/>
              <w:jc w:val="center"/>
              <w:rPr>
                <w:lang w:val="en-US"/>
              </w:rPr>
            </w:pPr>
            <w:r>
              <w:rPr>
                <w:lang w:val="en-US"/>
              </w:rPr>
              <w:t>11</w:t>
            </w:r>
            <w:r w:rsidRPr="00E2771E">
              <w:rPr>
                <w:lang w:val="en-US"/>
              </w:rPr>
              <w:t xml:space="preserve"> </w:t>
            </w:r>
            <w:proofErr w:type="spellStart"/>
            <w:r w:rsidRPr="00E2771E">
              <w:rPr>
                <w:lang w:val="en-US"/>
              </w:rPr>
              <w:t>mths</w:t>
            </w:r>
            <w:proofErr w:type="spellEnd"/>
          </w:p>
        </w:tc>
        <w:tc>
          <w:tcPr>
            <w:tcW w:w="621" w:type="pct"/>
            <w:shd w:val="clear" w:color="auto" w:fill="auto"/>
            <w:vAlign w:val="center"/>
          </w:tcPr>
          <w:p w14:paraId="61FE25AD" w14:textId="77777777" w:rsidR="007A57F4" w:rsidRPr="00851480" w:rsidRDefault="007A57F4" w:rsidP="00125618">
            <w:pPr>
              <w:pStyle w:val="TableText0"/>
              <w:jc w:val="center"/>
              <w:rPr>
                <w:iCs/>
                <w:lang w:val="en-US"/>
              </w:rPr>
            </w:pPr>
            <w:r w:rsidRPr="00851480">
              <w:rPr>
                <w:iCs/>
                <w:lang w:val="en-US"/>
              </w:rPr>
              <w:t>Low*</w:t>
            </w:r>
          </w:p>
        </w:tc>
        <w:tc>
          <w:tcPr>
            <w:tcW w:w="857" w:type="pct"/>
            <w:shd w:val="clear" w:color="auto" w:fill="auto"/>
            <w:vAlign w:val="center"/>
          </w:tcPr>
          <w:p w14:paraId="6DF8422D" w14:textId="77777777" w:rsidR="007A57F4" w:rsidRPr="00E2771E" w:rsidRDefault="007A57F4" w:rsidP="00125618">
            <w:pPr>
              <w:pStyle w:val="TableText0"/>
              <w:rPr>
                <w:lang w:val="en-US"/>
              </w:rPr>
            </w:pPr>
            <w:r>
              <w:t>P</w:t>
            </w:r>
            <w:r w:rsidRPr="00185415">
              <w:t>atients with la/</w:t>
            </w:r>
            <w:proofErr w:type="spellStart"/>
            <w:r w:rsidRPr="00185415">
              <w:t>mUC</w:t>
            </w:r>
            <w:proofErr w:type="spellEnd"/>
            <w:r w:rsidRPr="00185415">
              <w:t xml:space="preserve"> who had previously been treated with a platinum-containing regimen and a PD</w:t>
            </w:r>
            <w:r w:rsidRPr="00185415">
              <w:noBreakHyphen/>
              <w:t>(L)1</w:t>
            </w:r>
            <w:r>
              <w:t xml:space="preserve"> </w:t>
            </w:r>
            <w:r w:rsidRPr="00185415">
              <w:t>inhibitor</w:t>
            </w:r>
          </w:p>
        </w:tc>
        <w:tc>
          <w:tcPr>
            <w:tcW w:w="622" w:type="pct"/>
            <w:shd w:val="clear" w:color="auto" w:fill="auto"/>
            <w:vAlign w:val="center"/>
          </w:tcPr>
          <w:p w14:paraId="680F9A80" w14:textId="77777777" w:rsidR="007A57F4" w:rsidRPr="00E2771E" w:rsidRDefault="007A57F4" w:rsidP="00125618">
            <w:pPr>
              <w:pStyle w:val="TableText0"/>
              <w:jc w:val="center"/>
              <w:rPr>
                <w:lang w:val="en-US"/>
              </w:rPr>
            </w:pPr>
            <w:r w:rsidRPr="00E2771E">
              <w:rPr>
                <w:lang w:val="en-US"/>
              </w:rPr>
              <w:t>OS</w:t>
            </w:r>
            <w:r>
              <w:rPr>
                <w:lang w:val="en-US"/>
              </w:rPr>
              <w:t>, PFS, QoL and AEs</w:t>
            </w:r>
          </w:p>
        </w:tc>
        <w:tc>
          <w:tcPr>
            <w:tcW w:w="939" w:type="pct"/>
            <w:shd w:val="clear" w:color="auto" w:fill="auto"/>
            <w:vAlign w:val="center"/>
          </w:tcPr>
          <w:p w14:paraId="39A71EE8" w14:textId="77777777" w:rsidR="007A57F4" w:rsidRPr="00E2771E" w:rsidRDefault="007A57F4" w:rsidP="00125618">
            <w:pPr>
              <w:pStyle w:val="TableText0"/>
              <w:jc w:val="center"/>
              <w:rPr>
                <w:lang w:val="en-US"/>
              </w:rPr>
            </w:pPr>
            <w:r>
              <w:rPr>
                <w:lang w:val="en-US"/>
              </w:rPr>
              <w:t>Used</w:t>
            </w:r>
          </w:p>
        </w:tc>
      </w:tr>
    </w:tbl>
    <w:p w14:paraId="10E430D4" w14:textId="77777777" w:rsidR="007A57F4" w:rsidRDefault="007A57F4" w:rsidP="007A57F4">
      <w:pPr>
        <w:pStyle w:val="TableFigureFooter"/>
      </w:pPr>
      <w:r>
        <w:t>Source: Sections 2.3-2.4, pp22-32 of the submission.</w:t>
      </w:r>
    </w:p>
    <w:p w14:paraId="1D31FA40" w14:textId="66960B8B" w:rsidR="007A57F4" w:rsidRDefault="007A57F4" w:rsidP="007A57F4">
      <w:pPr>
        <w:pStyle w:val="TableFigureFooter"/>
      </w:pPr>
      <w:r>
        <w:t>AEs = adverse events; la/</w:t>
      </w:r>
      <w:proofErr w:type="spellStart"/>
      <w:r>
        <w:t>mUC</w:t>
      </w:r>
      <w:proofErr w:type="spellEnd"/>
      <w:r>
        <w:t xml:space="preserve"> = locally advanced or metastatic urothelial cancer; </w:t>
      </w:r>
      <w:r w:rsidRPr="0072416F">
        <w:t>MC</w:t>
      </w:r>
      <w:r>
        <w:t xml:space="preserve"> </w:t>
      </w:r>
      <w:r w:rsidRPr="0072416F">
        <w:t>=</w:t>
      </w:r>
      <w:r>
        <w:t xml:space="preserve"> </w:t>
      </w:r>
      <w:r w:rsidRPr="0072416F">
        <w:t>multi-centre; OL</w:t>
      </w:r>
      <w:r>
        <w:t xml:space="preserve"> </w:t>
      </w:r>
      <w:r w:rsidRPr="0072416F">
        <w:t>=</w:t>
      </w:r>
      <w:r>
        <w:t xml:space="preserve"> </w:t>
      </w:r>
      <w:r w:rsidRPr="0072416F">
        <w:t>open label; OS</w:t>
      </w:r>
      <w:r>
        <w:t xml:space="preserve"> </w:t>
      </w:r>
      <w:r w:rsidRPr="0072416F">
        <w:t>=</w:t>
      </w:r>
      <w:r>
        <w:t xml:space="preserve"> </w:t>
      </w:r>
      <w:r w:rsidRPr="0072416F">
        <w:t xml:space="preserve">overall survival; </w:t>
      </w:r>
      <w:r>
        <w:t xml:space="preserve">PD-(L)1 =programmed cell death (ligand)1; </w:t>
      </w:r>
      <w:r w:rsidRPr="0072416F">
        <w:t>PFS</w:t>
      </w:r>
      <w:r>
        <w:t xml:space="preserve"> </w:t>
      </w:r>
      <w:r w:rsidRPr="0072416F">
        <w:t>=</w:t>
      </w:r>
      <w:r>
        <w:t xml:space="preserve"> </w:t>
      </w:r>
      <w:r w:rsidRPr="0072416F">
        <w:t>progression-free survival;</w:t>
      </w:r>
      <w:r>
        <w:t xml:space="preserve"> QoL = quality of life;</w:t>
      </w:r>
      <w:r w:rsidRPr="0072416F">
        <w:t xml:space="preserve"> R</w:t>
      </w:r>
      <w:r>
        <w:t xml:space="preserve"> </w:t>
      </w:r>
      <w:r w:rsidRPr="0072416F">
        <w:t>=</w:t>
      </w:r>
      <w:r>
        <w:t xml:space="preserve"> </w:t>
      </w:r>
      <w:r w:rsidRPr="0072416F">
        <w:t>randomised.</w:t>
      </w:r>
    </w:p>
    <w:p w14:paraId="215A3CCC" w14:textId="71717F1F" w:rsidR="007A57F4" w:rsidRPr="00B60002" w:rsidRDefault="007A57F4" w:rsidP="007A57F4">
      <w:pPr>
        <w:pStyle w:val="TableFigureFooter"/>
      </w:pPr>
      <w:r>
        <w:t xml:space="preserve">*Given the open label design, the assessment of QoL and </w:t>
      </w:r>
      <w:r w:rsidR="00A05EF2">
        <w:t>PFS</w:t>
      </w:r>
      <w:r>
        <w:t xml:space="preserve"> may be subject to risk of bias.</w:t>
      </w:r>
    </w:p>
    <w:p w14:paraId="1DDB25E5" w14:textId="77777777" w:rsidR="007A57F4" w:rsidRPr="00C9624D" w:rsidRDefault="007A57F4" w:rsidP="007A57F4">
      <w:pPr>
        <w:pStyle w:val="4-SubsectionHeading"/>
      </w:pPr>
      <w:bookmarkStart w:id="12" w:name="_Toc93491260"/>
      <w:r w:rsidRPr="00C9624D">
        <w:t>Comparative effectiveness</w:t>
      </w:r>
      <w:bookmarkEnd w:id="12"/>
    </w:p>
    <w:p w14:paraId="7B49761D" w14:textId="77777777" w:rsidR="007A57F4" w:rsidRPr="00404F30" w:rsidRDefault="007A57F4" w:rsidP="007A57F4">
      <w:pPr>
        <w:pStyle w:val="3-BodyText"/>
      </w:pPr>
      <w:r w:rsidRPr="00404F30">
        <w:rPr>
          <w:snapToGrid/>
          <w:lang w:val="en-US"/>
        </w:rPr>
        <w:t>OS and PFS results from EV-301 are presented below.</w:t>
      </w:r>
    </w:p>
    <w:p w14:paraId="4C453204" w14:textId="6F7E3C75" w:rsidR="007A57F4" w:rsidRDefault="007A57F4" w:rsidP="007A57F4">
      <w:pPr>
        <w:pStyle w:val="TableFigureHeading"/>
        <w:rPr>
          <w:lang w:val="en-US"/>
        </w:rPr>
      </w:pPr>
      <w:r>
        <w:t xml:space="preserve">Table </w:t>
      </w:r>
      <w:r w:rsidR="00F06F14">
        <w:fldChar w:fldCharType="begin"/>
      </w:r>
      <w:r w:rsidR="00F06F14">
        <w:instrText xml:space="preserve"> SEQ Table \* ARABIC </w:instrText>
      </w:r>
      <w:r w:rsidR="00F06F14">
        <w:fldChar w:fldCharType="separate"/>
      </w:r>
      <w:r w:rsidR="00234F7B">
        <w:rPr>
          <w:noProof/>
        </w:rPr>
        <w:t>4</w:t>
      </w:r>
      <w:r w:rsidR="00F06F14">
        <w:rPr>
          <w:noProof/>
        </w:rPr>
        <w:fldChar w:fldCharType="end"/>
      </w:r>
      <w:r>
        <w:t>: O</w:t>
      </w:r>
      <w:r w:rsidRPr="00217EB6">
        <w:t xml:space="preserve">S </w:t>
      </w:r>
      <w:r>
        <w:t xml:space="preserve">and PFS </w:t>
      </w:r>
      <w:r w:rsidRPr="00217EB6">
        <w:t>results from the EV-301 trial (ITT population</w:t>
      </w:r>
      <w:r w:rsidR="009449A8">
        <w:t>, interim data cut-off 15 July 2020</w:t>
      </w:r>
      <w:r w:rsidRPr="00217EB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OS and PFS results from the EV-301 trial (ITT population, interim data cut-off 15 July 2020)"/>
      </w:tblPr>
      <w:tblGrid>
        <w:gridCol w:w="3964"/>
        <w:gridCol w:w="2552"/>
        <w:gridCol w:w="2501"/>
      </w:tblGrid>
      <w:tr w:rsidR="007A57F4" w:rsidRPr="00404F30" w14:paraId="1D24A6F9" w14:textId="77777777" w:rsidTr="001F429B">
        <w:trPr>
          <w:tblHeader/>
        </w:trPr>
        <w:tc>
          <w:tcPr>
            <w:tcW w:w="3964" w:type="dxa"/>
            <w:shd w:val="clear" w:color="auto" w:fill="auto"/>
            <w:vAlign w:val="center"/>
          </w:tcPr>
          <w:p w14:paraId="159CAA7C" w14:textId="77777777" w:rsidR="007A57F4" w:rsidRPr="00404F30" w:rsidRDefault="007A57F4" w:rsidP="00125618">
            <w:pPr>
              <w:pStyle w:val="In-tableHeading"/>
            </w:pPr>
          </w:p>
        </w:tc>
        <w:tc>
          <w:tcPr>
            <w:tcW w:w="2552" w:type="dxa"/>
            <w:shd w:val="clear" w:color="auto" w:fill="auto"/>
            <w:vAlign w:val="center"/>
          </w:tcPr>
          <w:p w14:paraId="36450128" w14:textId="47224BFE" w:rsidR="007A57F4" w:rsidRPr="00404F30" w:rsidRDefault="007679F6" w:rsidP="001F429B">
            <w:pPr>
              <w:pStyle w:val="In-tableHeading"/>
              <w:jc w:val="center"/>
            </w:pPr>
            <w:proofErr w:type="spellStart"/>
            <w:r>
              <w:t>Enfortumab</w:t>
            </w:r>
            <w:proofErr w:type="spellEnd"/>
            <w:r>
              <w:t xml:space="preserve"> </w:t>
            </w:r>
            <w:proofErr w:type="spellStart"/>
            <w:r>
              <w:t>vedotin</w:t>
            </w:r>
            <w:proofErr w:type="spellEnd"/>
            <w:r w:rsidR="007A57F4" w:rsidRPr="00404F30">
              <w:t xml:space="preserve"> arm</w:t>
            </w:r>
          </w:p>
          <w:p w14:paraId="104A3885" w14:textId="77777777" w:rsidR="007A57F4" w:rsidRPr="00404F30" w:rsidRDefault="007A57F4" w:rsidP="001F429B">
            <w:pPr>
              <w:pStyle w:val="In-tableHeading"/>
              <w:jc w:val="center"/>
            </w:pPr>
            <w:r w:rsidRPr="00404F30">
              <w:t>N = 301</w:t>
            </w:r>
          </w:p>
        </w:tc>
        <w:tc>
          <w:tcPr>
            <w:tcW w:w="2501" w:type="dxa"/>
            <w:shd w:val="clear" w:color="auto" w:fill="auto"/>
            <w:vAlign w:val="center"/>
          </w:tcPr>
          <w:p w14:paraId="0A6709C1" w14:textId="77777777" w:rsidR="007A57F4" w:rsidRPr="00404F30" w:rsidRDefault="007A57F4" w:rsidP="001F429B">
            <w:pPr>
              <w:pStyle w:val="In-tableHeading"/>
              <w:jc w:val="center"/>
            </w:pPr>
            <w:r w:rsidRPr="00404F30">
              <w:t>Chemotherapy arm</w:t>
            </w:r>
          </w:p>
          <w:p w14:paraId="2DEDF6DF" w14:textId="77777777" w:rsidR="007A57F4" w:rsidRPr="00404F30" w:rsidRDefault="007A57F4" w:rsidP="001F429B">
            <w:pPr>
              <w:pStyle w:val="In-tableHeading"/>
              <w:jc w:val="center"/>
            </w:pPr>
            <w:r w:rsidRPr="00404F30">
              <w:t>N = 307</w:t>
            </w:r>
          </w:p>
        </w:tc>
      </w:tr>
      <w:tr w:rsidR="007A57F4" w:rsidRPr="00404F30" w14:paraId="379A1C06" w14:textId="77777777" w:rsidTr="001F429B">
        <w:tc>
          <w:tcPr>
            <w:tcW w:w="9017" w:type="dxa"/>
            <w:gridSpan w:val="3"/>
            <w:vAlign w:val="center"/>
          </w:tcPr>
          <w:p w14:paraId="22266FC2" w14:textId="77777777" w:rsidR="007A57F4" w:rsidRPr="00404F30" w:rsidRDefault="007A57F4" w:rsidP="00125618">
            <w:pPr>
              <w:pStyle w:val="In-tableHeading"/>
            </w:pPr>
            <w:r w:rsidRPr="00404F30">
              <w:t>Overall survival</w:t>
            </w:r>
          </w:p>
        </w:tc>
      </w:tr>
      <w:tr w:rsidR="007A57F4" w:rsidRPr="00404F30" w14:paraId="0D6F5808" w14:textId="77777777" w:rsidTr="001F429B">
        <w:tc>
          <w:tcPr>
            <w:tcW w:w="3964" w:type="dxa"/>
          </w:tcPr>
          <w:p w14:paraId="2E31F503" w14:textId="77777777" w:rsidR="007A57F4" w:rsidRPr="00404F30" w:rsidRDefault="007A57F4" w:rsidP="00125618">
            <w:pPr>
              <w:pStyle w:val="In-tableHeading"/>
              <w:rPr>
                <w:b w:val="0"/>
              </w:rPr>
            </w:pPr>
            <w:r w:rsidRPr="00404F30">
              <w:rPr>
                <w:b w:val="0"/>
              </w:rPr>
              <w:t>Deaths – n (%)</w:t>
            </w:r>
          </w:p>
        </w:tc>
        <w:tc>
          <w:tcPr>
            <w:tcW w:w="2552" w:type="dxa"/>
          </w:tcPr>
          <w:p w14:paraId="4D913DF8" w14:textId="77777777" w:rsidR="007A57F4" w:rsidRPr="00404F30" w:rsidRDefault="007A57F4" w:rsidP="001F429B">
            <w:pPr>
              <w:pStyle w:val="In-tableHeading"/>
              <w:jc w:val="center"/>
              <w:rPr>
                <w:b w:val="0"/>
              </w:rPr>
            </w:pPr>
            <w:r w:rsidRPr="00404F30">
              <w:rPr>
                <w:b w:val="0"/>
              </w:rPr>
              <w:t>134 (44.5)</w:t>
            </w:r>
          </w:p>
        </w:tc>
        <w:tc>
          <w:tcPr>
            <w:tcW w:w="2501" w:type="dxa"/>
          </w:tcPr>
          <w:p w14:paraId="580330AE" w14:textId="77777777" w:rsidR="007A57F4" w:rsidRPr="00404F30" w:rsidRDefault="007A57F4" w:rsidP="001F429B">
            <w:pPr>
              <w:pStyle w:val="In-tableHeading"/>
              <w:jc w:val="center"/>
              <w:rPr>
                <w:b w:val="0"/>
              </w:rPr>
            </w:pPr>
            <w:r w:rsidRPr="00404F30">
              <w:rPr>
                <w:b w:val="0"/>
              </w:rPr>
              <w:t>167 (54.4)</w:t>
            </w:r>
          </w:p>
        </w:tc>
      </w:tr>
      <w:tr w:rsidR="007A57F4" w:rsidRPr="00404F30" w14:paraId="6B3C7E67" w14:textId="77777777" w:rsidTr="001F429B">
        <w:tc>
          <w:tcPr>
            <w:tcW w:w="9017" w:type="dxa"/>
            <w:gridSpan w:val="3"/>
            <w:vAlign w:val="center"/>
          </w:tcPr>
          <w:p w14:paraId="0390F610" w14:textId="77777777" w:rsidR="007A57F4" w:rsidRPr="00404F30" w:rsidRDefault="007A57F4" w:rsidP="00125618">
            <w:pPr>
              <w:pStyle w:val="In-tableHeading"/>
              <w:rPr>
                <w:b w:val="0"/>
              </w:rPr>
            </w:pPr>
            <w:r w:rsidRPr="00404F30">
              <w:rPr>
                <w:b w:val="0"/>
              </w:rPr>
              <w:t>Overall survival rate</w:t>
            </w:r>
          </w:p>
        </w:tc>
      </w:tr>
      <w:tr w:rsidR="007A57F4" w:rsidRPr="00404F30" w14:paraId="62E6CE0E" w14:textId="77777777" w:rsidTr="001F429B">
        <w:tc>
          <w:tcPr>
            <w:tcW w:w="3964" w:type="dxa"/>
          </w:tcPr>
          <w:p w14:paraId="0ACA3746" w14:textId="77777777" w:rsidR="007A57F4" w:rsidRPr="00404F30" w:rsidRDefault="007A57F4" w:rsidP="00125618">
            <w:pPr>
              <w:pStyle w:val="In-tableHeading"/>
              <w:rPr>
                <w:b w:val="0"/>
              </w:rPr>
            </w:pPr>
            <w:r w:rsidRPr="00404F30">
              <w:rPr>
                <w:b w:val="0"/>
              </w:rPr>
              <w:t>At 6 months - % (95% CI)</w:t>
            </w:r>
          </w:p>
        </w:tc>
        <w:tc>
          <w:tcPr>
            <w:tcW w:w="2552" w:type="dxa"/>
          </w:tcPr>
          <w:p w14:paraId="0AB723AB" w14:textId="77777777" w:rsidR="007A57F4" w:rsidRPr="00404F30" w:rsidRDefault="007A57F4" w:rsidP="001F429B">
            <w:pPr>
              <w:pStyle w:val="In-tableHeading"/>
              <w:jc w:val="center"/>
              <w:rPr>
                <w:b w:val="0"/>
              </w:rPr>
            </w:pPr>
            <w:r w:rsidRPr="00404F30">
              <w:rPr>
                <w:b w:val="0"/>
              </w:rPr>
              <w:t>77.9 (72.74, 82.25)</w:t>
            </w:r>
          </w:p>
        </w:tc>
        <w:tc>
          <w:tcPr>
            <w:tcW w:w="2501" w:type="dxa"/>
          </w:tcPr>
          <w:p w14:paraId="2EE0032E" w14:textId="77777777" w:rsidR="007A57F4" w:rsidRPr="00404F30" w:rsidRDefault="007A57F4" w:rsidP="001F429B">
            <w:pPr>
              <w:pStyle w:val="In-tableHeading"/>
              <w:jc w:val="center"/>
              <w:rPr>
                <w:b w:val="0"/>
              </w:rPr>
            </w:pPr>
            <w:r w:rsidRPr="00404F30">
              <w:rPr>
                <w:b w:val="0"/>
              </w:rPr>
              <w:t>69.5 (63.85, 74.38)</w:t>
            </w:r>
          </w:p>
        </w:tc>
      </w:tr>
      <w:tr w:rsidR="007A57F4" w:rsidRPr="00404F30" w14:paraId="580040E9" w14:textId="77777777" w:rsidTr="001F429B">
        <w:tc>
          <w:tcPr>
            <w:tcW w:w="3964" w:type="dxa"/>
          </w:tcPr>
          <w:p w14:paraId="4B7BE0D4" w14:textId="77777777" w:rsidR="007A57F4" w:rsidRPr="00404F30" w:rsidRDefault="007A57F4" w:rsidP="00125618">
            <w:pPr>
              <w:pStyle w:val="In-tableHeading"/>
              <w:rPr>
                <w:b w:val="0"/>
              </w:rPr>
            </w:pPr>
            <w:r w:rsidRPr="00404F30">
              <w:rPr>
                <w:b w:val="0"/>
              </w:rPr>
              <w:t>At 12 months - % (95% CI)</w:t>
            </w:r>
          </w:p>
        </w:tc>
        <w:tc>
          <w:tcPr>
            <w:tcW w:w="2552" w:type="dxa"/>
          </w:tcPr>
          <w:p w14:paraId="6A6CF483" w14:textId="77777777" w:rsidR="007A57F4" w:rsidRPr="00404F30" w:rsidRDefault="007A57F4" w:rsidP="001F429B">
            <w:pPr>
              <w:pStyle w:val="In-tableHeading"/>
              <w:jc w:val="center"/>
              <w:rPr>
                <w:b w:val="0"/>
              </w:rPr>
            </w:pPr>
            <w:r w:rsidRPr="00404F30">
              <w:rPr>
                <w:b w:val="0"/>
              </w:rPr>
              <w:t>51.5 (44.63, 58.03)</w:t>
            </w:r>
          </w:p>
        </w:tc>
        <w:tc>
          <w:tcPr>
            <w:tcW w:w="2501" w:type="dxa"/>
          </w:tcPr>
          <w:p w14:paraId="70ED3B13" w14:textId="77777777" w:rsidR="007A57F4" w:rsidRPr="00404F30" w:rsidRDefault="007A57F4" w:rsidP="001F429B">
            <w:pPr>
              <w:pStyle w:val="In-tableHeading"/>
              <w:jc w:val="center"/>
              <w:rPr>
                <w:b w:val="0"/>
              </w:rPr>
            </w:pPr>
            <w:r w:rsidRPr="00404F30">
              <w:rPr>
                <w:b w:val="0"/>
              </w:rPr>
              <w:t>39.2 (32.60, 45.64)</w:t>
            </w:r>
          </w:p>
        </w:tc>
      </w:tr>
      <w:tr w:rsidR="007A57F4" w:rsidRPr="00404F30" w14:paraId="1C094371" w14:textId="77777777" w:rsidTr="001F429B">
        <w:tc>
          <w:tcPr>
            <w:tcW w:w="9017" w:type="dxa"/>
            <w:gridSpan w:val="3"/>
            <w:vAlign w:val="center"/>
          </w:tcPr>
          <w:p w14:paraId="1CC711F9" w14:textId="77777777" w:rsidR="007A57F4" w:rsidRPr="00404F30" w:rsidRDefault="007A57F4" w:rsidP="00125618">
            <w:pPr>
              <w:pStyle w:val="In-tableHeading"/>
              <w:rPr>
                <w:b w:val="0"/>
              </w:rPr>
            </w:pPr>
            <w:r w:rsidRPr="00404F30">
              <w:rPr>
                <w:b w:val="0"/>
              </w:rPr>
              <w:t>Duration of overall survival</w:t>
            </w:r>
            <w:r>
              <w:rPr>
                <w:b w:val="0"/>
              </w:rPr>
              <w:t xml:space="preserve"> (months)</w:t>
            </w:r>
          </w:p>
        </w:tc>
      </w:tr>
      <w:tr w:rsidR="007A57F4" w:rsidRPr="00404F30" w14:paraId="191536F7" w14:textId="77777777" w:rsidTr="001F429B">
        <w:tc>
          <w:tcPr>
            <w:tcW w:w="3964" w:type="dxa"/>
          </w:tcPr>
          <w:p w14:paraId="2A6D128E" w14:textId="77777777" w:rsidR="007A57F4" w:rsidRPr="00404F30" w:rsidRDefault="007A57F4" w:rsidP="00125618">
            <w:pPr>
              <w:pStyle w:val="In-tableHeading"/>
              <w:rPr>
                <w:b w:val="0"/>
              </w:rPr>
            </w:pPr>
            <w:r w:rsidRPr="00404F30">
              <w:rPr>
                <w:b w:val="0"/>
              </w:rPr>
              <w:t>Median (95% CI)</w:t>
            </w:r>
          </w:p>
        </w:tc>
        <w:tc>
          <w:tcPr>
            <w:tcW w:w="2552" w:type="dxa"/>
          </w:tcPr>
          <w:p w14:paraId="356D9685" w14:textId="77777777" w:rsidR="007A57F4" w:rsidRPr="00404F30" w:rsidRDefault="007A57F4" w:rsidP="001F429B">
            <w:pPr>
              <w:pStyle w:val="In-tableHeading"/>
              <w:jc w:val="center"/>
              <w:rPr>
                <w:b w:val="0"/>
              </w:rPr>
            </w:pPr>
            <w:r w:rsidRPr="00404F30">
              <w:rPr>
                <w:b w:val="0"/>
              </w:rPr>
              <w:t>12.88 (10.58, 15.21)</w:t>
            </w:r>
          </w:p>
        </w:tc>
        <w:tc>
          <w:tcPr>
            <w:tcW w:w="2501" w:type="dxa"/>
          </w:tcPr>
          <w:p w14:paraId="48344A5A" w14:textId="77777777" w:rsidR="007A57F4" w:rsidRPr="00404F30" w:rsidRDefault="007A57F4" w:rsidP="001F429B">
            <w:pPr>
              <w:pStyle w:val="In-tableHeading"/>
              <w:jc w:val="center"/>
              <w:rPr>
                <w:b w:val="0"/>
              </w:rPr>
            </w:pPr>
            <w:r w:rsidRPr="00404F30">
              <w:rPr>
                <w:b w:val="0"/>
              </w:rPr>
              <w:t>8.97 (8.05, 10.74)</w:t>
            </w:r>
          </w:p>
        </w:tc>
      </w:tr>
      <w:tr w:rsidR="007A57F4" w:rsidRPr="00404F30" w14:paraId="276ACA05" w14:textId="77777777" w:rsidTr="001F429B">
        <w:tc>
          <w:tcPr>
            <w:tcW w:w="3964" w:type="dxa"/>
          </w:tcPr>
          <w:p w14:paraId="5DEA5428" w14:textId="77777777" w:rsidR="007A57F4" w:rsidRPr="00404F30" w:rsidRDefault="007A57F4" w:rsidP="00125618">
            <w:pPr>
              <w:pStyle w:val="In-tableHeading"/>
              <w:rPr>
                <w:b w:val="0"/>
              </w:rPr>
            </w:pPr>
            <w:r>
              <w:rPr>
                <w:b w:val="0"/>
              </w:rPr>
              <w:t>Difference</w:t>
            </w:r>
          </w:p>
        </w:tc>
        <w:tc>
          <w:tcPr>
            <w:tcW w:w="5053" w:type="dxa"/>
            <w:gridSpan w:val="2"/>
          </w:tcPr>
          <w:p w14:paraId="01AB65BE" w14:textId="3E95944C" w:rsidR="007A57F4" w:rsidRPr="00404F30" w:rsidRDefault="007A57F4" w:rsidP="001F429B">
            <w:pPr>
              <w:pStyle w:val="In-tableHeading"/>
              <w:jc w:val="center"/>
              <w:rPr>
                <w:b w:val="0"/>
              </w:rPr>
            </w:pPr>
            <w:r>
              <w:rPr>
                <w:b w:val="0"/>
              </w:rPr>
              <w:t>3.92</w:t>
            </w:r>
          </w:p>
        </w:tc>
      </w:tr>
      <w:tr w:rsidR="007A57F4" w:rsidRPr="00404F30" w14:paraId="52C092AD" w14:textId="77777777" w:rsidTr="001F429B">
        <w:tc>
          <w:tcPr>
            <w:tcW w:w="3964" w:type="dxa"/>
          </w:tcPr>
          <w:p w14:paraId="46D4EACC" w14:textId="77777777" w:rsidR="007A57F4" w:rsidRPr="00404F30" w:rsidRDefault="007A57F4" w:rsidP="00125618">
            <w:pPr>
              <w:pStyle w:val="In-tableHeading"/>
              <w:rPr>
                <w:b w:val="0"/>
              </w:rPr>
            </w:pPr>
            <w:r w:rsidRPr="00404F30">
              <w:rPr>
                <w:b w:val="0"/>
              </w:rPr>
              <w:t>HR (95% CI)</w:t>
            </w:r>
          </w:p>
        </w:tc>
        <w:tc>
          <w:tcPr>
            <w:tcW w:w="5053" w:type="dxa"/>
            <w:gridSpan w:val="2"/>
          </w:tcPr>
          <w:p w14:paraId="714081CD" w14:textId="77777777" w:rsidR="007A57F4" w:rsidRPr="00404F30" w:rsidRDefault="007A57F4" w:rsidP="001F429B">
            <w:pPr>
              <w:pStyle w:val="In-tableHeading"/>
              <w:jc w:val="center"/>
              <w:rPr>
                <w:b w:val="0"/>
              </w:rPr>
            </w:pPr>
            <w:r w:rsidRPr="00404F30">
              <w:rPr>
                <w:b w:val="0"/>
              </w:rPr>
              <w:t>0.70 (0.56, 0.89)</w:t>
            </w:r>
          </w:p>
        </w:tc>
      </w:tr>
      <w:tr w:rsidR="007A57F4" w:rsidRPr="00404F30" w14:paraId="4FA01EF3" w14:textId="77777777" w:rsidTr="001F429B">
        <w:tc>
          <w:tcPr>
            <w:tcW w:w="9017" w:type="dxa"/>
            <w:gridSpan w:val="3"/>
            <w:vAlign w:val="center"/>
          </w:tcPr>
          <w:p w14:paraId="40C7E4C5" w14:textId="77777777" w:rsidR="007A57F4" w:rsidRPr="00CE7660" w:rsidRDefault="007A57F4" w:rsidP="00125618">
            <w:pPr>
              <w:pStyle w:val="In-tableHeading"/>
            </w:pPr>
            <w:r w:rsidRPr="00CE7660">
              <w:t>Progression free survival</w:t>
            </w:r>
          </w:p>
        </w:tc>
      </w:tr>
      <w:tr w:rsidR="007A57F4" w:rsidRPr="00404F30" w14:paraId="664772DE" w14:textId="77777777" w:rsidTr="001F429B">
        <w:tc>
          <w:tcPr>
            <w:tcW w:w="3964" w:type="dxa"/>
          </w:tcPr>
          <w:p w14:paraId="4CD031C2" w14:textId="0E9C7F19" w:rsidR="007A57F4" w:rsidRPr="00404F30" w:rsidRDefault="007A57F4" w:rsidP="00125618">
            <w:pPr>
              <w:pStyle w:val="In-tableHeading"/>
              <w:rPr>
                <w:b w:val="0"/>
              </w:rPr>
            </w:pPr>
            <w:r w:rsidRPr="00217EB6">
              <w:rPr>
                <w:b w:val="0"/>
              </w:rPr>
              <w:t xml:space="preserve">PFS events </w:t>
            </w:r>
            <w:r w:rsidR="007E0442">
              <w:rPr>
                <w:b w:val="0"/>
              </w:rPr>
              <w:t>–</w:t>
            </w:r>
            <w:r w:rsidRPr="00217EB6">
              <w:rPr>
                <w:b w:val="0"/>
              </w:rPr>
              <w:t xml:space="preserve"> n (%)</w:t>
            </w:r>
          </w:p>
        </w:tc>
        <w:tc>
          <w:tcPr>
            <w:tcW w:w="2552" w:type="dxa"/>
            <w:vAlign w:val="center"/>
          </w:tcPr>
          <w:p w14:paraId="6A11C560" w14:textId="77777777" w:rsidR="007A57F4" w:rsidRPr="00404F30" w:rsidRDefault="007A57F4" w:rsidP="001F429B">
            <w:pPr>
              <w:pStyle w:val="In-tableHeading"/>
              <w:jc w:val="center"/>
              <w:rPr>
                <w:b w:val="0"/>
              </w:rPr>
            </w:pPr>
            <w:r w:rsidRPr="00217EB6">
              <w:rPr>
                <w:b w:val="0"/>
              </w:rPr>
              <w:t>201 (66.8)</w:t>
            </w:r>
          </w:p>
        </w:tc>
        <w:tc>
          <w:tcPr>
            <w:tcW w:w="2501" w:type="dxa"/>
            <w:vAlign w:val="center"/>
          </w:tcPr>
          <w:p w14:paraId="46CDF547" w14:textId="77777777" w:rsidR="007A57F4" w:rsidRPr="00404F30" w:rsidRDefault="007A57F4" w:rsidP="001F429B">
            <w:pPr>
              <w:pStyle w:val="In-tableHeading"/>
              <w:jc w:val="center"/>
              <w:rPr>
                <w:b w:val="0"/>
              </w:rPr>
            </w:pPr>
            <w:r w:rsidRPr="00217EB6">
              <w:rPr>
                <w:b w:val="0"/>
              </w:rPr>
              <w:t>231 (75.2)</w:t>
            </w:r>
          </w:p>
        </w:tc>
      </w:tr>
      <w:tr w:rsidR="007A57F4" w:rsidRPr="00404F30" w14:paraId="2941CA1A" w14:textId="77777777" w:rsidTr="001F429B">
        <w:tc>
          <w:tcPr>
            <w:tcW w:w="3964" w:type="dxa"/>
          </w:tcPr>
          <w:p w14:paraId="5E0E92D3" w14:textId="6896CD08" w:rsidR="007A57F4" w:rsidRPr="00404F30" w:rsidRDefault="007A57F4" w:rsidP="00125618">
            <w:pPr>
              <w:pStyle w:val="In-tableHeading"/>
              <w:rPr>
                <w:b w:val="0"/>
              </w:rPr>
            </w:pPr>
            <w:r w:rsidRPr="00217EB6">
              <w:rPr>
                <w:b w:val="0"/>
              </w:rPr>
              <w:t xml:space="preserve">Radiographic progression </w:t>
            </w:r>
            <w:r w:rsidR="007E0442">
              <w:rPr>
                <w:b w:val="0"/>
              </w:rPr>
              <w:t>–</w:t>
            </w:r>
            <w:r w:rsidRPr="00217EB6">
              <w:rPr>
                <w:b w:val="0"/>
              </w:rPr>
              <w:t xml:space="preserve"> n (%)</w:t>
            </w:r>
          </w:p>
        </w:tc>
        <w:tc>
          <w:tcPr>
            <w:tcW w:w="2552" w:type="dxa"/>
            <w:vAlign w:val="center"/>
          </w:tcPr>
          <w:p w14:paraId="7023A33B" w14:textId="77777777" w:rsidR="007A57F4" w:rsidRPr="00404F30" w:rsidRDefault="007A57F4" w:rsidP="001F429B">
            <w:pPr>
              <w:pStyle w:val="In-tableHeading"/>
              <w:jc w:val="center"/>
              <w:rPr>
                <w:b w:val="0"/>
              </w:rPr>
            </w:pPr>
            <w:r w:rsidRPr="00217EB6">
              <w:rPr>
                <w:b w:val="0"/>
              </w:rPr>
              <w:t>172 (57.1)</w:t>
            </w:r>
          </w:p>
        </w:tc>
        <w:tc>
          <w:tcPr>
            <w:tcW w:w="2501" w:type="dxa"/>
            <w:vAlign w:val="center"/>
          </w:tcPr>
          <w:p w14:paraId="223A14EF" w14:textId="77777777" w:rsidR="007A57F4" w:rsidRPr="00404F30" w:rsidRDefault="007A57F4" w:rsidP="001F429B">
            <w:pPr>
              <w:pStyle w:val="In-tableHeading"/>
              <w:jc w:val="center"/>
              <w:rPr>
                <w:b w:val="0"/>
              </w:rPr>
            </w:pPr>
            <w:r w:rsidRPr="00217EB6">
              <w:rPr>
                <w:b w:val="0"/>
              </w:rPr>
              <w:t>195 (63.5)</w:t>
            </w:r>
          </w:p>
        </w:tc>
      </w:tr>
      <w:tr w:rsidR="007A57F4" w:rsidRPr="00404F30" w14:paraId="4DD4016B" w14:textId="77777777" w:rsidTr="001F429B">
        <w:tc>
          <w:tcPr>
            <w:tcW w:w="3964" w:type="dxa"/>
          </w:tcPr>
          <w:p w14:paraId="5BF3008A" w14:textId="7DF9E972" w:rsidR="007A57F4" w:rsidRPr="00404F30" w:rsidRDefault="007A57F4" w:rsidP="00125618">
            <w:pPr>
              <w:pStyle w:val="In-tableHeading"/>
              <w:rPr>
                <w:b w:val="0"/>
              </w:rPr>
            </w:pPr>
            <w:r w:rsidRPr="00217EB6">
              <w:rPr>
                <w:b w:val="0"/>
              </w:rPr>
              <w:t xml:space="preserve">Death without documented progression </w:t>
            </w:r>
            <w:r w:rsidR="007E0442">
              <w:rPr>
                <w:b w:val="0"/>
              </w:rPr>
              <w:t>–</w:t>
            </w:r>
            <w:r w:rsidRPr="00217EB6">
              <w:rPr>
                <w:b w:val="0"/>
              </w:rPr>
              <w:t xml:space="preserve"> n (%)</w:t>
            </w:r>
          </w:p>
        </w:tc>
        <w:tc>
          <w:tcPr>
            <w:tcW w:w="2552" w:type="dxa"/>
            <w:vAlign w:val="center"/>
          </w:tcPr>
          <w:p w14:paraId="146897B6" w14:textId="77777777" w:rsidR="007A57F4" w:rsidRPr="00404F30" w:rsidRDefault="007A57F4" w:rsidP="001F429B">
            <w:pPr>
              <w:pStyle w:val="In-tableHeading"/>
              <w:jc w:val="center"/>
              <w:rPr>
                <w:b w:val="0"/>
              </w:rPr>
            </w:pPr>
            <w:r w:rsidRPr="00217EB6">
              <w:rPr>
                <w:b w:val="0"/>
              </w:rPr>
              <w:t>29 (9.6)</w:t>
            </w:r>
          </w:p>
        </w:tc>
        <w:tc>
          <w:tcPr>
            <w:tcW w:w="2501" w:type="dxa"/>
            <w:vAlign w:val="center"/>
          </w:tcPr>
          <w:p w14:paraId="0B90D1F9" w14:textId="77777777" w:rsidR="007A57F4" w:rsidRPr="00404F30" w:rsidRDefault="007A57F4" w:rsidP="001F429B">
            <w:pPr>
              <w:pStyle w:val="In-tableHeading"/>
              <w:jc w:val="center"/>
              <w:rPr>
                <w:b w:val="0"/>
              </w:rPr>
            </w:pPr>
            <w:r w:rsidRPr="00217EB6">
              <w:rPr>
                <w:b w:val="0"/>
              </w:rPr>
              <w:t>36 (11.7)</w:t>
            </w:r>
          </w:p>
        </w:tc>
      </w:tr>
      <w:tr w:rsidR="007A57F4" w:rsidRPr="00404F30" w14:paraId="1FE54000" w14:textId="77777777" w:rsidTr="001F429B">
        <w:tc>
          <w:tcPr>
            <w:tcW w:w="3964" w:type="dxa"/>
          </w:tcPr>
          <w:p w14:paraId="5947360B" w14:textId="77777777" w:rsidR="007A57F4" w:rsidRPr="00404F30" w:rsidRDefault="007A57F4" w:rsidP="00125618">
            <w:pPr>
              <w:pStyle w:val="In-tableHeading"/>
              <w:rPr>
                <w:b w:val="0"/>
              </w:rPr>
            </w:pPr>
            <w:r w:rsidRPr="00217EB6">
              <w:rPr>
                <w:b w:val="0"/>
              </w:rPr>
              <w:t>Censored, n (%)</w:t>
            </w:r>
          </w:p>
        </w:tc>
        <w:tc>
          <w:tcPr>
            <w:tcW w:w="2552" w:type="dxa"/>
            <w:vAlign w:val="center"/>
          </w:tcPr>
          <w:p w14:paraId="1BF12B79" w14:textId="77777777" w:rsidR="007A57F4" w:rsidRPr="00404F30" w:rsidRDefault="007A57F4" w:rsidP="001F429B">
            <w:pPr>
              <w:pStyle w:val="In-tableHeading"/>
              <w:jc w:val="center"/>
              <w:rPr>
                <w:b w:val="0"/>
              </w:rPr>
            </w:pPr>
            <w:r w:rsidRPr="00217EB6">
              <w:rPr>
                <w:b w:val="0"/>
              </w:rPr>
              <w:t>100 (33.2)</w:t>
            </w:r>
          </w:p>
        </w:tc>
        <w:tc>
          <w:tcPr>
            <w:tcW w:w="2501" w:type="dxa"/>
            <w:vAlign w:val="center"/>
          </w:tcPr>
          <w:p w14:paraId="0E1D94E1" w14:textId="77777777" w:rsidR="007A57F4" w:rsidRPr="00404F30" w:rsidRDefault="007A57F4" w:rsidP="001F429B">
            <w:pPr>
              <w:pStyle w:val="In-tableHeading"/>
              <w:jc w:val="center"/>
              <w:rPr>
                <w:b w:val="0"/>
              </w:rPr>
            </w:pPr>
            <w:r w:rsidRPr="00217EB6">
              <w:rPr>
                <w:b w:val="0"/>
              </w:rPr>
              <w:t>76 (24.8)</w:t>
            </w:r>
          </w:p>
        </w:tc>
      </w:tr>
      <w:tr w:rsidR="007A57F4" w:rsidRPr="00404F30" w14:paraId="63A54D18" w14:textId="77777777" w:rsidTr="001F429B">
        <w:tc>
          <w:tcPr>
            <w:tcW w:w="3964" w:type="dxa"/>
            <w:vAlign w:val="center"/>
          </w:tcPr>
          <w:p w14:paraId="38D505AF" w14:textId="77777777" w:rsidR="007A57F4" w:rsidRPr="00404F30" w:rsidRDefault="007A57F4" w:rsidP="00125618">
            <w:pPr>
              <w:pStyle w:val="In-tableHeading"/>
              <w:rPr>
                <w:b w:val="0"/>
              </w:rPr>
            </w:pPr>
            <w:r w:rsidRPr="00217EB6">
              <w:rPr>
                <w:b w:val="0"/>
              </w:rPr>
              <w:t>PFS Rate - % (95% CI)</w:t>
            </w:r>
          </w:p>
        </w:tc>
        <w:tc>
          <w:tcPr>
            <w:tcW w:w="5053" w:type="dxa"/>
            <w:gridSpan w:val="2"/>
          </w:tcPr>
          <w:p w14:paraId="5F47E190" w14:textId="77777777" w:rsidR="007A57F4" w:rsidRPr="00404F30" w:rsidRDefault="007A57F4" w:rsidP="00125618">
            <w:pPr>
              <w:pStyle w:val="In-tableHeading"/>
              <w:rPr>
                <w:b w:val="0"/>
              </w:rPr>
            </w:pPr>
          </w:p>
        </w:tc>
      </w:tr>
      <w:tr w:rsidR="007A57F4" w:rsidRPr="00404F30" w14:paraId="498654B1" w14:textId="77777777" w:rsidTr="001F429B">
        <w:tc>
          <w:tcPr>
            <w:tcW w:w="3964" w:type="dxa"/>
          </w:tcPr>
          <w:p w14:paraId="578B6E41" w14:textId="77777777" w:rsidR="007A57F4" w:rsidRPr="00404F30" w:rsidRDefault="007A57F4" w:rsidP="00125618">
            <w:pPr>
              <w:pStyle w:val="In-tableHeading"/>
              <w:rPr>
                <w:b w:val="0"/>
              </w:rPr>
            </w:pPr>
            <w:r w:rsidRPr="00217EB6">
              <w:rPr>
                <w:b w:val="0"/>
              </w:rPr>
              <w:t>At 6 months</w:t>
            </w:r>
          </w:p>
        </w:tc>
        <w:tc>
          <w:tcPr>
            <w:tcW w:w="2552" w:type="dxa"/>
            <w:vAlign w:val="center"/>
          </w:tcPr>
          <w:p w14:paraId="1B1199F8" w14:textId="77777777" w:rsidR="007A57F4" w:rsidRPr="00404F30" w:rsidRDefault="007A57F4" w:rsidP="001F429B">
            <w:pPr>
              <w:pStyle w:val="In-tableHeading"/>
              <w:jc w:val="center"/>
              <w:rPr>
                <w:b w:val="0"/>
              </w:rPr>
            </w:pPr>
            <w:r w:rsidRPr="00217EB6">
              <w:rPr>
                <w:b w:val="0"/>
              </w:rPr>
              <w:t>44.0 (37.96, 49.84)</w:t>
            </w:r>
          </w:p>
        </w:tc>
        <w:tc>
          <w:tcPr>
            <w:tcW w:w="2501" w:type="dxa"/>
            <w:vAlign w:val="center"/>
          </w:tcPr>
          <w:p w14:paraId="0D4C7738" w14:textId="77777777" w:rsidR="007A57F4" w:rsidRPr="00404F30" w:rsidRDefault="007A57F4" w:rsidP="001F429B">
            <w:pPr>
              <w:pStyle w:val="In-tableHeading"/>
              <w:jc w:val="center"/>
              <w:rPr>
                <w:b w:val="0"/>
              </w:rPr>
            </w:pPr>
            <w:r w:rsidRPr="00217EB6">
              <w:rPr>
                <w:b w:val="0"/>
              </w:rPr>
              <w:t>28.2 (22.85, 33.76)</w:t>
            </w:r>
          </w:p>
        </w:tc>
      </w:tr>
      <w:tr w:rsidR="007A57F4" w:rsidRPr="00404F30" w14:paraId="4B45725E" w14:textId="77777777" w:rsidTr="001F429B">
        <w:tc>
          <w:tcPr>
            <w:tcW w:w="3964" w:type="dxa"/>
          </w:tcPr>
          <w:p w14:paraId="416BF0BA" w14:textId="77777777" w:rsidR="007A57F4" w:rsidRPr="00404F30" w:rsidRDefault="007A57F4" w:rsidP="00125618">
            <w:pPr>
              <w:pStyle w:val="In-tableHeading"/>
              <w:rPr>
                <w:b w:val="0"/>
              </w:rPr>
            </w:pPr>
            <w:r w:rsidRPr="00217EB6">
              <w:rPr>
                <w:b w:val="0"/>
              </w:rPr>
              <w:t>At 12 months</w:t>
            </w:r>
          </w:p>
        </w:tc>
        <w:tc>
          <w:tcPr>
            <w:tcW w:w="2552" w:type="dxa"/>
            <w:vAlign w:val="center"/>
          </w:tcPr>
          <w:p w14:paraId="64FEF505" w14:textId="77777777" w:rsidR="007A57F4" w:rsidRPr="00404F30" w:rsidRDefault="007A57F4" w:rsidP="001F429B">
            <w:pPr>
              <w:pStyle w:val="In-tableHeading"/>
              <w:jc w:val="center"/>
              <w:rPr>
                <w:b w:val="0"/>
              </w:rPr>
            </w:pPr>
            <w:r w:rsidRPr="00217EB6">
              <w:rPr>
                <w:b w:val="0"/>
              </w:rPr>
              <w:t>21.7 (16.26, 27.71)</w:t>
            </w:r>
          </w:p>
        </w:tc>
        <w:tc>
          <w:tcPr>
            <w:tcW w:w="2501" w:type="dxa"/>
            <w:vAlign w:val="center"/>
          </w:tcPr>
          <w:p w14:paraId="240ABEC6" w14:textId="77777777" w:rsidR="007A57F4" w:rsidRPr="00404F30" w:rsidRDefault="007A57F4" w:rsidP="001F429B">
            <w:pPr>
              <w:pStyle w:val="In-tableHeading"/>
              <w:jc w:val="center"/>
              <w:rPr>
                <w:b w:val="0"/>
              </w:rPr>
            </w:pPr>
            <w:r w:rsidRPr="00217EB6">
              <w:rPr>
                <w:b w:val="0"/>
              </w:rPr>
              <w:t>8.3 (4.61, 13.36)</w:t>
            </w:r>
          </w:p>
        </w:tc>
      </w:tr>
      <w:tr w:rsidR="007A57F4" w:rsidRPr="00404F30" w14:paraId="350BA9B6" w14:textId="77777777" w:rsidTr="001F429B">
        <w:tc>
          <w:tcPr>
            <w:tcW w:w="3964" w:type="dxa"/>
          </w:tcPr>
          <w:p w14:paraId="42416214" w14:textId="77777777" w:rsidR="007A57F4" w:rsidRPr="00404F30" w:rsidRDefault="007A57F4" w:rsidP="00125618">
            <w:pPr>
              <w:pStyle w:val="In-tableHeading"/>
              <w:rPr>
                <w:b w:val="0"/>
              </w:rPr>
            </w:pPr>
            <w:r w:rsidRPr="00217EB6">
              <w:rPr>
                <w:b w:val="0"/>
              </w:rPr>
              <w:t>Duration of PFS (months)</w:t>
            </w:r>
          </w:p>
        </w:tc>
        <w:tc>
          <w:tcPr>
            <w:tcW w:w="5053" w:type="dxa"/>
            <w:gridSpan w:val="2"/>
            <w:vAlign w:val="center"/>
          </w:tcPr>
          <w:p w14:paraId="615C829D" w14:textId="77777777" w:rsidR="007A57F4" w:rsidRPr="00404F30" w:rsidRDefault="007A57F4" w:rsidP="00125618">
            <w:pPr>
              <w:pStyle w:val="In-tableHeading"/>
              <w:rPr>
                <w:b w:val="0"/>
              </w:rPr>
            </w:pPr>
          </w:p>
        </w:tc>
      </w:tr>
      <w:tr w:rsidR="007A57F4" w:rsidRPr="00404F30" w14:paraId="068472A3" w14:textId="77777777" w:rsidTr="001F429B">
        <w:tc>
          <w:tcPr>
            <w:tcW w:w="3964" w:type="dxa"/>
          </w:tcPr>
          <w:p w14:paraId="1B7A7B71" w14:textId="77777777" w:rsidR="007A57F4" w:rsidRPr="00404F30" w:rsidRDefault="007A57F4" w:rsidP="00125618">
            <w:pPr>
              <w:pStyle w:val="In-tableHeading"/>
              <w:rPr>
                <w:b w:val="0"/>
              </w:rPr>
            </w:pPr>
            <w:r w:rsidRPr="00217EB6">
              <w:rPr>
                <w:b w:val="0"/>
              </w:rPr>
              <w:t>Median (95% CI)</w:t>
            </w:r>
          </w:p>
        </w:tc>
        <w:tc>
          <w:tcPr>
            <w:tcW w:w="2552" w:type="dxa"/>
            <w:vAlign w:val="center"/>
          </w:tcPr>
          <w:p w14:paraId="44DE6D1A" w14:textId="77777777" w:rsidR="007A57F4" w:rsidRPr="00404F30" w:rsidRDefault="007A57F4" w:rsidP="001F429B">
            <w:pPr>
              <w:pStyle w:val="In-tableHeading"/>
              <w:jc w:val="center"/>
              <w:rPr>
                <w:b w:val="0"/>
              </w:rPr>
            </w:pPr>
            <w:r w:rsidRPr="00217EB6">
              <w:rPr>
                <w:b w:val="0"/>
              </w:rPr>
              <w:t>5.55 (5.32, 5.82)</w:t>
            </w:r>
          </w:p>
        </w:tc>
        <w:tc>
          <w:tcPr>
            <w:tcW w:w="2501" w:type="dxa"/>
            <w:vAlign w:val="center"/>
          </w:tcPr>
          <w:p w14:paraId="240C4A20" w14:textId="77777777" w:rsidR="007A57F4" w:rsidRPr="00404F30" w:rsidRDefault="007A57F4" w:rsidP="001F429B">
            <w:pPr>
              <w:pStyle w:val="In-tableHeading"/>
              <w:jc w:val="center"/>
              <w:rPr>
                <w:b w:val="0"/>
              </w:rPr>
            </w:pPr>
            <w:r w:rsidRPr="00217EB6">
              <w:rPr>
                <w:b w:val="0"/>
              </w:rPr>
              <w:t>3.71 (3.52, 3.94)</w:t>
            </w:r>
          </w:p>
        </w:tc>
      </w:tr>
      <w:tr w:rsidR="007A57F4" w:rsidRPr="00404F30" w14:paraId="26CEC08F" w14:textId="77777777" w:rsidTr="001F429B">
        <w:tc>
          <w:tcPr>
            <w:tcW w:w="3964" w:type="dxa"/>
            <w:vAlign w:val="center"/>
          </w:tcPr>
          <w:p w14:paraId="222E95DB" w14:textId="77777777" w:rsidR="007A57F4" w:rsidRPr="00217EB6" w:rsidRDefault="007A57F4" w:rsidP="00125618">
            <w:pPr>
              <w:pStyle w:val="In-tableHeading"/>
              <w:rPr>
                <w:b w:val="0"/>
              </w:rPr>
            </w:pPr>
            <w:r>
              <w:rPr>
                <w:b w:val="0"/>
              </w:rPr>
              <w:t xml:space="preserve">Difference </w:t>
            </w:r>
          </w:p>
        </w:tc>
        <w:tc>
          <w:tcPr>
            <w:tcW w:w="5053" w:type="dxa"/>
            <w:gridSpan w:val="2"/>
            <w:vAlign w:val="center"/>
          </w:tcPr>
          <w:p w14:paraId="7037C6B3" w14:textId="77777777" w:rsidR="007A57F4" w:rsidRPr="00217EB6" w:rsidRDefault="007A57F4" w:rsidP="001F429B">
            <w:pPr>
              <w:pStyle w:val="In-tableHeading"/>
              <w:jc w:val="center"/>
              <w:rPr>
                <w:b w:val="0"/>
              </w:rPr>
            </w:pPr>
            <w:r>
              <w:rPr>
                <w:b w:val="0"/>
              </w:rPr>
              <w:t>1.84</w:t>
            </w:r>
          </w:p>
        </w:tc>
      </w:tr>
      <w:tr w:rsidR="007A57F4" w:rsidRPr="00404F30" w14:paraId="65AC1BB5" w14:textId="77777777" w:rsidTr="001F429B">
        <w:tc>
          <w:tcPr>
            <w:tcW w:w="3964" w:type="dxa"/>
            <w:vAlign w:val="center"/>
          </w:tcPr>
          <w:p w14:paraId="64BDE76B" w14:textId="77777777" w:rsidR="007A57F4" w:rsidRPr="00404F30" w:rsidRDefault="007A57F4" w:rsidP="00125618">
            <w:pPr>
              <w:pStyle w:val="In-tableHeading"/>
              <w:rPr>
                <w:b w:val="0"/>
              </w:rPr>
            </w:pPr>
            <w:r w:rsidRPr="00217EB6">
              <w:rPr>
                <w:b w:val="0"/>
              </w:rPr>
              <w:t>HR (95% CI)</w:t>
            </w:r>
          </w:p>
        </w:tc>
        <w:tc>
          <w:tcPr>
            <w:tcW w:w="5053" w:type="dxa"/>
            <w:gridSpan w:val="2"/>
            <w:vAlign w:val="center"/>
          </w:tcPr>
          <w:p w14:paraId="6463D9EC" w14:textId="3E4FD647" w:rsidR="007A57F4" w:rsidRPr="00404F30" w:rsidRDefault="007A57F4" w:rsidP="001F429B">
            <w:pPr>
              <w:pStyle w:val="In-tableHeading"/>
              <w:jc w:val="center"/>
              <w:rPr>
                <w:b w:val="0"/>
              </w:rPr>
            </w:pPr>
            <w:r w:rsidRPr="00217EB6">
              <w:rPr>
                <w:b w:val="0"/>
              </w:rPr>
              <w:t>0.6</w:t>
            </w:r>
            <w:r w:rsidR="00386BA2">
              <w:rPr>
                <w:b w:val="0"/>
              </w:rPr>
              <w:t>2</w:t>
            </w:r>
            <w:r w:rsidRPr="00217EB6">
              <w:rPr>
                <w:b w:val="0"/>
              </w:rPr>
              <w:t xml:space="preserve"> (0.5</w:t>
            </w:r>
            <w:r w:rsidR="00386BA2">
              <w:rPr>
                <w:b w:val="0"/>
              </w:rPr>
              <w:t>1</w:t>
            </w:r>
            <w:r w:rsidRPr="00217EB6">
              <w:rPr>
                <w:b w:val="0"/>
              </w:rPr>
              <w:t>, 0.7</w:t>
            </w:r>
            <w:r w:rsidR="00386BA2">
              <w:rPr>
                <w:b w:val="0"/>
              </w:rPr>
              <w:t>5</w:t>
            </w:r>
            <w:r w:rsidRPr="00217EB6">
              <w:rPr>
                <w:b w:val="0"/>
              </w:rPr>
              <w:t>)</w:t>
            </w:r>
          </w:p>
        </w:tc>
      </w:tr>
    </w:tbl>
    <w:p w14:paraId="16AFDAF4" w14:textId="77777777" w:rsidR="007A57F4" w:rsidRDefault="007A57F4" w:rsidP="007A57F4">
      <w:pPr>
        <w:pStyle w:val="TableFigureFooter"/>
        <w:rPr>
          <w:lang w:eastAsia="en-US"/>
        </w:rPr>
      </w:pPr>
      <w:r w:rsidRPr="00404F30">
        <w:rPr>
          <w:lang w:eastAsia="en-US"/>
        </w:rPr>
        <w:t xml:space="preserve">Source: Table </w:t>
      </w:r>
      <w:r>
        <w:rPr>
          <w:lang w:eastAsia="en-US"/>
        </w:rPr>
        <w:t>2.5-1, p34 and Table 2.5-2, p37 of the submission</w:t>
      </w:r>
      <w:r w:rsidRPr="00404F30">
        <w:rPr>
          <w:lang w:eastAsia="en-US"/>
        </w:rPr>
        <w:t xml:space="preserve"> </w:t>
      </w:r>
    </w:p>
    <w:p w14:paraId="736F8134" w14:textId="77777777" w:rsidR="007A57F4" w:rsidRPr="00404F30" w:rsidRDefault="007A57F4" w:rsidP="007A57F4">
      <w:pPr>
        <w:pStyle w:val="TableFigureFooter"/>
        <w:rPr>
          <w:lang w:eastAsia="en-US"/>
        </w:rPr>
      </w:pPr>
      <w:r w:rsidRPr="00404F30">
        <w:rPr>
          <w:lang w:eastAsia="en-US"/>
        </w:rPr>
        <w:t>CI = confidence interval; HR = hazard ratio; n = number with outco</w:t>
      </w:r>
      <w:r>
        <w:rPr>
          <w:lang w:eastAsia="en-US"/>
        </w:rPr>
        <w:t>me; N = total number in sample; PFS = progression free survival.</w:t>
      </w:r>
    </w:p>
    <w:p w14:paraId="17BC9B6F" w14:textId="448FC254" w:rsidR="007A57F4" w:rsidRDefault="007A57F4" w:rsidP="007A57F4">
      <w:pPr>
        <w:pStyle w:val="TableHeading"/>
        <w:rPr>
          <w:color w:val="0066FF"/>
        </w:rPr>
      </w:pPr>
      <w:r>
        <w:t xml:space="preserve">Figure </w:t>
      </w:r>
      <w:r w:rsidR="00F06F14">
        <w:fldChar w:fldCharType="begin"/>
      </w:r>
      <w:r w:rsidR="00F06F14">
        <w:instrText xml:space="preserve"> SEQ Figure \* ARABIC </w:instrText>
      </w:r>
      <w:r w:rsidR="00F06F14">
        <w:fldChar w:fldCharType="separate"/>
      </w:r>
      <w:r w:rsidR="00BF7DF4">
        <w:rPr>
          <w:noProof/>
        </w:rPr>
        <w:t>1</w:t>
      </w:r>
      <w:r w:rsidR="00F06F14">
        <w:rPr>
          <w:noProof/>
        </w:rPr>
        <w:fldChar w:fldCharType="end"/>
      </w:r>
      <w:r>
        <w:t xml:space="preserve">: </w:t>
      </w:r>
      <w:r w:rsidRPr="00B03399">
        <w:rPr>
          <w:snapToGrid/>
          <w:lang w:eastAsia="en-US"/>
        </w:rPr>
        <w:t>Kaplan-Meier plot of OS by treatment group in the EV-301 trial (ITT population</w:t>
      </w:r>
      <w:r w:rsidR="009449A8">
        <w:rPr>
          <w:snapToGrid/>
          <w:lang w:eastAsia="en-US"/>
        </w:rPr>
        <w:t xml:space="preserve">, </w:t>
      </w:r>
      <w:r w:rsidR="009449A8" w:rsidRPr="009449A8">
        <w:rPr>
          <w:snapToGrid/>
          <w:lang w:eastAsia="en-US"/>
        </w:rPr>
        <w:t>interim data cut-off</w:t>
      </w:r>
      <w:r w:rsidRPr="00B03399">
        <w:rPr>
          <w:snapToGrid/>
          <w:lang w:eastAsia="en-US"/>
        </w:rPr>
        <w:t>)</w:t>
      </w:r>
    </w:p>
    <w:p w14:paraId="39A3A866" w14:textId="77777777" w:rsidR="007A57F4" w:rsidRDefault="007A57F4" w:rsidP="00D26531">
      <w:pPr>
        <w:pStyle w:val="3-BodyText"/>
        <w:numPr>
          <w:ilvl w:val="0"/>
          <w:numId w:val="0"/>
        </w:numPr>
        <w:rPr>
          <w:color w:val="0066FF"/>
        </w:rPr>
      </w:pPr>
      <w:r>
        <w:rPr>
          <w:noProof/>
        </w:rPr>
        <w:drawing>
          <wp:inline distT="0" distB="0" distL="0" distR="0" wp14:anchorId="47288F57" wp14:editId="1C70D5C8">
            <wp:extent cx="5724525" cy="3152775"/>
            <wp:effectExtent l="0" t="0" r="0" b="0"/>
            <wp:docPr id="13" name="Picture 13" descr="Figure 1: Kaplan-Meier plot of OS by treatment group in the EV-301 trial (ITT population, interim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1: Kaplan-Meier plot of OS by treatment group in the EV-301 trial (ITT population, interim data cut-off)"/>
                    <pic:cNvPicPr/>
                  </pic:nvPicPr>
                  <pic:blipFill>
                    <a:blip r:embed="rId8"/>
                    <a:stretch>
                      <a:fillRect/>
                    </a:stretch>
                  </pic:blipFill>
                  <pic:spPr>
                    <a:xfrm>
                      <a:off x="0" y="0"/>
                      <a:ext cx="5724525" cy="3152775"/>
                    </a:xfrm>
                    <a:prstGeom prst="rect">
                      <a:avLst/>
                    </a:prstGeom>
                  </pic:spPr>
                </pic:pic>
              </a:graphicData>
            </a:graphic>
          </wp:inline>
        </w:drawing>
      </w:r>
    </w:p>
    <w:p w14:paraId="568017F0" w14:textId="77777777" w:rsidR="007A57F4" w:rsidRDefault="007A57F4" w:rsidP="007A57F4">
      <w:pPr>
        <w:pStyle w:val="TableFigureFooter"/>
      </w:pPr>
      <w:r>
        <w:t>Source: Figure 2-4, p34 of the submission.</w:t>
      </w:r>
    </w:p>
    <w:p w14:paraId="0B232596" w14:textId="261C0E63" w:rsidR="007A57F4" w:rsidRDefault="007A57F4" w:rsidP="007A57F4">
      <w:pPr>
        <w:pStyle w:val="TableFigureHeading"/>
      </w:pPr>
      <w:r>
        <w:t xml:space="preserve">Figure </w:t>
      </w:r>
      <w:r w:rsidR="00F06F14">
        <w:fldChar w:fldCharType="begin"/>
      </w:r>
      <w:r w:rsidR="00F06F14">
        <w:instrText xml:space="preserve"> SEQ Figure \* ARABIC </w:instrText>
      </w:r>
      <w:r w:rsidR="00F06F14">
        <w:fldChar w:fldCharType="separate"/>
      </w:r>
      <w:r w:rsidR="00BF7DF4">
        <w:rPr>
          <w:noProof/>
        </w:rPr>
        <w:t>2</w:t>
      </w:r>
      <w:r w:rsidR="00F06F14">
        <w:rPr>
          <w:noProof/>
        </w:rPr>
        <w:fldChar w:fldCharType="end"/>
      </w:r>
      <w:r>
        <w:t xml:space="preserve">: </w:t>
      </w:r>
      <w:r w:rsidRPr="00B03399">
        <w:t>Kaplan-Meier plot of PFS by treatment group in the EV-301 trial (ITT population</w:t>
      </w:r>
      <w:r w:rsidR="009449A8">
        <w:t xml:space="preserve">, </w:t>
      </w:r>
      <w:r w:rsidR="009449A8" w:rsidRPr="009449A8">
        <w:t>interim data cut-off</w:t>
      </w:r>
      <w:r w:rsidRPr="00B03399">
        <w:t>)</w:t>
      </w:r>
    </w:p>
    <w:p w14:paraId="5E65A556" w14:textId="77777777" w:rsidR="007A57F4" w:rsidRDefault="007A57F4" w:rsidP="00D26531">
      <w:pPr>
        <w:pStyle w:val="3-BodyText"/>
        <w:numPr>
          <w:ilvl w:val="0"/>
          <w:numId w:val="0"/>
        </w:numPr>
        <w:ind w:left="-142"/>
        <w:rPr>
          <w:color w:val="0066FF"/>
        </w:rPr>
      </w:pPr>
      <w:r>
        <w:rPr>
          <w:noProof/>
        </w:rPr>
        <w:drawing>
          <wp:inline distT="0" distB="0" distL="0" distR="0" wp14:anchorId="4D381E5C" wp14:editId="07EE8351">
            <wp:extent cx="5732145" cy="3067685"/>
            <wp:effectExtent l="0" t="0" r="1905" b="0"/>
            <wp:docPr id="14" name="Picture 14" descr="Figure 2: Kaplan-Meier plot of PFS by treatment group in the EV-301 trial (ITT population, interim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2: Kaplan-Meier plot of PFS by treatment group in the EV-301 trial (ITT population, interim data cut-off)"/>
                    <pic:cNvPicPr/>
                  </pic:nvPicPr>
                  <pic:blipFill>
                    <a:blip r:embed="rId9"/>
                    <a:stretch>
                      <a:fillRect/>
                    </a:stretch>
                  </pic:blipFill>
                  <pic:spPr>
                    <a:xfrm>
                      <a:off x="0" y="0"/>
                      <a:ext cx="5732145" cy="3067685"/>
                    </a:xfrm>
                    <a:prstGeom prst="rect">
                      <a:avLst/>
                    </a:prstGeom>
                  </pic:spPr>
                </pic:pic>
              </a:graphicData>
            </a:graphic>
          </wp:inline>
        </w:drawing>
      </w:r>
    </w:p>
    <w:p w14:paraId="7C84B6C5" w14:textId="77777777" w:rsidR="007A57F4" w:rsidRPr="00B03399" w:rsidRDefault="007A57F4" w:rsidP="007A57F4">
      <w:pPr>
        <w:pStyle w:val="TableFigureFooter"/>
      </w:pPr>
      <w:r>
        <w:t>Source: Figure 2-7, p37 of the submission.</w:t>
      </w:r>
    </w:p>
    <w:p w14:paraId="0A649E4D" w14:textId="2B4792D4" w:rsidR="007A57F4" w:rsidRDefault="007A57F4" w:rsidP="007A57F4">
      <w:pPr>
        <w:pStyle w:val="3-BodyText"/>
      </w:pPr>
      <w:r w:rsidRPr="00DE66E7">
        <w:t>Following the EV-301 protocol, an interim analysis was performed when approximately 285 OS events (65% of the total planned events) had occurred in the trial. At the interim data cut-off of 15 July 2020 (median follow-up 11.1 months), a statistically significant OS benefit was ob</w:t>
      </w:r>
      <w:r>
        <w:t xml:space="preserve">served in the </w:t>
      </w:r>
      <w:proofErr w:type="spellStart"/>
      <w:r w:rsidR="007679F6">
        <w:t>enfortumab</w:t>
      </w:r>
      <w:proofErr w:type="spellEnd"/>
      <w:r w:rsidR="007679F6">
        <w:t xml:space="preserve"> </w:t>
      </w:r>
      <w:proofErr w:type="spellStart"/>
      <w:r w:rsidR="007679F6">
        <w:t>vedotin</w:t>
      </w:r>
      <w:proofErr w:type="spellEnd"/>
      <w:r w:rsidRPr="00DE66E7">
        <w:t xml:space="preserve"> arm compared to the chemotherapy arm. The independent data monitoring committee (IDMC) recommended early termination of EV-301 based on this significant difference.</w:t>
      </w:r>
    </w:p>
    <w:p w14:paraId="5119B7D4" w14:textId="0D98383A" w:rsidR="007A57F4" w:rsidRPr="0070260D" w:rsidRDefault="007A57F4" w:rsidP="007A57F4">
      <w:pPr>
        <w:pStyle w:val="3-BodyText"/>
      </w:pPr>
      <w:r>
        <w:rPr>
          <w:iCs/>
        </w:rPr>
        <w:t xml:space="preserve">Treatment with </w:t>
      </w:r>
      <w:proofErr w:type="spellStart"/>
      <w:r w:rsidR="007679F6">
        <w:rPr>
          <w:iCs/>
        </w:rPr>
        <w:t>enfortumab</w:t>
      </w:r>
      <w:proofErr w:type="spellEnd"/>
      <w:r w:rsidR="007679F6">
        <w:rPr>
          <w:iCs/>
        </w:rPr>
        <w:t xml:space="preserve"> </w:t>
      </w:r>
      <w:proofErr w:type="spellStart"/>
      <w:r w:rsidR="007679F6">
        <w:rPr>
          <w:iCs/>
        </w:rPr>
        <w:t>vedotin</w:t>
      </w:r>
      <w:proofErr w:type="spellEnd"/>
      <w:r>
        <w:rPr>
          <w:iCs/>
        </w:rPr>
        <w:t xml:space="preserve"> reduced the risk of death (HR </w:t>
      </w:r>
      <w:r w:rsidRPr="004E1CDA">
        <w:rPr>
          <w:iCs/>
        </w:rPr>
        <w:t>0.70</w:t>
      </w:r>
      <w:r>
        <w:rPr>
          <w:iCs/>
        </w:rPr>
        <w:t>, 95% CI [</w:t>
      </w:r>
      <w:r w:rsidRPr="004E1CDA">
        <w:rPr>
          <w:iCs/>
        </w:rPr>
        <w:t>0.56, 0.89</w:t>
      </w:r>
      <w:r>
        <w:rPr>
          <w:iCs/>
        </w:rPr>
        <w:t xml:space="preserve">]) compared with chemotherapy and median OS extended by about 4 months. </w:t>
      </w:r>
      <w:r w:rsidRPr="00A25DCB">
        <w:t xml:space="preserve">However, at this interim analysis, the data remain immature; approximately 55% of patients in the </w:t>
      </w:r>
      <w:proofErr w:type="spellStart"/>
      <w:r w:rsidR="007679F6" w:rsidRPr="00A25DCB">
        <w:t>enfortumab</w:t>
      </w:r>
      <w:proofErr w:type="spellEnd"/>
      <w:r w:rsidR="007679F6" w:rsidRPr="00A25DCB">
        <w:t xml:space="preserve"> </w:t>
      </w:r>
      <w:proofErr w:type="spellStart"/>
      <w:r w:rsidR="007679F6" w:rsidRPr="00A25DCB">
        <w:t>vedotin</w:t>
      </w:r>
      <w:proofErr w:type="spellEnd"/>
      <w:r w:rsidRPr="00A25DCB">
        <w:t xml:space="preserve"> arm and 45% of patients in the chemotherapy arm were still alive. Heavy censoring was also noted from 6 months onward</w:t>
      </w:r>
      <w:r w:rsidR="005565D8" w:rsidRPr="00A25DCB">
        <w:t xml:space="preserve"> and</w:t>
      </w:r>
      <w:r w:rsidRPr="00A25DCB">
        <w:t xml:space="preserve"> the number of patients at risk rapidly drops</w:t>
      </w:r>
      <w:r w:rsidR="005565D8" w:rsidRPr="00A25DCB">
        <w:t xml:space="preserve"> from this time point</w:t>
      </w:r>
      <w:r w:rsidRPr="00A25DCB">
        <w:t>.</w:t>
      </w:r>
      <w:r w:rsidR="00EE31C1">
        <w:t xml:space="preserve"> </w:t>
      </w:r>
      <w:r w:rsidR="00EE31C1" w:rsidRPr="0070260D">
        <w:t>The ESC considered the OS benefit to be modest.</w:t>
      </w:r>
    </w:p>
    <w:p w14:paraId="62AE2145" w14:textId="731B489A" w:rsidR="007A57F4" w:rsidRPr="00327ACF" w:rsidRDefault="007A57F4" w:rsidP="007A57F4">
      <w:pPr>
        <w:pStyle w:val="3-BodyText"/>
      </w:pPr>
      <w:r w:rsidRPr="00327ACF">
        <w:rPr>
          <w:iCs/>
        </w:rPr>
        <w:t xml:space="preserve">Treatment with </w:t>
      </w:r>
      <w:proofErr w:type="spellStart"/>
      <w:r w:rsidR="007679F6">
        <w:rPr>
          <w:iCs/>
        </w:rPr>
        <w:t>enfortumab</w:t>
      </w:r>
      <w:proofErr w:type="spellEnd"/>
      <w:r w:rsidR="007679F6">
        <w:rPr>
          <w:iCs/>
        </w:rPr>
        <w:t xml:space="preserve"> </w:t>
      </w:r>
      <w:proofErr w:type="spellStart"/>
      <w:r w:rsidR="007679F6">
        <w:rPr>
          <w:iCs/>
        </w:rPr>
        <w:t>vedotin</w:t>
      </w:r>
      <w:proofErr w:type="spellEnd"/>
      <w:r w:rsidRPr="00327ACF">
        <w:rPr>
          <w:iCs/>
        </w:rPr>
        <w:t xml:space="preserve"> </w:t>
      </w:r>
      <w:r>
        <w:rPr>
          <w:iCs/>
        </w:rPr>
        <w:t xml:space="preserve">also </w:t>
      </w:r>
      <w:r w:rsidRPr="00327ACF">
        <w:rPr>
          <w:iCs/>
        </w:rPr>
        <w:t xml:space="preserve">reduced the risk of </w:t>
      </w:r>
      <w:r>
        <w:rPr>
          <w:iCs/>
        </w:rPr>
        <w:t xml:space="preserve">progression or </w:t>
      </w:r>
      <w:r w:rsidRPr="00327ACF">
        <w:rPr>
          <w:iCs/>
        </w:rPr>
        <w:t>death</w:t>
      </w:r>
      <w:r>
        <w:rPr>
          <w:iCs/>
        </w:rPr>
        <w:t xml:space="preserve"> (HR </w:t>
      </w:r>
      <w:r w:rsidRPr="00327ACF">
        <w:rPr>
          <w:iCs/>
        </w:rPr>
        <w:t>0.6</w:t>
      </w:r>
      <w:r w:rsidR="00386BA2">
        <w:rPr>
          <w:iCs/>
        </w:rPr>
        <w:t>2</w:t>
      </w:r>
      <w:r w:rsidRPr="00327ACF">
        <w:rPr>
          <w:iCs/>
        </w:rPr>
        <w:t xml:space="preserve"> </w:t>
      </w:r>
      <w:r>
        <w:rPr>
          <w:iCs/>
        </w:rPr>
        <w:t>95% CI [</w:t>
      </w:r>
      <w:r w:rsidRPr="00327ACF">
        <w:rPr>
          <w:iCs/>
        </w:rPr>
        <w:t>0.5</w:t>
      </w:r>
      <w:r w:rsidR="00386BA2">
        <w:rPr>
          <w:iCs/>
        </w:rPr>
        <w:t>1</w:t>
      </w:r>
      <w:r w:rsidRPr="00327ACF">
        <w:rPr>
          <w:iCs/>
        </w:rPr>
        <w:t>, 0.7</w:t>
      </w:r>
      <w:r w:rsidR="00386BA2">
        <w:rPr>
          <w:iCs/>
        </w:rPr>
        <w:t>5</w:t>
      </w:r>
      <w:r>
        <w:rPr>
          <w:iCs/>
        </w:rPr>
        <w:t>]</w:t>
      </w:r>
      <w:r w:rsidRPr="00327ACF">
        <w:rPr>
          <w:iCs/>
        </w:rPr>
        <w:t>)</w:t>
      </w:r>
      <w:r>
        <w:rPr>
          <w:iCs/>
        </w:rPr>
        <w:t xml:space="preserve"> compared with chemotherapy, with a median PFS benefit just under 2 months. </w:t>
      </w:r>
    </w:p>
    <w:p w14:paraId="4D3F4B6D" w14:textId="680EB6E2" w:rsidR="007A57F4" w:rsidRDefault="007A57F4" w:rsidP="007A57F4">
      <w:pPr>
        <w:pStyle w:val="3-BodyText"/>
      </w:pPr>
      <w:r w:rsidRPr="00A25DCB">
        <w:t xml:space="preserve">Exploratory subgroup analyses suggested consistent benefit of </w:t>
      </w:r>
      <w:proofErr w:type="spellStart"/>
      <w:r w:rsidR="007679F6" w:rsidRPr="00A25DCB">
        <w:t>enfortumab</w:t>
      </w:r>
      <w:proofErr w:type="spellEnd"/>
      <w:r w:rsidR="007679F6" w:rsidRPr="00A25DCB">
        <w:t xml:space="preserve"> </w:t>
      </w:r>
      <w:proofErr w:type="spellStart"/>
      <w:r w:rsidR="007679F6" w:rsidRPr="00A25DCB">
        <w:t>vedotin</w:t>
      </w:r>
      <w:proofErr w:type="spellEnd"/>
      <w:r w:rsidRPr="00A25DCB">
        <w:t xml:space="preserve"> vs chemotherapy across the three chemotherapy regimens (docetaxel, paclitaxel and vinflunine).</w:t>
      </w:r>
    </w:p>
    <w:p w14:paraId="178AF5A3" w14:textId="2545B2BB" w:rsidR="008F4EB2" w:rsidRPr="00A25DCB" w:rsidRDefault="008F4EB2" w:rsidP="007A57F4">
      <w:pPr>
        <w:pStyle w:val="3-BodyText"/>
      </w:pPr>
      <w:r>
        <w:t xml:space="preserve">The PBAC noted that patients in the </w:t>
      </w:r>
      <w:proofErr w:type="spellStart"/>
      <w:r>
        <w:t>enfortumab</w:t>
      </w:r>
      <w:proofErr w:type="spellEnd"/>
      <w:r>
        <w:t xml:space="preserve"> </w:t>
      </w:r>
      <w:proofErr w:type="spellStart"/>
      <w:r>
        <w:t>vedotin</w:t>
      </w:r>
      <w:proofErr w:type="spellEnd"/>
      <w:r>
        <w:t xml:space="preserve"> arm had approximately twice the overall response rate recorded (117/288 (40.6%)), compared to the chemotherapy arm (53/296 (17.9%)) in the interim analysis of the ITT population.</w:t>
      </w:r>
    </w:p>
    <w:p w14:paraId="103D7C00" w14:textId="0F79EB87" w:rsidR="007A57F4" w:rsidRPr="0070260D" w:rsidRDefault="007A57F4" w:rsidP="007A57F4">
      <w:pPr>
        <w:pStyle w:val="3-BodyText"/>
      </w:pPr>
      <w:bookmarkStart w:id="13" w:name="_Ref95664135"/>
      <w:r w:rsidRPr="00327ACF">
        <w:t xml:space="preserve">No statistically significant differences in the </w:t>
      </w:r>
      <w:r>
        <w:t xml:space="preserve">mean change from baseline </w:t>
      </w:r>
      <w:r w:rsidRPr="00785CDB">
        <w:t>to Week 12 in EORTC QLQ-C30</w:t>
      </w:r>
      <w:r>
        <w:t xml:space="preserve"> data between </w:t>
      </w:r>
      <w:proofErr w:type="spellStart"/>
      <w:r w:rsidR="007679F6">
        <w:t>enfortumab</w:t>
      </w:r>
      <w:proofErr w:type="spellEnd"/>
      <w:r w:rsidR="007679F6">
        <w:t xml:space="preserve"> </w:t>
      </w:r>
      <w:proofErr w:type="spellStart"/>
      <w:r w:rsidR="007679F6">
        <w:t>vedotin</w:t>
      </w:r>
      <w:proofErr w:type="spellEnd"/>
      <w:r>
        <w:t xml:space="preserve"> and chemotherapy arms</w:t>
      </w:r>
      <w:r w:rsidR="00594CAA">
        <w:t xml:space="preserve"> were identified</w:t>
      </w:r>
      <w:r>
        <w:t xml:space="preserve">, though there was a trend favouring </w:t>
      </w:r>
      <w:proofErr w:type="spellStart"/>
      <w:r w:rsidR="007679F6">
        <w:t>enfortumab</w:t>
      </w:r>
      <w:proofErr w:type="spellEnd"/>
      <w:r w:rsidR="007679F6">
        <w:t xml:space="preserve"> </w:t>
      </w:r>
      <w:proofErr w:type="spellStart"/>
      <w:r w:rsidR="007679F6">
        <w:t>vedotin</w:t>
      </w:r>
      <w:proofErr w:type="spellEnd"/>
      <w:r>
        <w:t xml:space="preserve">, with </w:t>
      </w:r>
      <w:r w:rsidRPr="00327ACF">
        <w:t>patients in the chemotherapy arm report</w:t>
      </w:r>
      <w:r>
        <w:t>ing</w:t>
      </w:r>
      <w:r w:rsidRPr="00327ACF">
        <w:t xml:space="preserve"> more negative effects on physical functioning, global </w:t>
      </w:r>
      <w:proofErr w:type="gramStart"/>
      <w:r w:rsidRPr="00327ACF">
        <w:t>health</w:t>
      </w:r>
      <w:proofErr w:type="gramEnd"/>
      <w:r w:rsidRPr="00327ACF">
        <w:t xml:space="preserve"> and role functioning</w:t>
      </w:r>
      <w:r>
        <w:t>.</w:t>
      </w:r>
      <w:r w:rsidRPr="00785CDB">
        <w:rPr>
          <w:rFonts w:ascii="Calibri" w:hAnsi="Calibri"/>
          <w:i/>
          <w:iCs/>
          <w:snapToGrid/>
        </w:rPr>
        <w:t xml:space="preserve"> </w:t>
      </w:r>
      <w:r w:rsidRPr="00A25DCB">
        <w:rPr>
          <w:rFonts w:ascii="Calibri" w:hAnsi="Calibri"/>
          <w:snapToGrid/>
        </w:rPr>
        <w:t xml:space="preserve">Given the low compliance rate (the number of subjects who completed the questionnaires divided by the total number of subjects who are expected to complete the questionnaires), and the open label design of the trial, </w:t>
      </w:r>
      <w:r w:rsidRPr="00A25DCB">
        <w:t xml:space="preserve">health related quality of life (QoL) data </w:t>
      </w:r>
      <w:proofErr w:type="gramStart"/>
      <w:r w:rsidRPr="00A25DCB">
        <w:t>are</w:t>
      </w:r>
      <w:proofErr w:type="gramEnd"/>
      <w:r w:rsidRPr="00A25DCB">
        <w:t xml:space="preserve"> subject to bias. </w:t>
      </w:r>
      <w:r w:rsidR="005A0DFE" w:rsidRPr="0070260D">
        <w:t xml:space="preserve">The Pre-Sub-Committee Response (PSCR) stated that compliance with the completion of questionnaires was consistently numerically lower in the chemotherapy arm. The PSCR argued that if there was a bias toward people in better health states completing the questionnaires then the direction of the bias would be against </w:t>
      </w:r>
      <w:proofErr w:type="spellStart"/>
      <w:r w:rsidR="005A0DFE" w:rsidRPr="0070260D">
        <w:t>enfortumab</w:t>
      </w:r>
      <w:proofErr w:type="spellEnd"/>
      <w:r w:rsidR="005A0DFE" w:rsidRPr="0070260D">
        <w:t xml:space="preserve"> </w:t>
      </w:r>
      <w:proofErr w:type="spellStart"/>
      <w:r w:rsidR="005A0DFE" w:rsidRPr="0070260D">
        <w:t>vedotin</w:t>
      </w:r>
      <w:proofErr w:type="spellEnd"/>
      <w:r w:rsidR="005A0DFE" w:rsidRPr="0070260D">
        <w:t>.</w:t>
      </w:r>
      <w:bookmarkEnd w:id="13"/>
      <w:r w:rsidR="005A0DFE" w:rsidRPr="0070260D">
        <w:t xml:space="preserve"> </w:t>
      </w:r>
    </w:p>
    <w:p w14:paraId="5F8C6025" w14:textId="75F7CC16" w:rsidR="00290B29" w:rsidRPr="0070260D" w:rsidRDefault="00290B29" w:rsidP="007A57F4">
      <w:pPr>
        <w:pStyle w:val="3-BodyText"/>
      </w:pPr>
      <w:r w:rsidRPr="0070260D">
        <w:t>The PSCR</w:t>
      </w:r>
      <w:r w:rsidR="005A0DFE" w:rsidRPr="0070260D">
        <w:t xml:space="preserve"> </w:t>
      </w:r>
      <w:r w:rsidRPr="0070260D">
        <w:t xml:space="preserve">presented updated OS data (under embargo) for </w:t>
      </w:r>
      <w:proofErr w:type="spellStart"/>
      <w:r w:rsidRPr="0070260D">
        <w:t>enfortumab</w:t>
      </w:r>
      <w:proofErr w:type="spellEnd"/>
      <w:r w:rsidRPr="0070260D">
        <w:t xml:space="preserve"> </w:t>
      </w:r>
      <w:proofErr w:type="spellStart"/>
      <w:r w:rsidRPr="0070260D">
        <w:t>vedotin</w:t>
      </w:r>
      <w:proofErr w:type="spellEnd"/>
      <w:r w:rsidRPr="0070260D">
        <w:t xml:space="preserve"> compared to all chemotherapy patients (n=307) and those on </w:t>
      </w:r>
      <w:proofErr w:type="spellStart"/>
      <w:r w:rsidRPr="0070260D">
        <w:t>taxanes</w:t>
      </w:r>
      <w:proofErr w:type="spellEnd"/>
      <w:r w:rsidRPr="0070260D">
        <w:t xml:space="preserve"> (n=229) in the EV-301 trial. </w:t>
      </w:r>
      <w:r w:rsidR="000946D1" w:rsidRPr="0070260D">
        <w:t xml:space="preserve">The ESC </w:t>
      </w:r>
      <w:r w:rsidR="00A05D1A" w:rsidRPr="0070260D">
        <w:t>noted</w:t>
      </w:r>
      <w:r w:rsidR="000946D1" w:rsidRPr="0070260D">
        <w:t xml:space="preserve"> that at the interim analysis (data cut-off 15 July 2020; median follow-up 11.1 months) the EV-301 trial was terminated. The study database was subsequently locked </w:t>
      </w:r>
      <w:proofErr w:type="gramStart"/>
      <w:r w:rsidR="000946D1" w:rsidRPr="0070260D">
        <w:t>for</w:t>
      </w:r>
      <w:proofErr w:type="gramEnd"/>
      <w:r w:rsidR="000946D1" w:rsidRPr="0070260D">
        <w:t xml:space="preserve"> the primary efficacy analysis, and the protocol was amended to allow subjects in the chemotherapy arm to switch to receive treatment with </w:t>
      </w:r>
      <w:proofErr w:type="spellStart"/>
      <w:r w:rsidR="000946D1" w:rsidRPr="0070260D">
        <w:t>enfortumab</w:t>
      </w:r>
      <w:proofErr w:type="spellEnd"/>
      <w:r w:rsidR="000946D1" w:rsidRPr="0070260D">
        <w:t xml:space="preserve"> </w:t>
      </w:r>
      <w:proofErr w:type="spellStart"/>
      <w:r w:rsidR="000946D1" w:rsidRPr="0070260D">
        <w:t>vedotin</w:t>
      </w:r>
      <w:proofErr w:type="spellEnd"/>
      <w:r w:rsidR="000946D1" w:rsidRPr="0070260D">
        <w:t xml:space="preserve">. </w:t>
      </w:r>
      <w:proofErr w:type="gramStart"/>
      <w:r w:rsidR="000946D1" w:rsidRPr="0070260D">
        <w:t>With this in mind, the</w:t>
      </w:r>
      <w:proofErr w:type="gramEnd"/>
      <w:r w:rsidR="000946D1" w:rsidRPr="0070260D">
        <w:t xml:space="preserve"> ESC considered these data suggest the treatment effect in the original submission was accurate and </w:t>
      </w:r>
      <w:r w:rsidR="00A915A5" w:rsidRPr="0070260D">
        <w:t>reduced</w:t>
      </w:r>
      <w:r w:rsidR="000946D1" w:rsidRPr="0070260D">
        <w:t xml:space="preserve"> the uncertainty associated with the initial data presented. </w:t>
      </w:r>
    </w:p>
    <w:p w14:paraId="74CA4217" w14:textId="5BAE0479" w:rsidR="00290B29" w:rsidRPr="0070260D" w:rsidRDefault="00290B29" w:rsidP="00290B29">
      <w:pPr>
        <w:pStyle w:val="Caption"/>
        <w:rPr>
          <w:iCs/>
        </w:rPr>
      </w:pPr>
      <w:r w:rsidRPr="0070260D">
        <w:rPr>
          <w:iCs/>
        </w:rPr>
        <w:t xml:space="preserve">Figure </w:t>
      </w:r>
      <w:r w:rsidRPr="0070260D">
        <w:rPr>
          <w:iCs/>
        </w:rPr>
        <w:fldChar w:fldCharType="begin"/>
      </w:r>
      <w:r w:rsidRPr="0070260D">
        <w:rPr>
          <w:iCs/>
        </w:rPr>
        <w:instrText xml:space="preserve"> SEQ Figure \* ARABIC </w:instrText>
      </w:r>
      <w:r w:rsidRPr="0070260D">
        <w:rPr>
          <w:iCs/>
        </w:rPr>
        <w:fldChar w:fldCharType="separate"/>
      </w:r>
      <w:r w:rsidR="00BF7DF4" w:rsidRPr="0070260D">
        <w:rPr>
          <w:iCs/>
          <w:noProof/>
        </w:rPr>
        <w:t>3</w:t>
      </w:r>
      <w:r w:rsidRPr="0070260D">
        <w:rPr>
          <w:iCs/>
        </w:rPr>
        <w:fldChar w:fldCharType="end"/>
      </w:r>
      <w:r w:rsidRPr="0070260D">
        <w:rPr>
          <w:iCs/>
        </w:rPr>
        <w:t>: Kaplan Meier plots of OS for the updated cut of data (data cut-off: 30 July 2021) for the EV-301 trial (ITT analysis)</w:t>
      </w:r>
    </w:p>
    <w:p w14:paraId="131E6E06" w14:textId="1B049395" w:rsidR="00290B29" w:rsidRDefault="00290B29" w:rsidP="00290B29">
      <w:r w:rsidRPr="00504C70">
        <w:rPr>
          <w:noProof/>
        </w:rPr>
        <w:drawing>
          <wp:inline distT="0" distB="0" distL="0" distR="0" wp14:anchorId="11C59F67" wp14:editId="6CBD74DE">
            <wp:extent cx="5732145" cy="3213407"/>
            <wp:effectExtent l="0" t="0" r="1905" b="6350"/>
            <wp:docPr id="5" name="Picture 5" descr="Figure 3: Kaplan Meier plots of OS for the updated cut of data (data cut-off: 30 July 2021) for the EV-301 trial (IT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Kaplan Meier plots of OS for the updated cut of data (data cut-off: 30 July 2021) for the EV-301 trial (ITT analysis)"/>
                    <pic:cNvPicPr/>
                  </pic:nvPicPr>
                  <pic:blipFill>
                    <a:blip r:embed="rId10"/>
                    <a:stretch>
                      <a:fillRect/>
                    </a:stretch>
                  </pic:blipFill>
                  <pic:spPr>
                    <a:xfrm>
                      <a:off x="0" y="0"/>
                      <a:ext cx="5732145" cy="3213407"/>
                    </a:xfrm>
                    <a:prstGeom prst="rect">
                      <a:avLst/>
                    </a:prstGeom>
                  </pic:spPr>
                </pic:pic>
              </a:graphicData>
            </a:graphic>
          </wp:inline>
        </w:drawing>
      </w:r>
    </w:p>
    <w:p w14:paraId="199E6F6E" w14:textId="117DF38B" w:rsidR="00290B29" w:rsidRPr="005278B5" w:rsidRDefault="00290B29" w:rsidP="00290B29">
      <w:pPr>
        <w:rPr>
          <w:rFonts w:ascii="Arial Narrow" w:hAnsi="Arial Narrow"/>
          <w:snapToGrid w:val="0"/>
          <w:sz w:val="18"/>
          <w:szCs w:val="22"/>
        </w:rPr>
      </w:pPr>
      <w:r w:rsidRPr="005278B5">
        <w:rPr>
          <w:rFonts w:ascii="Arial Narrow" w:hAnsi="Arial Narrow"/>
          <w:snapToGrid w:val="0"/>
          <w:sz w:val="18"/>
          <w:szCs w:val="22"/>
        </w:rPr>
        <w:t xml:space="preserve">Source: Figure 1, p1 </w:t>
      </w:r>
      <w:r w:rsidR="005278B5">
        <w:rPr>
          <w:rFonts w:ascii="Arial Narrow" w:hAnsi="Arial Narrow"/>
          <w:snapToGrid w:val="0"/>
          <w:sz w:val="18"/>
          <w:szCs w:val="22"/>
        </w:rPr>
        <w:t xml:space="preserve">of the </w:t>
      </w:r>
      <w:r w:rsidRPr="005278B5">
        <w:rPr>
          <w:rFonts w:ascii="Arial Narrow" w:hAnsi="Arial Narrow"/>
          <w:snapToGrid w:val="0"/>
          <w:sz w:val="18"/>
          <w:szCs w:val="22"/>
        </w:rPr>
        <w:t>PSCR</w:t>
      </w:r>
    </w:p>
    <w:p w14:paraId="13010E7A" w14:textId="27F4D651" w:rsidR="00290B29" w:rsidRDefault="00290B29" w:rsidP="00290B29"/>
    <w:p w14:paraId="76CEAB74" w14:textId="198223FE" w:rsidR="005278B5" w:rsidRPr="0070260D" w:rsidRDefault="005278B5" w:rsidP="005278B5">
      <w:pPr>
        <w:pStyle w:val="Caption"/>
        <w:rPr>
          <w:iCs/>
        </w:rPr>
      </w:pPr>
      <w:r w:rsidRPr="0070260D">
        <w:rPr>
          <w:iCs/>
        </w:rPr>
        <w:t xml:space="preserve">Figure </w:t>
      </w:r>
      <w:r w:rsidRPr="0070260D">
        <w:rPr>
          <w:iCs/>
        </w:rPr>
        <w:fldChar w:fldCharType="begin"/>
      </w:r>
      <w:r w:rsidRPr="0070260D">
        <w:rPr>
          <w:iCs/>
        </w:rPr>
        <w:instrText xml:space="preserve"> SEQ Figure \* ARABIC </w:instrText>
      </w:r>
      <w:r w:rsidRPr="0070260D">
        <w:rPr>
          <w:iCs/>
        </w:rPr>
        <w:fldChar w:fldCharType="separate"/>
      </w:r>
      <w:r w:rsidR="00BF7DF4" w:rsidRPr="0070260D">
        <w:rPr>
          <w:iCs/>
          <w:noProof/>
        </w:rPr>
        <w:t>4</w:t>
      </w:r>
      <w:r w:rsidRPr="0070260D">
        <w:rPr>
          <w:iCs/>
        </w:rPr>
        <w:fldChar w:fldCharType="end"/>
      </w:r>
      <w:r w:rsidRPr="0070260D">
        <w:rPr>
          <w:iCs/>
        </w:rPr>
        <w:t xml:space="preserve"> Kaplan Meier plots of OS for the updated cut of data (data </w:t>
      </w:r>
      <w:r w:rsidR="00D30A88" w:rsidRPr="0070260D">
        <w:rPr>
          <w:iCs/>
        </w:rPr>
        <w:t>cut-off</w:t>
      </w:r>
      <w:r w:rsidRPr="0070260D">
        <w:rPr>
          <w:iCs/>
        </w:rPr>
        <w:t>: 30 July 2021) for the EV-301 trial (</w:t>
      </w:r>
      <w:proofErr w:type="spellStart"/>
      <w:r w:rsidRPr="0070260D">
        <w:rPr>
          <w:iCs/>
        </w:rPr>
        <w:t>enfortumab</w:t>
      </w:r>
      <w:proofErr w:type="spellEnd"/>
      <w:r w:rsidRPr="0070260D">
        <w:rPr>
          <w:iCs/>
        </w:rPr>
        <w:t xml:space="preserve"> </w:t>
      </w:r>
      <w:proofErr w:type="spellStart"/>
      <w:r w:rsidRPr="0070260D">
        <w:rPr>
          <w:iCs/>
        </w:rPr>
        <w:t>vedotin</w:t>
      </w:r>
      <w:proofErr w:type="spellEnd"/>
      <w:r w:rsidRPr="0070260D">
        <w:rPr>
          <w:iCs/>
        </w:rPr>
        <w:t xml:space="preserve"> versus the </w:t>
      </w:r>
      <w:proofErr w:type="spellStart"/>
      <w:r w:rsidRPr="0070260D">
        <w:rPr>
          <w:iCs/>
        </w:rPr>
        <w:t>taxanes</w:t>
      </w:r>
      <w:proofErr w:type="spellEnd"/>
      <w:r w:rsidR="00386BA2">
        <w:rPr>
          <w:iCs/>
        </w:rPr>
        <w:t>)</w:t>
      </w:r>
    </w:p>
    <w:p w14:paraId="5DA51AB9" w14:textId="5B542DCB" w:rsidR="005278B5" w:rsidRPr="005278B5" w:rsidRDefault="005278B5" w:rsidP="005278B5">
      <w:r w:rsidRPr="004A283F">
        <w:rPr>
          <w:noProof/>
        </w:rPr>
        <w:drawing>
          <wp:inline distT="0" distB="0" distL="0" distR="0" wp14:anchorId="476DBC68" wp14:editId="3F53121B">
            <wp:extent cx="5455403" cy="2988849"/>
            <wp:effectExtent l="0" t="0" r="0" b="2540"/>
            <wp:docPr id="1" name="Picture 1" descr="Figure 4 Kaplan Meier plots of OS for the updated cut of data (data cut-off: 30 July 2021) for the EV-301 trial (enfortumab vedotin versus the tax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4 Kaplan Meier plots of OS for the updated cut of data (data cut-off: 30 July 2021) for the EV-301 trial (enfortumab vedotin versus the taxanes)"/>
                    <pic:cNvPicPr/>
                  </pic:nvPicPr>
                  <pic:blipFill>
                    <a:blip r:embed="rId11"/>
                    <a:stretch>
                      <a:fillRect/>
                    </a:stretch>
                  </pic:blipFill>
                  <pic:spPr>
                    <a:xfrm>
                      <a:off x="0" y="0"/>
                      <a:ext cx="5488698" cy="3007090"/>
                    </a:xfrm>
                    <a:prstGeom prst="rect">
                      <a:avLst/>
                    </a:prstGeom>
                  </pic:spPr>
                </pic:pic>
              </a:graphicData>
            </a:graphic>
          </wp:inline>
        </w:drawing>
      </w:r>
    </w:p>
    <w:p w14:paraId="1DCB3799" w14:textId="1514B703" w:rsidR="005278B5" w:rsidRPr="005278B5" w:rsidRDefault="005278B5" w:rsidP="005278B5">
      <w:pPr>
        <w:rPr>
          <w:rFonts w:ascii="Arial Narrow" w:hAnsi="Arial Narrow"/>
          <w:snapToGrid w:val="0"/>
          <w:sz w:val="18"/>
          <w:szCs w:val="22"/>
        </w:rPr>
      </w:pPr>
      <w:r w:rsidRPr="005278B5">
        <w:rPr>
          <w:rFonts w:ascii="Arial Narrow" w:hAnsi="Arial Narrow"/>
          <w:snapToGrid w:val="0"/>
          <w:sz w:val="18"/>
          <w:szCs w:val="22"/>
        </w:rPr>
        <w:t xml:space="preserve">Source: Figure </w:t>
      </w:r>
      <w:r>
        <w:rPr>
          <w:rFonts w:ascii="Arial Narrow" w:hAnsi="Arial Narrow"/>
          <w:snapToGrid w:val="0"/>
          <w:sz w:val="18"/>
          <w:szCs w:val="22"/>
        </w:rPr>
        <w:t>2</w:t>
      </w:r>
      <w:r w:rsidRPr="005278B5">
        <w:rPr>
          <w:rFonts w:ascii="Arial Narrow" w:hAnsi="Arial Narrow"/>
          <w:snapToGrid w:val="0"/>
          <w:sz w:val="18"/>
          <w:szCs w:val="22"/>
        </w:rPr>
        <w:t>, p</w:t>
      </w:r>
      <w:r>
        <w:rPr>
          <w:rFonts w:ascii="Arial Narrow" w:hAnsi="Arial Narrow"/>
          <w:snapToGrid w:val="0"/>
          <w:sz w:val="18"/>
          <w:szCs w:val="22"/>
        </w:rPr>
        <w:t>2</w:t>
      </w:r>
      <w:r w:rsidRPr="005278B5">
        <w:rPr>
          <w:rFonts w:ascii="Arial Narrow" w:hAnsi="Arial Narrow"/>
          <w:snapToGrid w:val="0"/>
          <w:sz w:val="18"/>
          <w:szCs w:val="22"/>
        </w:rPr>
        <w:t xml:space="preserve"> </w:t>
      </w:r>
      <w:r>
        <w:rPr>
          <w:rFonts w:ascii="Arial Narrow" w:hAnsi="Arial Narrow"/>
          <w:snapToGrid w:val="0"/>
          <w:sz w:val="18"/>
          <w:szCs w:val="22"/>
        </w:rPr>
        <w:t xml:space="preserve">of the </w:t>
      </w:r>
      <w:r w:rsidRPr="005278B5">
        <w:rPr>
          <w:rFonts w:ascii="Arial Narrow" w:hAnsi="Arial Narrow"/>
          <w:snapToGrid w:val="0"/>
          <w:sz w:val="18"/>
          <w:szCs w:val="22"/>
        </w:rPr>
        <w:t>PSCR</w:t>
      </w:r>
    </w:p>
    <w:p w14:paraId="21CAD8F4" w14:textId="77777777" w:rsidR="007A57F4" w:rsidRPr="00C9624D" w:rsidRDefault="007A57F4" w:rsidP="007A57F4">
      <w:pPr>
        <w:pStyle w:val="4-SubsectionHeading"/>
      </w:pPr>
      <w:bookmarkStart w:id="14" w:name="_Toc93491261"/>
      <w:r w:rsidRPr="00C9624D">
        <w:t>Comparative harms</w:t>
      </w:r>
      <w:bookmarkEnd w:id="14"/>
    </w:p>
    <w:p w14:paraId="7DF1D105" w14:textId="77777777" w:rsidR="007A57F4" w:rsidRPr="00FD5C94" w:rsidRDefault="007A57F4" w:rsidP="007A57F4">
      <w:pPr>
        <w:pStyle w:val="3-BodyText"/>
      </w:pPr>
      <w:r w:rsidRPr="00FD5C94">
        <w:t xml:space="preserve">An overall summary of the incidence of treatment-emergent </w:t>
      </w:r>
      <w:r>
        <w:t xml:space="preserve">adverse events </w:t>
      </w:r>
      <w:r w:rsidRPr="00FD5C94">
        <w:t xml:space="preserve">(TEAEs) </w:t>
      </w:r>
      <w:r>
        <w:t>is presented below.</w:t>
      </w:r>
    </w:p>
    <w:p w14:paraId="40EC987D" w14:textId="0346C059" w:rsidR="007A57F4" w:rsidRPr="003F1B72" w:rsidRDefault="007A57F4" w:rsidP="007A57F4">
      <w:pPr>
        <w:pStyle w:val="TableFigureHeading"/>
        <w:rPr>
          <w:rStyle w:val="CommentReference"/>
          <w:rFonts w:ascii="Calibri" w:hAnsi="Calibri"/>
          <w:b/>
          <w:sz w:val="18"/>
          <w:szCs w:val="18"/>
        </w:rPr>
      </w:pPr>
      <w:r>
        <w:t xml:space="preserve">Table </w:t>
      </w:r>
      <w:r w:rsidR="00F06F14">
        <w:fldChar w:fldCharType="begin"/>
      </w:r>
      <w:r w:rsidR="00F06F14">
        <w:instrText xml:space="preserve"> SEQ Table \* ARABIC </w:instrText>
      </w:r>
      <w:r w:rsidR="00F06F14">
        <w:fldChar w:fldCharType="separate"/>
      </w:r>
      <w:r w:rsidR="00234F7B">
        <w:rPr>
          <w:noProof/>
        </w:rPr>
        <w:t>5</w:t>
      </w:r>
      <w:r w:rsidR="00F06F14">
        <w:rPr>
          <w:noProof/>
        </w:rPr>
        <w:fldChar w:fldCharType="end"/>
      </w:r>
      <w:r>
        <w:t>: Key safety results from EV-301</w:t>
      </w:r>
      <w:r w:rsidR="001D1EED" w:rsidRPr="001D1EED">
        <w:t>, interim data cut-off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Key safety results from EV-301, interim data cut-off"/>
      </w:tblPr>
      <w:tblGrid>
        <w:gridCol w:w="4673"/>
        <w:gridCol w:w="2126"/>
        <w:gridCol w:w="2218"/>
      </w:tblGrid>
      <w:tr w:rsidR="007A57F4" w:rsidRPr="00EE74CA" w14:paraId="6E3E84E2" w14:textId="77777777" w:rsidTr="001F429B">
        <w:trPr>
          <w:cantSplit/>
          <w:tblHeader/>
        </w:trPr>
        <w:tc>
          <w:tcPr>
            <w:tcW w:w="2591" w:type="pct"/>
            <w:vAlign w:val="center"/>
          </w:tcPr>
          <w:p w14:paraId="4FA2CDFF" w14:textId="77777777" w:rsidR="007A57F4" w:rsidRPr="00EE74CA" w:rsidRDefault="007A57F4" w:rsidP="00125618">
            <w:pPr>
              <w:pStyle w:val="In-tableHeading"/>
              <w:rPr>
                <w:szCs w:val="20"/>
              </w:rPr>
            </w:pPr>
            <w:r>
              <w:rPr>
                <w:szCs w:val="20"/>
              </w:rPr>
              <w:t>EV-301</w:t>
            </w:r>
          </w:p>
        </w:tc>
        <w:tc>
          <w:tcPr>
            <w:tcW w:w="1179" w:type="pct"/>
            <w:vAlign w:val="center"/>
          </w:tcPr>
          <w:p w14:paraId="33C5A0A1" w14:textId="5077E999" w:rsidR="007A57F4" w:rsidRPr="00EE74CA" w:rsidRDefault="007679F6" w:rsidP="00125618">
            <w:pPr>
              <w:pStyle w:val="In-tableHeading"/>
              <w:jc w:val="center"/>
              <w:rPr>
                <w:szCs w:val="20"/>
              </w:rPr>
            </w:pPr>
            <w:proofErr w:type="spellStart"/>
            <w:r>
              <w:rPr>
                <w:szCs w:val="20"/>
              </w:rPr>
              <w:t>Enfortumab</w:t>
            </w:r>
            <w:proofErr w:type="spellEnd"/>
            <w:r>
              <w:rPr>
                <w:szCs w:val="20"/>
              </w:rPr>
              <w:t xml:space="preserve"> </w:t>
            </w:r>
            <w:proofErr w:type="spellStart"/>
            <w:r>
              <w:rPr>
                <w:szCs w:val="20"/>
              </w:rPr>
              <w:t>vedotin</w:t>
            </w:r>
            <w:proofErr w:type="spellEnd"/>
          </w:p>
          <w:p w14:paraId="3FB01708" w14:textId="77777777" w:rsidR="007A57F4" w:rsidRPr="00EE74CA" w:rsidRDefault="007A57F4" w:rsidP="00125618">
            <w:pPr>
              <w:pStyle w:val="In-tableHeading"/>
              <w:jc w:val="center"/>
              <w:rPr>
                <w:szCs w:val="20"/>
              </w:rPr>
            </w:pPr>
            <w:r w:rsidRPr="00EE74CA">
              <w:rPr>
                <w:szCs w:val="20"/>
              </w:rPr>
              <w:t>N=296</w:t>
            </w:r>
          </w:p>
          <w:p w14:paraId="61705FE0" w14:textId="77777777" w:rsidR="007A57F4" w:rsidRPr="00EE74CA" w:rsidRDefault="007A57F4" w:rsidP="00125618">
            <w:pPr>
              <w:pStyle w:val="In-tableHeading"/>
              <w:jc w:val="center"/>
              <w:rPr>
                <w:szCs w:val="20"/>
              </w:rPr>
            </w:pPr>
            <w:r w:rsidRPr="00EE74CA">
              <w:rPr>
                <w:szCs w:val="20"/>
              </w:rPr>
              <w:t>n with event/N (%)</w:t>
            </w:r>
          </w:p>
        </w:tc>
        <w:tc>
          <w:tcPr>
            <w:tcW w:w="1230" w:type="pct"/>
            <w:vAlign w:val="center"/>
          </w:tcPr>
          <w:p w14:paraId="2F1B09A4" w14:textId="77777777" w:rsidR="007A57F4" w:rsidRPr="00EE74CA" w:rsidRDefault="007A57F4" w:rsidP="00125618">
            <w:pPr>
              <w:pStyle w:val="In-tableHeading"/>
              <w:jc w:val="center"/>
              <w:rPr>
                <w:szCs w:val="20"/>
              </w:rPr>
            </w:pPr>
            <w:r w:rsidRPr="00EE74CA">
              <w:rPr>
                <w:szCs w:val="20"/>
              </w:rPr>
              <w:t>Chemotherapy</w:t>
            </w:r>
          </w:p>
          <w:p w14:paraId="3B4D9652" w14:textId="77777777" w:rsidR="007A57F4" w:rsidRPr="00EE74CA" w:rsidRDefault="007A57F4" w:rsidP="00125618">
            <w:pPr>
              <w:pStyle w:val="In-tableHeading"/>
              <w:jc w:val="center"/>
              <w:rPr>
                <w:szCs w:val="20"/>
              </w:rPr>
            </w:pPr>
            <w:r w:rsidRPr="00EE74CA">
              <w:rPr>
                <w:szCs w:val="20"/>
              </w:rPr>
              <w:t>N=291</w:t>
            </w:r>
          </w:p>
          <w:p w14:paraId="2A8C950B" w14:textId="77777777" w:rsidR="007A57F4" w:rsidRPr="00EE74CA" w:rsidRDefault="007A57F4" w:rsidP="00125618">
            <w:pPr>
              <w:pStyle w:val="In-tableHeading"/>
              <w:jc w:val="center"/>
              <w:rPr>
                <w:szCs w:val="20"/>
              </w:rPr>
            </w:pPr>
            <w:r w:rsidRPr="00EE74CA">
              <w:rPr>
                <w:szCs w:val="20"/>
              </w:rPr>
              <w:t>n with event/N (%)</w:t>
            </w:r>
          </w:p>
        </w:tc>
      </w:tr>
      <w:tr w:rsidR="007A57F4" w:rsidRPr="00EE74CA" w14:paraId="2FDB3489" w14:textId="77777777" w:rsidTr="001F429B">
        <w:trPr>
          <w:cantSplit/>
        </w:trPr>
        <w:tc>
          <w:tcPr>
            <w:tcW w:w="2591" w:type="pct"/>
          </w:tcPr>
          <w:p w14:paraId="6F7CD3A6" w14:textId="77777777" w:rsidR="007A57F4" w:rsidRPr="00EE74CA" w:rsidRDefault="007A57F4" w:rsidP="00125618">
            <w:pPr>
              <w:pStyle w:val="TableText0"/>
              <w:rPr>
                <w:szCs w:val="20"/>
              </w:rPr>
            </w:pPr>
            <w:r w:rsidRPr="00EE74CA">
              <w:rPr>
                <w:szCs w:val="20"/>
              </w:rPr>
              <w:t>TEAEs</w:t>
            </w:r>
          </w:p>
        </w:tc>
        <w:tc>
          <w:tcPr>
            <w:tcW w:w="1179" w:type="pct"/>
            <w:vAlign w:val="center"/>
          </w:tcPr>
          <w:p w14:paraId="22D089C2" w14:textId="77777777" w:rsidR="007A57F4" w:rsidRPr="00EE74CA" w:rsidRDefault="007A57F4" w:rsidP="00125618">
            <w:pPr>
              <w:pStyle w:val="TableText0"/>
              <w:jc w:val="center"/>
              <w:rPr>
                <w:szCs w:val="20"/>
              </w:rPr>
            </w:pPr>
            <w:r w:rsidRPr="00EE74CA">
              <w:rPr>
                <w:szCs w:val="20"/>
              </w:rPr>
              <w:t>290 (98.0)</w:t>
            </w:r>
          </w:p>
        </w:tc>
        <w:tc>
          <w:tcPr>
            <w:tcW w:w="1230" w:type="pct"/>
            <w:vAlign w:val="center"/>
          </w:tcPr>
          <w:p w14:paraId="35419418" w14:textId="77777777" w:rsidR="007A57F4" w:rsidRPr="00EE74CA" w:rsidRDefault="007A57F4" w:rsidP="00125618">
            <w:pPr>
              <w:pStyle w:val="TableText0"/>
              <w:jc w:val="center"/>
              <w:rPr>
                <w:szCs w:val="20"/>
              </w:rPr>
            </w:pPr>
            <w:r w:rsidRPr="00EE74CA">
              <w:rPr>
                <w:szCs w:val="20"/>
              </w:rPr>
              <w:t>288 (99.0)</w:t>
            </w:r>
          </w:p>
        </w:tc>
      </w:tr>
      <w:tr w:rsidR="007A57F4" w:rsidRPr="00EE74CA" w14:paraId="33A8AB7B" w14:textId="77777777" w:rsidTr="001F429B">
        <w:trPr>
          <w:cantSplit/>
        </w:trPr>
        <w:tc>
          <w:tcPr>
            <w:tcW w:w="2591" w:type="pct"/>
          </w:tcPr>
          <w:p w14:paraId="077B411E" w14:textId="77777777" w:rsidR="007A57F4" w:rsidRPr="00EE74CA" w:rsidRDefault="007A57F4" w:rsidP="00125618">
            <w:pPr>
              <w:pStyle w:val="TableText0"/>
              <w:rPr>
                <w:szCs w:val="20"/>
              </w:rPr>
            </w:pPr>
            <w:r w:rsidRPr="00EE74CA">
              <w:rPr>
                <w:szCs w:val="20"/>
              </w:rPr>
              <w:t>Serious TEAEs</w:t>
            </w:r>
          </w:p>
        </w:tc>
        <w:tc>
          <w:tcPr>
            <w:tcW w:w="1179" w:type="pct"/>
            <w:vAlign w:val="center"/>
          </w:tcPr>
          <w:p w14:paraId="1E7DCB1B" w14:textId="77777777" w:rsidR="007A57F4" w:rsidRPr="00EE74CA" w:rsidRDefault="007A57F4" w:rsidP="00125618">
            <w:pPr>
              <w:pStyle w:val="TableText0"/>
              <w:jc w:val="center"/>
              <w:rPr>
                <w:szCs w:val="20"/>
              </w:rPr>
            </w:pPr>
            <w:r w:rsidRPr="00EE74CA">
              <w:rPr>
                <w:szCs w:val="20"/>
              </w:rPr>
              <w:t>138 (46.6)</w:t>
            </w:r>
          </w:p>
        </w:tc>
        <w:tc>
          <w:tcPr>
            <w:tcW w:w="1230" w:type="pct"/>
            <w:vAlign w:val="center"/>
          </w:tcPr>
          <w:p w14:paraId="5AE58EEB" w14:textId="77777777" w:rsidR="007A57F4" w:rsidRPr="00EE74CA" w:rsidRDefault="007A57F4" w:rsidP="00125618">
            <w:pPr>
              <w:pStyle w:val="TableText0"/>
              <w:jc w:val="center"/>
              <w:rPr>
                <w:szCs w:val="20"/>
              </w:rPr>
            </w:pPr>
            <w:r w:rsidRPr="00EE74CA">
              <w:rPr>
                <w:szCs w:val="20"/>
              </w:rPr>
              <w:t>128 (44.0)</w:t>
            </w:r>
          </w:p>
        </w:tc>
      </w:tr>
      <w:tr w:rsidR="007A57F4" w:rsidRPr="00EE74CA" w14:paraId="33DB7FD1" w14:textId="77777777" w:rsidTr="001F429B">
        <w:trPr>
          <w:cantSplit/>
        </w:trPr>
        <w:tc>
          <w:tcPr>
            <w:tcW w:w="2591" w:type="pct"/>
          </w:tcPr>
          <w:p w14:paraId="68C76CEA" w14:textId="77777777" w:rsidR="007A57F4" w:rsidRPr="00EE74CA" w:rsidRDefault="007A57F4" w:rsidP="00125618">
            <w:pPr>
              <w:pStyle w:val="TableText0"/>
              <w:rPr>
                <w:szCs w:val="20"/>
              </w:rPr>
            </w:pPr>
            <w:r w:rsidRPr="00EE74CA">
              <w:rPr>
                <w:szCs w:val="20"/>
              </w:rPr>
              <w:t>TEAEs leading to withdrawal of treatment</w:t>
            </w:r>
          </w:p>
        </w:tc>
        <w:tc>
          <w:tcPr>
            <w:tcW w:w="1179" w:type="pct"/>
            <w:vAlign w:val="center"/>
          </w:tcPr>
          <w:p w14:paraId="45AA480A" w14:textId="77777777" w:rsidR="007A57F4" w:rsidRPr="00EE74CA" w:rsidRDefault="007A57F4" w:rsidP="00125618">
            <w:pPr>
              <w:pStyle w:val="TableText0"/>
              <w:jc w:val="center"/>
              <w:rPr>
                <w:szCs w:val="20"/>
              </w:rPr>
            </w:pPr>
            <w:r w:rsidRPr="00EE74CA">
              <w:rPr>
                <w:szCs w:val="20"/>
              </w:rPr>
              <w:t>51 (17.2)</w:t>
            </w:r>
          </w:p>
        </w:tc>
        <w:tc>
          <w:tcPr>
            <w:tcW w:w="1230" w:type="pct"/>
            <w:vAlign w:val="center"/>
          </w:tcPr>
          <w:p w14:paraId="309A8B37" w14:textId="77777777" w:rsidR="007A57F4" w:rsidRPr="00EE74CA" w:rsidRDefault="007A57F4" w:rsidP="00125618">
            <w:pPr>
              <w:pStyle w:val="TableText0"/>
              <w:jc w:val="center"/>
              <w:rPr>
                <w:szCs w:val="20"/>
              </w:rPr>
            </w:pPr>
            <w:r w:rsidRPr="00EE74CA">
              <w:rPr>
                <w:szCs w:val="20"/>
              </w:rPr>
              <w:t>51 (17.5)</w:t>
            </w:r>
          </w:p>
        </w:tc>
      </w:tr>
      <w:tr w:rsidR="007A57F4" w:rsidRPr="00EE74CA" w14:paraId="50A6A7DC" w14:textId="77777777" w:rsidTr="001F429B">
        <w:trPr>
          <w:cantSplit/>
        </w:trPr>
        <w:tc>
          <w:tcPr>
            <w:tcW w:w="2591" w:type="pct"/>
          </w:tcPr>
          <w:p w14:paraId="06C34FAB" w14:textId="77777777" w:rsidR="007A57F4" w:rsidRPr="00EE74CA" w:rsidRDefault="007A57F4" w:rsidP="00125618">
            <w:pPr>
              <w:pStyle w:val="TableText0"/>
              <w:rPr>
                <w:szCs w:val="20"/>
              </w:rPr>
            </w:pPr>
            <w:r w:rsidRPr="00EE74CA">
              <w:rPr>
                <w:szCs w:val="20"/>
              </w:rPr>
              <w:t xml:space="preserve">Grade ≥ 3 TEAEs </w:t>
            </w:r>
          </w:p>
        </w:tc>
        <w:tc>
          <w:tcPr>
            <w:tcW w:w="1179" w:type="pct"/>
            <w:vAlign w:val="center"/>
          </w:tcPr>
          <w:p w14:paraId="0DD40554" w14:textId="77777777" w:rsidR="007A57F4" w:rsidRPr="00EE74CA" w:rsidRDefault="007A57F4" w:rsidP="00125618">
            <w:pPr>
              <w:pStyle w:val="TableText0"/>
              <w:jc w:val="center"/>
              <w:rPr>
                <w:szCs w:val="20"/>
              </w:rPr>
            </w:pPr>
            <w:r w:rsidRPr="00EE74CA">
              <w:rPr>
                <w:szCs w:val="20"/>
              </w:rPr>
              <w:t>210 (70.9)</w:t>
            </w:r>
          </w:p>
        </w:tc>
        <w:tc>
          <w:tcPr>
            <w:tcW w:w="1230" w:type="pct"/>
            <w:vAlign w:val="center"/>
          </w:tcPr>
          <w:p w14:paraId="19DD0F74" w14:textId="77777777" w:rsidR="007A57F4" w:rsidRPr="00EE74CA" w:rsidRDefault="007A57F4" w:rsidP="00125618">
            <w:pPr>
              <w:pStyle w:val="TableText0"/>
              <w:jc w:val="center"/>
              <w:rPr>
                <w:szCs w:val="20"/>
              </w:rPr>
            </w:pPr>
            <w:r w:rsidRPr="00EE74CA">
              <w:rPr>
                <w:szCs w:val="20"/>
              </w:rPr>
              <w:t>193 (66.3)</w:t>
            </w:r>
          </w:p>
        </w:tc>
      </w:tr>
      <w:tr w:rsidR="007A57F4" w:rsidRPr="00EE74CA" w14:paraId="78003A8F" w14:textId="77777777" w:rsidTr="001F429B">
        <w:trPr>
          <w:cantSplit/>
        </w:trPr>
        <w:tc>
          <w:tcPr>
            <w:tcW w:w="2591" w:type="pct"/>
          </w:tcPr>
          <w:p w14:paraId="24829125" w14:textId="77777777" w:rsidR="007A57F4" w:rsidRPr="00EE74CA" w:rsidRDefault="007A57F4" w:rsidP="00125618">
            <w:pPr>
              <w:pStyle w:val="TableText0"/>
              <w:rPr>
                <w:szCs w:val="20"/>
              </w:rPr>
            </w:pPr>
            <w:r w:rsidRPr="00EE74CA">
              <w:rPr>
                <w:szCs w:val="20"/>
              </w:rPr>
              <w:t>TEAEs leading to dose reduction of study drug</w:t>
            </w:r>
          </w:p>
        </w:tc>
        <w:tc>
          <w:tcPr>
            <w:tcW w:w="1179" w:type="pct"/>
            <w:vAlign w:val="center"/>
          </w:tcPr>
          <w:p w14:paraId="4006F356" w14:textId="77777777" w:rsidR="007A57F4" w:rsidRPr="00EE74CA" w:rsidRDefault="007A57F4" w:rsidP="00125618">
            <w:pPr>
              <w:pStyle w:val="TableText0"/>
              <w:jc w:val="center"/>
              <w:rPr>
                <w:szCs w:val="20"/>
              </w:rPr>
            </w:pPr>
            <w:r w:rsidRPr="00EE74CA">
              <w:rPr>
                <w:szCs w:val="20"/>
              </w:rPr>
              <w:t>101 (34.1)</w:t>
            </w:r>
          </w:p>
        </w:tc>
        <w:tc>
          <w:tcPr>
            <w:tcW w:w="1230" w:type="pct"/>
            <w:vAlign w:val="center"/>
          </w:tcPr>
          <w:p w14:paraId="65B1FB3D" w14:textId="77777777" w:rsidR="007A57F4" w:rsidRPr="00EE74CA" w:rsidRDefault="007A57F4" w:rsidP="00125618">
            <w:pPr>
              <w:pStyle w:val="TableText0"/>
              <w:jc w:val="center"/>
              <w:rPr>
                <w:szCs w:val="20"/>
              </w:rPr>
            </w:pPr>
            <w:r w:rsidRPr="00EE74CA">
              <w:rPr>
                <w:szCs w:val="20"/>
              </w:rPr>
              <w:t>81 (27.8)</w:t>
            </w:r>
          </w:p>
        </w:tc>
      </w:tr>
      <w:tr w:rsidR="007A57F4" w:rsidRPr="00EE74CA" w14:paraId="6892BB60" w14:textId="77777777" w:rsidTr="001F429B">
        <w:trPr>
          <w:cantSplit/>
        </w:trPr>
        <w:tc>
          <w:tcPr>
            <w:tcW w:w="2591" w:type="pct"/>
          </w:tcPr>
          <w:p w14:paraId="3BD37344" w14:textId="77777777" w:rsidR="007A57F4" w:rsidRPr="00EE74CA" w:rsidRDefault="007A57F4" w:rsidP="00125618">
            <w:pPr>
              <w:pStyle w:val="TableText0"/>
              <w:rPr>
                <w:szCs w:val="20"/>
              </w:rPr>
            </w:pPr>
            <w:r w:rsidRPr="00EE74CA">
              <w:rPr>
                <w:szCs w:val="20"/>
              </w:rPr>
              <w:t>TEAEs leading to dose interruption of study drug</w:t>
            </w:r>
          </w:p>
        </w:tc>
        <w:tc>
          <w:tcPr>
            <w:tcW w:w="1179" w:type="pct"/>
            <w:vAlign w:val="center"/>
          </w:tcPr>
          <w:p w14:paraId="39F9C029" w14:textId="77777777" w:rsidR="007A57F4" w:rsidRPr="00EE74CA" w:rsidRDefault="007A57F4" w:rsidP="00125618">
            <w:pPr>
              <w:pStyle w:val="TableText0"/>
              <w:jc w:val="center"/>
              <w:rPr>
                <w:szCs w:val="20"/>
              </w:rPr>
            </w:pPr>
            <w:r w:rsidRPr="00EE74CA">
              <w:rPr>
                <w:szCs w:val="20"/>
              </w:rPr>
              <w:t>180 (60.8)</w:t>
            </w:r>
          </w:p>
        </w:tc>
        <w:tc>
          <w:tcPr>
            <w:tcW w:w="1230" w:type="pct"/>
            <w:vAlign w:val="center"/>
          </w:tcPr>
          <w:p w14:paraId="3D4DB12C" w14:textId="77777777" w:rsidR="007A57F4" w:rsidRPr="00EE74CA" w:rsidRDefault="007A57F4" w:rsidP="00125618">
            <w:pPr>
              <w:pStyle w:val="TableText0"/>
              <w:jc w:val="center"/>
              <w:rPr>
                <w:szCs w:val="20"/>
              </w:rPr>
            </w:pPr>
            <w:r w:rsidRPr="00EE74CA">
              <w:rPr>
                <w:szCs w:val="20"/>
              </w:rPr>
              <w:t>85 (29.2)</w:t>
            </w:r>
          </w:p>
        </w:tc>
      </w:tr>
      <w:tr w:rsidR="007A57F4" w:rsidRPr="00EE74CA" w14:paraId="65E24B22" w14:textId="77777777" w:rsidTr="001F429B">
        <w:trPr>
          <w:cantSplit/>
        </w:trPr>
        <w:tc>
          <w:tcPr>
            <w:tcW w:w="2591" w:type="pct"/>
          </w:tcPr>
          <w:p w14:paraId="602B3C46" w14:textId="77777777" w:rsidR="007A57F4" w:rsidRPr="003F1B72" w:rsidRDefault="007A57F4" w:rsidP="00125618">
            <w:pPr>
              <w:pStyle w:val="TableText0"/>
              <w:rPr>
                <w:szCs w:val="20"/>
              </w:rPr>
            </w:pPr>
            <w:r w:rsidRPr="003F1B72">
              <w:rPr>
                <w:szCs w:val="20"/>
              </w:rPr>
              <w:t>TEAEs leading to death</w:t>
            </w:r>
          </w:p>
        </w:tc>
        <w:tc>
          <w:tcPr>
            <w:tcW w:w="1179" w:type="pct"/>
            <w:vAlign w:val="center"/>
          </w:tcPr>
          <w:p w14:paraId="75B42091" w14:textId="77777777" w:rsidR="007A57F4" w:rsidRPr="00EE74CA" w:rsidRDefault="007A57F4" w:rsidP="00125618">
            <w:pPr>
              <w:pStyle w:val="TableText0"/>
              <w:jc w:val="center"/>
              <w:rPr>
                <w:szCs w:val="20"/>
              </w:rPr>
            </w:pPr>
            <w:r w:rsidRPr="00EE74CA">
              <w:rPr>
                <w:szCs w:val="20"/>
              </w:rPr>
              <w:t>21 (7.1)</w:t>
            </w:r>
          </w:p>
        </w:tc>
        <w:tc>
          <w:tcPr>
            <w:tcW w:w="1230" w:type="pct"/>
            <w:vAlign w:val="center"/>
          </w:tcPr>
          <w:p w14:paraId="1A526466" w14:textId="77777777" w:rsidR="007A57F4" w:rsidRPr="00EE74CA" w:rsidRDefault="007A57F4" w:rsidP="00125618">
            <w:pPr>
              <w:pStyle w:val="TableText0"/>
              <w:jc w:val="center"/>
              <w:rPr>
                <w:szCs w:val="20"/>
              </w:rPr>
            </w:pPr>
            <w:r w:rsidRPr="00EE74CA">
              <w:rPr>
                <w:szCs w:val="20"/>
              </w:rPr>
              <w:t>16 (5.5)</w:t>
            </w:r>
          </w:p>
        </w:tc>
      </w:tr>
      <w:tr w:rsidR="007A57F4" w:rsidRPr="00EE74CA" w14:paraId="1442332A" w14:textId="77777777" w:rsidTr="001F429B">
        <w:trPr>
          <w:cantSplit/>
        </w:trPr>
        <w:tc>
          <w:tcPr>
            <w:tcW w:w="2591" w:type="pct"/>
          </w:tcPr>
          <w:p w14:paraId="35694C64" w14:textId="77777777" w:rsidR="007A57F4" w:rsidRPr="003F1B72" w:rsidRDefault="007A57F4" w:rsidP="00125618">
            <w:pPr>
              <w:pStyle w:val="TableText0"/>
              <w:rPr>
                <w:szCs w:val="20"/>
              </w:rPr>
            </w:pPr>
            <w:r w:rsidRPr="003F1B72">
              <w:rPr>
                <w:szCs w:val="20"/>
              </w:rPr>
              <w:t>TEAEs leading to death, excluding disease progression</w:t>
            </w:r>
          </w:p>
        </w:tc>
        <w:tc>
          <w:tcPr>
            <w:tcW w:w="1179" w:type="pct"/>
            <w:vAlign w:val="center"/>
          </w:tcPr>
          <w:p w14:paraId="23A46788" w14:textId="77777777" w:rsidR="007A57F4" w:rsidRPr="00EE74CA" w:rsidRDefault="007A57F4" w:rsidP="00125618">
            <w:pPr>
              <w:pStyle w:val="TableText0"/>
              <w:jc w:val="center"/>
              <w:rPr>
                <w:szCs w:val="20"/>
              </w:rPr>
            </w:pPr>
            <w:r w:rsidRPr="00EE74CA">
              <w:rPr>
                <w:szCs w:val="20"/>
              </w:rPr>
              <w:t>11 (3.7)</w:t>
            </w:r>
          </w:p>
        </w:tc>
        <w:tc>
          <w:tcPr>
            <w:tcW w:w="1230" w:type="pct"/>
            <w:vAlign w:val="center"/>
          </w:tcPr>
          <w:p w14:paraId="75247FA7" w14:textId="77777777" w:rsidR="007A57F4" w:rsidRPr="00EE74CA" w:rsidRDefault="007A57F4" w:rsidP="00125618">
            <w:pPr>
              <w:pStyle w:val="TableText0"/>
              <w:jc w:val="center"/>
              <w:rPr>
                <w:szCs w:val="20"/>
              </w:rPr>
            </w:pPr>
            <w:r w:rsidRPr="00EE74CA">
              <w:rPr>
                <w:szCs w:val="20"/>
              </w:rPr>
              <w:t>11 (3.8)</w:t>
            </w:r>
          </w:p>
        </w:tc>
      </w:tr>
    </w:tbl>
    <w:p w14:paraId="4AB191B9" w14:textId="77777777" w:rsidR="007A57F4" w:rsidRPr="00B1011F" w:rsidRDefault="007A57F4" w:rsidP="007A57F4">
      <w:pPr>
        <w:pStyle w:val="TableFigureFooter"/>
        <w:rPr>
          <w:sz w:val="20"/>
        </w:rPr>
      </w:pPr>
      <w:r>
        <w:t xml:space="preserve">Source: Table 2.5-5, p46 </w:t>
      </w:r>
      <w:r w:rsidRPr="00D13A3E">
        <w:t xml:space="preserve">of the </w:t>
      </w:r>
      <w:r>
        <w:t>submission.</w:t>
      </w:r>
    </w:p>
    <w:p w14:paraId="19303A47" w14:textId="77777777" w:rsidR="007A57F4" w:rsidRDefault="007A57F4" w:rsidP="007A57F4">
      <w:pPr>
        <w:pStyle w:val="TableFigureFooter"/>
        <w:rPr>
          <w:rFonts w:eastAsia="Calibri"/>
        </w:rPr>
      </w:pPr>
      <w:r w:rsidRPr="00B40358">
        <w:rPr>
          <w:rFonts w:eastAsia="Calibri"/>
        </w:rPr>
        <w:t>CI = confidence interval; n = number of participants reporting data; N = total participants in group</w:t>
      </w:r>
      <w:r>
        <w:rPr>
          <w:rFonts w:eastAsia="Calibri"/>
        </w:rPr>
        <w:t>; RD = risk difference; RR = relative risk</w:t>
      </w:r>
    </w:p>
    <w:p w14:paraId="6A3887FD" w14:textId="3E5D589C" w:rsidR="007A57F4" w:rsidRPr="00A25DCB" w:rsidRDefault="007A57F4" w:rsidP="007A57F4">
      <w:pPr>
        <w:pStyle w:val="3-BodyText"/>
      </w:pPr>
      <w:r w:rsidRPr="003F1B72">
        <w:t xml:space="preserve">The </w:t>
      </w:r>
      <w:proofErr w:type="gramStart"/>
      <w:r w:rsidRPr="003F1B72">
        <w:t>most commonly observed</w:t>
      </w:r>
      <w:proofErr w:type="gramEnd"/>
      <w:r w:rsidRPr="003F1B72">
        <w:t xml:space="preserve"> TEAEs in patients treated with </w:t>
      </w:r>
      <w:proofErr w:type="spellStart"/>
      <w:r w:rsidR="007679F6">
        <w:t>enfortumab</w:t>
      </w:r>
      <w:proofErr w:type="spellEnd"/>
      <w:r w:rsidR="007679F6">
        <w:t xml:space="preserve"> </w:t>
      </w:r>
      <w:proofErr w:type="spellStart"/>
      <w:r w:rsidR="007679F6">
        <w:t>vedotin</w:t>
      </w:r>
      <w:proofErr w:type="spellEnd"/>
      <w:r w:rsidR="00B01C3A">
        <w:t xml:space="preserve"> were alopecia (47.0%) and decreased appetite (40.9%). </w:t>
      </w:r>
      <w:r w:rsidRPr="003F1B72">
        <w:t xml:space="preserve">In the chemotherapy arm, the </w:t>
      </w:r>
      <w:proofErr w:type="gramStart"/>
      <w:r w:rsidRPr="003F1B72">
        <w:t>most commonly obser</w:t>
      </w:r>
      <w:r w:rsidR="00B01C3A">
        <w:t>ved</w:t>
      </w:r>
      <w:proofErr w:type="gramEnd"/>
      <w:r w:rsidR="00B01C3A">
        <w:t xml:space="preserve"> TEAEs were alopecia (37.8%) and anaemia (29.9%). </w:t>
      </w:r>
      <w:proofErr w:type="spellStart"/>
      <w:r w:rsidR="007679F6">
        <w:rPr>
          <w:iCs/>
        </w:rPr>
        <w:t>Enfortumab</w:t>
      </w:r>
      <w:proofErr w:type="spellEnd"/>
      <w:r w:rsidR="007679F6">
        <w:rPr>
          <w:iCs/>
        </w:rPr>
        <w:t xml:space="preserve"> </w:t>
      </w:r>
      <w:proofErr w:type="spellStart"/>
      <w:r w:rsidR="007679F6">
        <w:rPr>
          <w:iCs/>
        </w:rPr>
        <w:t>vedotin</w:t>
      </w:r>
      <w:proofErr w:type="spellEnd"/>
      <w:r w:rsidR="00FC5B0A">
        <w:rPr>
          <w:iCs/>
        </w:rPr>
        <w:t xml:space="preserve"> </w:t>
      </w:r>
      <w:r w:rsidR="00E15A36">
        <w:rPr>
          <w:iCs/>
        </w:rPr>
        <w:t xml:space="preserve">treatment was associated with </w:t>
      </w:r>
      <w:r w:rsidR="00B83294">
        <w:rPr>
          <w:iCs/>
        </w:rPr>
        <w:t>less</w:t>
      </w:r>
      <w:r w:rsidR="00E15A36">
        <w:rPr>
          <w:iCs/>
        </w:rPr>
        <w:t xml:space="preserve"> than half</w:t>
      </w:r>
      <w:r w:rsidR="00CB5EA9">
        <w:rPr>
          <w:iCs/>
        </w:rPr>
        <w:t xml:space="preserve"> as many</w:t>
      </w:r>
      <w:r w:rsidR="00B01C3A" w:rsidRPr="00B01C3A">
        <w:rPr>
          <w:iCs/>
        </w:rPr>
        <w:t xml:space="preserve"> Grade ≥3 AEs related to </w:t>
      </w:r>
      <w:r w:rsidR="00657163" w:rsidRPr="00B01C3A">
        <w:rPr>
          <w:iCs/>
        </w:rPr>
        <w:t>neutropenia</w:t>
      </w:r>
      <w:r w:rsidR="00B01C3A" w:rsidRPr="00B01C3A">
        <w:rPr>
          <w:iCs/>
        </w:rPr>
        <w:t xml:space="preserve">/anaemia </w:t>
      </w:r>
      <w:r w:rsidR="00B83294">
        <w:rPr>
          <w:iCs/>
        </w:rPr>
        <w:t>compared to</w:t>
      </w:r>
      <w:r w:rsidR="00B01C3A" w:rsidRPr="00B01C3A">
        <w:rPr>
          <w:iCs/>
        </w:rPr>
        <w:t xml:space="preserve"> </w:t>
      </w:r>
      <w:r w:rsidR="00E15A36">
        <w:rPr>
          <w:iCs/>
        </w:rPr>
        <w:t xml:space="preserve">chemotherapy </w:t>
      </w:r>
      <w:r w:rsidR="00735875">
        <w:rPr>
          <w:iCs/>
        </w:rPr>
        <w:t>(</w:t>
      </w:r>
      <w:r w:rsidR="00E15A36">
        <w:rPr>
          <w:iCs/>
        </w:rPr>
        <w:t>14</w:t>
      </w:r>
      <w:r w:rsidR="00735875">
        <w:rPr>
          <w:iCs/>
        </w:rPr>
        <w:t xml:space="preserve">% vs </w:t>
      </w:r>
      <w:r w:rsidR="00E15A36">
        <w:rPr>
          <w:iCs/>
        </w:rPr>
        <w:t>33</w:t>
      </w:r>
      <w:r w:rsidR="00735875">
        <w:rPr>
          <w:iCs/>
        </w:rPr>
        <w:t>%</w:t>
      </w:r>
      <w:r w:rsidR="00036BA6" w:rsidRPr="00036BA6">
        <w:rPr>
          <w:rFonts w:ascii="Calibri" w:hAnsi="Calibri"/>
          <w:iCs/>
          <w:snapToGrid/>
        </w:rPr>
        <w:t xml:space="preserve"> </w:t>
      </w:r>
      <w:r w:rsidR="00036BA6" w:rsidRPr="00036BA6">
        <w:rPr>
          <w:iCs/>
        </w:rPr>
        <w:t>respectively</w:t>
      </w:r>
      <w:r w:rsidR="00735875">
        <w:rPr>
          <w:iCs/>
        </w:rPr>
        <w:t>)</w:t>
      </w:r>
      <w:r w:rsidR="00E15A36">
        <w:rPr>
          <w:iCs/>
        </w:rPr>
        <w:t xml:space="preserve"> and fewer cases of febrile neutropenia (0.7% vs 5.5%)</w:t>
      </w:r>
      <w:r w:rsidR="00B01C3A" w:rsidRPr="00B01C3A">
        <w:rPr>
          <w:iCs/>
        </w:rPr>
        <w:t xml:space="preserve">, but </w:t>
      </w:r>
      <w:proofErr w:type="spellStart"/>
      <w:r w:rsidR="007679F6">
        <w:rPr>
          <w:iCs/>
        </w:rPr>
        <w:t>enfortumab</w:t>
      </w:r>
      <w:proofErr w:type="spellEnd"/>
      <w:r w:rsidR="007679F6">
        <w:rPr>
          <w:iCs/>
        </w:rPr>
        <w:t xml:space="preserve"> </w:t>
      </w:r>
      <w:proofErr w:type="spellStart"/>
      <w:r w:rsidR="007679F6">
        <w:rPr>
          <w:iCs/>
        </w:rPr>
        <w:t>vedotin</w:t>
      </w:r>
      <w:proofErr w:type="spellEnd"/>
      <w:r w:rsidR="00FC5B0A">
        <w:rPr>
          <w:iCs/>
        </w:rPr>
        <w:t xml:space="preserve"> </w:t>
      </w:r>
      <w:r w:rsidR="00B01C3A" w:rsidRPr="00B01C3A">
        <w:rPr>
          <w:iCs/>
        </w:rPr>
        <w:t>had equal or higher rates of all other Grade ≥ 3 AEs</w:t>
      </w:r>
      <w:r w:rsidR="007E00EE">
        <w:rPr>
          <w:iCs/>
        </w:rPr>
        <w:t>, including maculopapular rash (7.4% vs 0%) and hyperglycaemia (3.7% vs 0</w:t>
      </w:r>
      <w:r w:rsidR="00036BA6">
        <w:rPr>
          <w:iCs/>
        </w:rPr>
        <w:t>%</w:t>
      </w:r>
      <w:r w:rsidR="007E00EE">
        <w:rPr>
          <w:iCs/>
        </w:rPr>
        <w:t>)</w:t>
      </w:r>
      <w:r w:rsidR="00B01C3A" w:rsidRPr="00B01C3A">
        <w:rPr>
          <w:iCs/>
        </w:rPr>
        <w:t xml:space="preserve">. </w:t>
      </w:r>
    </w:p>
    <w:p w14:paraId="15C5D8B8" w14:textId="0516F30F" w:rsidR="007A57F4" w:rsidRDefault="007A57F4" w:rsidP="007A57F4">
      <w:pPr>
        <w:pStyle w:val="3-BodyText"/>
      </w:pPr>
      <w:r w:rsidRPr="005F7464">
        <w:t xml:space="preserve">The incidence of </w:t>
      </w:r>
      <w:r w:rsidR="00594CAA">
        <w:t>serious adverse events (</w:t>
      </w:r>
      <w:r w:rsidRPr="005F7464">
        <w:t>SAEs</w:t>
      </w:r>
      <w:r w:rsidR="00594CAA">
        <w:t>)</w:t>
      </w:r>
      <w:r w:rsidRPr="005F7464">
        <w:t xml:space="preserve"> was similar across the treatment arms. The most common SAEs in the </w:t>
      </w:r>
      <w:proofErr w:type="spellStart"/>
      <w:r w:rsidR="007679F6">
        <w:t>enfortumab</w:t>
      </w:r>
      <w:proofErr w:type="spellEnd"/>
      <w:r w:rsidR="007679F6">
        <w:t xml:space="preserve"> </w:t>
      </w:r>
      <w:proofErr w:type="spellStart"/>
      <w:r w:rsidR="007679F6">
        <w:t>vedotin</w:t>
      </w:r>
      <w:proofErr w:type="spellEnd"/>
      <w:r w:rsidRPr="005F7464">
        <w:t xml:space="preserve"> arm were acute kidney injury (6.4% vs 2.4% in the chemotherapy arm), malignant neoplasm progression (4.1% vs 2.4% in the chemotherapy arm) and pneumonia (4.1% vs 2.4% in the chemotherapy arm). The most common SAE in the chemotherapy arm was febrile neutropenia (5.5% vs 1.4% in the </w:t>
      </w:r>
      <w:proofErr w:type="spellStart"/>
      <w:r w:rsidR="007679F6">
        <w:t>enfortumab</w:t>
      </w:r>
      <w:proofErr w:type="spellEnd"/>
      <w:r w:rsidR="007679F6">
        <w:t xml:space="preserve"> </w:t>
      </w:r>
      <w:proofErr w:type="spellStart"/>
      <w:r w:rsidR="007679F6">
        <w:t>vedotin</w:t>
      </w:r>
      <w:proofErr w:type="spellEnd"/>
      <w:r w:rsidRPr="005F7464">
        <w:t xml:space="preserve"> arm).</w:t>
      </w:r>
      <w:r w:rsidR="00384DA3">
        <w:t xml:space="preserve"> </w:t>
      </w:r>
    </w:p>
    <w:p w14:paraId="5C773B46" w14:textId="0F5FD0F9" w:rsidR="00CA4A62" w:rsidRPr="0070260D" w:rsidRDefault="00CA4A62" w:rsidP="007A57F4">
      <w:pPr>
        <w:pStyle w:val="3-BodyText"/>
      </w:pPr>
      <w:r w:rsidRPr="0070260D">
        <w:t xml:space="preserve">The PSCR acknowledged numerical differences in the rates of Grade </w:t>
      </w:r>
      <w:r w:rsidRPr="0070260D">
        <w:rPr>
          <w:rFonts w:cstheme="minorHAnsi"/>
        </w:rPr>
        <w:t>≥</w:t>
      </w:r>
      <w:r w:rsidRPr="0070260D">
        <w:t xml:space="preserve"> 3 and serious TEAEs. The PSCR noted that </w:t>
      </w:r>
      <w:proofErr w:type="spellStart"/>
      <w:r w:rsidRPr="0070260D">
        <w:t>enfortumab</w:t>
      </w:r>
      <w:proofErr w:type="spellEnd"/>
      <w:r w:rsidRPr="0070260D">
        <w:t xml:space="preserve"> </w:t>
      </w:r>
      <w:proofErr w:type="spellStart"/>
      <w:r w:rsidRPr="0070260D">
        <w:t>vedotin</w:t>
      </w:r>
      <w:proofErr w:type="spellEnd"/>
      <w:r w:rsidRPr="0070260D">
        <w:t xml:space="preserve"> has a different mode of action and thus argued it has a different toxicity profile to the </w:t>
      </w:r>
      <w:proofErr w:type="spellStart"/>
      <w:r w:rsidRPr="0070260D">
        <w:t>taxanes</w:t>
      </w:r>
      <w:proofErr w:type="spellEnd"/>
      <w:r w:rsidRPr="0070260D">
        <w:t xml:space="preserve">. The PSCR stated there was insufficient evidence to suggest that </w:t>
      </w:r>
      <w:proofErr w:type="spellStart"/>
      <w:r w:rsidRPr="0070260D">
        <w:t>taxanes</w:t>
      </w:r>
      <w:proofErr w:type="spellEnd"/>
      <w:r w:rsidRPr="0070260D">
        <w:t xml:space="preserve"> have a superior toxicity profile compared to </w:t>
      </w:r>
      <w:proofErr w:type="spellStart"/>
      <w:r w:rsidRPr="0070260D">
        <w:t>enfortumab</w:t>
      </w:r>
      <w:proofErr w:type="spellEnd"/>
      <w:r w:rsidRPr="0070260D">
        <w:t xml:space="preserve"> </w:t>
      </w:r>
      <w:proofErr w:type="spellStart"/>
      <w:r w:rsidRPr="0070260D">
        <w:t>vedotin</w:t>
      </w:r>
      <w:proofErr w:type="spellEnd"/>
      <w:r w:rsidRPr="0070260D">
        <w:t xml:space="preserve"> (and vice versa) and noted the rate of TEAEs leading to withdrawal were similar in the two arms of the EV-301 trial.</w:t>
      </w:r>
    </w:p>
    <w:p w14:paraId="6217BC38" w14:textId="0735BC94" w:rsidR="007A57F4" w:rsidRPr="0070260D" w:rsidRDefault="007A57F4" w:rsidP="007A57F4">
      <w:pPr>
        <w:pStyle w:val="3-BodyText"/>
      </w:pPr>
      <w:r w:rsidRPr="0070260D">
        <w:t xml:space="preserve">There were more treatment-related deaths associated with </w:t>
      </w:r>
      <w:proofErr w:type="spellStart"/>
      <w:r w:rsidR="007679F6" w:rsidRPr="0070260D">
        <w:t>enfortumab</w:t>
      </w:r>
      <w:proofErr w:type="spellEnd"/>
      <w:r w:rsidR="007679F6" w:rsidRPr="0070260D">
        <w:t xml:space="preserve"> </w:t>
      </w:r>
      <w:proofErr w:type="spellStart"/>
      <w:r w:rsidR="007679F6" w:rsidRPr="0070260D">
        <w:t>vedotin</w:t>
      </w:r>
      <w:proofErr w:type="spellEnd"/>
      <w:r w:rsidR="00594CAA" w:rsidRPr="0070260D">
        <w:t xml:space="preserve"> </w:t>
      </w:r>
      <w:r w:rsidRPr="0070260D">
        <w:t>treatment compared with the chemotherapy arm (7/296, 2.4% in</w:t>
      </w:r>
      <w:r w:rsidR="006F37DD" w:rsidRPr="0070260D">
        <w:t xml:space="preserve"> the</w:t>
      </w:r>
      <w:r w:rsidRPr="0070260D">
        <w:t xml:space="preserve"> </w:t>
      </w:r>
      <w:proofErr w:type="spellStart"/>
      <w:r w:rsidR="007679F6" w:rsidRPr="0070260D">
        <w:t>enfortumab</w:t>
      </w:r>
      <w:proofErr w:type="spellEnd"/>
      <w:r w:rsidR="007679F6" w:rsidRPr="0070260D">
        <w:t xml:space="preserve"> </w:t>
      </w:r>
      <w:proofErr w:type="spellStart"/>
      <w:r w:rsidR="007679F6" w:rsidRPr="0070260D">
        <w:t>vedotin</w:t>
      </w:r>
      <w:proofErr w:type="spellEnd"/>
      <w:r w:rsidR="00594CAA" w:rsidRPr="0070260D">
        <w:t xml:space="preserve"> </w:t>
      </w:r>
      <w:r w:rsidR="004930D1" w:rsidRPr="0070260D">
        <w:t>arm vs 3/2</w:t>
      </w:r>
      <w:r w:rsidRPr="0070260D">
        <w:t>91, 1% in the chemotherapy arm).</w:t>
      </w:r>
      <w:r w:rsidR="00245478" w:rsidRPr="0070260D">
        <w:t xml:space="preserve"> </w:t>
      </w:r>
      <w:r w:rsidR="001660E6" w:rsidRPr="0070260D">
        <w:t xml:space="preserve">The ESC noted there were also more treatment-emergent adverse event leading to death </w:t>
      </w:r>
      <w:proofErr w:type="spellStart"/>
      <w:r w:rsidR="001660E6" w:rsidRPr="0070260D">
        <w:t>enfortumab</w:t>
      </w:r>
      <w:proofErr w:type="spellEnd"/>
      <w:r w:rsidR="001660E6" w:rsidRPr="0070260D">
        <w:t xml:space="preserve"> </w:t>
      </w:r>
      <w:proofErr w:type="spellStart"/>
      <w:r w:rsidR="001660E6" w:rsidRPr="0070260D">
        <w:t>vedotin</w:t>
      </w:r>
      <w:proofErr w:type="spellEnd"/>
      <w:r w:rsidR="001660E6" w:rsidRPr="0070260D">
        <w:t xml:space="preserve"> treatment compa</w:t>
      </w:r>
      <w:r w:rsidR="006F37DD" w:rsidRPr="0070260D">
        <w:t>red with the chemotherapy arm (21/296, 7.1</w:t>
      </w:r>
      <w:r w:rsidR="001660E6" w:rsidRPr="0070260D">
        <w:t xml:space="preserve">% in </w:t>
      </w:r>
      <w:r w:rsidR="006F37DD" w:rsidRPr="0070260D">
        <w:t xml:space="preserve">the </w:t>
      </w:r>
      <w:proofErr w:type="spellStart"/>
      <w:r w:rsidR="001660E6" w:rsidRPr="0070260D">
        <w:t>enfortumab</w:t>
      </w:r>
      <w:proofErr w:type="spellEnd"/>
      <w:r w:rsidR="001660E6" w:rsidRPr="0070260D">
        <w:t xml:space="preserve"> </w:t>
      </w:r>
      <w:proofErr w:type="spellStart"/>
      <w:r w:rsidR="001660E6" w:rsidRPr="0070260D">
        <w:t>vedotin</w:t>
      </w:r>
      <w:proofErr w:type="spellEnd"/>
      <w:r w:rsidR="001660E6" w:rsidRPr="0070260D">
        <w:t xml:space="preserve"> </w:t>
      </w:r>
      <w:r w:rsidR="006F37DD" w:rsidRPr="0070260D">
        <w:t>arm vs 16</w:t>
      </w:r>
      <w:r w:rsidR="001660E6" w:rsidRPr="0070260D">
        <w:t>/2</w:t>
      </w:r>
      <w:r w:rsidR="006F37DD" w:rsidRPr="0070260D">
        <w:t>91, 5.5</w:t>
      </w:r>
      <w:r w:rsidR="001660E6" w:rsidRPr="0070260D">
        <w:t>% in the chemotherapy arm).</w:t>
      </w:r>
      <w:r w:rsidR="006F37DD" w:rsidRPr="0070260D">
        <w:t xml:space="preserve"> </w:t>
      </w:r>
    </w:p>
    <w:p w14:paraId="233507B5" w14:textId="65D2A3C4" w:rsidR="007A3A03" w:rsidRPr="00A25DCB" w:rsidRDefault="00FA62EC" w:rsidP="001E6D76">
      <w:pPr>
        <w:pStyle w:val="3-BodyText"/>
      </w:pPr>
      <w:r w:rsidRPr="00A25DCB">
        <w:t>In addition to the differences in safety profiles discussed above, t</w:t>
      </w:r>
      <w:r w:rsidR="007A3A03" w:rsidRPr="00A25DCB">
        <w:t>he TGA delegate’s overview</w:t>
      </w:r>
      <w:r w:rsidR="007B3B37" w:rsidRPr="00A25DCB">
        <w:t xml:space="preserve"> (January 2022)</w:t>
      </w:r>
      <w:r w:rsidR="007A3A03" w:rsidRPr="00A25DCB">
        <w:t xml:space="preserve"> noted toxicity concerns, </w:t>
      </w:r>
      <w:r w:rsidR="000C35E3" w:rsidRPr="00A25DCB">
        <w:t xml:space="preserve">and highlighted </w:t>
      </w:r>
      <w:r w:rsidR="007A3A03" w:rsidRPr="00A25DCB">
        <w:t>AEs of special interest</w:t>
      </w:r>
      <w:r w:rsidR="007B3B37" w:rsidRPr="00A25DCB">
        <w:t xml:space="preserve"> </w:t>
      </w:r>
      <w:r w:rsidR="007C62D9" w:rsidRPr="00A25DCB">
        <w:t xml:space="preserve">(any grade) </w:t>
      </w:r>
      <w:r w:rsidR="007B3B37" w:rsidRPr="00A25DCB">
        <w:t xml:space="preserve">which occurred more frequently in the </w:t>
      </w:r>
      <w:proofErr w:type="spellStart"/>
      <w:r w:rsidR="007B3B37" w:rsidRPr="00A25DCB">
        <w:t>enfortumab</w:t>
      </w:r>
      <w:proofErr w:type="spellEnd"/>
      <w:r w:rsidR="007B3B37" w:rsidRPr="00A25DCB">
        <w:t xml:space="preserve"> </w:t>
      </w:r>
      <w:proofErr w:type="spellStart"/>
      <w:r w:rsidR="007B3B37" w:rsidRPr="00A25DCB">
        <w:t>vedotin</w:t>
      </w:r>
      <w:proofErr w:type="spellEnd"/>
      <w:r w:rsidR="007B3B37" w:rsidRPr="00A25DCB">
        <w:t xml:space="preserve"> arm compared to </w:t>
      </w:r>
      <w:r w:rsidR="005219DF" w:rsidRPr="00A25DCB">
        <w:t>chemotherapy in</w:t>
      </w:r>
      <w:r w:rsidR="00CA6990" w:rsidRPr="00A25DCB">
        <w:t xml:space="preserve"> EV-301</w:t>
      </w:r>
      <w:r w:rsidR="000C35E3" w:rsidRPr="00A25DCB">
        <w:t>; t</w:t>
      </w:r>
      <w:r w:rsidR="007B3B37" w:rsidRPr="00A25DCB">
        <w:t>hese included Stevens</w:t>
      </w:r>
      <w:r w:rsidR="00146E12">
        <w:t>-</w:t>
      </w:r>
      <w:r w:rsidR="007B3B37" w:rsidRPr="00A25DCB">
        <w:t>Johnson Syndrome and Severe Cutaneous Adverse Reactions (26% vs 9.3%),</w:t>
      </w:r>
      <w:r w:rsidR="007C62D9" w:rsidRPr="00A25DCB">
        <w:t xml:space="preserve"> hyperglycaemia (11.8% vs 2.7%),</w:t>
      </w:r>
      <w:r w:rsidR="007A3A03" w:rsidRPr="00A25DCB">
        <w:t xml:space="preserve"> peripheral neuropathy</w:t>
      </w:r>
      <w:r w:rsidR="007B3B37" w:rsidRPr="00A25DCB">
        <w:t xml:space="preserve"> (50.3% vs 34.4%)</w:t>
      </w:r>
      <w:r w:rsidR="005219DF" w:rsidRPr="00A25DCB">
        <w:t xml:space="preserve">, </w:t>
      </w:r>
      <w:r w:rsidR="007A3A03" w:rsidRPr="00A25DCB">
        <w:t>ocular toxicity which resulted in dry eye</w:t>
      </w:r>
      <w:r w:rsidR="007B3B37" w:rsidRPr="00A25DCB">
        <w:t xml:space="preserve"> (24% vs 5.8%) and </w:t>
      </w:r>
      <w:r w:rsidR="007A3A03" w:rsidRPr="00A25DCB">
        <w:t>blurred vision</w:t>
      </w:r>
      <w:r w:rsidR="007B3B37" w:rsidRPr="00A25DCB">
        <w:t xml:space="preserve"> (</w:t>
      </w:r>
      <w:r w:rsidR="000C35E3" w:rsidRPr="00A25DCB">
        <w:t>6.1% vs 2.4%)</w:t>
      </w:r>
      <w:r w:rsidR="007A3A03" w:rsidRPr="00A25DCB">
        <w:t xml:space="preserve">. </w:t>
      </w:r>
      <w:r w:rsidR="00EA0C90" w:rsidRPr="00A25DCB">
        <w:t xml:space="preserve">The overview concluded that </w:t>
      </w:r>
      <w:r w:rsidR="00CA6990" w:rsidRPr="00A25DCB">
        <w:t xml:space="preserve">for </w:t>
      </w:r>
      <w:r w:rsidR="00EA0C90" w:rsidRPr="00A25DCB">
        <w:t xml:space="preserve">patients who are seeking additional treatment, and </w:t>
      </w:r>
      <w:r w:rsidR="00164A5E" w:rsidRPr="00A25DCB">
        <w:t>who</w:t>
      </w:r>
      <w:r w:rsidR="00EA0C90" w:rsidRPr="00A25DCB">
        <w:t xml:space="preserve"> are well enough and prepared for the potential toxicities, </w:t>
      </w:r>
      <w:proofErr w:type="spellStart"/>
      <w:r w:rsidR="00EA0C90" w:rsidRPr="00A25DCB">
        <w:t>enfortumab</w:t>
      </w:r>
      <w:proofErr w:type="spellEnd"/>
      <w:r w:rsidR="00EA0C90" w:rsidRPr="00A25DCB">
        <w:t xml:space="preserve"> </w:t>
      </w:r>
      <w:proofErr w:type="spellStart"/>
      <w:r w:rsidR="00EA0C90" w:rsidRPr="00A25DCB">
        <w:t>vedotin</w:t>
      </w:r>
      <w:proofErr w:type="spellEnd"/>
      <w:r w:rsidR="00EA0C90" w:rsidRPr="00A25DCB">
        <w:t xml:space="preserve"> may offer nearly 4 months of survival </w:t>
      </w:r>
      <w:proofErr w:type="gramStart"/>
      <w:r w:rsidR="00EA0C90" w:rsidRPr="00A25DCB">
        <w:t>benefit, and</w:t>
      </w:r>
      <w:proofErr w:type="gramEnd"/>
      <w:r w:rsidR="00EA0C90" w:rsidRPr="00A25DCB">
        <w:t xml:space="preserve"> presents an acceptable benefit/risk/uncertainty profile.</w:t>
      </w:r>
      <w:r w:rsidR="006F37DD">
        <w:t xml:space="preserve"> </w:t>
      </w:r>
      <w:r w:rsidR="006F37DD" w:rsidRPr="001E6D76">
        <w:t>The ESC noted that the FDA label includes a black box warning for severe and fatal cutaneous adverse reactions, including Stevens-Johnson syndrome and toxic epidermal necrolysis (TEN)</w:t>
      </w:r>
      <w:r w:rsidR="006F37DD" w:rsidRPr="001E6D76">
        <w:rPr>
          <w:vertAlign w:val="superscript"/>
        </w:rPr>
        <w:footnoteReference w:id="4"/>
      </w:r>
      <w:r w:rsidR="006F37DD" w:rsidRPr="001E6D76">
        <w:t>.</w:t>
      </w:r>
      <w:r w:rsidR="0023200C" w:rsidRPr="001E6D76">
        <w:t xml:space="preserve"> </w:t>
      </w:r>
      <w:r w:rsidR="001E6D76" w:rsidRPr="001E6D76">
        <w:t xml:space="preserve">The ESC noted the EMA paused its consideration of </w:t>
      </w:r>
      <w:proofErr w:type="spellStart"/>
      <w:r w:rsidR="001E6D76" w:rsidRPr="001E6D76">
        <w:t>enfortumab</w:t>
      </w:r>
      <w:proofErr w:type="spellEnd"/>
      <w:r w:rsidR="001E6D76" w:rsidRPr="001E6D76">
        <w:t xml:space="preserve"> </w:t>
      </w:r>
      <w:proofErr w:type="spellStart"/>
      <w:r w:rsidR="001E6D76" w:rsidRPr="001E6D76">
        <w:t>vedotin</w:t>
      </w:r>
      <w:proofErr w:type="spellEnd"/>
      <w:r w:rsidR="001E6D76" w:rsidRPr="001E6D76">
        <w:t xml:space="preserve"> in metastatic urothelial cancer due to concerns over severe skin reactions in a French compassionate access program</w:t>
      </w:r>
      <w:r w:rsidR="001E6D76">
        <w:rPr>
          <w:rStyle w:val="FootnoteReference"/>
        </w:rPr>
        <w:footnoteReference w:id="5"/>
      </w:r>
      <w:r w:rsidR="001E6D76" w:rsidRPr="001E6D76">
        <w:t xml:space="preserve">. The pre-PBAC response stated that analysis of data from the French compassionate access program revealed that the severe cutaneous adverse events reported through the program were consistent in severity and outcomes with those reported from both the clinical study setting and the post-marketing experience. The pre-PBAC response stated that, </w:t>
      </w:r>
      <w:proofErr w:type="gramStart"/>
      <w:r w:rsidR="001E6D76" w:rsidRPr="001E6D76">
        <w:t>subsequent to</w:t>
      </w:r>
      <w:proofErr w:type="gramEnd"/>
      <w:r w:rsidR="001E6D76" w:rsidRPr="001E6D76">
        <w:t xml:space="preserve"> this additional information being brought to the attention of the Committee for Medicinal Products for Human Use (CHMP), on 24 February 2022, the CHMP re-adopted its first positive opinion.</w:t>
      </w:r>
      <w:r w:rsidR="001E6D76">
        <w:t xml:space="preserve"> </w:t>
      </w:r>
      <w:r w:rsidR="0023200C" w:rsidRPr="001E6D76">
        <w:rPr>
          <w:iCs/>
        </w:rPr>
        <w:t xml:space="preserve">The pre-PBAC response </w:t>
      </w:r>
      <w:r w:rsidR="001E6D76" w:rsidRPr="001E6D76">
        <w:rPr>
          <w:iCs/>
        </w:rPr>
        <w:t xml:space="preserve">also </w:t>
      </w:r>
      <w:r w:rsidR="0023200C" w:rsidRPr="001E6D76">
        <w:rPr>
          <w:iCs/>
        </w:rPr>
        <w:t xml:space="preserve">noted that guidance on the recommended management of skin reactions that arise with </w:t>
      </w:r>
      <w:proofErr w:type="spellStart"/>
      <w:r w:rsidR="0023200C" w:rsidRPr="001E6D76">
        <w:rPr>
          <w:iCs/>
        </w:rPr>
        <w:t>enfortumab</w:t>
      </w:r>
      <w:proofErr w:type="spellEnd"/>
      <w:r w:rsidR="0023200C" w:rsidRPr="001E6D76">
        <w:rPr>
          <w:iCs/>
        </w:rPr>
        <w:t xml:space="preserve"> </w:t>
      </w:r>
      <w:proofErr w:type="spellStart"/>
      <w:r w:rsidR="0023200C" w:rsidRPr="001E6D76">
        <w:rPr>
          <w:iCs/>
        </w:rPr>
        <w:t>vedotin</w:t>
      </w:r>
      <w:proofErr w:type="spellEnd"/>
      <w:r w:rsidR="0023200C" w:rsidRPr="001E6D76">
        <w:rPr>
          <w:iCs/>
        </w:rPr>
        <w:t xml:space="preserve"> had recently been published.</w:t>
      </w:r>
      <w:r w:rsidR="0023200C">
        <w:rPr>
          <w:rStyle w:val="FootnoteReference"/>
          <w:iCs/>
        </w:rPr>
        <w:footnoteReference w:id="6"/>
      </w:r>
    </w:p>
    <w:p w14:paraId="439CA515" w14:textId="77777777" w:rsidR="007A57F4" w:rsidRPr="00C9624D" w:rsidRDefault="007A57F4" w:rsidP="007A57F4">
      <w:pPr>
        <w:pStyle w:val="4-SubsectionHeading"/>
      </w:pPr>
      <w:bookmarkStart w:id="15" w:name="_Toc93491262"/>
      <w:r w:rsidRPr="00C9624D">
        <w:t>Benefits/harms</w:t>
      </w:r>
      <w:bookmarkEnd w:id="15"/>
    </w:p>
    <w:p w14:paraId="6B75F051" w14:textId="54086641" w:rsidR="007A57F4" w:rsidRPr="00EE74CA" w:rsidRDefault="007A57F4" w:rsidP="007A57F4">
      <w:pPr>
        <w:pStyle w:val="3-BodyText"/>
        <w:rPr>
          <w:rStyle w:val="CommentReference"/>
        </w:rPr>
      </w:pPr>
      <w:r w:rsidRPr="00EE74CA">
        <w:rPr>
          <w:lang w:val="en-US"/>
        </w:rPr>
        <w:t xml:space="preserve">A summary of the comparative benefits and harms for </w:t>
      </w:r>
      <w:proofErr w:type="spellStart"/>
      <w:r w:rsidR="007679F6">
        <w:rPr>
          <w:lang w:val="en-US"/>
        </w:rPr>
        <w:t>enfortumab</w:t>
      </w:r>
      <w:proofErr w:type="spellEnd"/>
      <w:r w:rsidR="007679F6">
        <w:rPr>
          <w:lang w:val="en-US"/>
        </w:rPr>
        <w:t xml:space="preserve"> </w:t>
      </w:r>
      <w:proofErr w:type="spellStart"/>
      <w:r w:rsidR="007679F6">
        <w:rPr>
          <w:lang w:val="en-US"/>
        </w:rPr>
        <w:t>vedotin</w:t>
      </w:r>
      <w:proofErr w:type="spellEnd"/>
      <w:r w:rsidRPr="00EE74CA">
        <w:rPr>
          <w:lang w:val="en-US"/>
        </w:rPr>
        <w:t xml:space="preserve"> versus chemotherapy is presented in the table below</w:t>
      </w:r>
      <w:r w:rsidRPr="00EE74CA">
        <w:t>.</w:t>
      </w:r>
    </w:p>
    <w:p w14:paraId="26913D87" w14:textId="302514E3" w:rsidR="007A57F4" w:rsidRPr="00D2155B" w:rsidRDefault="007A57F4" w:rsidP="007A57F4">
      <w:pPr>
        <w:pStyle w:val="TableFigureHeading"/>
        <w:rPr>
          <w:rStyle w:val="CommentReference"/>
          <w:b/>
          <w:szCs w:val="24"/>
        </w:rPr>
      </w:pPr>
      <w:r>
        <w:t xml:space="preserve">Table </w:t>
      </w:r>
      <w:r w:rsidR="00F06F14">
        <w:fldChar w:fldCharType="begin"/>
      </w:r>
      <w:r w:rsidR="00F06F14">
        <w:instrText xml:space="preserve"> SEQ Table \* ARABIC </w:instrText>
      </w:r>
      <w:r w:rsidR="00F06F14">
        <w:fldChar w:fldCharType="separate"/>
      </w:r>
      <w:r w:rsidR="00234F7B">
        <w:rPr>
          <w:noProof/>
        </w:rPr>
        <w:t>6</w:t>
      </w:r>
      <w:r w:rsidR="00F06F14">
        <w:rPr>
          <w:noProof/>
        </w:rPr>
        <w:fldChar w:fldCharType="end"/>
      </w:r>
      <w:r>
        <w:t>:</w:t>
      </w:r>
      <w:r w:rsidRPr="00D2155B">
        <w:rPr>
          <w:rStyle w:val="CommentReference"/>
          <w:b/>
          <w:szCs w:val="24"/>
        </w:rPr>
        <w:t xml:space="preserve"> Summary of comparative benefits and harms for </w:t>
      </w:r>
      <w:proofErr w:type="spellStart"/>
      <w:r w:rsidR="007679F6">
        <w:rPr>
          <w:rStyle w:val="CommentReference"/>
          <w:b/>
          <w:szCs w:val="24"/>
        </w:rPr>
        <w:t>enfortumab</w:t>
      </w:r>
      <w:proofErr w:type="spellEnd"/>
      <w:r w:rsidR="007679F6">
        <w:rPr>
          <w:rStyle w:val="CommentReference"/>
          <w:b/>
          <w:szCs w:val="24"/>
        </w:rPr>
        <w:t xml:space="preserve"> </w:t>
      </w:r>
      <w:proofErr w:type="spellStart"/>
      <w:r w:rsidR="007679F6">
        <w:rPr>
          <w:rStyle w:val="CommentReference"/>
          <w:b/>
          <w:szCs w:val="24"/>
        </w:rPr>
        <w:t>vedotin</w:t>
      </w:r>
      <w:proofErr w:type="spellEnd"/>
      <w:r>
        <w:rPr>
          <w:rStyle w:val="CommentReference"/>
          <w:b/>
          <w:szCs w:val="24"/>
        </w:rPr>
        <w:t xml:space="preserve"> and chemotherapy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Summary of comparative benefits and harms for enfortumab vedotin and chemotherapy"/>
      </w:tblPr>
      <w:tblGrid>
        <w:gridCol w:w="1413"/>
        <w:gridCol w:w="992"/>
        <w:gridCol w:w="141"/>
        <w:gridCol w:w="1138"/>
        <w:gridCol w:w="563"/>
        <w:gridCol w:w="876"/>
        <w:gridCol w:w="682"/>
        <w:gridCol w:w="429"/>
        <w:gridCol w:w="1196"/>
        <w:gridCol w:w="81"/>
        <w:gridCol w:w="1506"/>
      </w:tblGrid>
      <w:tr w:rsidR="007A57F4" w:rsidRPr="00E2771E" w14:paraId="5FA80D89" w14:textId="77777777" w:rsidTr="00C63EBD">
        <w:trPr>
          <w:cantSplit/>
        </w:trPr>
        <w:tc>
          <w:tcPr>
            <w:tcW w:w="5000" w:type="pct"/>
            <w:gridSpan w:val="11"/>
            <w:shd w:val="clear" w:color="auto" w:fill="auto"/>
            <w:vAlign w:val="center"/>
          </w:tcPr>
          <w:p w14:paraId="2CF21F50" w14:textId="77777777" w:rsidR="007A57F4" w:rsidRPr="00E2771E" w:rsidRDefault="007A57F4" w:rsidP="00125618">
            <w:pPr>
              <w:pStyle w:val="In-tableHeading"/>
            </w:pPr>
            <w:r w:rsidRPr="00E2771E">
              <w:t>Benefits</w:t>
            </w:r>
          </w:p>
        </w:tc>
      </w:tr>
      <w:tr w:rsidR="007A57F4" w:rsidRPr="00712C73" w14:paraId="4EE72E49" w14:textId="77777777" w:rsidTr="00C63EBD">
        <w:trPr>
          <w:trHeight w:val="20"/>
        </w:trPr>
        <w:tc>
          <w:tcPr>
            <w:tcW w:w="5000" w:type="pct"/>
            <w:gridSpan w:val="11"/>
            <w:shd w:val="clear" w:color="auto" w:fill="auto"/>
          </w:tcPr>
          <w:p w14:paraId="4D1C39EE" w14:textId="77777777" w:rsidR="007A57F4" w:rsidRPr="00330DAA" w:rsidRDefault="007A57F4" w:rsidP="00125618">
            <w:pPr>
              <w:pStyle w:val="In-tableHeading"/>
            </w:pPr>
            <w:r w:rsidRPr="00330DAA">
              <w:t xml:space="preserve">Progression free survival (median duration of follow up </w:t>
            </w:r>
            <w:r>
              <w:t>11.1</w:t>
            </w:r>
            <w:r w:rsidRPr="00330DAA">
              <w:t xml:space="preserve"> months)</w:t>
            </w:r>
          </w:p>
        </w:tc>
      </w:tr>
      <w:tr w:rsidR="007A57F4" w:rsidRPr="00511320" w14:paraId="215623D3" w14:textId="77777777" w:rsidTr="001F429B">
        <w:trPr>
          <w:trHeight w:val="20"/>
        </w:trPr>
        <w:tc>
          <w:tcPr>
            <w:tcW w:w="1412" w:type="pct"/>
            <w:gridSpan w:val="3"/>
            <w:shd w:val="clear" w:color="auto" w:fill="auto"/>
          </w:tcPr>
          <w:p w14:paraId="15E783A9" w14:textId="77777777" w:rsidR="007A57F4" w:rsidRPr="00330DAA" w:rsidRDefault="007A57F4" w:rsidP="00125618">
            <w:pPr>
              <w:pStyle w:val="In-tableHeading"/>
            </w:pPr>
            <w:r w:rsidRPr="00330DAA">
              <w:t>Event</w:t>
            </w:r>
          </w:p>
        </w:tc>
        <w:tc>
          <w:tcPr>
            <w:tcW w:w="943" w:type="pct"/>
            <w:gridSpan w:val="2"/>
            <w:shd w:val="clear" w:color="auto" w:fill="auto"/>
          </w:tcPr>
          <w:p w14:paraId="6DB29567" w14:textId="77777777" w:rsidR="007A57F4" w:rsidRPr="00330DAA" w:rsidRDefault="007A57F4" w:rsidP="00125618">
            <w:pPr>
              <w:pStyle w:val="In-tableHeading"/>
              <w:jc w:val="center"/>
            </w:pPr>
            <w:r>
              <w:t>EV</w:t>
            </w:r>
          </w:p>
        </w:tc>
        <w:tc>
          <w:tcPr>
            <w:tcW w:w="864" w:type="pct"/>
            <w:gridSpan w:val="2"/>
            <w:shd w:val="clear" w:color="auto" w:fill="auto"/>
          </w:tcPr>
          <w:p w14:paraId="771A744B" w14:textId="77777777" w:rsidR="007A57F4" w:rsidRPr="00330DAA" w:rsidRDefault="007A57F4" w:rsidP="00125618">
            <w:pPr>
              <w:pStyle w:val="In-tableHeading"/>
              <w:jc w:val="center"/>
            </w:pPr>
            <w:r>
              <w:t>Chemotherapy</w:t>
            </w:r>
          </w:p>
        </w:tc>
        <w:tc>
          <w:tcPr>
            <w:tcW w:w="901" w:type="pct"/>
            <w:gridSpan w:val="2"/>
            <w:shd w:val="clear" w:color="auto" w:fill="auto"/>
          </w:tcPr>
          <w:p w14:paraId="4CEC6665" w14:textId="77777777" w:rsidR="007A57F4" w:rsidRPr="00330DAA" w:rsidRDefault="007A57F4" w:rsidP="00125618">
            <w:pPr>
              <w:pStyle w:val="In-tableHeading"/>
              <w:jc w:val="center"/>
              <w:rPr>
                <w:rFonts w:asciiTheme="minorHAnsi" w:hAnsiTheme="minorHAnsi"/>
              </w:rPr>
            </w:pPr>
            <w:r w:rsidRPr="00330DAA">
              <w:t>Absolute Difference</w:t>
            </w:r>
          </w:p>
        </w:tc>
        <w:tc>
          <w:tcPr>
            <w:tcW w:w="880" w:type="pct"/>
            <w:gridSpan w:val="2"/>
            <w:shd w:val="clear" w:color="auto" w:fill="auto"/>
          </w:tcPr>
          <w:p w14:paraId="242101FE" w14:textId="77777777" w:rsidR="007A57F4" w:rsidRPr="00511320" w:rsidRDefault="007A57F4" w:rsidP="00125618">
            <w:pPr>
              <w:pStyle w:val="In-tableHeading"/>
              <w:jc w:val="center"/>
            </w:pPr>
            <w:r w:rsidRPr="00511320">
              <w:t>HR (95% CI)</w:t>
            </w:r>
          </w:p>
        </w:tc>
      </w:tr>
      <w:tr w:rsidR="007A57F4" w:rsidRPr="00C67006" w14:paraId="4ED35E6E" w14:textId="77777777" w:rsidTr="001F429B">
        <w:trPr>
          <w:trHeight w:val="20"/>
        </w:trPr>
        <w:tc>
          <w:tcPr>
            <w:tcW w:w="1412" w:type="pct"/>
            <w:gridSpan w:val="3"/>
            <w:shd w:val="clear" w:color="auto" w:fill="auto"/>
          </w:tcPr>
          <w:p w14:paraId="00A91220" w14:textId="77777777" w:rsidR="007A57F4" w:rsidRPr="00330DAA" w:rsidRDefault="007A57F4" w:rsidP="00125618">
            <w:pPr>
              <w:pStyle w:val="TableText0"/>
              <w:keepLines/>
              <w:widowControl w:val="0"/>
            </w:pPr>
            <w:r w:rsidRPr="00330DAA">
              <w:t>Progressed, n (%)</w:t>
            </w:r>
          </w:p>
        </w:tc>
        <w:tc>
          <w:tcPr>
            <w:tcW w:w="943" w:type="pct"/>
            <w:gridSpan w:val="2"/>
            <w:shd w:val="clear" w:color="auto" w:fill="auto"/>
          </w:tcPr>
          <w:p w14:paraId="7128F923" w14:textId="77777777" w:rsidR="007A57F4" w:rsidRPr="00330DAA" w:rsidRDefault="007A57F4" w:rsidP="00125618">
            <w:pPr>
              <w:pStyle w:val="TableText0"/>
              <w:keepLines/>
              <w:widowControl w:val="0"/>
              <w:jc w:val="center"/>
            </w:pPr>
            <w:r>
              <w:rPr>
                <w:rFonts w:cs="Times New Roman"/>
                <w:szCs w:val="20"/>
              </w:rPr>
              <w:t>201</w:t>
            </w:r>
            <w:r w:rsidRPr="00330DAA">
              <w:rPr>
                <w:rFonts w:cs="Times New Roman"/>
                <w:szCs w:val="20"/>
              </w:rPr>
              <w:t>/</w:t>
            </w:r>
            <w:r>
              <w:rPr>
                <w:rFonts w:cs="Times New Roman"/>
                <w:szCs w:val="20"/>
              </w:rPr>
              <w:t>301</w:t>
            </w:r>
            <w:r w:rsidRPr="00330DAA">
              <w:rPr>
                <w:rFonts w:cs="Times New Roman"/>
                <w:szCs w:val="20"/>
              </w:rPr>
              <w:t xml:space="preserve"> (</w:t>
            </w:r>
            <w:r>
              <w:rPr>
                <w:rFonts w:cs="Times New Roman"/>
                <w:szCs w:val="20"/>
              </w:rPr>
              <w:t>66.8</w:t>
            </w:r>
            <w:r w:rsidRPr="00330DAA">
              <w:rPr>
                <w:rFonts w:cs="Times New Roman"/>
                <w:szCs w:val="20"/>
              </w:rPr>
              <w:t>%)</w:t>
            </w:r>
          </w:p>
        </w:tc>
        <w:tc>
          <w:tcPr>
            <w:tcW w:w="864" w:type="pct"/>
            <w:gridSpan w:val="2"/>
            <w:shd w:val="clear" w:color="auto" w:fill="auto"/>
          </w:tcPr>
          <w:p w14:paraId="4BEAB7AA" w14:textId="77777777" w:rsidR="007A57F4" w:rsidRPr="00330DAA" w:rsidRDefault="007A57F4" w:rsidP="00125618">
            <w:pPr>
              <w:pStyle w:val="TableText0"/>
              <w:keepLines/>
              <w:widowControl w:val="0"/>
              <w:jc w:val="center"/>
            </w:pPr>
            <w:r>
              <w:rPr>
                <w:rFonts w:cs="Times New Roman"/>
                <w:szCs w:val="20"/>
              </w:rPr>
              <w:t>231</w:t>
            </w:r>
            <w:r w:rsidRPr="00330DAA">
              <w:rPr>
                <w:rFonts w:cs="Times New Roman"/>
                <w:szCs w:val="20"/>
              </w:rPr>
              <w:t>/</w:t>
            </w:r>
            <w:r>
              <w:rPr>
                <w:rFonts w:cs="Times New Roman"/>
                <w:szCs w:val="20"/>
              </w:rPr>
              <w:t>307</w:t>
            </w:r>
            <w:r w:rsidRPr="00330DAA">
              <w:rPr>
                <w:rFonts w:cs="Times New Roman"/>
                <w:szCs w:val="20"/>
              </w:rPr>
              <w:t xml:space="preserve"> (</w:t>
            </w:r>
            <w:r>
              <w:rPr>
                <w:rFonts w:cs="Times New Roman"/>
                <w:szCs w:val="20"/>
              </w:rPr>
              <w:t>75.2</w:t>
            </w:r>
            <w:r w:rsidRPr="00330DAA">
              <w:rPr>
                <w:rFonts w:cs="Times New Roman"/>
                <w:szCs w:val="20"/>
              </w:rPr>
              <w:t>%)</w:t>
            </w:r>
          </w:p>
        </w:tc>
        <w:tc>
          <w:tcPr>
            <w:tcW w:w="901" w:type="pct"/>
            <w:gridSpan w:val="2"/>
            <w:shd w:val="clear" w:color="auto" w:fill="auto"/>
          </w:tcPr>
          <w:p w14:paraId="0694D532" w14:textId="5863F941" w:rsidR="007A57F4" w:rsidRPr="00330DAA" w:rsidRDefault="001F429B" w:rsidP="00125618">
            <w:pPr>
              <w:pStyle w:val="TableText0"/>
              <w:keepLines/>
              <w:widowControl w:val="0"/>
              <w:jc w:val="center"/>
            </w:pPr>
            <w:r>
              <w:t>-</w:t>
            </w:r>
          </w:p>
        </w:tc>
        <w:tc>
          <w:tcPr>
            <w:tcW w:w="880" w:type="pct"/>
            <w:gridSpan w:val="2"/>
            <w:shd w:val="clear" w:color="auto" w:fill="auto"/>
          </w:tcPr>
          <w:p w14:paraId="668D1E61" w14:textId="584CC718" w:rsidR="007A57F4" w:rsidRPr="001F429B" w:rsidRDefault="007A57F4" w:rsidP="001F429B">
            <w:pPr>
              <w:pStyle w:val="TableText0"/>
              <w:keepLines/>
              <w:widowControl w:val="0"/>
              <w:jc w:val="center"/>
              <w:rPr>
                <w:szCs w:val="20"/>
              </w:rPr>
            </w:pPr>
            <w:r w:rsidRPr="00470AF8">
              <w:t>0.615 (0.505, 0.748)</w:t>
            </w:r>
          </w:p>
        </w:tc>
      </w:tr>
      <w:tr w:rsidR="007A57F4" w:rsidRPr="00C67006" w14:paraId="7753574A" w14:textId="77777777" w:rsidTr="001F429B">
        <w:trPr>
          <w:trHeight w:val="20"/>
        </w:trPr>
        <w:tc>
          <w:tcPr>
            <w:tcW w:w="1412" w:type="pct"/>
            <w:gridSpan w:val="3"/>
            <w:shd w:val="clear" w:color="auto" w:fill="auto"/>
          </w:tcPr>
          <w:p w14:paraId="1DDA9115" w14:textId="77777777" w:rsidR="007A57F4" w:rsidRPr="00330DAA" w:rsidRDefault="007A57F4" w:rsidP="00125618">
            <w:pPr>
              <w:pStyle w:val="TableText0"/>
              <w:keepLines/>
              <w:widowControl w:val="0"/>
            </w:pPr>
            <w:r w:rsidRPr="00330DAA">
              <w:t>Median PFS</w:t>
            </w:r>
            <w:r>
              <w:t xml:space="preserve">, </w:t>
            </w:r>
            <w:r w:rsidRPr="00330DAA">
              <w:t>months</w:t>
            </w:r>
            <w:r>
              <w:t xml:space="preserve"> (95% CI)</w:t>
            </w:r>
          </w:p>
        </w:tc>
        <w:tc>
          <w:tcPr>
            <w:tcW w:w="943" w:type="pct"/>
            <w:gridSpan w:val="2"/>
            <w:shd w:val="clear" w:color="auto" w:fill="auto"/>
          </w:tcPr>
          <w:p w14:paraId="64FC946A" w14:textId="77777777" w:rsidR="007A57F4" w:rsidRPr="00330DAA" w:rsidRDefault="007A57F4" w:rsidP="00125618">
            <w:pPr>
              <w:pStyle w:val="TableText0"/>
              <w:keepLines/>
              <w:widowControl w:val="0"/>
              <w:jc w:val="center"/>
              <w:rPr>
                <w:rFonts w:cs="Times New Roman"/>
                <w:szCs w:val="20"/>
              </w:rPr>
            </w:pPr>
            <w:r w:rsidRPr="00FF3527">
              <w:rPr>
                <w:rFonts w:cs="Times New Roman"/>
                <w:szCs w:val="20"/>
              </w:rPr>
              <w:t>5.55 (5.32, 5.82)</w:t>
            </w:r>
          </w:p>
        </w:tc>
        <w:tc>
          <w:tcPr>
            <w:tcW w:w="864" w:type="pct"/>
            <w:gridSpan w:val="2"/>
            <w:shd w:val="clear" w:color="auto" w:fill="auto"/>
          </w:tcPr>
          <w:p w14:paraId="48D692C7" w14:textId="77777777" w:rsidR="007A57F4" w:rsidRPr="00330DAA" w:rsidRDefault="007A57F4" w:rsidP="00125618">
            <w:pPr>
              <w:pStyle w:val="TableText0"/>
              <w:keepLines/>
              <w:widowControl w:val="0"/>
              <w:jc w:val="center"/>
              <w:rPr>
                <w:rFonts w:cs="Times New Roman"/>
                <w:szCs w:val="20"/>
              </w:rPr>
            </w:pPr>
            <w:r w:rsidRPr="00FF3527">
              <w:rPr>
                <w:rFonts w:cs="Times New Roman"/>
                <w:szCs w:val="20"/>
              </w:rPr>
              <w:t>3.71 (3.52, 3.94)</w:t>
            </w:r>
          </w:p>
        </w:tc>
        <w:tc>
          <w:tcPr>
            <w:tcW w:w="901" w:type="pct"/>
            <w:gridSpan w:val="2"/>
            <w:shd w:val="clear" w:color="auto" w:fill="auto"/>
          </w:tcPr>
          <w:p w14:paraId="6AC9C830" w14:textId="77777777" w:rsidR="007A57F4" w:rsidRPr="00330DAA" w:rsidRDefault="007A57F4" w:rsidP="00125618">
            <w:pPr>
              <w:pStyle w:val="TableText0"/>
              <w:keepLines/>
              <w:widowControl w:val="0"/>
              <w:jc w:val="center"/>
            </w:pPr>
            <w:r>
              <w:t>1.84</w:t>
            </w:r>
          </w:p>
        </w:tc>
        <w:tc>
          <w:tcPr>
            <w:tcW w:w="880" w:type="pct"/>
            <w:gridSpan w:val="2"/>
            <w:shd w:val="clear" w:color="auto" w:fill="auto"/>
          </w:tcPr>
          <w:p w14:paraId="5A11C8DB" w14:textId="147ECA13" w:rsidR="007A57F4" w:rsidRPr="00C67006" w:rsidRDefault="001F429B" w:rsidP="00125618">
            <w:pPr>
              <w:pStyle w:val="TableText0"/>
              <w:keepLines/>
              <w:widowControl w:val="0"/>
              <w:jc w:val="center"/>
              <w:rPr>
                <w:szCs w:val="20"/>
              </w:rPr>
            </w:pPr>
            <w:r>
              <w:rPr>
                <w:szCs w:val="20"/>
              </w:rPr>
              <w:t>-</w:t>
            </w:r>
          </w:p>
        </w:tc>
      </w:tr>
      <w:tr w:rsidR="007A57F4" w:rsidRPr="00C67006" w14:paraId="3032A3EC" w14:textId="77777777" w:rsidTr="001F429B">
        <w:trPr>
          <w:trHeight w:val="20"/>
        </w:trPr>
        <w:tc>
          <w:tcPr>
            <w:tcW w:w="1412" w:type="pct"/>
            <w:gridSpan w:val="3"/>
            <w:shd w:val="clear" w:color="auto" w:fill="auto"/>
          </w:tcPr>
          <w:p w14:paraId="5348BB00" w14:textId="77777777" w:rsidR="007A57F4" w:rsidRPr="00330DAA" w:rsidRDefault="007A57F4" w:rsidP="00125618">
            <w:pPr>
              <w:pStyle w:val="TableText0"/>
              <w:keepLines/>
              <w:widowControl w:val="0"/>
            </w:pPr>
            <w:r w:rsidRPr="00330DAA">
              <w:t xml:space="preserve">% not progressed at </w:t>
            </w:r>
            <w:r>
              <w:t>6</w:t>
            </w:r>
            <w:r w:rsidRPr="00330DAA">
              <w:t xml:space="preserve"> months (95% CI)</w:t>
            </w:r>
          </w:p>
        </w:tc>
        <w:tc>
          <w:tcPr>
            <w:tcW w:w="943" w:type="pct"/>
            <w:gridSpan w:val="2"/>
            <w:shd w:val="clear" w:color="auto" w:fill="auto"/>
            <w:vAlign w:val="center"/>
          </w:tcPr>
          <w:p w14:paraId="283AD86D" w14:textId="77777777" w:rsidR="007A57F4" w:rsidRPr="00FF3527" w:rsidRDefault="007A57F4" w:rsidP="00125618">
            <w:pPr>
              <w:pStyle w:val="TableText0"/>
              <w:keepLines/>
              <w:widowControl w:val="0"/>
              <w:jc w:val="center"/>
              <w:rPr>
                <w:szCs w:val="20"/>
              </w:rPr>
            </w:pPr>
            <w:r w:rsidRPr="00FF3527">
              <w:rPr>
                <w:szCs w:val="20"/>
              </w:rPr>
              <w:t>44.0 (37.96, 49.84)</w:t>
            </w:r>
          </w:p>
        </w:tc>
        <w:tc>
          <w:tcPr>
            <w:tcW w:w="864" w:type="pct"/>
            <w:gridSpan w:val="2"/>
            <w:shd w:val="clear" w:color="auto" w:fill="auto"/>
            <w:vAlign w:val="center"/>
          </w:tcPr>
          <w:p w14:paraId="748D96E0" w14:textId="77777777" w:rsidR="007A57F4" w:rsidRPr="00FF3527" w:rsidRDefault="007A57F4" w:rsidP="00125618">
            <w:pPr>
              <w:pStyle w:val="TableText0"/>
              <w:keepLines/>
              <w:widowControl w:val="0"/>
              <w:jc w:val="center"/>
              <w:rPr>
                <w:szCs w:val="20"/>
              </w:rPr>
            </w:pPr>
            <w:r w:rsidRPr="00FF3527">
              <w:rPr>
                <w:szCs w:val="20"/>
              </w:rPr>
              <w:t>28.2 (22.85, 33.76)</w:t>
            </w:r>
          </w:p>
        </w:tc>
        <w:tc>
          <w:tcPr>
            <w:tcW w:w="901" w:type="pct"/>
            <w:gridSpan w:val="2"/>
            <w:shd w:val="clear" w:color="auto" w:fill="auto"/>
            <w:vAlign w:val="center"/>
          </w:tcPr>
          <w:p w14:paraId="76E201F0" w14:textId="77777777" w:rsidR="007A57F4" w:rsidRPr="00330DAA" w:rsidRDefault="007A57F4" w:rsidP="001F429B">
            <w:pPr>
              <w:pStyle w:val="TableText0"/>
              <w:keepLines/>
              <w:widowControl w:val="0"/>
              <w:jc w:val="center"/>
            </w:pPr>
            <w:r>
              <w:t>15.8</w:t>
            </w:r>
            <w:r w:rsidRPr="00330DAA">
              <w:t>%</w:t>
            </w:r>
          </w:p>
        </w:tc>
        <w:tc>
          <w:tcPr>
            <w:tcW w:w="880" w:type="pct"/>
            <w:gridSpan w:val="2"/>
            <w:shd w:val="clear" w:color="auto" w:fill="auto"/>
            <w:vAlign w:val="center"/>
          </w:tcPr>
          <w:p w14:paraId="57714A0C" w14:textId="5F1AF306" w:rsidR="007A57F4" w:rsidRPr="00C67006" w:rsidRDefault="001F429B" w:rsidP="001F429B">
            <w:pPr>
              <w:pStyle w:val="TableText0"/>
              <w:keepLines/>
              <w:widowControl w:val="0"/>
              <w:jc w:val="center"/>
            </w:pPr>
            <w:r>
              <w:t>-</w:t>
            </w:r>
          </w:p>
        </w:tc>
      </w:tr>
      <w:tr w:rsidR="007A57F4" w:rsidRPr="00511320" w14:paraId="16755229" w14:textId="77777777" w:rsidTr="001F429B">
        <w:trPr>
          <w:trHeight w:val="20"/>
        </w:trPr>
        <w:tc>
          <w:tcPr>
            <w:tcW w:w="1412" w:type="pct"/>
            <w:gridSpan w:val="3"/>
            <w:shd w:val="clear" w:color="auto" w:fill="auto"/>
          </w:tcPr>
          <w:p w14:paraId="21C76E5A" w14:textId="77777777" w:rsidR="007A57F4" w:rsidRPr="00330DAA" w:rsidRDefault="007A57F4" w:rsidP="00125618">
            <w:pPr>
              <w:pStyle w:val="TableText0"/>
              <w:keepLines/>
              <w:widowControl w:val="0"/>
            </w:pPr>
            <w:r w:rsidRPr="00330DAA">
              <w:t xml:space="preserve">% not progressed at </w:t>
            </w:r>
            <w:r>
              <w:t>12</w:t>
            </w:r>
            <w:r w:rsidRPr="00330DAA">
              <w:t xml:space="preserve"> months (95% CI)</w:t>
            </w:r>
          </w:p>
        </w:tc>
        <w:tc>
          <w:tcPr>
            <w:tcW w:w="943" w:type="pct"/>
            <w:gridSpan w:val="2"/>
            <w:vAlign w:val="center"/>
          </w:tcPr>
          <w:p w14:paraId="7AE12F75" w14:textId="77777777" w:rsidR="007A57F4" w:rsidRPr="00FF3527" w:rsidRDefault="007A57F4" w:rsidP="00125618">
            <w:pPr>
              <w:pStyle w:val="TableText0"/>
              <w:keepLines/>
              <w:widowControl w:val="0"/>
              <w:jc w:val="center"/>
              <w:rPr>
                <w:szCs w:val="20"/>
              </w:rPr>
            </w:pPr>
            <w:r w:rsidRPr="00FF3527">
              <w:rPr>
                <w:szCs w:val="20"/>
              </w:rPr>
              <w:t>21.7 (16.26, 27.71)</w:t>
            </w:r>
          </w:p>
        </w:tc>
        <w:tc>
          <w:tcPr>
            <w:tcW w:w="864" w:type="pct"/>
            <w:gridSpan w:val="2"/>
            <w:vAlign w:val="center"/>
          </w:tcPr>
          <w:p w14:paraId="2BE6A79F" w14:textId="77777777" w:rsidR="007A57F4" w:rsidRPr="00FF3527" w:rsidRDefault="007A57F4" w:rsidP="00125618">
            <w:pPr>
              <w:pStyle w:val="TableText0"/>
              <w:keepLines/>
              <w:widowControl w:val="0"/>
              <w:jc w:val="center"/>
              <w:rPr>
                <w:szCs w:val="20"/>
              </w:rPr>
            </w:pPr>
            <w:r w:rsidRPr="00FF3527">
              <w:rPr>
                <w:szCs w:val="20"/>
              </w:rPr>
              <w:t>8.3 (4.61, 13.36)</w:t>
            </w:r>
          </w:p>
        </w:tc>
        <w:tc>
          <w:tcPr>
            <w:tcW w:w="901" w:type="pct"/>
            <w:gridSpan w:val="2"/>
            <w:shd w:val="clear" w:color="auto" w:fill="auto"/>
            <w:vAlign w:val="center"/>
          </w:tcPr>
          <w:p w14:paraId="4AB94C03" w14:textId="77777777" w:rsidR="007A57F4" w:rsidRPr="00330DAA" w:rsidRDefault="007A57F4" w:rsidP="001F429B">
            <w:pPr>
              <w:pStyle w:val="TableText0"/>
              <w:keepLines/>
              <w:widowControl w:val="0"/>
              <w:jc w:val="center"/>
              <w:rPr>
                <w:rFonts w:cs="Times New Roman"/>
                <w:szCs w:val="20"/>
              </w:rPr>
            </w:pPr>
            <w:r>
              <w:rPr>
                <w:rFonts w:cs="Times New Roman"/>
                <w:szCs w:val="20"/>
              </w:rPr>
              <w:t>13.4</w:t>
            </w:r>
            <w:r w:rsidRPr="00330DAA">
              <w:rPr>
                <w:rFonts w:cs="Times New Roman"/>
                <w:szCs w:val="20"/>
              </w:rPr>
              <w:t>%</w:t>
            </w:r>
          </w:p>
        </w:tc>
        <w:tc>
          <w:tcPr>
            <w:tcW w:w="880" w:type="pct"/>
            <w:gridSpan w:val="2"/>
            <w:shd w:val="clear" w:color="auto" w:fill="auto"/>
            <w:vAlign w:val="center"/>
          </w:tcPr>
          <w:p w14:paraId="41A5F358" w14:textId="27EA08E5" w:rsidR="007A57F4" w:rsidRPr="00511320" w:rsidRDefault="001F429B" w:rsidP="001F429B">
            <w:pPr>
              <w:pStyle w:val="TableText0"/>
              <w:keepLines/>
              <w:widowControl w:val="0"/>
              <w:jc w:val="center"/>
            </w:pPr>
            <w:r>
              <w:t>-</w:t>
            </w:r>
          </w:p>
        </w:tc>
      </w:tr>
      <w:tr w:rsidR="007A57F4" w:rsidRPr="00511320" w14:paraId="2AFE446F" w14:textId="77777777" w:rsidTr="00C63EBD">
        <w:trPr>
          <w:trHeight w:val="20"/>
        </w:trPr>
        <w:tc>
          <w:tcPr>
            <w:tcW w:w="5000" w:type="pct"/>
            <w:gridSpan w:val="11"/>
            <w:shd w:val="clear" w:color="auto" w:fill="auto"/>
          </w:tcPr>
          <w:p w14:paraId="2DDDA48B" w14:textId="77777777" w:rsidR="007A57F4" w:rsidRPr="00330DAA" w:rsidRDefault="007A57F4" w:rsidP="00125618">
            <w:pPr>
              <w:pStyle w:val="In-tableHeading"/>
            </w:pPr>
            <w:r w:rsidRPr="00330DAA">
              <w:t>Overall survival</w:t>
            </w:r>
            <w:r>
              <w:t xml:space="preserve"> (median duration of follow up 11.1</w:t>
            </w:r>
            <w:r w:rsidRPr="00330DAA">
              <w:t xml:space="preserve"> months)</w:t>
            </w:r>
          </w:p>
        </w:tc>
      </w:tr>
      <w:tr w:rsidR="007A57F4" w:rsidRPr="00511320" w14:paraId="6CCCB72B" w14:textId="77777777" w:rsidTr="001F429B">
        <w:trPr>
          <w:trHeight w:val="20"/>
        </w:trPr>
        <w:tc>
          <w:tcPr>
            <w:tcW w:w="1412" w:type="pct"/>
            <w:gridSpan w:val="3"/>
            <w:shd w:val="clear" w:color="auto" w:fill="auto"/>
          </w:tcPr>
          <w:p w14:paraId="77942B4A" w14:textId="77777777" w:rsidR="007A57F4" w:rsidRPr="00330DAA" w:rsidRDefault="007A57F4" w:rsidP="00125618">
            <w:pPr>
              <w:pStyle w:val="TableText0"/>
              <w:keepLines/>
              <w:widowControl w:val="0"/>
            </w:pPr>
            <w:r w:rsidRPr="00330DAA">
              <w:t xml:space="preserve">Deaths, n/N (%) </w:t>
            </w:r>
          </w:p>
        </w:tc>
        <w:tc>
          <w:tcPr>
            <w:tcW w:w="943" w:type="pct"/>
            <w:gridSpan w:val="2"/>
            <w:shd w:val="clear" w:color="auto" w:fill="auto"/>
          </w:tcPr>
          <w:p w14:paraId="0A4DB557" w14:textId="77777777" w:rsidR="007A57F4" w:rsidRPr="00330DAA" w:rsidRDefault="007A57F4" w:rsidP="00125618">
            <w:pPr>
              <w:pStyle w:val="TableText0"/>
              <w:keepLines/>
              <w:widowControl w:val="0"/>
              <w:jc w:val="center"/>
            </w:pPr>
            <w:r>
              <w:rPr>
                <w:rFonts w:cs="Times New Roman"/>
                <w:szCs w:val="20"/>
              </w:rPr>
              <w:t>134/301</w:t>
            </w:r>
            <w:r w:rsidRPr="00330DAA">
              <w:rPr>
                <w:rFonts w:cs="Times New Roman"/>
                <w:szCs w:val="20"/>
              </w:rPr>
              <w:t xml:space="preserve"> (</w:t>
            </w:r>
            <w:r>
              <w:rPr>
                <w:rFonts w:cs="Times New Roman"/>
                <w:szCs w:val="20"/>
              </w:rPr>
              <w:t>44.5</w:t>
            </w:r>
            <w:r w:rsidRPr="00330DAA">
              <w:rPr>
                <w:rFonts w:cs="Times New Roman"/>
                <w:szCs w:val="20"/>
              </w:rPr>
              <w:t>%)</w:t>
            </w:r>
          </w:p>
        </w:tc>
        <w:tc>
          <w:tcPr>
            <w:tcW w:w="864" w:type="pct"/>
            <w:gridSpan w:val="2"/>
            <w:shd w:val="clear" w:color="auto" w:fill="auto"/>
          </w:tcPr>
          <w:p w14:paraId="62327D08" w14:textId="77777777" w:rsidR="007A57F4" w:rsidRPr="00330DAA" w:rsidRDefault="007A57F4" w:rsidP="00125618">
            <w:pPr>
              <w:pStyle w:val="TableText0"/>
              <w:keepLines/>
              <w:widowControl w:val="0"/>
              <w:jc w:val="center"/>
            </w:pPr>
            <w:r>
              <w:rPr>
                <w:rFonts w:cs="Times New Roman"/>
                <w:szCs w:val="20"/>
              </w:rPr>
              <w:t>167</w:t>
            </w:r>
            <w:r w:rsidRPr="00330DAA">
              <w:rPr>
                <w:rFonts w:cs="Times New Roman"/>
                <w:szCs w:val="20"/>
              </w:rPr>
              <w:t>/</w:t>
            </w:r>
            <w:r>
              <w:rPr>
                <w:rFonts w:cs="Times New Roman"/>
                <w:szCs w:val="20"/>
              </w:rPr>
              <w:t>307</w:t>
            </w:r>
            <w:r w:rsidRPr="00330DAA">
              <w:rPr>
                <w:rFonts w:cs="Times New Roman"/>
                <w:szCs w:val="20"/>
              </w:rPr>
              <w:t xml:space="preserve"> (</w:t>
            </w:r>
            <w:r>
              <w:rPr>
                <w:rFonts w:cs="Times New Roman"/>
                <w:szCs w:val="20"/>
              </w:rPr>
              <w:t>54.4</w:t>
            </w:r>
            <w:r w:rsidRPr="00330DAA">
              <w:rPr>
                <w:rFonts w:cs="Times New Roman"/>
                <w:szCs w:val="20"/>
              </w:rPr>
              <w:t>%)</w:t>
            </w:r>
          </w:p>
        </w:tc>
        <w:tc>
          <w:tcPr>
            <w:tcW w:w="901" w:type="pct"/>
            <w:gridSpan w:val="2"/>
            <w:shd w:val="clear" w:color="auto" w:fill="auto"/>
          </w:tcPr>
          <w:p w14:paraId="45F37F1C" w14:textId="0E5E1812" w:rsidR="007A57F4" w:rsidRPr="00330DAA" w:rsidRDefault="001F429B" w:rsidP="00125618">
            <w:pPr>
              <w:pStyle w:val="TableText0"/>
              <w:keepLines/>
              <w:widowControl w:val="0"/>
              <w:jc w:val="center"/>
            </w:pPr>
            <w:r>
              <w:t>-</w:t>
            </w:r>
          </w:p>
        </w:tc>
        <w:tc>
          <w:tcPr>
            <w:tcW w:w="880" w:type="pct"/>
            <w:gridSpan w:val="2"/>
            <w:shd w:val="clear" w:color="auto" w:fill="auto"/>
          </w:tcPr>
          <w:p w14:paraId="296041E5" w14:textId="77777777" w:rsidR="007A57F4" w:rsidRPr="00511320" w:rsidRDefault="007A57F4" w:rsidP="00125618">
            <w:pPr>
              <w:pStyle w:val="TableText0"/>
              <w:keepLines/>
              <w:widowControl w:val="0"/>
              <w:jc w:val="center"/>
            </w:pPr>
            <w:r w:rsidRPr="00352152">
              <w:t>0.70 (0.56, 0.8</w:t>
            </w:r>
            <w:r>
              <w:t>9</w:t>
            </w:r>
            <w:r w:rsidRPr="00352152">
              <w:t>)</w:t>
            </w:r>
          </w:p>
        </w:tc>
      </w:tr>
      <w:tr w:rsidR="007A57F4" w:rsidRPr="00C67006" w14:paraId="53E505A4" w14:textId="77777777" w:rsidTr="001F429B">
        <w:trPr>
          <w:trHeight w:val="20"/>
        </w:trPr>
        <w:tc>
          <w:tcPr>
            <w:tcW w:w="1412" w:type="pct"/>
            <w:gridSpan w:val="3"/>
            <w:shd w:val="clear" w:color="auto" w:fill="auto"/>
          </w:tcPr>
          <w:p w14:paraId="049BE9AE" w14:textId="77777777" w:rsidR="007A57F4" w:rsidRPr="00330DAA" w:rsidRDefault="007A57F4" w:rsidP="00125618">
            <w:pPr>
              <w:pStyle w:val="TableText0"/>
              <w:keepLines/>
              <w:widowControl w:val="0"/>
            </w:pPr>
            <w:r>
              <w:t xml:space="preserve">Median OS, </w:t>
            </w:r>
            <w:r w:rsidRPr="00330DAA">
              <w:t>months</w:t>
            </w:r>
            <w:r>
              <w:t xml:space="preserve"> (95% CI)</w:t>
            </w:r>
          </w:p>
        </w:tc>
        <w:tc>
          <w:tcPr>
            <w:tcW w:w="943" w:type="pct"/>
            <w:gridSpan w:val="2"/>
            <w:shd w:val="clear" w:color="auto" w:fill="auto"/>
          </w:tcPr>
          <w:p w14:paraId="6C6071D4" w14:textId="77777777" w:rsidR="007A57F4" w:rsidRPr="00091FE5" w:rsidRDefault="007A57F4" w:rsidP="00125618">
            <w:pPr>
              <w:pStyle w:val="TableText0"/>
              <w:keepLines/>
              <w:widowControl w:val="0"/>
              <w:jc w:val="center"/>
              <w:rPr>
                <w:rFonts w:cs="Times New Roman"/>
                <w:szCs w:val="20"/>
              </w:rPr>
            </w:pPr>
            <w:r w:rsidRPr="00091FE5">
              <w:rPr>
                <w:szCs w:val="20"/>
              </w:rPr>
              <w:t>12.88 (10.58, 15.21)</w:t>
            </w:r>
          </w:p>
        </w:tc>
        <w:tc>
          <w:tcPr>
            <w:tcW w:w="864" w:type="pct"/>
            <w:gridSpan w:val="2"/>
            <w:shd w:val="clear" w:color="auto" w:fill="auto"/>
          </w:tcPr>
          <w:p w14:paraId="4AFBC601" w14:textId="77777777" w:rsidR="007A57F4" w:rsidRPr="00091FE5" w:rsidRDefault="007A57F4" w:rsidP="00125618">
            <w:pPr>
              <w:pStyle w:val="TableText0"/>
              <w:keepLines/>
              <w:widowControl w:val="0"/>
              <w:jc w:val="center"/>
              <w:rPr>
                <w:rFonts w:cs="Times New Roman"/>
                <w:szCs w:val="20"/>
              </w:rPr>
            </w:pPr>
            <w:r w:rsidRPr="00091FE5">
              <w:rPr>
                <w:szCs w:val="20"/>
              </w:rPr>
              <w:t>8.97 (8.05, 10.74)</w:t>
            </w:r>
          </w:p>
        </w:tc>
        <w:tc>
          <w:tcPr>
            <w:tcW w:w="901" w:type="pct"/>
            <w:gridSpan w:val="2"/>
            <w:shd w:val="clear" w:color="auto" w:fill="auto"/>
          </w:tcPr>
          <w:p w14:paraId="37E7F519" w14:textId="77777777" w:rsidR="007A57F4" w:rsidRPr="00330DAA" w:rsidRDefault="007A57F4" w:rsidP="00125618">
            <w:pPr>
              <w:pStyle w:val="TableText0"/>
              <w:keepLines/>
              <w:widowControl w:val="0"/>
              <w:jc w:val="center"/>
            </w:pPr>
            <w:r>
              <w:t>3.91</w:t>
            </w:r>
          </w:p>
        </w:tc>
        <w:tc>
          <w:tcPr>
            <w:tcW w:w="880" w:type="pct"/>
            <w:gridSpan w:val="2"/>
            <w:shd w:val="clear" w:color="auto" w:fill="auto"/>
          </w:tcPr>
          <w:p w14:paraId="58B286AA" w14:textId="4ACE1BC4" w:rsidR="007A57F4" w:rsidRPr="00C67006" w:rsidRDefault="001F429B" w:rsidP="00125618">
            <w:pPr>
              <w:pStyle w:val="TableText0"/>
              <w:keepLines/>
              <w:widowControl w:val="0"/>
              <w:jc w:val="center"/>
              <w:rPr>
                <w:szCs w:val="20"/>
              </w:rPr>
            </w:pPr>
            <w:r>
              <w:rPr>
                <w:szCs w:val="20"/>
              </w:rPr>
              <w:t>-</w:t>
            </w:r>
          </w:p>
        </w:tc>
      </w:tr>
      <w:tr w:rsidR="007A57F4" w:rsidRPr="00511320" w14:paraId="255A0888" w14:textId="77777777" w:rsidTr="001F429B">
        <w:trPr>
          <w:trHeight w:val="20"/>
        </w:trPr>
        <w:tc>
          <w:tcPr>
            <w:tcW w:w="1412" w:type="pct"/>
            <w:gridSpan w:val="3"/>
            <w:shd w:val="clear" w:color="auto" w:fill="auto"/>
          </w:tcPr>
          <w:p w14:paraId="14165546" w14:textId="77777777" w:rsidR="007A57F4" w:rsidRPr="00330DAA" w:rsidRDefault="007A57F4" w:rsidP="00125618">
            <w:pPr>
              <w:pStyle w:val="TableText0"/>
              <w:keepLines/>
              <w:widowControl w:val="0"/>
            </w:pPr>
            <w:r w:rsidRPr="00330DAA">
              <w:t xml:space="preserve">% Alive at </w:t>
            </w:r>
            <w:r>
              <w:t xml:space="preserve">6 </w:t>
            </w:r>
            <w:r w:rsidRPr="00330DAA">
              <w:t xml:space="preserve">months (95% CI) </w:t>
            </w:r>
          </w:p>
        </w:tc>
        <w:tc>
          <w:tcPr>
            <w:tcW w:w="943" w:type="pct"/>
            <w:gridSpan w:val="2"/>
          </w:tcPr>
          <w:p w14:paraId="37D21919" w14:textId="77777777" w:rsidR="007A57F4" w:rsidRPr="00091FE5" w:rsidRDefault="007A57F4" w:rsidP="00125618">
            <w:pPr>
              <w:pStyle w:val="TableText0"/>
              <w:keepLines/>
              <w:widowControl w:val="0"/>
              <w:jc w:val="center"/>
              <w:rPr>
                <w:szCs w:val="20"/>
              </w:rPr>
            </w:pPr>
            <w:r w:rsidRPr="00091FE5">
              <w:rPr>
                <w:szCs w:val="20"/>
              </w:rPr>
              <w:t>77.9 (72.74, 82.25)</w:t>
            </w:r>
          </w:p>
        </w:tc>
        <w:tc>
          <w:tcPr>
            <w:tcW w:w="864" w:type="pct"/>
            <w:gridSpan w:val="2"/>
          </w:tcPr>
          <w:p w14:paraId="1219B68A" w14:textId="77777777" w:rsidR="007A57F4" w:rsidRPr="00091FE5" w:rsidRDefault="007A57F4" w:rsidP="00125618">
            <w:pPr>
              <w:pStyle w:val="TableText0"/>
              <w:keepLines/>
              <w:widowControl w:val="0"/>
              <w:jc w:val="center"/>
              <w:rPr>
                <w:szCs w:val="20"/>
              </w:rPr>
            </w:pPr>
            <w:r w:rsidRPr="00091FE5">
              <w:rPr>
                <w:szCs w:val="20"/>
              </w:rPr>
              <w:t>69.5 (63.85, 74.38)</w:t>
            </w:r>
          </w:p>
        </w:tc>
        <w:tc>
          <w:tcPr>
            <w:tcW w:w="901" w:type="pct"/>
            <w:gridSpan w:val="2"/>
            <w:shd w:val="clear" w:color="auto" w:fill="auto"/>
          </w:tcPr>
          <w:p w14:paraId="7F7C9988" w14:textId="77777777" w:rsidR="007A57F4" w:rsidRPr="00330DAA" w:rsidRDefault="007A57F4" w:rsidP="00125618">
            <w:pPr>
              <w:pStyle w:val="TableText0"/>
              <w:keepLines/>
              <w:widowControl w:val="0"/>
              <w:jc w:val="center"/>
            </w:pPr>
            <w:r>
              <w:t>8.4</w:t>
            </w:r>
            <w:r w:rsidRPr="00330DAA">
              <w:t>%</w:t>
            </w:r>
          </w:p>
        </w:tc>
        <w:tc>
          <w:tcPr>
            <w:tcW w:w="880" w:type="pct"/>
            <w:gridSpan w:val="2"/>
            <w:shd w:val="clear" w:color="auto" w:fill="auto"/>
          </w:tcPr>
          <w:p w14:paraId="6A1AE898" w14:textId="600C1501" w:rsidR="007A57F4" w:rsidRPr="00511320" w:rsidRDefault="001F429B" w:rsidP="00125618">
            <w:pPr>
              <w:pStyle w:val="TableText0"/>
              <w:keepLines/>
              <w:widowControl w:val="0"/>
              <w:jc w:val="center"/>
            </w:pPr>
            <w:r>
              <w:t>-</w:t>
            </w:r>
          </w:p>
        </w:tc>
      </w:tr>
      <w:tr w:rsidR="007A57F4" w:rsidRPr="00511320" w14:paraId="55CD3B95" w14:textId="77777777" w:rsidTr="001F429B">
        <w:trPr>
          <w:trHeight w:val="20"/>
        </w:trPr>
        <w:tc>
          <w:tcPr>
            <w:tcW w:w="1412" w:type="pct"/>
            <w:gridSpan w:val="3"/>
            <w:shd w:val="clear" w:color="auto" w:fill="auto"/>
          </w:tcPr>
          <w:p w14:paraId="0A05FFCF" w14:textId="77777777" w:rsidR="007A57F4" w:rsidRPr="00330DAA" w:rsidRDefault="007A57F4" w:rsidP="00125618">
            <w:pPr>
              <w:pStyle w:val="TableText0"/>
              <w:keepLines/>
              <w:widowControl w:val="0"/>
            </w:pPr>
            <w:r w:rsidRPr="00330DAA">
              <w:t xml:space="preserve">% Alive at </w:t>
            </w:r>
            <w:r>
              <w:t>12</w:t>
            </w:r>
            <w:r w:rsidRPr="00330DAA">
              <w:t xml:space="preserve"> months (95% CI)</w:t>
            </w:r>
          </w:p>
        </w:tc>
        <w:tc>
          <w:tcPr>
            <w:tcW w:w="943" w:type="pct"/>
            <w:gridSpan w:val="2"/>
          </w:tcPr>
          <w:p w14:paraId="233356BB" w14:textId="77777777" w:rsidR="007A57F4" w:rsidRPr="00091FE5" w:rsidRDefault="007A57F4" w:rsidP="00125618">
            <w:pPr>
              <w:pStyle w:val="TableText0"/>
              <w:keepLines/>
              <w:widowControl w:val="0"/>
              <w:jc w:val="center"/>
              <w:rPr>
                <w:szCs w:val="20"/>
              </w:rPr>
            </w:pPr>
            <w:r w:rsidRPr="00091FE5">
              <w:rPr>
                <w:szCs w:val="20"/>
              </w:rPr>
              <w:t>51.5 (44.63, 58.03)</w:t>
            </w:r>
          </w:p>
        </w:tc>
        <w:tc>
          <w:tcPr>
            <w:tcW w:w="864" w:type="pct"/>
            <w:gridSpan w:val="2"/>
          </w:tcPr>
          <w:p w14:paraId="0393160F" w14:textId="77777777" w:rsidR="007A57F4" w:rsidRPr="00091FE5" w:rsidRDefault="007A57F4" w:rsidP="00125618">
            <w:pPr>
              <w:pStyle w:val="TableText0"/>
              <w:keepLines/>
              <w:widowControl w:val="0"/>
              <w:jc w:val="center"/>
              <w:rPr>
                <w:szCs w:val="20"/>
              </w:rPr>
            </w:pPr>
            <w:r w:rsidRPr="00091FE5">
              <w:rPr>
                <w:szCs w:val="20"/>
              </w:rPr>
              <w:t>39.2 (32.60, 45.64)</w:t>
            </w:r>
          </w:p>
        </w:tc>
        <w:tc>
          <w:tcPr>
            <w:tcW w:w="901" w:type="pct"/>
            <w:gridSpan w:val="2"/>
            <w:shd w:val="clear" w:color="auto" w:fill="auto"/>
          </w:tcPr>
          <w:p w14:paraId="3CC1F3EC" w14:textId="77777777" w:rsidR="007A57F4" w:rsidRPr="00330DAA" w:rsidRDefault="007A57F4" w:rsidP="00125618">
            <w:pPr>
              <w:pStyle w:val="TableText0"/>
              <w:keepLines/>
              <w:widowControl w:val="0"/>
              <w:jc w:val="center"/>
            </w:pPr>
            <w:r>
              <w:t>12.3</w:t>
            </w:r>
            <w:r w:rsidRPr="00330DAA">
              <w:t>%</w:t>
            </w:r>
          </w:p>
        </w:tc>
        <w:tc>
          <w:tcPr>
            <w:tcW w:w="880" w:type="pct"/>
            <w:gridSpan w:val="2"/>
            <w:shd w:val="clear" w:color="auto" w:fill="auto"/>
          </w:tcPr>
          <w:p w14:paraId="77B78098" w14:textId="4A8EA94B" w:rsidR="007A57F4" w:rsidRPr="00511320" w:rsidRDefault="001F429B" w:rsidP="00125618">
            <w:pPr>
              <w:pStyle w:val="TableText0"/>
              <w:keepLines/>
              <w:widowControl w:val="0"/>
              <w:jc w:val="center"/>
            </w:pPr>
            <w:r>
              <w:t>-</w:t>
            </w:r>
          </w:p>
        </w:tc>
      </w:tr>
      <w:tr w:rsidR="007A57F4" w:rsidRPr="00E2771E" w14:paraId="17DDE1D2" w14:textId="77777777" w:rsidTr="00C63EBD">
        <w:tc>
          <w:tcPr>
            <w:tcW w:w="5000" w:type="pct"/>
            <w:gridSpan w:val="11"/>
            <w:shd w:val="clear" w:color="auto" w:fill="auto"/>
            <w:vAlign w:val="center"/>
          </w:tcPr>
          <w:p w14:paraId="3D73A06A" w14:textId="77777777" w:rsidR="007A57F4" w:rsidRPr="00E2771E" w:rsidRDefault="007A57F4" w:rsidP="00125618">
            <w:pPr>
              <w:pStyle w:val="In-tableHeading"/>
            </w:pPr>
            <w:r w:rsidRPr="00E2771E">
              <w:t xml:space="preserve">Harms </w:t>
            </w:r>
          </w:p>
        </w:tc>
      </w:tr>
      <w:tr w:rsidR="007A57F4" w:rsidRPr="00E2771E" w14:paraId="7E40D44B" w14:textId="77777777" w:rsidTr="001F429B">
        <w:trPr>
          <w:trHeight w:val="70"/>
        </w:trPr>
        <w:tc>
          <w:tcPr>
            <w:tcW w:w="784" w:type="pct"/>
            <w:vMerge w:val="restart"/>
            <w:shd w:val="clear" w:color="auto" w:fill="auto"/>
            <w:vAlign w:val="center"/>
          </w:tcPr>
          <w:p w14:paraId="362CEA90" w14:textId="77777777" w:rsidR="007A57F4" w:rsidRPr="00E2771E" w:rsidRDefault="007A57F4" w:rsidP="00125618">
            <w:pPr>
              <w:pStyle w:val="In-tableHeading"/>
            </w:pPr>
          </w:p>
        </w:tc>
        <w:tc>
          <w:tcPr>
            <w:tcW w:w="550" w:type="pct"/>
            <w:vMerge w:val="restart"/>
            <w:vAlign w:val="center"/>
          </w:tcPr>
          <w:p w14:paraId="742F75C5" w14:textId="77777777" w:rsidR="007A57F4" w:rsidRDefault="007A57F4" w:rsidP="00125618">
            <w:pPr>
              <w:pStyle w:val="In-tableHeading"/>
              <w:jc w:val="center"/>
            </w:pPr>
            <w:r>
              <w:t>EV</w:t>
            </w:r>
          </w:p>
          <w:p w14:paraId="5BC5F024" w14:textId="77777777" w:rsidR="007A57F4" w:rsidRPr="00E2771E" w:rsidRDefault="007A57F4" w:rsidP="00125618">
            <w:pPr>
              <w:pStyle w:val="In-tableHeading"/>
              <w:jc w:val="center"/>
            </w:pPr>
            <w:r>
              <w:t>n/N</w:t>
            </w:r>
          </w:p>
        </w:tc>
        <w:tc>
          <w:tcPr>
            <w:tcW w:w="709" w:type="pct"/>
            <w:gridSpan w:val="2"/>
            <w:vMerge w:val="restart"/>
            <w:vAlign w:val="center"/>
          </w:tcPr>
          <w:p w14:paraId="539A6C5E" w14:textId="77777777" w:rsidR="007A57F4" w:rsidRDefault="007A57F4" w:rsidP="00125618">
            <w:pPr>
              <w:pStyle w:val="In-tableHeading"/>
              <w:jc w:val="center"/>
            </w:pPr>
            <w:r>
              <w:t>Chemotherapy</w:t>
            </w:r>
          </w:p>
          <w:p w14:paraId="663C4370" w14:textId="77777777" w:rsidR="007A57F4" w:rsidRPr="00E2771E" w:rsidRDefault="007A57F4" w:rsidP="00125618">
            <w:pPr>
              <w:pStyle w:val="In-tableHeading"/>
              <w:jc w:val="center"/>
            </w:pPr>
            <w:r>
              <w:t>n/N</w:t>
            </w:r>
          </w:p>
        </w:tc>
        <w:tc>
          <w:tcPr>
            <w:tcW w:w="798" w:type="pct"/>
            <w:gridSpan w:val="2"/>
            <w:vMerge w:val="restart"/>
            <w:vAlign w:val="center"/>
          </w:tcPr>
          <w:p w14:paraId="30F4121B" w14:textId="77777777" w:rsidR="007A57F4" w:rsidRPr="00E2771E" w:rsidRDefault="007A57F4" w:rsidP="00125618">
            <w:pPr>
              <w:pStyle w:val="In-tableHeading"/>
              <w:jc w:val="center"/>
            </w:pPr>
            <w:r w:rsidRPr="00E2771E">
              <w:t>RR</w:t>
            </w:r>
          </w:p>
          <w:p w14:paraId="1E67574C" w14:textId="77777777" w:rsidR="007A57F4" w:rsidRPr="00E2771E" w:rsidRDefault="007A57F4" w:rsidP="00125618">
            <w:pPr>
              <w:pStyle w:val="In-tableHeading"/>
              <w:jc w:val="center"/>
            </w:pPr>
            <w:r w:rsidRPr="00E2771E">
              <w:t>(95% CI)</w:t>
            </w:r>
          </w:p>
        </w:tc>
        <w:tc>
          <w:tcPr>
            <w:tcW w:w="1324" w:type="pct"/>
            <w:gridSpan w:val="4"/>
            <w:vAlign w:val="center"/>
          </w:tcPr>
          <w:p w14:paraId="7D8CCF01" w14:textId="77777777" w:rsidR="007A57F4" w:rsidRPr="00E2771E" w:rsidRDefault="007A57F4" w:rsidP="00125618">
            <w:pPr>
              <w:pStyle w:val="In-tableHeading"/>
              <w:jc w:val="center"/>
            </w:pPr>
            <w:r w:rsidRPr="00E2771E">
              <w:t>Event rate/100 patients*</w:t>
            </w:r>
          </w:p>
        </w:tc>
        <w:tc>
          <w:tcPr>
            <w:tcW w:w="835" w:type="pct"/>
            <w:vMerge w:val="restart"/>
            <w:vAlign w:val="center"/>
          </w:tcPr>
          <w:p w14:paraId="1DEE55BF" w14:textId="77777777" w:rsidR="007A57F4" w:rsidRPr="00E2771E" w:rsidRDefault="007A57F4" w:rsidP="00125618">
            <w:pPr>
              <w:pStyle w:val="In-tableHeading"/>
              <w:jc w:val="center"/>
            </w:pPr>
            <w:r w:rsidRPr="00E2771E">
              <w:t>RD</w:t>
            </w:r>
          </w:p>
          <w:p w14:paraId="5B5C47F1" w14:textId="77777777" w:rsidR="007A57F4" w:rsidRPr="00E2771E" w:rsidRDefault="007A57F4" w:rsidP="00125618">
            <w:pPr>
              <w:pStyle w:val="In-tableHeading"/>
              <w:jc w:val="center"/>
            </w:pPr>
            <w:r w:rsidRPr="00E2771E">
              <w:t>(95% CI)</w:t>
            </w:r>
          </w:p>
        </w:tc>
      </w:tr>
      <w:tr w:rsidR="007A57F4" w:rsidRPr="00E2771E" w14:paraId="635F8F05" w14:textId="77777777" w:rsidTr="001F429B">
        <w:trPr>
          <w:trHeight w:val="390"/>
        </w:trPr>
        <w:tc>
          <w:tcPr>
            <w:tcW w:w="784" w:type="pct"/>
            <w:vMerge/>
            <w:shd w:val="clear" w:color="auto" w:fill="auto"/>
            <w:vAlign w:val="center"/>
          </w:tcPr>
          <w:p w14:paraId="181D4918" w14:textId="77777777" w:rsidR="007A57F4" w:rsidRPr="00E2771E" w:rsidRDefault="007A57F4" w:rsidP="00125618">
            <w:pPr>
              <w:pStyle w:val="In-tableHeading"/>
            </w:pPr>
          </w:p>
        </w:tc>
        <w:tc>
          <w:tcPr>
            <w:tcW w:w="550" w:type="pct"/>
            <w:vMerge/>
            <w:vAlign w:val="center"/>
          </w:tcPr>
          <w:p w14:paraId="3689DD55" w14:textId="77777777" w:rsidR="007A57F4" w:rsidRPr="00E2771E" w:rsidRDefault="007A57F4" w:rsidP="00125618">
            <w:pPr>
              <w:pStyle w:val="In-tableHeading"/>
            </w:pPr>
          </w:p>
        </w:tc>
        <w:tc>
          <w:tcPr>
            <w:tcW w:w="709" w:type="pct"/>
            <w:gridSpan w:val="2"/>
            <w:vMerge/>
            <w:vAlign w:val="center"/>
          </w:tcPr>
          <w:p w14:paraId="61FCE7E2" w14:textId="77777777" w:rsidR="007A57F4" w:rsidRPr="00E2771E" w:rsidRDefault="007A57F4" w:rsidP="00125618">
            <w:pPr>
              <w:pStyle w:val="In-tableHeading"/>
            </w:pPr>
          </w:p>
        </w:tc>
        <w:tc>
          <w:tcPr>
            <w:tcW w:w="798" w:type="pct"/>
            <w:gridSpan w:val="2"/>
            <w:vMerge/>
            <w:vAlign w:val="center"/>
          </w:tcPr>
          <w:p w14:paraId="3E58B96B" w14:textId="77777777" w:rsidR="007A57F4" w:rsidRPr="00E2771E" w:rsidRDefault="007A57F4" w:rsidP="00125618">
            <w:pPr>
              <w:pStyle w:val="In-tableHeading"/>
            </w:pPr>
          </w:p>
        </w:tc>
        <w:tc>
          <w:tcPr>
            <w:tcW w:w="616" w:type="pct"/>
            <w:gridSpan w:val="2"/>
            <w:vAlign w:val="center"/>
          </w:tcPr>
          <w:p w14:paraId="6CCE226C" w14:textId="77777777" w:rsidR="007A57F4" w:rsidRPr="00E2771E" w:rsidRDefault="007A57F4" w:rsidP="00125618">
            <w:pPr>
              <w:pStyle w:val="In-tableHeading"/>
              <w:jc w:val="center"/>
            </w:pPr>
            <w:r>
              <w:t>EV</w:t>
            </w:r>
          </w:p>
        </w:tc>
        <w:tc>
          <w:tcPr>
            <w:tcW w:w="708" w:type="pct"/>
            <w:gridSpan w:val="2"/>
            <w:vAlign w:val="center"/>
          </w:tcPr>
          <w:p w14:paraId="3B0B804C" w14:textId="77777777" w:rsidR="007A57F4" w:rsidRPr="00E2771E" w:rsidRDefault="007A57F4" w:rsidP="00125618">
            <w:pPr>
              <w:pStyle w:val="In-tableHeading"/>
              <w:jc w:val="center"/>
            </w:pPr>
            <w:r>
              <w:t>Chemotherapy</w:t>
            </w:r>
          </w:p>
        </w:tc>
        <w:tc>
          <w:tcPr>
            <w:tcW w:w="835" w:type="pct"/>
            <w:vMerge/>
            <w:vAlign w:val="center"/>
          </w:tcPr>
          <w:p w14:paraId="4345AF36" w14:textId="77777777" w:rsidR="007A57F4" w:rsidRPr="00E2771E" w:rsidRDefault="007A57F4" w:rsidP="00125618">
            <w:pPr>
              <w:pStyle w:val="In-tableHeading"/>
            </w:pPr>
          </w:p>
        </w:tc>
      </w:tr>
      <w:tr w:rsidR="007A57F4" w:rsidRPr="00E2771E" w14:paraId="27B75B81" w14:textId="77777777" w:rsidTr="001F429B">
        <w:tc>
          <w:tcPr>
            <w:tcW w:w="784" w:type="pct"/>
            <w:shd w:val="clear" w:color="auto" w:fill="auto"/>
            <w:vAlign w:val="center"/>
          </w:tcPr>
          <w:p w14:paraId="63FE9BF0" w14:textId="77777777" w:rsidR="007A57F4" w:rsidRPr="00E2771E" w:rsidRDefault="007A57F4" w:rsidP="00125618">
            <w:pPr>
              <w:pStyle w:val="TableText0"/>
            </w:pPr>
            <w:r>
              <w:t>Serious TEAEs</w:t>
            </w:r>
          </w:p>
        </w:tc>
        <w:tc>
          <w:tcPr>
            <w:tcW w:w="550" w:type="pct"/>
            <w:vAlign w:val="center"/>
          </w:tcPr>
          <w:p w14:paraId="39B14052" w14:textId="77777777" w:rsidR="007A57F4" w:rsidRPr="00E2771E" w:rsidRDefault="007A57F4" w:rsidP="00125618">
            <w:pPr>
              <w:pStyle w:val="TableText0"/>
              <w:jc w:val="center"/>
            </w:pPr>
            <w:r>
              <w:t>138/296</w:t>
            </w:r>
          </w:p>
        </w:tc>
        <w:tc>
          <w:tcPr>
            <w:tcW w:w="709" w:type="pct"/>
            <w:gridSpan w:val="2"/>
            <w:vAlign w:val="center"/>
          </w:tcPr>
          <w:p w14:paraId="5FFD6679" w14:textId="77777777" w:rsidR="007A57F4" w:rsidRPr="00E2771E" w:rsidRDefault="007A57F4" w:rsidP="00125618">
            <w:pPr>
              <w:pStyle w:val="TableText0"/>
              <w:jc w:val="center"/>
            </w:pPr>
            <w:r>
              <w:t>128/291</w:t>
            </w:r>
          </w:p>
        </w:tc>
        <w:tc>
          <w:tcPr>
            <w:tcW w:w="798" w:type="pct"/>
            <w:gridSpan w:val="2"/>
            <w:vAlign w:val="center"/>
          </w:tcPr>
          <w:p w14:paraId="17512440" w14:textId="5CD93DDF" w:rsidR="007A57F4" w:rsidRPr="008F4EB2" w:rsidRDefault="007A57F4" w:rsidP="00125618">
            <w:pPr>
              <w:pStyle w:val="TableText0"/>
              <w:jc w:val="center"/>
              <w:rPr>
                <w:iCs/>
              </w:rPr>
            </w:pPr>
            <w:r w:rsidRPr="008F4EB2">
              <w:rPr>
                <w:iCs/>
              </w:rPr>
              <w:t xml:space="preserve">1.06 (0.89, </w:t>
            </w:r>
            <w:proofErr w:type="gramStart"/>
            <w:r w:rsidRPr="008F4EB2">
              <w:rPr>
                <w:iCs/>
              </w:rPr>
              <w:t>1.27)</w:t>
            </w:r>
            <w:r w:rsidR="008D03A2" w:rsidRPr="008F4EB2">
              <w:rPr>
                <w:iCs/>
              </w:rPr>
              <w:t>*</w:t>
            </w:r>
            <w:proofErr w:type="gramEnd"/>
            <w:r w:rsidR="008D03A2" w:rsidRPr="008F4EB2">
              <w:rPr>
                <w:iCs/>
              </w:rPr>
              <w:t>*</w:t>
            </w:r>
          </w:p>
        </w:tc>
        <w:tc>
          <w:tcPr>
            <w:tcW w:w="616" w:type="pct"/>
            <w:gridSpan w:val="2"/>
            <w:vAlign w:val="center"/>
          </w:tcPr>
          <w:p w14:paraId="1EE85B22" w14:textId="77777777" w:rsidR="007A57F4" w:rsidRPr="008F4EB2" w:rsidRDefault="007A57F4" w:rsidP="00125618">
            <w:pPr>
              <w:pStyle w:val="TableText0"/>
              <w:jc w:val="center"/>
              <w:rPr>
                <w:iCs/>
              </w:rPr>
            </w:pPr>
            <w:r w:rsidRPr="008F4EB2">
              <w:rPr>
                <w:iCs/>
              </w:rPr>
              <w:t>47</w:t>
            </w:r>
          </w:p>
        </w:tc>
        <w:tc>
          <w:tcPr>
            <w:tcW w:w="708" w:type="pct"/>
            <w:gridSpan w:val="2"/>
            <w:vAlign w:val="center"/>
          </w:tcPr>
          <w:p w14:paraId="52FCDD73" w14:textId="77777777" w:rsidR="007A57F4" w:rsidRPr="008F4EB2" w:rsidRDefault="007A57F4" w:rsidP="00125618">
            <w:pPr>
              <w:pStyle w:val="TableText0"/>
              <w:jc w:val="center"/>
              <w:rPr>
                <w:iCs/>
              </w:rPr>
            </w:pPr>
            <w:r w:rsidRPr="008F4EB2">
              <w:rPr>
                <w:iCs/>
              </w:rPr>
              <w:t>44</w:t>
            </w:r>
          </w:p>
        </w:tc>
        <w:tc>
          <w:tcPr>
            <w:tcW w:w="835" w:type="pct"/>
            <w:vAlign w:val="center"/>
          </w:tcPr>
          <w:p w14:paraId="49C86429" w14:textId="3544BEAA" w:rsidR="007A57F4" w:rsidRPr="008F4EB2" w:rsidRDefault="007A57F4" w:rsidP="00125618">
            <w:pPr>
              <w:pStyle w:val="TableText0"/>
              <w:jc w:val="center"/>
              <w:rPr>
                <w:iCs/>
              </w:rPr>
            </w:pPr>
            <w:r w:rsidRPr="008F4EB2">
              <w:rPr>
                <w:iCs/>
              </w:rPr>
              <w:t xml:space="preserve">0.03 (-0.05, </w:t>
            </w:r>
            <w:proofErr w:type="gramStart"/>
            <w:r w:rsidRPr="008F4EB2">
              <w:rPr>
                <w:iCs/>
              </w:rPr>
              <w:t>0.11)</w:t>
            </w:r>
            <w:r w:rsidR="008D03A2" w:rsidRPr="008F4EB2">
              <w:rPr>
                <w:iCs/>
              </w:rPr>
              <w:t>*</w:t>
            </w:r>
            <w:proofErr w:type="gramEnd"/>
            <w:r w:rsidR="008D03A2" w:rsidRPr="008F4EB2">
              <w:rPr>
                <w:iCs/>
              </w:rPr>
              <w:t>*</w:t>
            </w:r>
          </w:p>
        </w:tc>
      </w:tr>
      <w:tr w:rsidR="007A57F4" w:rsidRPr="00E2771E" w14:paraId="3FF57301" w14:textId="77777777" w:rsidTr="001F429B">
        <w:tc>
          <w:tcPr>
            <w:tcW w:w="784" w:type="pct"/>
            <w:shd w:val="clear" w:color="auto" w:fill="auto"/>
            <w:vAlign w:val="center"/>
          </w:tcPr>
          <w:p w14:paraId="403E18D7" w14:textId="77777777" w:rsidR="007A57F4" w:rsidRPr="00E2771E" w:rsidRDefault="007A57F4" w:rsidP="00125618">
            <w:pPr>
              <w:pStyle w:val="TableText0"/>
            </w:pPr>
            <w:r w:rsidRPr="00255AF4">
              <w:t>Grade ≥ 3 TEAEs</w:t>
            </w:r>
          </w:p>
        </w:tc>
        <w:tc>
          <w:tcPr>
            <w:tcW w:w="550" w:type="pct"/>
            <w:vAlign w:val="center"/>
          </w:tcPr>
          <w:p w14:paraId="294BB3B1" w14:textId="77777777" w:rsidR="007A57F4" w:rsidRPr="00E2771E" w:rsidRDefault="007A57F4" w:rsidP="00125618">
            <w:pPr>
              <w:pStyle w:val="TableText0"/>
              <w:jc w:val="center"/>
            </w:pPr>
            <w:r w:rsidRPr="00E2771E">
              <w:t>21</w:t>
            </w:r>
            <w:r>
              <w:t>0/296</w:t>
            </w:r>
          </w:p>
        </w:tc>
        <w:tc>
          <w:tcPr>
            <w:tcW w:w="709" w:type="pct"/>
            <w:gridSpan w:val="2"/>
            <w:vAlign w:val="center"/>
          </w:tcPr>
          <w:p w14:paraId="583960FF" w14:textId="77777777" w:rsidR="007A57F4" w:rsidRPr="00E2771E" w:rsidRDefault="007A57F4" w:rsidP="00125618">
            <w:pPr>
              <w:pStyle w:val="TableText0"/>
              <w:jc w:val="center"/>
            </w:pPr>
            <w:r w:rsidRPr="00E2771E">
              <w:t>19</w:t>
            </w:r>
            <w:r>
              <w:t>3/291</w:t>
            </w:r>
          </w:p>
        </w:tc>
        <w:tc>
          <w:tcPr>
            <w:tcW w:w="798" w:type="pct"/>
            <w:gridSpan w:val="2"/>
            <w:vAlign w:val="center"/>
          </w:tcPr>
          <w:p w14:paraId="2C4AEC5B" w14:textId="2654A2DC" w:rsidR="007A57F4" w:rsidRPr="008F4EB2" w:rsidRDefault="007A57F4" w:rsidP="00125618">
            <w:pPr>
              <w:pStyle w:val="TableText0"/>
              <w:jc w:val="center"/>
              <w:rPr>
                <w:iCs/>
              </w:rPr>
            </w:pPr>
            <w:r w:rsidRPr="008F4EB2">
              <w:rPr>
                <w:iCs/>
              </w:rPr>
              <w:t xml:space="preserve">1.07 (0.96, </w:t>
            </w:r>
            <w:proofErr w:type="gramStart"/>
            <w:r w:rsidRPr="008F4EB2">
              <w:rPr>
                <w:iCs/>
              </w:rPr>
              <w:t>1.19)</w:t>
            </w:r>
            <w:r w:rsidR="008D03A2" w:rsidRPr="008F4EB2">
              <w:rPr>
                <w:iCs/>
              </w:rPr>
              <w:t>*</w:t>
            </w:r>
            <w:proofErr w:type="gramEnd"/>
            <w:r w:rsidR="008D03A2" w:rsidRPr="008F4EB2">
              <w:rPr>
                <w:iCs/>
              </w:rPr>
              <w:t>*</w:t>
            </w:r>
          </w:p>
        </w:tc>
        <w:tc>
          <w:tcPr>
            <w:tcW w:w="616" w:type="pct"/>
            <w:gridSpan w:val="2"/>
            <w:vAlign w:val="center"/>
          </w:tcPr>
          <w:p w14:paraId="515A311B" w14:textId="77777777" w:rsidR="007A57F4" w:rsidRPr="008F4EB2" w:rsidRDefault="007A57F4" w:rsidP="00125618">
            <w:pPr>
              <w:pStyle w:val="TableText0"/>
              <w:jc w:val="center"/>
              <w:rPr>
                <w:iCs/>
              </w:rPr>
            </w:pPr>
            <w:r w:rsidRPr="008F4EB2">
              <w:rPr>
                <w:iCs/>
              </w:rPr>
              <w:t>71</w:t>
            </w:r>
          </w:p>
        </w:tc>
        <w:tc>
          <w:tcPr>
            <w:tcW w:w="708" w:type="pct"/>
            <w:gridSpan w:val="2"/>
            <w:vAlign w:val="center"/>
          </w:tcPr>
          <w:p w14:paraId="0C1AAEAE" w14:textId="77777777" w:rsidR="007A57F4" w:rsidRPr="008F4EB2" w:rsidRDefault="007A57F4" w:rsidP="00125618">
            <w:pPr>
              <w:pStyle w:val="TableText0"/>
              <w:jc w:val="center"/>
              <w:rPr>
                <w:iCs/>
              </w:rPr>
            </w:pPr>
            <w:r w:rsidRPr="008F4EB2">
              <w:rPr>
                <w:iCs/>
              </w:rPr>
              <w:t>66</w:t>
            </w:r>
          </w:p>
        </w:tc>
        <w:tc>
          <w:tcPr>
            <w:tcW w:w="835" w:type="pct"/>
            <w:vAlign w:val="center"/>
          </w:tcPr>
          <w:p w14:paraId="76AC02D4" w14:textId="28ACD202" w:rsidR="007A57F4" w:rsidRPr="008F4EB2" w:rsidRDefault="007A57F4" w:rsidP="00125618">
            <w:pPr>
              <w:pStyle w:val="TableText0"/>
              <w:jc w:val="center"/>
              <w:rPr>
                <w:iCs/>
              </w:rPr>
            </w:pPr>
            <w:r w:rsidRPr="008F4EB2">
              <w:rPr>
                <w:iCs/>
              </w:rPr>
              <w:t xml:space="preserve">0.05 (-0.03, </w:t>
            </w:r>
            <w:proofErr w:type="gramStart"/>
            <w:r w:rsidRPr="008F4EB2">
              <w:rPr>
                <w:iCs/>
              </w:rPr>
              <w:t>0.12)</w:t>
            </w:r>
            <w:r w:rsidR="008D03A2" w:rsidRPr="008F4EB2">
              <w:rPr>
                <w:iCs/>
              </w:rPr>
              <w:t>*</w:t>
            </w:r>
            <w:proofErr w:type="gramEnd"/>
            <w:r w:rsidR="008D03A2" w:rsidRPr="008F4EB2">
              <w:rPr>
                <w:iCs/>
              </w:rPr>
              <w:t>*</w:t>
            </w:r>
          </w:p>
        </w:tc>
      </w:tr>
    </w:tbl>
    <w:p w14:paraId="4649CE18" w14:textId="77777777" w:rsidR="007A57F4" w:rsidRPr="00B1011F" w:rsidRDefault="007A57F4" w:rsidP="007A57F4">
      <w:pPr>
        <w:pStyle w:val="TableFigureFooter"/>
        <w:rPr>
          <w:sz w:val="20"/>
        </w:rPr>
      </w:pPr>
      <w:r>
        <w:t>Source:</w:t>
      </w:r>
      <w:r w:rsidRPr="00255AF4">
        <w:rPr>
          <w:rFonts w:ascii="Calibri" w:hAnsi="Calibri"/>
          <w:snapToGrid/>
          <w:sz w:val="24"/>
          <w:szCs w:val="24"/>
        </w:rPr>
        <w:t xml:space="preserve"> </w:t>
      </w:r>
      <w:r w:rsidRPr="00255AF4">
        <w:t>Table 2.5-1, p34, Table 2.5-2, p37 and Table 2.5-5, p46 of the submission</w:t>
      </w:r>
    </w:p>
    <w:p w14:paraId="18745BAB" w14:textId="4C60C36B" w:rsidR="007A57F4" w:rsidRPr="0072416F" w:rsidRDefault="007A57F4" w:rsidP="007A57F4">
      <w:pPr>
        <w:pStyle w:val="TableFigureFooter"/>
      </w:pPr>
      <w:r>
        <w:t xml:space="preserve">EV = </w:t>
      </w:r>
      <w:proofErr w:type="spellStart"/>
      <w:r w:rsidR="007679F6">
        <w:t>enfortumab</w:t>
      </w:r>
      <w:proofErr w:type="spellEnd"/>
      <w:r w:rsidR="007679F6">
        <w:t xml:space="preserve"> </w:t>
      </w:r>
      <w:proofErr w:type="spellStart"/>
      <w:r w:rsidR="007679F6">
        <w:t>vedotin</w:t>
      </w:r>
      <w:proofErr w:type="spellEnd"/>
      <w:r>
        <w:t xml:space="preserve">; OS = overall survival; PFS = progression free survival; HR = hazard ratio; </w:t>
      </w:r>
      <w:r w:rsidRPr="0072416F">
        <w:t>RD = risk difference; RR = risk ratio</w:t>
      </w:r>
      <w:r>
        <w:t>.</w:t>
      </w:r>
    </w:p>
    <w:p w14:paraId="42ED66A5" w14:textId="77777777" w:rsidR="007A57F4" w:rsidRDefault="007A57F4" w:rsidP="007A57F4">
      <w:pPr>
        <w:pStyle w:val="TableFigureFooter"/>
      </w:pPr>
      <w:r>
        <w:t>* Median</w:t>
      </w:r>
      <w:r w:rsidRPr="0072416F">
        <w:t xml:space="preserve"> duration of follow-up</w:t>
      </w:r>
      <w:r>
        <w:t xml:space="preserve"> 11.1 months.</w:t>
      </w:r>
    </w:p>
    <w:p w14:paraId="28879246" w14:textId="0819385C" w:rsidR="007A57F4" w:rsidRPr="008D03A2" w:rsidRDefault="008D03A2" w:rsidP="007A57F4">
      <w:pPr>
        <w:pStyle w:val="TableFigureFooter"/>
        <w:rPr>
          <w:iCs/>
        </w:rPr>
      </w:pPr>
      <w:r w:rsidRPr="008D03A2">
        <w:rPr>
          <w:iCs/>
        </w:rPr>
        <w:t>**</w:t>
      </w:r>
      <w:r w:rsidR="007A57F4" w:rsidRPr="008D03A2">
        <w:rPr>
          <w:iCs/>
        </w:rPr>
        <w:t xml:space="preserve">Figures were calculated during evaluation using Stata 15.1 </w:t>
      </w:r>
      <w:proofErr w:type="spellStart"/>
      <w:r w:rsidR="007A57F4" w:rsidRPr="008D03A2">
        <w:rPr>
          <w:iCs/>
        </w:rPr>
        <w:t>csi</w:t>
      </w:r>
      <w:proofErr w:type="spellEnd"/>
      <w:r w:rsidR="007A57F4" w:rsidRPr="008D03A2">
        <w:rPr>
          <w:iCs/>
        </w:rPr>
        <w:t xml:space="preserve"> Command.</w:t>
      </w:r>
    </w:p>
    <w:p w14:paraId="74034218" w14:textId="2441BFDC" w:rsidR="007A57F4" w:rsidRDefault="007A57F4" w:rsidP="007A57F4">
      <w:pPr>
        <w:pStyle w:val="3-BodyText"/>
      </w:pPr>
      <w:proofErr w:type="gramStart"/>
      <w:r>
        <w:t>On the basis of</w:t>
      </w:r>
      <w:proofErr w:type="gramEnd"/>
      <w:r>
        <w:t xml:space="preserve"> the key trial EV-301, for every 100 patients treated with </w:t>
      </w:r>
      <w:proofErr w:type="spellStart"/>
      <w:r w:rsidR="007679F6">
        <w:t>enfortumab</w:t>
      </w:r>
      <w:proofErr w:type="spellEnd"/>
      <w:r w:rsidR="007679F6">
        <w:t xml:space="preserve"> </w:t>
      </w:r>
      <w:proofErr w:type="spellStart"/>
      <w:r w:rsidR="007679F6">
        <w:t>vedotin</w:t>
      </w:r>
      <w:proofErr w:type="spellEnd"/>
      <w:r>
        <w:t xml:space="preserve"> in comparison chemotherapy:</w:t>
      </w:r>
    </w:p>
    <w:p w14:paraId="3C0B9B8A" w14:textId="6392A54B" w:rsidR="007A57F4" w:rsidRDefault="007A57F4" w:rsidP="0083510F">
      <w:pPr>
        <w:pStyle w:val="ListParagraph"/>
        <w:numPr>
          <w:ilvl w:val="0"/>
          <w:numId w:val="12"/>
        </w:numPr>
        <w:ind w:left="1092"/>
        <w:rPr>
          <w:lang w:eastAsia="en-US"/>
        </w:rPr>
      </w:pPr>
      <w:r w:rsidRPr="00184B0E">
        <w:rPr>
          <w:lang w:eastAsia="en-US"/>
        </w:rPr>
        <w:t>Approximately</w:t>
      </w:r>
      <w:r>
        <w:rPr>
          <w:lang w:eastAsia="en-US"/>
        </w:rPr>
        <w:t xml:space="preserve"> 13 additional patients will remain progression-free at 12 </w:t>
      </w:r>
      <w:proofErr w:type="gramStart"/>
      <w:r>
        <w:rPr>
          <w:lang w:eastAsia="en-US"/>
        </w:rPr>
        <w:t>month</w:t>
      </w:r>
      <w:r w:rsidR="00C63EBD">
        <w:rPr>
          <w:lang w:eastAsia="en-US"/>
        </w:rPr>
        <w:t>s</w:t>
      </w:r>
      <w:r>
        <w:rPr>
          <w:lang w:eastAsia="en-US"/>
        </w:rPr>
        <w:t>;</w:t>
      </w:r>
      <w:proofErr w:type="gramEnd"/>
    </w:p>
    <w:p w14:paraId="245ACAB0" w14:textId="77777777" w:rsidR="007A57F4" w:rsidRPr="00B50DB8" w:rsidRDefault="007A57F4" w:rsidP="0083510F">
      <w:pPr>
        <w:pStyle w:val="ListParagraph"/>
        <w:numPr>
          <w:ilvl w:val="0"/>
          <w:numId w:val="12"/>
        </w:numPr>
        <w:ind w:left="1092"/>
        <w:rPr>
          <w:lang w:eastAsia="en-US"/>
        </w:rPr>
      </w:pPr>
      <w:r w:rsidRPr="00237594">
        <w:rPr>
          <w:lang w:eastAsia="en-US"/>
        </w:rPr>
        <w:t>Approximately 1</w:t>
      </w:r>
      <w:r>
        <w:rPr>
          <w:lang w:eastAsia="en-US"/>
        </w:rPr>
        <w:t>2</w:t>
      </w:r>
      <w:r w:rsidRPr="00237594">
        <w:rPr>
          <w:lang w:eastAsia="en-US"/>
        </w:rPr>
        <w:t xml:space="preserve"> additional patients will remain </w:t>
      </w:r>
      <w:r>
        <w:rPr>
          <w:lang w:eastAsia="en-US"/>
        </w:rPr>
        <w:t xml:space="preserve">alive at 12 </w:t>
      </w:r>
      <w:proofErr w:type="gramStart"/>
      <w:r>
        <w:rPr>
          <w:lang w:eastAsia="en-US"/>
        </w:rPr>
        <w:t>months</w:t>
      </w:r>
      <w:r w:rsidRPr="00237594">
        <w:rPr>
          <w:lang w:eastAsia="en-US"/>
        </w:rPr>
        <w:t>;</w:t>
      </w:r>
      <w:proofErr w:type="gramEnd"/>
    </w:p>
    <w:p w14:paraId="4A1E7557" w14:textId="77777777" w:rsidR="007A57F4" w:rsidRPr="00CF6EE4" w:rsidRDefault="007A57F4" w:rsidP="0083510F">
      <w:pPr>
        <w:pStyle w:val="ListParagraph"/>
        <w:numPr>
          <w:ilvl w:val="0"/>
          <w:numId w:val="12"/>
        </w:numPr>
        <w:ind w:left="1092"/>
        <w:rPr>
          <w:lang w:eastAsia="en-US"/>
        </w:rPr>
      </w:pPr>
      <w:r w:rsidRPr="00CF6EE4">
        <w:rPr>
          <w:lang w:eastAsia="en-US"/>
        </w:rPr>
        <w:t xml:space="preserve">Approximately </w:t>
      </w:r>
      <w:r>
        <w:rPr>
          <w:lang w:eastAsia="en-US"/>
        </w:rPr>
        <w:t>3</w:t>
      </w:r>
      <w:r w:rsidRPr="00CF6EE4">
        <w:rPr>
          <w:lang w:eastAsia="en-US"/>
        </w:rPr>
        <w:t xml:space="preserve"> additional patients would </w:t>
      </w:r>
      <w:r>
        <w:rPr>
          <w:lang w:eastAsia="en-US"/>
        </w:rPr>
        <w:t>experience a serious TEAE</w:t>
      </w:r>
      <w:r w:rsidRPr="00FD6185">
        <w:t xml:space="preserve"> </w:t>
      </w:r>
      <w:r>
        <w:t xml:space="preserve">over a median duration of follow-up of 11 </w:t>
      </w:r>
      <w:proofErr w:type="gramStart"/>
      <w:r>
        <w:t>months</w:t>
      </w:r>
      <w:r>
        <w:rPr>
          <w:lang w:eastAsia="en-US"/>
        </w:rPr>
        <w:t>;</w:t>
      </w:r>
      <w:proofErr w:type="gramEnd"/>
    </w:p>
    <w:p w14:paraId="0D885550" w14:textId="77777777" w:rsidR="007A57F4" w:rsidRPr="00CF6EE4" w:rsidRDefault="007A57F4" w:rsidP="0083510F">
      <w:pPr>
        <w:pStyle w:val="ListParagraph"/>
        <w:numPr>
          <w:ilvl w:val="0"/>
          <w:numId w:val="12"/>
        </w:numPr>
        <w:ind w:left="1092"/>
        <w:rPr>
          <w:lang w:eastAsia="en-US"/>
        </w:rPr>
      </w:pPr>
      <w:r w:rsidRPr="00CF6EE4">
        <w:rPr>
          <w:lang w:eastAsia="en-US"/>
        </w:rPr>
        <w:t xml:space="preserve">Approximately </w:t>
      </w:r>
      <w:r>
        <w:rPr>
          <w:lang w:eastAsia="en-US"/>
        </w:rPr>
        <w:t>5</w:t>
      </w:r>
      <w:r w:rsidRPr="00CF6EE4">
        <w:rPr>
          <w:lang w:eastAsia="en-US"/>
        </w:rPr>
        <w:t xml:space="preserve"> </w:t>
      </w:r>
      <w:r>
        <w:rPr>
          <w:lang w:eastAsia="en-US"/>
        </w:rPr>
        <w:t xml:space="preserve">additional </w:t>
      </w:r>
      <w:r w:rsidRPr="00CF6EE4">
        <w:rPr>
          <w:lang w:eastAsia="en-US"/>
        </w:rPr>
        <w:t>patients woul</w:t>
      </w:r>
      <w:r>
        <w:rPr>
          <w:lang w:eastAsia="en-US"/>
        </w:rPr>
        <w:t xml:space="preserve">d experience a Grade </w:t>
      </w:r>
      <w:r w:rsidRPr="00F87D5E">
        <w:rPr>
          <w:lang w:eastAsia="en-US"/>
        </w:rPr>
        <w:t>≥</w:t>
      </w:r>
      <w:r>
        <w:rPr>
          <w:lang w:eastAsia="en-US"/>
        </w:rPr>
        <w:t xml:space="preserve">3 TEAEs </w:t>
      </w:r>
      <w:r w:rsidRPr="00FD6185">
        <w:rPr>
          <w:lang w:eastAsia="en-US"/>
        </w:rPr>
        <w:t>over a median duration of follow-up of 11 months</w:t>
      </w:r>
      <w:r>
        <w:rPr>
          <w:lang w:eastAsia="en-US"/>
        </w:rPr>
        <w:t>.</w:t>
      </w:r>
    </w:p>
    <w:p w14:paraId="423D9536" w14:textId="77777777" w:rsidR="007A57F4" w:rsidRPr="00C9624D" w:rsidRDefault="007A57F4" w:rsidP="007A57F4">
      <w:pPr>
        <w:pStyle w:val="4-SubsectionHeading"/>
      </w:pPr>
      <w:bookmarkStart w:id="16" w:name="_Toc93491263"/>
      <w:r w:rsidRPr="00C9624D">
        <w:t>Clinical claim</w:t>
      </w:r>
      <w:bookmarkEnd w:id="16"/>
    </w:p>
    <w:p w14:paraId="4F920678" w14:textId="4621606E" w:rsidR="007A57F4" w:rsidRDefault="007A57F4" w:rsidP="007A57F4">
      <w:pPr>
        <w:pStyle w:val="3-BodyText"/>
        <w:rPr>
          <w:rFonts w:eastAsia="Calibri"/>
        </w:rPr>
      </w:pPr>
      <w:r w:rsidRPr="00072AD7">
        <w:rPr>
          <w:rFonts w:eastAsia="Calibri"/>
        </w:rPr>
        <w:t xml:space="preserve">The submission described </w:t>
      </w:r>
      <w:proofErr w:type="spellStart"/>
      <w:r w:rsidR="007679F6">
        <w:rPr>
          <w:rFonts w:eastAsia="Calibri"/>
        </w:rPr>
        <w:t>enfortumab</w:t>
      </w:r>
      <w:proofErr w:type="spellEnd"/>
      <w:r w:rsidR="007679F6">
        <w:rPr>
          <w:rFonts w:eastAsia="Calibri"/>
        </w:rPr>
        <w:t xml:space="preserve"> </w:t>
      </w:r>
      <w:proofErr w:type="spellStart"/>
      <w:r w:rsidR="007679F6">
        <w:rPr>
          <w:rFonts w:eastAsia="Calibri"/>
        </w:rPr>
        <w:t>vedotin</w:t>
      </w:r>
      <w:proofErr w:type="spellEnd"/>
      <w:r w:rsidRPr="00072AD7">
        <w:rPr>
          <w:rFonts w:eastAsia="Calibri"/>
        </w:rPr>
        <w:t xml:space="preserve"> as superior in terms of effectiveness compared with chemotherapy (docetaxel, paclitaxel or vinflunine) and non-inferior in terms of safety compared to chemotherapy.</w:t>
      </w:r>
    </w:p>
    <w:p w14:paraId="300EF8DF" w14:textId="5CE18120" w:rsidR="007A57F4" w:rsidRPr="0070260D" w:rsidRDefault="007A57F4" w:rsidP="007A57F4">
      <w:pPr>
        <w:pStyle w:val="3-BodyText"/>
        <w:rPr>
          <w:rFonts w:eastAsia="Calibri"/>
          <w:iCs/>
        </w:rPr>
      </w:pPr>
      <w:r w:rsidRPr="00A25DCB">
        <w:rPr>
          <w:rFonts w:eastAsia="Calibri"/>
          <w:iCs/>
        </w:rPr>
        <w:t xml:space="preserve">The </w:t>
      </w:r>
      <w:r w:rsidR="00F51CF7">
        <w:rPr>
          <w:rFonts w:eastAsia="Calibri"/>
          <w:iCs/>
        </w:rPr>
        <w:t xml:space="preserve">evaluation considered the </w:t>
      </w:r>
      <w:r w:rsidRPr="00A25DCB">
        <w:rPr>
          <w:rFonts w:eastAsia="Calibri"/>
          <w:iCs/>
        </w:rPr>
        <w:t>claim of superior efficacy appear</w:t>
      </w:r>
      <w:r w:rsidR="001E6D76">
        <w:rPr>
          <w:rFonts w:eastAsia="Calibri"/>
          <w:iCs/>
        </w:rPr>
        <w:t>ed</w:t>
      </w:r>
      <w:r w:rsidRPr="00A25DCB">
        <w:rPr>
          <w:rFonts w:eastAsia="Calibri"/>
          <w:iCs/>
        </w:rPr>
        <w:t xml:space="preserve"> reasonable, with a statistically significant OS benefit observed in the key trial EV-301. </w:t>
      </w:r>
      <w:r w:rsidR="00245478" w:rsidRPr="0070260D">
        <w:rPr>
          <w:iCs/>
        </w:rPr>
        <w:t xml:space="preserve">The ESC considered that while the submission OS data were immature and had heavy censoring the </w:t>
      </w:r>
      <w:proofErr w:type="gramStart"/>
      <w:r w:rsidR="00245478" w:rsidRPr="0070260D">
        <w:rPr>
          <w:iCs/>
        </w:rPr>
        <w:t>PSCR  provided</w:t>
      </w:r>
      <w:proofErr w:type="gramEnd"/>
      <w:r w:rsidR="00245478" w:rsidRPr="0070260D">
        <w:rPr>
          <w:iCs/>
        </w:rPr>
        <w:t xml:space="preserve"> updated OS data to support this claim.</w:t>
      </w:r>
    </w:p>
    <w:p w14:paraId="496E3D3B" w14:textId="3878F395" w:rsidR="007A57F4" w:rsidRPr="00AD0866" w:rsidRDefault="00107CC7" w:rsidP="007A57F4">
      <w:pPr>
        <w:pStyle w:val="3-BodyText"/>
        <w:rPr>
          <w:rFonts w:eastAsia="Calibri"/>
        </w:rPr>
      </w:pPr>
      <w:bookmarkStart w:id="17" w:name="_Ref95490833"/>
      <w:r w:rsidRPr="00A25DCB">
        <w:rPr>
          <w:rFonts w:eastAsia="Calibri"/>
        </w:rPr>
        <w:t xml:space="preserve">The claim of non-inferior safety is not well supported by the evidence. The submission primarily presented TEAEs, which were generally similar between the </w:t>
      </w:r>
      <w:proofErr w:type="spellStart"/>
      <w:r w:rsidR="007679F6" w:rsidRPr="00A25DCB">
        <w:rPr>
          <w:rFonts w:eastAsia="Calibri"/>
        </w:rPr>
        <w:t>enfortumab</w:t>
      </w:r>
      <w:proofErr w:type="spellEnd"/>
      <w:r w:rsidR="007679F6" w:rsidRPr="00A25DCB">
        <w:rPr>
          <w:rFonts w:eastAsia="Calibri"/>
        </w:rPr>
        <w:t xml:space="preserve"> </w:t>
      </w:r>
      <w:proofErr w:type="spellStart"/>
      <w:r w:rsidR="007679F6" w:rsidRPr="00A25DCB">
        <w:rPr>
          <w:rFonts w:eastAsia="Calibri"/>
        </w:rPr>
        <w:t>vedotin</w:t>
      </w:r>
      <w:proofErr w:type="spellEnd"/>
      <w:r w:rsidRPr="00A25DCB">
        <w:rPr>
          <w:rFonts w:eastAsia="Calibri"/>
        </w:rPr>
        <w:t xml:space="preserve"> and chemotherapy arms, however there were numerically more grade ≥ 3 TEAEs in the </w:t>
      </w:r>
      <w:proofErr w:type="spellStart"/>
      <w:r w:rsidR="007679F6" w:rsidRPr="00A25DCB">
        <w:rPr>
          <w:rFonts w:eastAsia="Calibri"/>
        </w:rPr>
        <w:t>enfortumab</w:t>
      </w:r>
      <w:proofErr w:type="spellEnd"/>
      <w:r w:rsidR="007679F6" w:rsidRPr="00A25DCB">
        <w:rPr>
          <w:rFonts w:eastAsia="Calibri"/>
        </w:rPr>
        <w:t xml:space="preserve"> </w:t>
      </w:r>
      <w:proofErr w:type="spellStart"/>
      <w:r w:rsidR="007679F6" w:rsidRPr="00A25DCB">
        <w:rPr>
          <w:rFonts w:eastAsia="Calibri"/>
        </w:rPr>
        <w:t>vedotin</w:t>
      </w:r>
      <w:proofErr w:type="spellEnd"/>
      <w:r w:rsidR="00E46256" w:rsidRPr="00A25DCB">
        <w:rPr>
          <w:rFonts w:eastAsia="Calibri"/>
        </w:rPr>
        <w:t xml:space="preserve"> </w:t>
      </w:r>
      <w:r w:rsidRPr="00A25DCB">
        <w:rPr>
          <w:rFonts w:eastAsia="Calibri"/>
        </w:rPr>
        <w:t xml:space="preserve">arm compared to chemotherapy (70.9% vs 66.3% respectively). Chemotherapy was associated with more Grade ≥3 TEAEs related to </w:t>
      </w:r>
      <w:r w:rsidR="00657163" w:rsidRPr="00A25DCB">
        <w:rPr>
          <w:rFonts w:eastAsia="Calibri"/>
        </w:rPr>
        <w:t>neutropenia</w:t>
      </w:r>
      <w:r w:rsidRPr="00A25DCB">
        <w:rPr>
          <w:rFonts w:eastAsia="Calibri"/>
        </w:rPr>
        <w:t xml:space="preserve">/anaemia than </w:t>
      </w:r>
      <w:proofErr w:type="spellStart"/>
      <w:r w:rsidR="007679F6" w:rsidRPr="00A25DCB">
        <w:rPr>
          <w:rFonts w:eastAsia="Calibri"/>
        </w:rPr>
        <w:t>enfortumab</w:t>
      </w:r>
      <w:proofErr w:type="spellEnd"/>
      <w:r w:rsidR="007679F6" w:rsidRPr="00A25DCB">
        <w:rPr>
          <w:rFonts w:eastAsia="Calibri"/>
        </w:rPr>
        <w:t xml:space="preserve"> </w:t>
      </w:r>
      <w:proofErr w:type="spellStart"/>
      <w:r w:rsidR="007679F6" w:rsidRPr="00A25DCB">
        <w:rPr>
          <w:rFonts w:eastAsia="Calibri"/>
        </w:rPr>
        <w:t>vedotin</w:t>
      </w:r>
      <w:proofErr w:type="spellEnd"/>
      <w:r w:rsidR="00E46256" w:rsidRPr="00A25DCB">
        <w:rPr>
          <w:rFonts w:eastAsia="Calibri"/>
        </w:rPr>
        <w:t xml:space="preserve"> </w:t>
      </w:r>
      <w:r w:rsidRPr="00A25DCB">
        <w:rPr>
          <w:rFonts w:eastAsia="Calibri"/>
        </w:rPr>
        <w:t xml:space="preserve">treatment. </w:t>
      </w:r>
      <w:proofErr w:type="spellStart"/>
      <w:r w:rsidR="007679F6" w:rsidRPr="00A25DCB">
        <w:rPr>
          <w:rFonts w:eastAsia="Calibri"/>
        </w:rPr>
        <w:t>Enfortumab</w:t>
      </w:r>
      <w:proofErr w:type="spellEnd"/>
      <w:r w:rsidR="007679F6" w:rsidRPr="00A25DCB">
        <w:rPr>
          <w:rFonts w:eastAsia="Calibri"/>
        </w:rPr>
        <w:t xml:space="preserve"> </w:t>
      </w:r>
      <w:proofErr w:type="spellStart"/>
      <w:r w:rsidR="007679F6" w:rsidRPr="00A25DCB">
        <w:rPr>
          <w:rFonts w:eastAsia="Calibri"/>
        </w:rPr>
        <w:t>vedotin</w:t>
      </w:r>
      <w:proofErr w:type="spellEnd"/>
      <w:r w:rsidRPr="00A25DCB">
        <w:rPr>
          <w:rFonts w:eastAsia="Calibri"/>
        </w:rPr>
        <w:t xml:space="preserve"> had equal or higher rates of all other Grade ≥ 3 AEs compared to chemotherapy, such as </w:t>
      </w:r>
      <w:r w:rsidR="00657163" w:rsidRPr="00A25DCB">
        <w:rPr>
          <w:rFonts w:eastAsia="Calibri"/>
        </w:rPr>
        <w:t>maculopapular</w:t>
      </w:r>
      <w:r w:rsidRPr="00A25DCB">
        <w:rPr>
          <w:rFonts w:eastAsia="Calibri"/>
        </w:rPr>
        <w:t xml:space="preserve"> rash (7.4% vs 0%) and hyperglycaemia (3.7% vs 0%). </w:t>
      </w:r>
      <w:proofErr w:type="spellStart"/>
      <w:r w:rsidR="007679F6" w:rsidRPr="00A25DCB">
        <w:rPr>
          <w:rFonts w:eastAsia="Calibri"/>
        </w:rPr>
        <w:t>Enfortumab</w:t>
      </w:r>
      <w:proofErr w:type="spellEnd"/>
      <w:r w:rsidR="007679F6" w:rsidRPr="00A25DCB">
        <w:rPr>
          <w:rFonts w:eastAsia="Calibri"/>
        </w:rPr>
        <w:t xml:space="preserve"> </w:t>
      </w:r>
      <w:proofErr w:type="spellStart"/>
      <w:r w:rsidR="007679F6" w:rsidRPr="00A25DCB">
        <w:rPr>
          <w:rFonts w:eastAsia="Calibri"/>
        </w:rPr>
        <w:t>vedotin</w:t>
      </w:r>
      <w:proofErr w:type="spellEnd"/>
      <w:r w:rsidR="00E46256" w:rsidRPr="00A25DCB">
        <w:rPr>
          <w:rFonts w:eastAsia="Calibri"/>
        </w:rPr>
        <w:t xml:space="preserve"> </w:t>
      </w:r>
      <w:r w:rsidRPr="00A25DCB">
        <w:rPr>
          <w:rFonts w:eastAsia="Calibri"/>
        </w:rPr>
        <w:t xml:space="preserve">was also associated with numerically more SAEs than chemotherapy (46.6% vs 44%). Apart from the ‘febrile neutropenia’ SAE, </w:t>
      </w:r>
      <w:proofErr w:type="spellStart"/>
      <w:r w:rsidR="007679F6" w:rsidRPr="00A25DCB">
        <w:rPr>
          <w:rFonts w:eastAsia="Calibri"/>
        </w:rPr>
        <w:t>enfortumab</w:t>
      </w:r>
      <w:proofErr w:type="spellEnd"/>
      <w:r w:rsidR="007679F6" w:rsidRPr="00A25DCB">
        <w:rPr>
          <w:rFonts w:eastAsia="Calibri"/>
        </w:rPr>
        <w:t xml:space="preserve"> </w:t>
      </w:r>
      <w:proofErr w:type="spellStart"/>
      <w:r w:rsidR="007679F6" w:rsidRPr="00A25DCB">
        <w:rPr>
          <w:rFonts w:eastAsia="Calibri"/>
        </w:rPr>
        <w:t>vedotin</w:t>
      </w:r>
      <w:proofErr w:type="spellEnd"/>
      <w:r w:rsidRPr="00A25DCB">
        <w:rPr>
          <w:rFonts w:eastAsia="Calibri"/>
        </w:rPr>
        <w:t xml:space="preserve"> had approximately equal (&lt;1% difference) or higher rates of all other SAEs. Additionally, more than twice as many patients in the </w:t>
      </w:r>
      <w:proofErr w:type="spellStart"/>
      <w:r w:rsidR="007679F6" w:rsidRPr="00A25DCB">
        <w:rPr>
          <w:rFonts w:eastAsia="Calibri"/>
        </w:rPr>
        <w:t>enfortumab</w:t>
      </w:r>
      <w:proofErr w:type="spellEnd"/>
      <w:r w:rsidR="007679F6" w:rsidRPr="00A25DCB">
        <w:rPr>
          <w:rFonts w:eastAsia="Calibri"/>
        </w:rPr>
        <w:t xml:space="preserve"> </w:t>
      </w:r>
      <w:proofErr w:type="spellStart"/>
      <w:r w:rsidR="007679F6" w:rsidRPr="00A25DCB">
        <w:rPr>
          <w:rFonts w:eastAsia="Calibri"/>
        </w:rPr>
        <w:t>vedotin</w:t>
      </w:r>
      <w:proofErr w:type="spellEnd"/>
      <w:r w:rsidRPr="00A25DCB">
        <w:rPr>
          <w:rFonts w:eastAsia="Calibri"/>
        </w:rPr>
        <w:t xml:space="preserve"> arm required dose interruptions due to AEs compared to the ch</w:t>
      </w:r>
      <w:r w:rsidR="00E51B53" w:rsidRPr="00A25DCB">
        <w:rPr>
          <w:rFonts w:eastAsia="Calibri"/>
        </w:rPr>
        <w:t>emotherapy arm (60.8% vs 29.2%).</w:t>
      </w:r>
      <w:r w:rsidR="00786768" w:rsidRPr="00A25DCB">
        <w:rPr>
          <w:rFonts w:eastAsia="Calibri"/>
        </w:rPr>
        <w:t xml:space="preserve"> </w:t>
      </w:r>
      <w:r w:rsidR="005161DB" w:rsidRPr="00A25DCB">
        <w:t xml:space="preserve">The TGA delegate’s overview (January 2022) also highlighted a range of AEs of special interest which occurred more frequently in the </w:t>
      </w:r>
      <w:proofErr w:type="spellStart"/>
      <w:r w:rsidR="005161DB" w:rsidRPr="00A25DCB">
        <w:t>enfortumab</w:t>
      </w:r>
      <w:proofErr w:type="spellEnd"/>
      <w:r w:rsidR="005161DB" w:rsidRPr="00A25DCB">
        <w:t xml:space="preserve"> </w:t>
      </w:r>
      <w:proofErr w:type="spellStart"/>
      <w:r w:rsidR="005161DB" w:rsidRPr="00A25DCB">
        <w:t>vedotin</w:t>
      </w:r>
      <w:proofErr w:type="spellEnd"/>
      <w:r w:rsidR="005161DB" w:rsidRPr="00A25DCB">
        <w:t xml:space="preserve"> arm than </w:t>
      </w:r>
      <w:r w:rsidR="005219DF" w:rsidRPr="00A25DCB">
        <w:t>chemotherapy</w:t>
      </w:r>
      <w:r w:rsidR="005161DB" w:rsidRPr="00A25DCB">
        <w:t>.</w:t>
      </w:r>
      <w:r w:rsidR="00EC7105">
        <w:t xml:space="preserve"> </w:t>
      </w:r>
      <w:r w:rsidR="00EC7105" w:rsidRPr="0070260D">
        <w:t xml:space="preserve">The PSCR argued that the high rate of dose reductions observed with </w:t>
      </w:r>
      <w:proofErr w:type="spellStart"/>
      <w:r w:rsidR="00EC7105" w:rsidRPr="0070260D">
        <w:t>enfortumab</w:t>
      </w:r>
      <w:proofErr w:type="spellEnd"/>
      <w:r w:rsidR="00EC7105" w:rsidRPr="0070260D">
        <w:t xml:space="preserve"> </w:t>
      </w:r>
      <w:proofErr w:type="spellStart"/>
      <w:r w:rsidR="00EC7105" w:rsidRPr="0070260D">
        <w:t>vedotin</w:t>
      </w:r>
      <w:proofErr w:type="spellEnd"/>
      <w:r w:rsidR="00EC7105" w:rsidRPr="0070260D">
        <w:t xml:space="preserve"> could be partially attributed to the more frequent dosing schedule and the longer time on treatment. In addition, the PSCR argued the differences may also be attributed to the protocol </w:t>
      </w:r>
      <w:r w:rsidR="003A2BAF" w:rsidRPr="0070260D">
        <w:t>differences between treatment arms for when doses should be withheld in the</w:t>
      </w:r>
      <w:r w:rsidR="00EC7105" w:rsidRPr="0070260D">
        <w:t xml:space="preserve"> EV-301 trial</w:t>
      </w:r>
      <w:r w:rsidR="003A2BAF" w:rsidRPr="0070260D">
        <w:t xml:space="preserve">. The ESC </w:t>
      </w:r>
      <w:r w:rsidR="006D5AF8" w:rsidRPr="0070260D">
        <w:t xml:space="preserve">acknowledged </w:t>
      </w:r>
      <w:r w:rsidR="003A2BAF" w:rsidRPr="0070260D">
        <w:t xml:space="preserve">the differences in the adverse event profiles of </w:t>
      </w:r>
      <w:r w:rsidR="006D5AF8" w:rsidRPr="0070260D">
        <w:t xml:space="preserve">EV-301 trial treatment arms made assessment of the non-inferiority claim difficult but considered that </w:t>
      </w:r>
      <w:proofErr w:type="spellStart"/>
      <w:r w:rsidR="006D5AF8" w:rsidRPr="0070260D">
        <w:t>enfortumab</w:t>
      </w:r>
      <w:proofErr w:type="spellEnd"/>
      <w:r w:rsidR="006D5AF8" w:rsidRPr="0070260D">
        <w:t xml:space="preserve"> </w:t>
      </w:r>
      <w:proofErr w:type="spellStart"/>
      <w:r w:rsidR="006D5AF8" w:rsidRPr="0070260D">
        <w:t>vedotin</w:t>
      </w:r>
      <w:proofErr w:type="spellEnd"/>
      <w:r w:rsidR="006D5AF8" w:rsidRPr="0070260D">
        <w:t xml:space="preserve"> had an acceptable safety profile.</w:t>
      </w:r>
      <w:bookmarkEnd w:id="17"/>
      <w:r w:rsidR="006D5AF8" w:rsidRPr="0070260D">
        <w:t xml:space="preserve"> </w:t>
      </w:r>
    </w:p>
    <w:p w14:paraId="156CC800" w14:textId="24841A33" w:rsidR="00AD0866" w:rsidRPr="00B742FC" w:rsidRDefault="00AD0866" w:rsidP="00AD0866">
      <w:pPr>
        <w:widowControl w:val="0"/>
        <w:numPr>
          <w:ilvl w:val="1"/>
          <w:numId w:val="1"/>
        </w:numPr>
        <w:spacing w:after="120"/>
        <w:rPr>
          <w:rFonts w:asciiTheme="minorHAnsi" w:hAnsiTheme="minorHAnsi"/>
          <w:snapToGrid w:val="0"/>
          <w:szCs w:val="20"/>
        </w:rPr>
      </w:pPr>
      <w:bookmarkStart w:id="18" w:name="_Hlk76376200"/>
      <w:r w:rsidRPr="00B742FC">
        <w:rPr>
          <w:rFonts w:asciiTheme="minorHAnsi" w:hAnsiTheme="minorHAnsi"/>
          <w:iCs/>
          <w:snapToGrid w:val="0"/>
        </w:rPr>
        <w:t>The</w:t>
      </w:r>
      <w:r w:rsidRPr="00B742FC">
        <w:rPr>
          <w:rFonts w:asciiTheme="minorHAnsi" w:hAnsiTheme="minorHAnsi"/>
          <w:snapToGrid w:val="0"/>
          <w:szCs w:val="20"/>
        </w:rPr>
        <w:t xml:space="preserve"> PBAC considered that the claim of superior comparative effectiveness was reasonable.</w:t>
      </w:r>
    </w:p>
    <w:p w14:paraId="49D55568" w14:textId="17328D70" w:rsidR="00AD0866" w:rsidRPr="00B742FC" w:rsidRDefault="00AD0866" w:rsidP="00AD0866">
      <w:pPr>
        <w:widowControl w:val="0"/>
        <w:numPr>
          <w:ilvl w:val="1"/>
          <w:numId w:val="1"/>
        </w:numPr>
        <w:spacing w:after="120"/>
        <w:rPr>
          <w:rFonts w:asciiTheme="minorHAnsi" w:hAnsiTheme="minorHAnsi"/>
          <w:snapToGrid w:val="0"/>
          <w:szCs w:val="20"/>
        </w:rPr>
      </w:pPr>
      <w:r w:rsidRPr="00B742FC">
        <w:rPr>
          <w:rFonts w:asciiTheme="minorHAnsi" w:hAnsiTheme="minorHAnsi"/>
          <w:snapToGrid w:val="0"/>
          <w:szCs w:val="20"/>
        </w:rPr>
        <w:t xml:space="preserve">The PBAC considered that the claim of non-inferior comparative safety was not </w:t>
      </w:r>
      <w:r w:rsidR="00B742FC">
        <w:rPr>
          <w:rFonts w:asciiTheme="minorHAnsi" w:hAnsiTheme="minorHAnsi"/>
          <w:snapToGrid w:val="0"/>
          <w:szCs w:val="20"/>
        </w:rPr>
        <w:t>well</w:t>
      </w:r>
      <w:r w:rsidRPr="00B742FC">
        <w:rPr>
          <w:rFonts w:asciiTheme="minorHAnsi" w:hAnsiTheme="minorHAnsi"/>
          <w:snapToGrid w:val="0"/>
          <w:szCs w:val="20"/>
        </w:rPr>
        <w:t xml:space="preserve"> supported by the data</w:t>
      </w:r>
      <w:r w:rsidR="00B742FC">
        <w:rPr>
          <w:rFonts w:asciiTheme="minorHAnsi" w:hAnsiTheme="minorHAnsi"/>
          <w:snapToGrid w:val="0"/>
          <w:szCs w:val="20"/>
        </w:rPr>
        <w:t xml:space="preserve"> but agreed with the ESC that </w:t>
      </w:r>
      <w:proofErr w:type="spellStart"/>
      <w:r w:rsidR="00B742FC">
        <w:rPr>
          <w:rFonts w:asciiTheme="minorHAnsi" w:hAnsiTheme="minorHAnsi"/>
          <w:snapToGrid w:val="0"/>
          <w:szCs w:val="20"/>
        </w:rPr>
        <w:t>enfortumab</w:t>
      </w:r>
      <w:proofErr w:type="spellEnd"/>
      <w:r w:rsidR="00B742FC">
        <w:rPr>
          <w:rFonts w:asciiTheme="minorHAnsi" w:hAnsiTheme="minorHAnsi"/>
          <w:snapToGrid w:val="0"/>
          <w:szCs w:val="20"/>
        </w:rPr>
        <w:t xml:space="preserve"> </w:t>
      </w:r>
      <w:proofErr w:type="spellStart"/>
      <w:r w:rsidR="00B742FC">
        <w:rPr>
          <w:rFonts w:asciiTheme="minorHAnsi" w:hAnsiTheme="minorHAnsi"/>
          <w:snapToGrid w:val="0"/>
          <w:szCs w:val="20"/>
        </w:rPr>
        <w:t>vedotin</w:t>
      </w:r>
      <w:proofErr w:type="spellEnd"/>
      <w:r w:rsidR="00B742FC">
        <w:rPr>
          <w:rFonts w:asciiTheme="minorHAnsi" w:hAnsiTheme="minorHAnsi"/>
          <w:snapToGrid w:val="0"/>
          <w:szCs w:val="20"/>
        </w:rPr>
        <w:t xml:space="preserve"> had an acceptable safety profile</w:t>
      </w:r>
      <w:r w:rsidRPr="00B742FC">
        <w:rPr>
          <w:rFonts w:asciiTheme="minorHAnsi" w:hAnsiTheme="minorHAnsi"/>
          <w:snapToGrid w:val="0"/>
          <w:szCs w:val="20"/>
        </w:rPr>
        <w:t>.</w:t>
      </w:r>
      <w:bookmarkEnd w:id="18"/>
    </w:p>
    <w:p w14:paraId="252FDF72" w14:textId="77777777" w:rsidR="007A57F4" w:rsidRPr="00C9624D" w:rsidRDefault="007A57F4" w:rsidP="007A57F4">
      <w:pPr>
        <w:pStyle w:val="4-SubsectionHeading"/>
      </w:pPr>
      <w:bookmarkStart w:id="19" w:name="_Toc93491264"/>
      <w:r w:rsidRPr="00C9624D">
        <w:t>Economic analysis</w:t>
      </w:r>
      <w:bookmarkEnd w:id="19"/>
      <w:r w:rsidRPr="00C9624D">
        <w:t xml:space="preserve"> </w:t>
      </w:r>
    </w:p>
    <w:p w14:paraId="389BD82E" w14:textId="4B49DAB5" w:rsidR="007A57F4" w:rsidRPr="002C6194" w:rsidRDefault="0061073F" w:rsidP="007A57F4">
      <w:pPr>
        <w:pStyle w:val="3-BodyText"/>
        <w:rPr>
          <w:b/>
          <w:bCs/>
          <w:lang w:val="en-US"/>
        </w:rPr>
      </w:pPr>
      <w:r>
        <w:t>The submission presented a</w:t>
      </w:r>
      <w:r w:rsidRPr="0061073F">
        <w:t xml:space="preserve"> stepped </w:t>
      </w:r>
      <w:r>
        <w:t xml:space="preserve">modelled </w:t>
      </w:r>
      <w:r w:rsidRPr="0061073F">
        <w:t xml:space="preserve">economic evaluation based on the direct randomised trial </w:t>
      </w:r>
      <w:r w:rsidR="007A57F4" w:rsidRPr="002C6194">
        <w:t>(EV-3</w:t>
      </w:r>
      <w:r>
        <w:t>01)</w:t>
      </w:r>
      <w:r w:rsidR="007A57F4" w:rsidRPr="002C6194">
        <w:t>. The type of economic evaluation presented was a cost-utility analysis.</w:t>
      </w:r>
      <w:r w:rsidR="007A57F4">
        <w:t xml:space="preserve"> The key components of the economic evaluation are presented below.</w:t>
      </w:r>
    </w:p>
    <w:p w14:paraId="4DC1264A" w14:textId="41CAEA84" w:rsidR="007A57F4" w:rsidRPr="002C6194" w:rsidRDefault="007A57F4" w:rsidP="007A57F4">
      <w:pPr>
        <w:pStyle w:val="TableFigureHeading"/>
        <w:rPr>
          <w:rStyle w:val="CommentReference"/>
          <w:rFonts w:ascii="Calibri" w:hAnsi="Calibri"/>
          <w:bCs w:val="0"/>
          <w:sz w:val="18"/>
          <w:szCs w:val="18"/>
          <w:lang w:val="en-US"/>
        </w:rPr>
      </w:pPr>
      <w:r>
        <w:t xml:space="preserve">Table </w:t>
      </w:r>
      <w:r w:rsidR="00F06F14">
        <w:fldChar w:fldCharType="begin"/>
      </w:r>
      <w:r w:rsidR="00F06F14">
        <w:instrText xml:space="preserve"> SEQ Table \* ARABIC </w:instrText>
      </w:r>
      <w:r w:rsidR="00F06F14">
        <w:fldChar w:fldCharType="separate"/>
      </w:r>
      <w:r w:rsidR="00234F7B">
        <w:rPr>
          <w:noProof/>
        </w:rPr>
        <w:t>7</w:t>
      </w:r>
      <w:r w:rsidR="00F06F14">
        <w:rPr>
          <w:noProof/>
        </w:rPr>
        <w:fldChar w:fldCharType="end"/>
      </w:r>
      <w:r>
        <w:t xml:space="preserve">: </w:t>
      </w:r>
      <w:r w:rsidRPr="00641FB3">
        <w:rPr>
          <w:rStyle w:val="CommentReference"/>
          <w:b/>
          <w:szCs w:val="24"/>
        </w:rPr>
        <w:t xml:space="preserve">Summary of model structure, key </w:t>
      </w:r>
      <w:proofErr w:type="gramStart"/>
      <w:r w:rsidRPr="00641FB3">
        <w:rPr>
          <w:rStyle w:val="CommentReference"/>
          <w:b/>
          <w:szCs w:val="24"/>
        </w:rPr>
        <w:t>inputs</w:t>
      </w:r>
      <w:proofErr w:type="gramEnd"/>
      <w:r w:rsidRPr="00641FB3">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7: Summary of model structure, key inputs and rationale"/>
      </w:tblPr>
      <w:tblGrid>
        <w:gridCol w:w="2518"/>
        <w:gridCol w:w="6499"/>
      </w:tblGrid>
      <w:tr w:rsidR="007A57F4" w:rsidRPr="003D1DE4" w14:paraId="1418785B" w14:textId="77777777" w:rsidTr="00125618">
        <w:trPr>
          <w:tblHeader/>
        </w:trPr>
        <w:tc>
          <w:tcPr>
            <w:tcW w:w="1396" w:type="pct"/>
            <w:shd w:val="clear" w:color="auto" w:fill="auto"/>
            <w:vAlign w:val="center"/>
          </w:tcPr>
          <w:p w14:paraId="05E6CCF6" w14:textId="77777777" w:rsidR="007A57F4" w:rsidRPr="00641FB3" w:rsidRDefault="007A57F4" w:rsidP="00125618">
            <w:pPr>
              <w:pStyle w:val="In-tableHeading"/>
            </w:pPr>
            <w:r w:rsidRPr="00641FB3">
              <w:t>Component</w:t>
            </w:r>
          </w:p>
        </w:tc>
        <w:tc>
          <w:tcPr>
            <w:tcW w:w="3604" w:type="pct"/>
            <w:shd w:val="clear" w:color="auto" w:fill="auto"/>
            <w:vAlign w:val="center"/>
          </w:tcPr>
          <w:p w14:paraId="0251B850" w14:textId="77777777" w:rsidR="007A57F4" w:rsidRPr="00641FB3" w:rsidRDefault="007A57F4" w:rsidP="00125618">
            <w:pPr>
              <w:pStyle w:val="In-tableHeading"/>
            </w:pPr>
            <w:r w:rsidRPr="00641FB3">
              <w:t>Summary</w:t>
            </w:r>
          </w:p>
        </w:tc>
      </w:tr>
      <w:tr w:rsidR="007A57F4" w:rsidRPr="00E2771E" w14:paraId="222082CC" w14:textId="77777777" w:rsidTr="00125618">
        <w:tc>
          <w:tcPr>
            <w:tcW w:w="1396" w:type="pct"/>
            <w:shd w:val="clear" w:color="auto" w:fill="auto"/>
            <w:vAlign w:val="center"/>
          </w:tcPr>
          <w:p w14:paraId="09CE03BF" w14:textId="77777777" w:rsidR="007A57F4" w:rsidRPr="00E2771E" w:rsidRDefault="007A57F4" w:rsidP="00125618">
            <w:pPr>
              <w:pStyle w:val="TableText0"/>
            </w:pPr>
            <w:r>
              <w:t>Treatments</w:t>
            </w:r>
          </w:p>
        </w:tc>
        <w:tc>
          <w:tcPr>
            <w:tcW w:w="3604" w:type="pct"/>
            <w:shd w:val="clear" w:color="auto" w:fill="auto"/>
            <w:vAlign w:val="center"/>
          </w:tcPr>
          <w:p w14:paraId="3F7261D8" w14:textId="130426EA" w:rsidR="007A57F4" w:rsidRPr="00A25DCB" w:rsidRDefault="007A57F4" w:rsidP="00125618">
            <w:pPr>
              <w:pStyle w:val="TableText0"/>
            </w:pPr>
            <w:proofErr w:type="spellStart"/>
            <w:r w:rsidRPr="00A25DCB">
              <w:t>Enfortumab</w:t>
            </w:r>
            <w:proofErr w:type="spellEnd"/>
            <w:r w:rsidRPr="00A25DCB">
              <w:t xml:space="preserve"> </w:t>
            </w:r>
            <w:proofErr w:type="spellStart"/>
            <w:r w:rsidRPr="00A25DCB">
              <w:t>vedotin</w:t>
            </w:r>
            <w:proofErr w:type="spellEnd"/>
            <w:r w:rsidRPr="00A25DCB">
              <w:t xml:space="preserve"> vs docetaxel or paclitaxel. The </w:t>
            </w:r>
            <w:r w:rsidR="0001544A" w:rsidRPr="00A25DCB">
              <w:t>base-case</w:t>
            </w:r>
            <w:r w:rsidRPr="00A25DCB">
              <w:t xml:space="preserve"> excluded vinflunine-related data in the comparator arm.</w:t>
            </w:r>
          </w:p>
        </w:tc>
      </w:tr>
      <w:tr w:rsidR="007A57F4" w:rsidRPr="00E2771E" w14:paraId="123AA2A5" w14:textId="77777777" w:rsidTr="00125618">
        <w:tc>
          <w:tcPr>
            <w:tcW w:w="1396" w:type="pct"/>
            <w:shd w:val="clear" w:color="auto" w:fill="auto"/>
            <w:vAlign w:val="center"/>
          </w:tcPr>
          <w:p w14:paraId="54469217" w14:textId="77777777" w:rsidR="007A57F4" w:rsidRPr="00E2771E" w:rsidRDefault="007A57F4" w:rsidP="00125618">
            <w:pPr>
              <w:pStyle w:val="TableText0"/>
            </w:pPr>
            <w:r w:rsidRPr="00E2771E">
              <w:t>Time horizon</w:t>
            </w:r>
          </w:p>
        </w:tc>
        <w:tc>
          <w:tcPr>
            <w:tcW w:w="3604" w:type="pct"/>
            <w:shd w:val="clear" w:color="auto" w:fill="auto"/>
            <w:vAlign w:val="center"/>
          </w:tcPr>
          <w:p w14:paraId="325F6F39" w14:textId="6DF7ED27" w:rsidR="007A57F4" w:rsidRPr="00A25DCB" w:rsidRDefault="007A57F4" w:rsidP="00125618">
            <w:pPr>
              <w:pStyle w:val="TableText0"/>
            </w:pPr>
            <w:r w:rsidRPr="00A25DCB">
              <w:t xml:space="preserve">10 years in the model </w:t>
            </w:r>
            <w:r w:rsidR="0001544A" w:rsidRPr="00A25DCB">
              <w:t>base-case</w:t>
            </w:r>
            <w:r w:rsidRPr="00A25DCB">
              <w:t xml:space="preserve"> versus less than two years in trial</w:t>
            </w:r>
          </w:p>
        </w:tc>
      </w:tr>
      <w:tr w:rsidR="007A57F4" w:rsidRPr="00E2771E" w14:paraId="50F0C8E9" w14:textId="77777777" w:rsidTr="00125618">
        <w:tc>
          <w:tcPr>
            <w:tcW w:w="1396" w:type="pct"/>
            <w:shd w:val="clear" w:color="auto" w:fill="auto"/>
            <w:vAlign w:val="center"/>
          </w:tcPr>
          <w:p w14:paraId="6E7E4B9C" w14:textId="77777777" w:rsidR="007A57F4" w:rsidRPr="00E2771E" w:rsidRDefault="007A57F4" w:rsidP="00125618">
            <w:pPr>
              <w:pStyle w:val="TableText0"/>
            </w:pPr>
            <w:r w:rsidRPr="00E2771E">
              <w:t>Outcomes</w:t>
            </w:r>
          </w:p>
        </w:tc>
        <w:tc>
          <w:tcPr>
            <w:tcW w:w="3604" w:type="pct"/>
            <w:shd w:val="clear" w:color="auto" w:fill="auto"/>
            <w:vAlign w:val="center"/>
          </w:tcPr>
          <w:p w14:paraId="7E279E4C" w14:textId="77777777" w:rsidR="007A57F4" w:rsidRPr="00A25DCB" w:rsidRDefault="007A57F4" w:rsidP="00125618">
            <w:pPr>
              <w:pStyle w:val="TableText0"/>
            </w:pPr>
            <w:r w:rsidRPr="00A25DCB">
              <w:t>Life years and quality adjusted life years.</w:t>
            </w:r>
          </w:p>
        </w:tc>
      </w:tr>
      <w:tr w:rsidR="007A57F4" w:rsidRPr="00E2771E" w14:paraId="65AE541E" w14:textId="77777777" w:rsidTr="00125618">
        <w:tc>
          <w:tcPr>
            <w:tcW w:w="1396" w:type="pct"/>
            <w:shd w:val="clear" w:color="auto" w:fill="auto"/>
            <w:vAlign w:val="center"/>
          </w:tcPr>
          <w:p w14:paraId="405883DD" w14:textId="77777777" w:rsidR="007A57F4" w:rsidRPr="00E2771E" w:rsidRDefault="007A57F4" w:rsidP="00125618">
            <w:pPr>
              <w:pStyle w:val="TableText0"/>
            </w:pPr>
            <w:r w:rsidRPr="00E2771E">
              <w:t>Methods used to generate results</w:t>
            </w:r>
          </w:p>
        </w:tc>
        <w:tc>
          <w:tcPr>
            <w:tcW w:w="3604" w:type="pct"/>
            <w:shd w:val="clear" w:color="auto" w:fill="auto"/>
            <w:vAlign w:val="center"/>
          </w:tcPr>
          <w:p w14:paraId="1EC77A5F" w14:textId="77777777" w:rsidR="007A57F4" w:rsidRPr="00A25DCB" w:rsidRDefault="007A57F4" w:rsidP="00125618">
            <w:pPr>
              <w:pStyle w:val="TableText0"/>
            </w:pPr>
            <w:r w:rsidRPr="00A25DCB">
              <w:t>Partitioned survival model (</w:t>
            </w:r>
            <w:proofErr w:type="gramStart"/>
            <w:r w:rsidRPr="00A25DCB">
              <w:t>i.e.</w:t>
            </w:r>
            <w:proofErr w:type="gramEnd"/>
            <w:r w:rsidRPr="00A25DCB">
              <w:t xml:space="preserve"> area under the curve)</w:t>
            </w:r>
          </w:p>
        </w:tc>
      </w:tr>
      <w:tr w:rsidR="007A57F4" w:rsidRPr="00E2771E" w14:paraId="53CCFEAF" w14:textId="77777777" w:rsidTr="00125618">
        <w:tc>
          <w:tcPr>
            <w:tcW w:w="1396" w:type="pct"/>
            <w:shd w:val="clear" w:color="auto" w:fill="auto"/>
            <w:vAlign w:val="center"/>
          </w:tcPr>
          <w:p w14:paraId="6BDDF948" w14:textId="77777777" w:rsidR="007A57F4" w:rsidRPr="00E2771E" w:rsidRDefault="007A57F4" w:rsidP="00125618">
            <w:pPr>
              <w:pStyle w:val="TableText0"/>
            </w:pPr>
            <w:r w:rsidRPr="00E2771E">
              <w:t>Health states</w:t>
            </w:r>
          </w:p>
        </w:tc>
        <w:tc>
          <w:tcPr>
            <w:tcW w:w="3604" w:type="pct"/>
            <w:shd w:val="clear" w:color="auto" w:fill="auto"/>
            <w:vAlign w:val="center"/>
          </w:tcPr>
          <w:p w14:paraId="3DB13F0F" w14:textId="77777777" w:rsidR="007A57F4" w:rsidRPr="00A25DCB" w:rsidRDefault="007A57F4" w:rsidP="00125618">
            <w:pPr>
              <w:pStyle w:val="TableText0"/>
            </w:pPr>
            <w:r w:rsidRPr="00A25DCB">
              <w:t>Three. Progression-free, post-progression and dead.</w:t>
            </w:r>
          </w:p>
        </w:tc>
      </w:tr>
      <w:tr w:rsidR="007A57F4" w:rsidRPr="00E2771E" w14:paraId="70CFFF9B" w14:textId="77777777" w:rsidTr="00125618">
        <w:tc>
          <w:tcPr>
            <w:tcW w:w="1396" w:type="pct"/>
            <w:shd w:val="clear" w:color="auto" w:fill="auto"/>
            <w:vAlign w:val="center"/>
          </w:tcPr>
          <w:p w14:paraId="7A53706A" w14:textId="77777777" w:rsidR="007A57F4" w:rsidRPr="00E2771E" w:rsidRDefault="007A57F4" w:rsidP="00125618">
            <w:pPr>
              <w:pStyle w:val="TableText0"/>
            </w:pPr>
            <w:r w:rsidRPr="00E2771E">
              <w:t>Cycle length</w:t>
            </w:r>
          </w:p>
        </w:tc>
        <w:tc>
          <w:tcPr>
            <w:tcW w:w="3604" w:type="pct"/>
            <w:shd w:val="clear" w:color="auto" w:fill="auto"/>
            <w:vAlign w:val="center"/>
          </w:tcPr>
          <w:p w14:paraId="6E0C8179" w14:textId="77777777" w:rsidR="007A57F4" w:rsidRPr="00A25DCB" w:rsidRDefault="007A57F4" w:rsidP="00125618">
            <w:pPr>
              <w:pStyle w:val="TableText0"/>
            </w:pPr>
            <w:r w:rsidRPr="00A25DCB">
              <w:t xml:space="preserve">One month with half cycle correction </w:t>
            </w:r>
          </w:p>
        </w:tc>
      </w:tr>
      <w:tr w:rsidR="007A57F4" w:rsidRPr="00E2771E" w14:paraId="0EA7A29D" w14:textId="77777777" w:rsidTr="00125618">
        <w:tc>
          <w:tcPr>
            <w:tcW w:w="1396" w:type="pct"/>
            <w:shd w:val="clear" w:color="auto" w:fill="auto"/>
            <w:vAlign w:val="center"/>
          </w:tcPr>
          <w:p w14:paraId="768DD8DD" w14:textId="77777777" w:rsidR="007A57F4" w:rsidRPr="00E2771E" w:rsidRDefault="007A57F4" w:rsidP="00125618">
            <w:pPr>
              <w:pStyle w:val="TableText0"/>
            </w:pPr>
            <w:r w:rsidRPr="00657AC8">
              <w:t xml:space="preserve">Allocation to health states </w:t>
            </w:r>
            <w:r>
              <w:t>and extrapolation method</w:t>
            </w:r>
          </w:p>
        </w:tc>
        <w:tc>
          <w:tcPr>
            <w:tcW w:w="3604" w:type="pct"/>
            <w:shd w:val="clear" w:color="auto" w:fill="auto"/>
            <w:vAlign w:val="center"/>
          </w:tcPr>
          <w:p w14:paraId="3AC5845B" w14:textId="77777777" w:rsidR="007A57F4" w:rsidRPr="00A25DCB" w:rsidRDefault="007A57F4" w:rsidP="00125618">
            <w:pPr>
              <w:pStyle w:val="TableText0"/>
            </w:pPr>
            <w:r w:rsidRPr="00A25DCB">
              <w:t xml:space="preserve">For </w:t>
            </w:r>
            <w:proofErr w:type="spellStart"/>
            <w:r w:rsidRPr="00A25DCB">
              <w:t>enfortumab</w:t>
            </w:r>
            <w:proofErr w:type="spellEnd"/>
            <w:r w:rsidRPr="00A25DCB">
              <w:t xml:space="preserve"> </w:t>
            </w:r>
            <w:proofErr w:type="spellStart"/>
            <w:r w:rsidRPr="00A25DCB">
              <w:t>vedotin</w:t>
            </w:r>
            <w:proofErr w:type="spellEnd"/>
            <w:r w:rsidRPr="00A25DCB">
              <w:t xml:space="preserve"> arm, health state allocation is determined by PFS and OS curves directly from EV-301 to 15 months followed by extrapolation of the curves using parametric functions.</w:t>
            </w:r>
          </w:p>
          <w:p w14:paraId="46736A74" w14:textId="77777777" w:rsidR="007A57F4" w:rsidRPr="00A25DCB" w:rsidRDefault="007A57F4" w:rsidP="00125618">
            <w:pPr>
              <w:pStyle w:val="TableText0"/>
            </w:pPr>
            <w:r w:rsidRPr="00A25DCB">
              <w:t xml:space="preserve">For chemotherapy arm, health state allocation is determined by PFS and OS curves generated by applying the HR from EV-301 to the </w:t>
            </w:r>
            <w:proofErr w:type="spellStart"/>
            <w:r w:rsidRPr="00A25DCB">
              <w:t>enfortumab</w:t>
            </w:r>
            <w:proofErr w:type="spellEnd"/>
            <w:r w:rsidRPr="00A25DCB">
              <w:t xml:space="preserve"> PFS and OS curves and extrapolations.</w:t>
            </w:r>
          </w:p>
          <w:p w14:paraId="54C7C459" w14:textId="77777777" w:rsidR="007A57F4" w:rsidRPr="00A25DCB" w:rsidRDefault="007A57F4" w:rsidP="00125618">
            <w:pPr>
              <w:pStyle w:val="TableText0"/>
            </w:pPr>
            <w:r w:rsidRPr="00A25DCB">
              <w:t xml:space="preserve">Time on treatment curves for both </w:t>
            </w:r>
            <w:proofErr w:type="spellStart"/>
            <w:r w:rsidRPr="00A25DCB">
              <w:t>enfortumab</w:t>
            </w:r>
            <w:proofErr w:type="spellEnd"/>
            <w:r w:rsidRPr="00A25DCB">
              <w:t xml:space="preserve"> </w:t>
            </w:r>
            <w:proofErr w:type="spellStart"/>
            <w:r w:rsidRPr="00A25DCB">
              <w:t>vedotin</w:t>
            </w:r>
            <w:proofErr w:type="spellEnd"/>
            <w:r w:rsidRPr="00A25DCB">
              <w:t xml:space="preserve"> and chemotherapy are derived from EV-301 and extrapolated using parametric functions of best fit.</w:t>
            </w:r>
          </w:p>
          <w:p w14:paraId="0EC46CDE" w14:textId="77777777" w:rsidR="007A57F4" w:rsidRPr="00A25DCB" w:rsidRDefault="007A57F4" w:rsidP="00125618">
            <w:pPr>
              <w:pStyle w:val="TableText0"/>
            </w:pPr>
          </w:p>
          <w:p w14:paraId="20912EA8" w14:textId="3CBB6DFC" w:rsidR="007A57F4" w:rsidRPr="00A25DCB" w:rsidRDefault="007A57F4" w:rsidP="00125618">
            <w:pPr>
              <w:pStyle w:val="TableText0"/>
            </w:pPr>
            <w:r w:rsidRPr="00A25DCB">
              <w:t>Observed PFS</w:t>
            </w:r>
            <w:r w:rsidR="00A12C68" w:rsidRPr="00A25DCB">
              <w:t xml:space="preserve"> </w:t>
            </w:r>
            <w:r w:rsidRPr="00A25DCB">
              <w:t xml:space="preserve">and OS data from the comparator arm of EV-301 were not directly used in the model. Applying a HR to inform the comparator arm PFS and OS data introduced uncertainty. The PBAC Guidelines indicate that “where extrapolation is undertaken, use observed time-to-event data in preference to modelled data up to the time point at which the observed data become unreliable as a result of small numbers of patients remaining event-free.” (Section 3A.4.3 Extrapolation, PBAC Guidelines version 5.0). </w:t>
            </w:r>
          </w:p>
          <w:p w14:paraId="7CB7AABC" w14:textId="77777777" w:rsidR="007A57F4" w:rsidRPr="00A25DCB" w:rsidRDefault="007A57F4" w:rsidP="00125618">
            <w:pPr>
              <w:pStyle w:val="TableText0"/>
            </w:pPr>
          </w:p>
          <w:p w14:paraId="2D1DE7FB" w14:textId="77777777" w:rsidR="007A57F4" w:rsidRPr="00A25DCB" w:rsidRDefault="007A57F4" w:rsidP="00125618">
            <w:pPr>
              <w:pStyle w:val="TableText0"/>
            </w:pPr>
            <w:r w:rsidRPr="00A25DCB">
              <w:t xml:space="preserve">In addition, the assumption of a continued treatment effect of </w:t>
            </w:r>
            <w:proofErr w:type="spellStart"/>
            <w:r w:rsidRPr="00A25DCB">
              <w:t>enfortumab</w:t>
            </w:r>
            <w:proofErr w:type="spellEnd"/>
            <w:r w:rsidRPr="00A25DCB">
              <w:t xml:space="preserve"> </w:t>
            </w:r>
            <w:proofErr w:type="spellStart"/>
            <w:r w:rsidRPr="00A25DCB">
              <w:t>vedotin</w:t>
            </w:r>
            <w:proofErr w:type="spellEnd"/>
            <w:r w:rsidRPr="00A25DCB">
              <w:t xml:space="preserve"> by applying the HRs for OS and PFS over the time horizon of the model was not justified.</w:t>
            </w:r>
          </w:p>
          <w:p w14:paraId="6F59616C" w14:textId="77777777" w:rsidR="007A57F4" w:rsidRPr="00A25DCB" w:rsidRDefault="007A57F4" w:rsidP="00125618">
            <w:pPr>
              <w:pStyle w:val="TableText0"/>
            </w:pPr>
          </w:p>
          <w:p w14:paraId="52FB52E3" w14:textId="291D4DCB" w:rsidR="007A57F4" w:rsidRPr="00A25DCB" w:rsidRDefault="00C63EBD" w:rsidP="00C63EBD">
            <w:pPr>
              <w:pStyle w:val="TableText0"/>
            </w:pPr>
            <w:r w:rsidRPr="00A25DCB">
              <w:t>68.8% of QALYs</w:t>
            </w:r>
            <w:r w:rsidR="007A57F4" w:rsidRPr="00A25DCB">
              <w:t xml:space="preserve"> (and </w:t>
            </w:r>
            <w:r w:rsidRPr="00A25DCB">
              <w:t>30.7</w:t>
            </w:r>
            <w:r w:rsidR="007A57F4" w:rsidRPr="00A25DCB">
              <w:t>% of costs) occur in the extrapolated period</w:t>
            </w:r>
            <w:r w:rsidR="006C4CB6" w:rsidRPr="00A25DCB">
              <w:t xml:space="preserve"> (beyond 15 months)</w:t>
            </w:r>
            <w:r w:rsidR="007A57F4" w:rsidRPr="00A25DCB">
              <w:t>.</w:t>
            </w:r>
          </w:p>
        </w:tc>
      </w:tr>
      <w:tr w:rsidR="007A57F4" w:rsidRPr="00E2771E" w14:paraId="14EC2856" w14:textId="77777777" w:rsidTr="00125618">
        <w:tc>
          <w:tcPr>
            <w:tcW w:w="1396" w:type="pct"/>
            <w:shd w:val="clear" w:color="auto" w:fill="auto"/>
            <w:vAlign w:val="center"/>
          </w:tcPr>
          <w:p w14:paraId="501613D6" w14:textId="77777777" w:rsidR="007A57F4" w:rsidRPr="001F4081" w:rsidRDefault="007A57F4" w:rsidP="00125618">
            <w:pPr>
              <w:pStyle w:val="TableText0"/>
            </w:pPr>
            <w:r>
              <w:t>Health related quality of life</w:t>
            </w:r>
          </w:p>
        </w:tc>
        <w:tc>
          <w:tcPr>
            <w:tcW w:w="3604" w:type="pct"/>
            <w:shd w:val="clear" w:color="auto" w:fill="auto"/>
            <w:vAlign w:val="center"/>
          </w:tcPr>
          <w:p w14:paraId="7A03D86C" w14:textId="77777777" w:rsidR="007A57F4" w:rsidRPr="00A25DCB" w:rsidRDefault="007A57F4" w:rsidP="00125618">
            <w:pPr>
              <w:pStyle w:val="TableText0"/>
            </w:pPr>
            <w:r w:rsidRPr="00A25DCB">
              <w:t>EV-301 trial-based.</w:t>
            </w:r>
          </w:p>
          <w:p w14:paraId="0092A5B8" w14:textId="77777777" w:rsidR="007A57F4" w:rsidRPr="00A25DCB" w:rsidRDefault="007A57F4" w:rsidP="00125618">
            <w:pPr>
              <w:pStyle w:val="TableText0"/>
            </w:pPr>
            <w:r w:rsidRPr="00A25DCB">
              <w:t>The derivation of utilities in the post-progression state is not well described, and it is unlikely that the post-progression utilities measured in EV-301 will represent the average utility of that health state.</w:t>
            </w:r>
          </w:p>
        </w:tc>
      </w:tr>
    </w:tbl>
    <w:p w14:paraId="42D43054" w14:textId="77777777" w:rsidR="007A57F4" w:rsidRDefault="007A57F4" w:rsidP="007A57F4">
      <w:pPr>
        <w:pStyle w:val="TableFigureFooter"/>
      </w:pPr>
      <w:r>
        <w:t xml:space="preserve">Source: </w:t>
      </w:r>
      <w:r w:rsidRPr="00591879">
        <w:t>Table 3.1-1, p54 of the submission</w:t>
      </w:r>
      <w:r>
        <w:t>.</w:t>
      </w:r>
    </w:p>
    <w:p w14:paraId="614ED7A0" w14:textId="3AF0C217" w:rsidR="007A57F4" w:rsidRPr="0072416F" w:rsidRDefault="007A57F4" w:rsidP="007A57F4">
      <w:pPr>
        <w:pStyle w:val="TableFigureFooter"/>
      </w:pPr>
      <w:r>
        <w:t>HR = hazard ratio; L</w:t>
      </w:r>
      <w:r w:rsidR="007E0442">
        <w:t>y</w:t>
      </w:r>
      <w:r>
        <w:t>s = life years; OS = overall survival; PFS = progression free survival; QALYs = quality adjusted life years.</w:t>
      </w:r>
    </w:p>
    <w:p w14:paraId="72896CF4" w14:textId="7545AD82" w:rsidR="004A2D04" w:rsidRPr="0070260D" w:rsidRDefault="007A57F4" w:rsidP="00F06F14">
      <w:pPr>
        <w:pStyle w:val="3-BodyText"/>
        <w:spacing w:after="60"/>
        <w:rPr>
          <w:rFonts w:eastAsia="Calibri"/>
        </w:rPr>
      </w:pPr>
      <w:bookmarkStart w:id="20" w:name="_Ref100167103"/>
      <w:r w:rsidRPr="004A2D04">
        <w:rPr>
          <w:rFonts w:eastAsia="Calibri"/>
        </w:rPr>
        <w:t xml:space="preserve">Health state membership for </w:t>
      </w:r>
      <w:proofErr w:type="spellStart"/>
      <w:r w:rsidRPr="004A2D04">
        <w:rPr>
          <w:rFonts w:eastAsia="Calibri"/>
        </w:rPr>
        <w:t>enfortumab</w:t>
      </w:r>
      <w:proofErr w:type="spellEnd"/>
      <w:r w:rsidRPr="004A2D04">
        <w:rPr>
          <w:rFonts w:eastAsia="Calibri"/>
        </w:rPr>
        <w:t xml:space="preserve"> </w:t>
      </w:r>
      <w:proofErr w:type="spellStart"/>
      <w:r w:rsidRPr="004A2D04">
        <w:rPr>
          <w:rFonts w:eastAsia="Calibri"/>
        </w:rPr>
        <w:t>vedotin</w:t>
      </w:r>
      <w:proofErr w:type="spellEnd"/>
      <w:r w:rsidRPr="004A2D04">
        <w:rPr>
          <w:rFonts w:eastAsia="Calibri"/>
        </w:rPr>
        <w:t xml:space="preserve"> was determined by observed Kaplan-Meier estimates for PFS and OS in EV-301 up to 15 months. The PFS and OS curves are then extrapolated to the model time horizon of 10 years. PFS and OS curves for the comparator (docetaxel and paclitaxel) arm </w:t>
      </w:r>
      <w:r w:rsidR="00EC4FF3" w:rsidRPr="004A2D04">
        <w:rPr>
          <w:rFonts w:eastAsia="Calibri"/>
        </w:rPr>
        <w:t>were</w:t>
      </w:r>
      <w:r w:rsidRPr="004A2D04">
        <w:rPr>
          <w:rFonts w:eastAsia="Calibri"/>
        </w:rPr>
        <w:t xml:space="preserve"> generated using the estimated hazard ratio from EV-301, applied over the entire model time horizon. </w:t>
      </w:r>
      <w:r w:rsidR="004A2D04" w:rsidRPr="0070260D">
        <w:rPr>
          <w:rFonts w:eastAsia="Calibri"/>
        </w:rPr>
        <w:t xml:space="preserve">The ESC noted the time horizon is longer than has previously been accepted by PBAC for </w:t>
      </w:r>
      <w:r w:rsidR="002D01EF" w:rsidRPr="0070260D">
        <w:rPr>
          <w:rFonts w:eastAsia="Calibri"/>
        </w:rPr>
        <w:t>urothelial cancer</w:t>
      </w:r>
      <w:r w:rsidR="004A2D04" w:rsidRPr="0070260D">
        <w:rPr>
          <w:rFonts w:eastAsia="Calibri"/>
        </w:rPr>
        <w:t xml:space="preserve">. </w:t>
      </w:r>
      <w:r w:rsidR="002D01EF" w:rsidRPr="0070260D">
        <w:rPr>
          <w:rFonts w:eastAsia="Calibri"/>
        </w:rPr>
        <w:t xml:space="preserve">The </w:t>
      </w:r>
      <w:r w:rsidR="004A2D04" w:rsidRPr="0070260D">
        <w:rPr>
          <w:rFonts w:eastAsia="Calibri"/>
        </w:rPr>
        <w:t xml:space="preserve">PBAC previously considered that a </w:t>
      </w:r>
      <w:proofErr w:type="gramStart"/>
      <w:r w:rsidR="004A2D04" w:rsidRPr="0070260D">
        <w:rPr>
          <w:rFonts w:eastAsia="Calibri"/>
        </w:rPr>
        <w:t>7.5 year</w:t>
      </w:r>
      <w:proofErr w:type="gramEnd"/>
      <w:r w:rsidR="004A2D04" w:rsidRPr="0070260D">
        <w:rPr>
          <w:rFonts w:eastAsia="Calibri"/>
        </w:rPr>
        <w:t xml:space="preserve"> time horizon was appropriate in its consideration of avelumab for maintenance following first-line treatment of urothelial cancer (paragraph 7.10, avelumab, P</w:t>
      </w:r>
      <w:r w:rsidR="00A97113">
        <w:rPr>
          <w:rFonts w:eastAsia="Calibri"/>
        </w:rPr>
        <w:t>SD</w:t>
      </w:r>
      <w:r w:rsidR="004A2D04" w:rsidRPr="0070260D">
        <w:rPr>
          <w:rFonts w:eastAsia="Calibri"/>
        </w:rPr>
        <w:t xml:space="preserve">, March 2021 PBAC meeting). </w:t>
      </w:r>
      <w:r w:rsidR="002D01EF" w:rsidRPr="0070260D">
        <w:rPr>
          <w:rFonts w:eastAsia="Calibri"/>
        </w:rPr>
        <w:t xml:space="preserve">The </w:t>
      </w:r>
      <w:r w:rsidR="004A2D04" w:rsidRPr="0070260D">
        <w:rPr>
          <w:rFonts w:eastAsia="Calibri"/>
        </w:rPr>
        <w:t xml:space="preserve">PBAC previously considered that a </w:t>
      </w:r>
      <w:proofErr w:type="gramStart"/>
      <w:r w:rsidR="004A2D04" w:rsidRPr="0070260D">
        <w:rPr>
          <w:rFonts w:eastAsia="Calibri"/>
        </w:rPr>
        <w:t>5 year</w:t>
      </w:r>
      <w:proofErr w:type="gramEnd"/>
      <w:r w:rsidR="004A2D04" w:rsidRPr="0070260D">
        <w:rPr>
          <w:rFonts w:eastAsia="Calibri"/>
        </w:rPr>
        <w:t xml:space="preserve"> time horizon was appropriate in its consideration of pembrolizumab for </w:t>
      </w:r>
      <w:r w:rsidR="00C66A62" w:rsidRPr="0070260D">
        <w:rPr>
          <w:rFonts w:eastAsia="Calibri"/>
        </w:rPr>
        <w:t>second-</w:t>
      </w:r>
      <w:r w:rsidR="004A2D04" w:rsidRPr="0070260D">
        <w:rPr>
          <w:rFonts w:eastAsia="Calibri"/>
        </w:rPr>
        <w:t>line treatment of urothelial cancer (paragraph 7.15, pembrolizumab, P</w:t>
      </w:r>
      <w:r w:rsidR="00A97113">
        <w:rPr>
          <w:rFonts w:eastAsia="Calibri"/>
        </w:rPr>
        <w:t>SD</w:t>
      </w:r>
      <w:r w:rsidR="004A2D04" w:rsidRPr="0070260D">
        <w:rPr>
          <w:rFonts w:eastAsia="Calibri"/>
        </w:rPr>
        <w:t>, July 2018 PBAC meeting). The</w:t>
      </w:r>
      <w:r w:rsidR="00AB0384">
        <w:rPr>
          <w:rFonts w:eastAsia="Calibri"/>
        </w:rPr>
        <w:t xml:space="preserve"> PBAC agreed with the</w:t>
      </w:r>
      <w:r w:rsidR="004A2D04" w:rsidRPr="0070260D">
        <w:rPr>
          <w:rFonts w:eastAsia="Calibri"/>
        </w:rPr>
        <w:t xml:space="preserve"> ESC that a </w:t>
      </w:r>
      <w:proofErr w:type="gramStart"/>
      <w:r w:rsidR="004A2D04" w:rsidRPr="0070260D">
        <w:rPr>
          <w:rFonts w:eastAsia="Calibri"/>
        </w:rPr>
        <w:t>5 year</w:t>
      </w:r>
      <w:proofErr w:type="gramEnd"/>
      <w:r w:rsidR="004A2D04" w:rsidRPr="0070260D">
        <w:rPr>
          <w:rFonts w:eastAsia="Calibri"/>
        </w:rPr>
        <w:t xml:space="preserve"> time horizon would be more appropriate for </w:t>
      </w:r>
      <w:proofErr w:type="spellStart"/>
      <w:r w:rsidR="004A2D04" w:rsidRPr="0070260D">
        <w:rPr>
          <w:rFonts w:eastAsia="Calibri"/>
        </w:rPr>
        <w:t>enfortumab</w:t>
      </w:r>
      <w:proofErr w:type="spellEnd"/>
      <w:r w:rsidR="004A2D04" w:rsidRPr="0070260D">
        <w:rPr>
          <w:rFonts w:eastAsia="Calibri"/>
        </w:rPr>
        <w:t xml:space="preserve"> </w:t>
      </w:r>
      <w:proofErr w:type="spellStart"/>
      <w:r w:rsidR="004A2D04" w:rsidRPr="0070260D">
        <w:rPr>
          <w:rFonts w:eastAsia="Calibri"/>
        </w:rPr>
        <w:t>vedotin</w:t>
      </w:r>
      <w:proofErr w:type="spellEnd"/>
      <w:r w:rsidR="004A2D04" w:rsidRPr="0070260D">
        <w:rPr>
          <w:rFonts w:eastAsia="Calibri"/>
        </w:rPr>
        <w:t>.</w:t>
      </w:r>
      <w:bookmarkEnd w:id="20"/>
      <w:r w:rsidR="004A2D04" w:rsidRPr="0070260D">
        <w:rPr>
          <w:rFonts w:eastAsia="Calibri"/>
        </w:rPr>
        <w:t xml:space="preserve"> </w:t>
      </w:r>
    </w:p>
    <w:p w14:paraId="28B2F3D6" w14:textId="5203B025" w:rsidR="007A57F4" w:rsidRDefault="007A57F4" w:rsidP="00F06F14">
      <w:pPr>
        <w:pStyle w:val="3-BodyText"/>
        <w:spacing w:after="60"/>
      </w:pPr>
      <w:r>
        <w:t>The methods of assigning health state membership in the economic analysis are summarised below.</w:t>
      </w:r>
    </w:p>
    <w:p w14:paraId="744122FE" w14:textId="331B74B9" w:rsidR="007A57F4" w:rsidRDefault="007A57F4" w:rsidP="007A57F4">
      <w:pPr>
        <w:pStyle w:val="TableFigureHeading"/>
      </w:pPr>
      <w:r>
        <w:t xml:space="preserve">Table </w:t>
      </w:r>
      <w:r w:rsidR="00F06F14">
        <w:fldChar w:fldCharType="begin"/>
      </w:r>
      <w:r w:rsidR="00F06F14">
        <w:instrText xml:space="preserve"> SEQ Table \* ARABIC </w:instrText>
      </w:r>
      <w:r w:rsidR="00F06F14">
        <w:fldChar w:fldCharType="separate"/>
      </w:r>
      <w:r w:rsidR="00234F7B">
        <w:rPr>
          <w:noProof/>
        </w:rPr>
        <w:t>8</w:t>
      </w:r>
      <w:r w:rsidR="00F06F14">
        <w:rPr>
          <w:noProof/>
        </w:rPr>
        <w:fldChar w:fldCharType="end"/>
      </w:r>
      <w:r>
        <w:t xml:space="preserve">: </w:t>
      </w:r>
      <w:r w:rsidRPr="00625A92">
        <w:t>Method of assigning health state membership in the economic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Method of assigning health state membership in the economic analysis"/>
      </w:tblPr>
      <w:tblGrid>
        <w:gridCol w:w="1635"/>
        <w:gridCol w:w="2345"/>
        <w:gridCol w:w="1961"/>
        <w:gridCol w:w="1538"/>
        <w:gridCol w:w="1538"/>
      </w:tblGrid>
      <w:tr w:rsidR="007A57F4" w:rsidRPr="00625A92" w14:paraId="4D8993D7" w14:textId="77777777" w:rsidTr="003A346E">
        <w:tc>
          <w:tcPr>
            <w:tcW w:w="1635" w:type="dxa"/>
            <w:shd w:val="clear" w:color="auto" w:fill="D9D9D9" w:themeFill="background1" w:themeFillShade="D9"/>
          </w:tcPr>
          <w:p w14:paraId="01E86AB4" w14:textId="77777777" w:rsidR="007A57F4" w:rsidRPr="00625A92" w:rsidRDefault="007A57F4" w:rsidP="00125618">
            <w:pPr>
              <w:keepNext/>
              <w:jc w:val="left"/>
              <w:rPr>
                <w:rFonts w:ascii="Arial Narrow" w:eastAsiaTheme="majorEastAsia" w:hAnsi="Arial Narrow" w:cs="Times New Roman"/>
                <w:b/>
                <w:bCs/>
                <w:sz w:val="20"/>
              </w:rPr>
            </w:pPr>
            <w:r w:rsidRPr="00625A92">
              <w:rPr>
                <w:rFonts w:ascii="Arial Narrow" w:eastAsiaTheme="majorEastAsia" w:hAnsi="Arial Narrow" w:cs="Times New Roman"/>
                <w:b/>
                <w:bCs/>
                <w:sz w:val="20"/>
              </w:rPr>
              <w:t>Health state</w:t>
            </w:r>
          </w:p>
        </w:tc>
        <w:tc>
          <w:tcPr>
            <w:tcW w:w="2345" w:type="dxa"/>
            <w:shd w:val="clear" w:color="auto" w:fill="D9D9D9" w:themeFill="background1" w:themeFillShade="D9"/>
          </w:tcPr>
          <w:p w14:paraId="4C523BC1" w14:textId="77777777" w:rsidR="007A57F4" w:rsidRPr="00625A92" w:rsidRDefault="007A57F4" w:rsidP="00125618">
            <w:pPr>
              <w:keepNext/>
              <w:jc w:val="left"/>
              <w:rPr>
                <w:rFonts w:ascii="Arial Narrow" w:eastAsiaTheme="majorEastAsia" w:hAnsi="Arial Narrow" w:cs="Times New Roman"/>
                <w:b/>
                <w:bCs/>
                <w:sz w:val="20"/>
              </w:rPr>
            </w:pPr>
            <w:r w:rsidRPr="00625A92">
              <w:rPr>
                <w:rFonts w:ascii="Arial Narrow" w:eastAsiaTheme="majorEastAsia" w:hAnsi="Arial Narrow" w:cs="Times New Roman"/>
                <w:b/>
                <w:bCs/>
                <w:sz w:val="20"/>
              </w:rPr>
              <w:t>Method of assigning membership</w:t>
            </w:r>
          </w:p>
        </w:tc>
        <w:tc>
          <w:tcPr>
            <w:tcW w:w="1961" w:type="dxa"/>
            <w:shd w:val="clear" w:color="auto" w:fill="D9D9D9" w:themeFill="background1" w:themeFillShade="D9"/>
          </w:tcPr>
          <w:p w14:paraId="09CB3615" w14:textId="77777777" w:rsidR="007A57F4" w:rsidRPr="00625A92" w:rsidRDefault="007A57F4" w:rsidP="00125618">
            <w:pPr>
              <w:keepNext/>
              <w:jc w:val="left"/>
              <w:rPr>
                <w:rFonts w:ascii="Arial Narrow" w:eastAsiaTheme="majorEastAsia" w:hAnsi="Arial Narrow" w:cs="Times New Roman"/>
                <w:b/>
                <w:bCs/>
                <w:sz w:val="20"/>
              </w:rPr>
            </w:pPr>
            <w:r w:rsidRPr="00625A92">
              <w:rPr>
                <w:rFonts w:ascii="Arial Narrow" w:eastAsiaTheme="majorEastAsia" w:hAnsi="Arial Narrow" w:cs="Times New Roman"/>
                <w:b/>
                <w:bCs/>
                <w:sz w:val="20"/>
              </w:rPr>
              <w:t>Source</w:t>
            </w:r>
          </w:p>
        </w:tc>
        <w:tc>
          <w:tcPr>
            <w:tcW w:w="1538" w:type="dxa"/>
            <w:shd w:val="clear" w:color="auto" w:fill="D9D9D9" w:themeFill="background1" w:themeFillShade="D9"/>
          </w:tcPr>
          <w:p w14:paraId="53E67B60" w14:textId="6E781FC8" w:rsidR="007A57F4" w:rsidRPr="00625A92" w:rsidRDefault="0001544A" w:rsidP="00125618">
            <w:pPr>
              <w:keepNext/>
              <w:jc w:val="left"/>
              <w:rPr>
                <w:rFonts w:ascii="Arial Narrow" w:eastAsiaTheme="majorEastAsia" w:hAnsi="Arial Narrow" w:cs="Times New Roman"/>
                <w:b/>
                <w:bCs/>
                <w:sz w:val="20"/>
              </w:rPr>
            </w:pPr>
            <w:r>
              <w:rPr>
                <w:rFonts w:ascii="Arial Narrow" w:eastAsiaTheme="majorEastAsia" w:hAnsi="Arial Narrow" w:cs="Times New Roman"/>
                <w:b/>
                <w:bCs/>
                <w:sz w:val="20"/>
              </w:rPr>
              <w:t>Base-case</w:t>
            </w:r>
          </w:p>
        </w:tc>
        <w:tc>
          <w:tcPr>
            <w:tcW w:w="1538" w:type="dxa"/>
            <w:shd w:val="clear" w:color="auto" w:fill="D9D9D9" w:themeFill="background1" w:themeFillShade="D9"/>
          </w:tcPr>
          <w:p w14:paraId="4C17F11C" w14:textId="63498139" w:rsidR="007A57F4" w:rsidRPr="00A25DCB" w:rsidRDefault="007A57F4" w:rsidP="00125618">
            <w:pPr>
              <w:keepNext/>
              <w:jc w:val="left"/>
              <w:rPr>
                <w:rFonts w:ascii="Arial Narrow" w:eastAsiaTheme="majorEastAsia" w:hAnsi="Arial Narrow" w:cs="Times New Roman"/>
                <w:b/>
                <w:bCs/>
                <w:iCs/>
                <w:sz w:val="20"/>
              </w:rPr>
            </w:pPr>
            <w:r w:rsidRPr="00A25DCB">
              <w:rPr>
                <w:rFonts w:ascii="Arial Narrow" w:eastAsiaTheme="majorEastAsia" w:hAnsi="Arial Narrow" w:cs="Times New Roman"/>
                <w:b/>
                <w:bCs/>
                <w:iCs/>
                <w:sz w:val="20"/>
              </w:rPr>
              <w:t xml:space="preserve">Re-specified </w:t>
            </w:r>
            <w:r w:rsidR="0001544A" w:rsidRPr="00A25DCB">
              <w:rPr>
                <w:rFonts w:ascii="Arial Narrow" w:eastAsiaTheme="majorEastAsia" w:hAnsi="Arial Narrow" w:cs="Times New Roman"/>
                <w:b/>
                <w:bCs/>
                <w:iCs/>
                <w:sz w:val="20"/>
              </w:rPr>
              <w:t>base-case</w:t>
            </w:r>
          </w:p>
        </w:tc>
      </w:tr>
      <w:tr w:rsidR="007A57F4" w:rsidRPr="00625A92" w14:paraId="6AC062AF" w14:textId="77777777" w:rsidTr="003A346E">
        <w:tc>
          <w:tcPr>
            <w:tcW w:w="5941" w:type="dxa"/>
            <w:gridSpan w:val="3"/>
            <w:shd w:val="clear" w:color="auto" w:fill="D9D9D9" w:themeFill="background1" w:themeFillShade="D9"/>
          </w:tcPr>
          <w:p w14:paraId="31F982B0" w14:textId="77777777" w:rsidR="007A57F4" w:rsidRPr="00625A92" w:rsidRDefault="007A57F4" w:rsidP="00125618">
            <w:pPr>
              <w:keepNext/>
              <w:jc w:val="left"/>
              <w:rPr>
                <w:rFonts w:ascii="Arial Narrow" w:eastAsiaTheme="majorEastAsia" w:hAnsi="Arial Narrow" w:cs="Times New Roman"/>
                <w:b/>
                <w:bCs/>
                <w:sz w:val="20"/>
              </w:rPr>
            </w:pPr>
            <w:proofErr w:type="spellStart"/>
            <w:r w:rsidRPr="00625A92">
              <w:rPr>
                <w:rFonts w:ascii="Arial Narrow" w:eastAsiaTheme="majorEastAsia" w:hAnsi="Arial Narrow" w:cs="Times New Roman"/>
                <w:b/>
                <w:bCs/>
                <w:sz w:val="20"/>
              </w:rPr>
              <w:t>Enfortumab</w:t>
            </w:r>
            <w:proofErr w:type="spellEnd"/>
            <w:r w:rsidRPr="00625A92">
              <w:rPr>
                <w:rFonts w:ascii="Arial Narrow" w:eastAsiaTheme="majorEastAsia" w:hAnsi="Arial Narrow" w:cs="Times New Roman"/>
                <w:b/>
                <w:bCs/>
                <w:sz w:val="20"/>
              </w:rPr>
              <w:t xml:space="preserve"> </w:t>
            </w:r>
            <w:proofErr w:type="spellStart"/>
            <w:r w:rsidRPr="00625A92">
              <w:rPr>
                <w:rFonts w:ascii="Arial Narrow" w:eastAsiaTheme="majorEastAsia" w:hAnsi="Arial Narrow" w:cs="Times New Roman"/>
                <w:b/>
                <w:bCs/>
                <w:sz w:val="20"/>
              </w:rPr>
              <w:t>vedotin</w:t>
            </w:r>
            <w:proofErr w:type="spellEnd"/>
          </w:p>
        </w:tc>
        <w:tc>
          <w:tcPr>
            <w:tcW w:w="1538" w:type="dxa"/>
            <w:shd w:val="clear" w:color="auto" w:fill="D9D9D9" w:themeFill="background1" w:themeFillShade="D9"/>
          </w:tcPr>
          <w:p w14:paraId="4C175CC6" w14:textId="77777777" w:rsidR="007A57F4" w:rsidRPr="00625A92" w:rsidRDefault="007A57F4" w:rsidP="00125618">
            <w:pPr>
              <w:keepNext/>
              <w:jc w:val="left"/>
              <w:rPr>
                <w:rFonts w:ascii="Arial Narrow" w:eastAsiaTheme="majorEastAsia" w:hAnsi="Arial Narrow" w:cs="Times New Roman"/>
                <w:b/>
                <w:bCs/>
                <w:sz w:val="20"/>
              </w:rPr>
            </w:pPr>
          </w:p>
        </w:tc>
        <w:tc>
          <w:tcPr>
            <w:tcW w:w="1538" w:type="dxa"/>
            <w:shd w:val="clear" w:color="auto" w:fill="D9D9D9" w:themeFill="background1" w:themeFillShade="D9"/>
          </w:tcPr>
          <w:p w14:paraId="374EF2AB" w14:textId="77777777" w:rsidR="007A57F4" w:rsidRPr="00A25DCB" w:rsidRDefault="007A57F4" w:rsidP="00125618">
            <w:pPr>
              <w:keepNext/>
              <w:jc w:val="left"/>
              <w:rPr>
                <w:rFonts w:ascii="Arial Narrow" w:eastAsiaTheme="majorEastAsia" w:hAnsi="Arial Narrow" w:cs="Times New Roman"/>
                <w:b/>
                <w:bCs/>
                <w:iCs/>
                <w:sz w:val="20"/>
              </w:rPr>
            </w:pPr>
          </w:p>
        </w:tc>
      </w:tr>
      <w:tr w:rsidR="007A57F4" w:rsidRPr="00625A92" w14:paraId="3447A863" w14:textId="77777777" w:rsidTr="003A346E">
        <w:tc>
          <w:tcPr>
            <w:tcW w:w="1635" w:type="dxa"/>
            <w:vMerge w:val="restart"/>
          </w:tcPr>
          <w:p w14:paraId="7196C83C"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Progression free</w:t>
            </w:r>
          </w:p>
        </w:tc>
        <w:tc>
          <w:tcPr>
            <w:tcW w:w="2345" w:type="dxa"/>
          </w:tcPr>
          <w:p w14:paraId="408C9EE2"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Observed PFS curve for 15 months</w:t>
            </w:r>
          </w:p>
        </w:tc>
        <w:tc>
          <w:tcPr>
            <w:tcW w:w="1961" w:type="dxa"/>
          </w:tcPr>
          <w:p w14:paraId="6DB80BF5"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EV-301</w:t>
            </w:r>
          </w:p>
        </w:tc>
        <w:tc>
          <w:tcPr>
            <w:tcW w:w="1538" w:type="dxa"/>
          </w:tcPr>
          <w:p w14:paraId="48AF9743"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KM curve to 15 months</w:t>
            </w:r>
          </w:p>
        </w:tc>
        <w:tc>
          <w:tcPr>
            <w:tcW w:w="1538" w:type="dxa"/>
          </w:tcPr>
          <w:p w14:paraId="134AB67E" w14:textId="168D0B3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 xml:space="preserve">As per </w:t>
            </w:r>
            <w:r w:rsidR="0001544A" w:rsidRPr="00A25DCB">
              <w:rPr>
                <w:rFonts w:ascii="Arial Narrow" w:eastAsiaTheme="majorEastAsia" w:hAnsi="Arial Narrow" w:cs="Times New Roman"/>
                <w:bCs/>
                <w:iCs/>
                <w:sz w:val="20"/>
              </w:rPr>
              <w:t>base-case</w:t>
            </w:r>
          </w:p>
        </w:tc>
      </w:tr>
      <w:tr w:rsidR="007A57F4" w:rsidRPr="00625A92" w14:paraId="71F6B32C" w14:textId="77777777" w:rsidTr="003A346E">
        <w:tc>
          <w:tcPr>
            <w:tcW w:w="1635" w:type="dxa"/>
            <w:vMerge/>
          </w:tcPr>
          <w:p w14:paraId="3C13A2AD" w14:textId="77777777" w:rsidR="007A57F4" w:rsidRPr="00625A92" w:rsidRDefault="007A57F4" w:rsidP="00125618">
            <w:pPr>
              <w:keepNext/>
              <w:jc w:val="left"/>
              <w:rPr>
                <w:rFonts w:ascii="Arial Narrow" w:eastAsiaTheme="majorEastAsia" w:hAnsi="Arial Narrow" w:cs="Times New Roman"/>
                <w:bCs/>
                <w:sz w:val="20"/>
              </w:rPr>
            </w:pPr>
          </w:p>
        </w:tc>
        <w:tc>
          <w:tcPr>
            <w:tcW w:w="2345" w:type="dxa"/>
          </w:tcPr>
          <w:p w14:paraId="58548FFA"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Extrapolation to 10 years</w:t>
            </w:r>
          </w:p>
        </w:tc>
        <w:tc>
          <w:tcPr>
            <w:tcW w:w="1961" w:type="dxa"/>
          </w:tcPr>
          <w:p w14:paraId="3F244E73"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Parametric </w:t>
            </w:r>
            <w:proofErr w:type="spellStart"/>
            <w:r w:rsidRPr="00625A92">
              <w:rPr>
                <w:rFonts w:ascii="Arial Narrow" w:eastAsiaTheme="majorEastAsia" w:hAnsi="Arial Narrow" w:cs="Times New Roman"/>
                <w:bCs/>
                <w:sz w:val="20"/>
              </w:rPr>
              <w:t>function</w:t>
            </w:r>
            <w:r w:rsidRPr="00625A92">
              <w:rPr>
                <w:rFonts w:ascii="Arial Narrow" w:eastAsiaTheme="majorEastAsia" w:hAnsi="Arial Narrow" w:cs="Times New Roman"/>
                <w:bCs/>
                <w:sz w:val="20"/>
                <w:vertAlign w:val="superscript"/>
              </w:rPr>
              <w:t>a</w:t>
            </w:r>
            <w:proofErr w:type="spellEnd"/>
            <w:r w:rsidRPr="00625A92">
              <w:rPr>
                <w:rFonts w:ascii="Arial Narrow" w:eastAsiaTheme="majorEastAsia" w:hAnsi="Arial Narrow" w:cs="Times New Roman"/>
                <w:bCs/>
                <w:sz w:val="20"/>
              </w:rPr>
              <w:t xml:space="preserve"> of best fit based on AIC, </w:t>
            </w:r>
            <w:proofErr w:type="gramStart"/>
            <w:r w:rsidRPr="00625A92">
              <w:rPr>
                <w:rFonts w:ascii="Arial Narrow" w:eastAsiaTheme="majorEastAsia" w:hAnsi="Arial Narrow" w:cs="Times New Roman"/>
                <w:bCs/>
                <w:sz w:val="20"/>
              </w:rPr>
              <w:t>BIC</w:t>
            </w:r>
            <w:proofErr w:type="gramEnd"/>
            <w:r w:rsidRPr="00625A92">
              <w:rPr>
                <w:rFonts w:ascii="Arial Narrow" w:eastAsiaTheme="majorEastAsia" w:hAnsi="Arial Narrow" w:cs="Times New Roman"/>
                <w:bCs/>
                <w:sz w:val="20"/>
              </w:rPr>
              <w:t xml:space="preserve"> and visual inspection</w:t>
            </w:r>
          </w:p>
        </w:tc>
        <w:tc>
          <w:tcPr>
            <w:tcW w:w="1538" w:type="dxa"/>
          </w:tcPr>
          <w:p w14:paraId="6EE26971"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Log-logistic</w:t>
            </w:r>
          </w:p>
        </w:tc>
        <w:tc>
          <w:tcPr>
            <w:tcW w:w="1538" w:type="dxa"/>
          </w:tcPr>
          <w:p w14:paraId="7EF401D1" w14:textId="1A92D0B3"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 xml:space="preserve">As per </w:t>
            </w:r>
            <w:r w:rsidR="0001544A" w:rsidRPr="00A25DCB">
              <w:rPr>
                <w:rFonts w:ascii="Arial Narrow" w:eastAsiaTheme="majorEastAsia" w:hAnsi="Arial Narrow" w:cs="Times New Roman"/>
                <w:bCs/>
                <w:iCs/>
                <w:sz w:val="20"/>
              </w:rPr>
              <w:t>base-case</w:t>
            </w:r>
          </w:p>
        </w:tc>
      </w:tr>
      <w:tr w:rsidR="007A57F4" w:rsidRPr="00625A92" w14:paraId="4A79614C" w14:textId="77777777" w:rsidTr="003A346E">
        <w:tc>
          <w:tcPr>
            <w:tcW w:w="1635" w:type="dxa"/>
          </w:tcPr>
          <w:p w14:paraId="20448FC1"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Post-progression</w:t>
            </w:r>
          </w:p>
        </w:tc>
        <w:tc>
          <w:tcPr>
            <w:tcW w:w="2345" w:type="dxa"/>
          </w:tcPr>
          <w:p w14:paraId="014BA0D4"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Area between OS curve and PFS curve</w:t>
            </w:r>
          </w:p>
        </w:tc>
        <w:tc>
          <w:tcPr>
            <w:tcW w:w="1961" w:type="dxa"/>
          </w:tcPr>
          <w:p w14:paraId="4D65A3F4"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Calculated</w:t>
            </w:r>
          </w:p>
        </w:tc>
        <w:tc>
          <w:tcPr>
            <w:tcW w:w="1538" w:type="dxa"/>
          </w:tcPr>
          <w:p w14:paraId="4F4FB7A9"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NA</w:t>
            </w:r>
          </w:p>
        </w:tc>
        <w:tc>
          <w:tcPr>
            <w:tcW w:w="1538" w:type="dxa"/>
          </w:tcPr>
          <w:p w14:paraId="4045A28A" w14:textId="777777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NA</w:t>
            </w:r>
          </w:p>
        </w:tc>
      </w:tr>
      <w:tr w:rsidR="007A57F4" w:rsidRPr="00625A92" w14:paraId="135F8058" w14:textId="77777777" w:rsidTr="003A346E">
        <w:tc>
          <w:tcPr>
            <w:tcW w:w="1635" w:type="dxa"/>
            <w:vMerge w:val="restart"/>
          </w:tcPr>
          <w:p w14:paraId="2D96804B"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Dead</w:t>
            </w:r>
          </w:p>
        </w:tc>
        <w:tc>
          <w:tcPr>
            <w:tcW w:w="2345" w:type="dxa"/>
          </w:tcPr>
          <w:p w14:paraId="01C4955E"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Observed OS curve for 15 months</w:t>
            </w:r>
          </w:p>
        </w:tc>
        <w:tc>
          <w:tcPr>
            <w:tcW w:w="1961" w:type="dxa"/>
          </w:tcPr>
          <w:p w14:paraId="6DA2DBA3"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EV-301</w:t>
            </w:r>
          </w:p>
        </w:tc>
        <w:tc>
          <w:tcPr>
            <w:tcW w:w="1538" w:type="dxa"/>
          </w:tcPr>
          <w:p w14:paraId="1BD0E7AB"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KM curve to 15 months</w:t>
            </w:r>
          </w:p>
        </w:tc>
        <w:tc>
          <w:tcPr>
            <w:tcW w:w="1538" w:type="dxa"/>
          </w:tcPr>
          <w:p w14:paraId="38544172" w14:textId="4BF50DD4"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 xml:space="preserve">As per </w:t>
            </w:r>
            <w:r w:rsidR="0001544A" w:rsidRPr="00A25DCB">
              <w:rPr>
                <w:rFonts w:ascii="Arial Narrow" w:eastAsiaTheme="majorEastAsia" w:hAnsi="Arial Narrow" w:cs="Times New Roman"/>
                <w:bCs/>
                <w:iCs/>
                <w:sz w:val="20"/>
              </w:rPr>
              <w:t>base-case</w:t>
            </w:r>
          </w:p>
        </w:tc>
      </w:tr>
      <w:tr w:rsidR="007A57F4" w:rsidRPr="00625A92" w14:paraId="6D738A33" w14:textId="77777777" w:rsidTr="003A346E">
        <w:tc>
          <w:tcPr>
            <w:tcW w:w="1635" w:type="dxa"/>
            <w:vMerge/>
          </w:tcPr>
          <w:p w14:paraId="51CB5FD9" w14:textId="77777777" w:rsidR="007A57F4" w:rsidRPr="00625A92" w:rsidRDefault="007A57F4" w:rsidP="00125618">
            <w:pPr>
              <w:keepNext/>
              <w:jc w:val="left"/>
              <w:rPr>
                <w:rFonts w:ascii="Arial Narrow" w:eastAsiaTheme="majorEastAsia" w:hAnsi="Arial Narrow" w:cs="Times New Roman"/>
                <w:bCs/>
                <w:sz w:val="20"/>
              </w:rPr>
            </w:pPr>
          </w:p>
        </w:tc>
        <w:tc>
          <w:tcPr>
            <w:tcW w:w="2345" w:type="dxa"/>
          </w:tcPr>
          <w:p w14:paraId="0228E44C"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Extrapolation to 10 years</w:t>
            </w:r>
          </w:p>
        </w:tc>
        <w:tc>
          <w:tcPr>
            <w:tcW w:w="1961" w:type="dxa"/>
          </w:tcPr>
          <w:p w14:paraId="75CAF0A0"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Parametric </w:t>
            </w:r>
            <w:proofErr w:type="spellStart"/>
            <w:r w:rsidRPr="00625A92">
              <w:rPr>
                <w:rFonts w:ascii="Arial Narrow" w:eastAsiaTheme="majorEastAsia" w:hAnsi="Arial Narrow" w:cs="Times New Roman"/>
                <w:bCs/>
                <w:sz w:val="20"/>
              </w:rPr>
              <w:t>function</w:t>
            </w:r>
            <w:r w:rsidRPr="00625A92">
              <w:rPr>
                <w:rFonts w:ascii="Arial Narrow" w:eastAsiaTheme="majorEastAsia" w:hAnsi="Arial Narrow" w:cs="Times New Roman"/>
                <w:bCs/>
                <w:sz w:val="20"/>
                <w:vertAlign w:val="superscript"/>
              </w:rPr>
              <w:t>a</w:t>
            </w:r>
            <w:proofErr w:type="spellEnd"/>
            <w:r w:rsidRPr="00625A92">
              <w:rPr>
                <w:rFonts w:ascii="Arial Narrow" w:eastAsiaTheme="majorEastAsia" w:hAnsi="Arial Narrow" w:cs="Times New Roman"/>
                <w:bCs/>
                <w:sz w:val="20"/>
              </w:rPr>
              <w:t xml:space="preserve"> fit to EV-301, selected by comparing with longer follow up from EV-201 </w:t>
            </w:r>
          </w:p>
        </w:tc>
        <w:tc>
          <w:tcPr>
            <w:tcW w:w="1538" w:type="dxa"/>
            <w:shd w:val="clear" w:color="auto" w:fill="D9D9D9" w:themeFill="background1" w:themeFillShade="D9"/>
          </w:tcPr>
          <w:p w14:paraId="057E331A"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Exponential</w:t>
            </w:r>
          </w:p>
        </w:tc>
        <w:tc>
          <w:tcPr>
            <w:tcW w:w="1538" w:type="dxa"/>
            <w:shd w:val="clear" w:color="auto" w:fill="D9D9D9" w:themeFill="background1" w:themeFillShade="D9"/>
          </w:tcPr>
          <w:p w14:paraId="557B1222" w14:textId="777777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Weibull</w:t>
            </w:r>
          </w:p>
        </w:tc>
      </w:tr>
      <w:tr w:rsidR="007A57F4" w:rsidRPr="00625A92" w14:paraId="31402D6F" w14:textId="77777777" w:rsidTr="003A346E">
        <w:tc>
          <w:tcPr>
            <w:tcW w:w="1635" w:type="dxa"/>
            <w:vMerge w:val="restart"/>
          </w:tcPr>
          <w:p w14:paraId="0489BD4B"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Time on </w:t>
            </w:r>
            <w:proofErr w:type="spellStart"/>
            <w:r w:rsidRPr="00625A92">
              <w:rPr>
                <w:rFonts w:ascii="Arial Narrow" w:eastAsiaTheme="majorEastAsia" w:hAnsi="Arial Narrow" w:cs="Times New Roman"/>
                <w:bCs/>
                <w:sz w:val="20"/>
              </w:rPr>
              <w:t>treatment</w:t>
            </w:r>
            <w:r w:rsidRPr="00625A92">
              <w:rPr>
                <w:rFonts w:ascii="Arial Narrow" w:eastAsiaTheme="majorEastAsia" w:hAnsi="Arial Narrow" w:cs="Times New Roman"/>
                <w:bCs/>
                <w:sz w:val="20"/>
                <w:vertAlign w:val="superscript"/>
              </w:rPr>
              <w:t>b</w:t>
            </w:r>
            <w:proofErr w:type="spellEnd"/>
          </w:p>
        </w:tc>
        <w:tc>
          <w:tcPr>
            <w:tcW w:w="2345" w:type="dxa"/>
          </w:tcPr>
          <w:p w14:paraId="332F95FA"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Observed time on treatment curve for 15 months</w:t>
            </w:r>
          </w:p>
        </w:tc>
        <w:tc>
          <w:tcPr>
            <w:tcW w:w="1961" w:type="dxa"/>
          </w:tcPr>
          <w:p w14:paraId="43996658"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EV-301</w:t>
            </w:r>
          </w:p>
        </w:tc>
        <w:tc>
          <w:tcPr>
            <w:tcW w:w="1538" w:type="dxa"/>
          </w:tcPr>
          <w:p w14:paraId="6EF82598"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KM curve to 15 months</w:t>
            </w:r>
          </w:p>
        </w:tc>
        <w:tc>
          <w:tcPr>
            <w:tcW w:w="1538" w:type="dxa"/>
          </w:tcPr>
          <w:p w14:paraId="40C71A13" w14:textId="5DFEF9E3"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 xml:space="preserve">As per </w:t>
            </w:r>
            <w:r w:rsidR="0001544A" w:rsidRPr="00A25DCB">
              <w:rPr>
                <w:rFonts w:ascii="Arial Narrow" w:eastAsiaTheme="majorEastAsia" w:hAnsi="Arial Narrow" w:cs="Times New Roman"/>
                <w:bCs/>
                <w:iCs/>
                <w:sz w:val="20"/>
              </w:rPr>
              <w:t>base-case</w:t>
            </w:r>
          </w:p>
        </w:tc>
      </w:tr>
      <w:tr w:rsidR="007A57F4" w:rsidRPr="00625A92" w14:paraId="5D0E10DE" w14:textId="77777777" w:rsidTr="003A346E">
        <w:tc>
          <w:tcPr>
            <w:tcW w:w="1635" w:type="dxa"/>
            <w:vMerge/>
          </w:tcPr>
          <w:p w14:paraId="061BCFB3" w14:textId="77777777" w:rsidR="007A57F4" w:rsidRPr="00625A92" w:rsidRDefault="007A57F4" w:rsidP="00125618">
            <w:pPr>
              <w:keepNext/>
              <w:jc w:val="left"/>
              <w:rPr>
                <w:rFonts w:ascii="Arial Narrow" w:eastAsiaTheme="majorEastAsia" w:hAnsi="Arial Narrow" w:cs="Times New Roman"/>
                <w:bCs/>
                <w:sz w:val="20"/>
              </w:rPr>
            </w:pPr>
          </w:p>
        </w:tc>
        <w:tc>
          <w:tcPr>
            <w:tcW w:w="2345" w:type="dxa"/>
          </w:tcPr>
          <w:p w14:paraId="73FBA75E"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Extrapolation to 10 years</w:t>
            </w:r>
          </w:p>
        </w:tc>
        <w:tc>
          <w:tcPr>
            <w:tcW w:w="1961" w:type="dxa"/>
          </w:tcPr>
          <w:p w14:paraId="1850BAD6"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Parametric </w:t>
            </w:r>
            <w:proofErr w:type="spellStart"/>
            <w:r w:rsidRPr="00625A92">
              <w:rPr>
                <w:rFonts w:ascii="Arial Narrow" w:eastAsiaTheme="majorEastAsia" w:hAnsi="Arial Narrow" w:cs="Times New Roman"/>
                <w:bCs/>
                <w:sz w:val="20"/>
              </w:rPr>
              <w:t>function</w:t>
            </w:r>
            <w:r w:rsidRPr="00625A92">
              <w:rPr>
                <w:rFonts w:ascii="Arial Narrow" w:eastAsiaTheme="majorEastAsia" w:hAnsi="Arial Narrow" w:cs="Times New Roman"/>
                <w:bCs/>
                <w:sz w:val="20"/>
                <w:vertAlign w:val="superscript"/>
              </w:rPr>
              <w:t>a</w:t>
            </w:r>
            <w:proofErr w:type="spellEnd"/>
            <w:r w:rsidRPr="00625A92">
              <w:rPr>
                <w:rFonts w:ascii="Arial Narrow" w:eastAsiaTheme="majorEastAsia" w:hAnsi="Arial Narrow" w:cs="Times New Roman"/>
                <w:bCs/>
                <w:sz w:val="20"/>
              </w:rPr>
              <w:t xml:space="preserve"> of best fit based on AIC, </w:t>
            </w:r>
            <w:proofErr w:type="gramStart"/>
            <w:r w:rsidRPr="00625A92">
              <w:rPr>
                <w:rFonts w:ascii="Arial Narrow" w:eastAsiaTheme="majorEastAsia" w:hAnsi="Arial Narrow" w:cs="Times New Roman"/>
                <w:bCs/>
                <w:sz w:val="20"/>
              </w:rPr>
              <w:t>BIC</w:t>
            </w:r>
            <w:proofErr w:type="gramEnd"/>
            <w:r w:rsidRPr="00625A92">
              <w:rPr>
                <w:rFonts w:ascii="Arial Narrow" w:eastAsiaTheme="majorEastAsia" w:hAnsi="Arial Narrow" w:cs="Times New Roman"/>
                <w:bCs/>
                <w:sz w:val="20"/>
              </w:rPr>
              <w:t xml:space="preserve"> and visual inspection</w:t>
            </w:r>
          </w:p>
        </w:tc>
        <w:tc>
          <w:tcPr>
            <w:tcW w:w="1538" w:type="dxa"/>
          </w:tcPr>
          <w:p w14:paraId="6C1C569E"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Log-normal</w:t>
            </w:r>
          </w:p>
        </w:tc>
        <w:tc>
          <w:tcPr>
            <w:tcW w:w="1538" w:type="dxa"/>
          </w:tcPr>
          <w:p w14:paraId="1633D20E" w14:textId="46B713DB"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 xml:space="preserve">As per </w:t>
            </w:r>
            <w:r w:rsidR="0001544A" w:rsidRPr="00A25DCB">
              <w:rPr>
                <w:rFonts w:ascii="Arial Narrow" w:eastAsiaTheme="majorEastAsia" w:hAnsi="Arial Narrow" w:cs="Times New Roman"/>
                <w:bCs/>
                <w:iCs/>
                <w:sz w:val="20"/>
              </w:rPr>
              <w:t>base-case</w:t>
            </w:r>
          </w:p>
        </w:tc>
      </w:tr>
      <w:tr w:rsidR="007A57F4" w:rsidRPr="00625A92" w14:paraId="662B9A16" w14:textId="77777777" w:rsidTr="003A346E">
        <w:tc>
          <w:tcPr>
            <w:tcW w:w="5941" w:type="dxa"/>
            <w:gridSpan w:val="3"/>
            <w:shd w:val="clear" w:color="auto" w:fill="D9D9D9" w:themeFill="background1" w:themeFillShade="D9"/>
          </w:tcPr>
          <w:p w14:paraId="7FA9EDCF"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
                <w:bCs/>
                <w:sz w:val="20"/>
              </w:rPr>
              <w:t>Chemotherapy</w:t>
            </w:r>
          </w:p>
        </w:tc>
        <w:tc>
          <w:tcPr>
            <w:tcW w:w="1538" w:type="dxa"/>
            <w:shd w:val="clear" w:color="auto" w:fill="D9D9D9" w:themeFill="background1" w:themeFillShade="D9"/>
          </w:tcPr>
          <w:p w14:paraId="3515243F" w14:textId="77777777" w:rsidR="007A57F4" w:rsidRPr="00625A92" w:rsidRDefault="007A57F4" w:rsidP="00125618">
            <w:pPr>
              <w:keepNext/>
              <w:jc w:val="left"/>
              <w:rPr>
                <w:rFonts w:ascii="Arial Narrow" w:eastAsiaTheme="majorEastAsia" w:hAnsi="Arial Narrow" w:cs="Times New Roman"/>
                <w:b/>
                <w:bCs/>
                <w:sz w:val="20"/>
              </w:rPr>
            </w:pPr>
          </w:p>
        </w:tc>
        <w:tc>
          <w:tcPr>
            <w:tcW w:w="1538" w:type="dxa"/>
            <w:shd w:val="clear" w:color="auto" w:fill="D9D9D9" w:themeFill="background1" w:themeFillShade="D9"/>
          </w:tcPr>
          <w:p w14:paraId="071C5D15" w14:textId="77777777" w:rsidR="007A57F4" w:rsidRPr="00A25DCB" w:rsidRDefault="007A57F4" w:rsidP="00125618">
            <w:pPr>
              <w:keepNext/>
              <w:jc w:val="left"/>
              <w:rPr>
                <w:rFonts w:ascii="Arial Narrow" w:eastAsiaTheme="majorEastAsia" w:hAnsi="Arial Narrow" w:cs="Times New Roman"/>
                <w:b/>
                <w:bCs/>
                <w:iCs/>
                <w:sz w:val="20"/>
              </w:rPr>
            </w:pPr>
          </w:p>
        </w:tc>
      </w:tr>
      <w:tr w:rsidR="007A57F4" w:rsidRPr="00625A92" w14:paraId="337D87DA" w14:textId="77777777" w:rsidTr="003A346E">
        <w:tc>
          <w:tcPr>
            <w:tcW w:w="1635" w:type="dxa"/>
          </w:tcPr>
          <w:p w14:paraId="31C32552"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Progression free</w:t>
            </w:r>
          </w:p>
        </w:tc>
        <w:tc>
          <w:tcPr>
            <w:tcW w:w="2345" w:type="dxa"/>
          </w:tcPr>
          <w:p w14:paraId="267B80C6" w14:textId="409066E4"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Modelled PFS curve to 10 years based on HR of </w:t>
            </w:r>
            <w:proofErr w:type="spellStart"/>
            <w:r w:rsidRPr="00625A92">
              <w:rPr>
                <w:rFonts w:ascii="Arial Narrow" w:eastAsiaTheme="majorEastAsia" w:hAnsi="Arial Narrow" w:cs="Times New Roman"/>
                <w:bCs/>
                <w:sz w:val="20"/>
              </w:rPr>
              <w:t>enfortumab</w:t>
            </w:r>
            <w:proofErr w:type="spellEnd"/>
            <w:r w:rsidRPr="00625A92">
              <w:rPr>
                <w:rFonts w:ascii="Arial Narrow" w:eastAsiaTheme="majorEastAsia" w:hAnsi="Arial Narrow" w:cs="Times New Roman"/>
                <w:bCs/>
                <w:sz w:val="20"/>
              </w:rPr>
              <w:t xml:space="preserve"> </w:t>
            </w:r>
            <w:proofErr w:type="spellStart"/>
            <w:r w:rsidRPr="00625A92">
              <w:rPr>
                <w:rFonts w:ascii="Arial Narrow" w:eastAsiaTheme="majorEastAsia" w:hAnsi="Arial Narrow" w:cs="Times New Roman"/>
                <w:bCs/>
                <w:sz w:val="20"/>
              </w:rPr>
              <w:t>vedotin</w:t>
            </w:r>
            <w:proofErr w:type="spellEnd"/>
            <w:r w:rsidRPr="00625A92">
              <w:rPr>
                <w:rFonts w:ascii="Arial Narrow" w:eastAsiaTheme="majorEastAsia" w:hAnsi="Arial Narrow" w:cs="Times New Roman"/>
                <w:bCs/>
                <w:sz w:val="20"/>
              </w:rPr>
              <w:t xml:space="preserve"> vs docetaxel and </w:t>
            </w:r>
            <w:proofErr w:type="spellStart"/>
            <w:r w:rsidRPr="00625A92">
              <w:rPr>
                <w:rFonts w:ascii="Arial Narrow" w:eastAsiaTheme="majorEastAsia" w:hAnsi="Arial Narrow" w:cs="Times New Roman"/>
                <w:bCs/>
                <w:sz w:val="20"/>
              </w:rPr>
              <w:t>paclitaxe</w:t>
            </w:r>
            <w:r w:rsidR="00D30A88">
              <w:rPr>
                <w:rFonts w:ascii="Arial Narrow" w:eastAsiaTheme="majorEastAsia" w:hAnsi="Arial Narrow" w:cs="Times New Roman"/>
                <w:bCs/>
                <w:sz w:val="20"/>
              </w:rPr>
              <w:t>l</w:t>
            </w:r>
            <w:r w:rsidRPr="00625A92">
              <w:rPr>
                <w:rFonts w:ascii="Arial Narrow" w:eastAsiaTheme="majorEastAsia" w:hAnsi="Arial Narrow" w:cs="Times New Roman"/>
                <w:bCs/>
                <w:sz w:val="20"/>
                <w:vertAlign w:val="superscript"/>
              </w:rPr>
              <w:t>c</w:t>
            </w:r>
            <w:proofErr w:type="spellEnd"/>
            <w:r w:rsidRPr="00625A92">
              <w:rPr>
                <w:rFonts w:ascii="Arial Narrow" w:eastAsiaTheme="majorEastAsia" w:hAnsi="Arial Narrow" w:cs="Times New Roman"/>
                <w:bCs/>
                <w:sz w:val="20"/>
              </w:rPr>
              <w:t xml:space="preserve"> </w:t>
            </w:r>
          </w:p>
        </w:tc>
        <w:tc>
          <w:tcPr>
            <w:tcW w:w="1961" w:type="dxa"/>
          </w:tcPr>
          <w:p w14:paraId="6B07F86E"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EV-301 subgroup analysis</w:t>
            </w:r>
          </w:p>
        </w:tc>
        <w:tc>
          <w:tcPr>
            <w:tcW w:w="1538" w:type="dxa"/>
            <w:shd w:val="clear" w:color="auto" w:fill="D9D9D9" w:themeFill="background1" w:themeFillShade="D9"/>
          </w:tcPr>
          <w:p w14:paraId="2BD27F43"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HR = 0.543</w:t>
            </w:r>
          </w:p>
        </w:tc>
        <w:tc>
          <w:tcPr>
            <w:tcW w:w="1538" w:type="dxa"/>
            <w:shd w:val="clear" w:color="auto" w:fill="D9D9D9" w:themeFill="background1" w:themeFillShade="D9"/>
          </w:tcPr>
          <w:p w14:paraId="4568E503" w14:textId="777777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HR = 0.615</w:t>
            </w:r>
          </w:p>
          <w:p w14:paraId="64267C5A" w14:textId="777777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(based on ITT)</w:t>
            </w:r>
          </w:p>
        </w:tc>
      </w:tr>
      <w:tr w:rsidR="007A57F4" w:rsidRPr="00625A92" w14:paraId="61F814D2" w14:textId="77777777" w:rsidTr="003A346E">
        <w:tc>
          <w:tcPr>
            <w:tcW w:w="1635" w:type="dxa"/>
          </w:tcPr>
          <w:p w14:paraId="71D17309"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Post-progression</w:t>
            </w:r>
          </w:p>
        </w:tc>
        <w:tc>
          <w:tcPr>
            <w:tcW w:w="2345" w:type="dxa"/>
          </w:tcPr>
          <w:p w14:paraId="0B370CFE"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Area between OS curve and PFS curve</w:t>
            </w:r>
          </w:p>
        </w:tc>
        <w:tc>
          <w:tcPr>
            <w:tcW w:w="1961" w:type="dxa"/>
          </w:tcPr>
          <w:p w14:paraId="59FA3554"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Calculated</w:t>
            </w:r>
          </w:p>
        </w:tc>
        <w:tc>
          <w:tcPr>
            <w:tcW w:w="1538" w:type="dxa"/>
          </w:tcPr>
          <w:p w14:paraId="6EDCB52C"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NA</w:t>
            </w:r>
          </w:p>
        </w:tc>
        <w:tc>
          <w:tcPr>
            <w:tcW w:w="1538" w:type="dxa"/>
          </w:tcPr>
          <w:p w14:paraId="241F5B23" w14:textId="777777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NA</w:t>
            </w:r>
          </w:p>
        </w:tc>
      </w:tr>
      <w:tr w:rsidR="007A57F4" w:rsidRPr="00625A92" w14:paraId="5FB49E7F" w14:textId="77777777" w:rsidTr="003A346E">
        <w:tc>
          <w:tcPr>
            <w:tcW w:w="1635" w:type="dxa"/>
          </w:tcPr>
          <w:p w14:paraId="0543A498"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Dead</w:t>
            </w:r>
          </w:p>
        </w:tc>
        <w:tc>
          <w:tcPr>
            <w:tcW w:w="2345" w:type="dxa"/>
          </w:tcPr>
          <w:p w14:paraId="0F0E08B4" w14:textId="4C35D4C4"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Modelled OS curve to 10 years based on HR of </w:t>
            </w:r>
            <w:proofErr w:type="spellStart"/>
            <w:r w:rsidRPr="00625A92">
              <w:rPr>
                <w:rFonts w:ascii="Arial Narrow" w:eastAsiaTheme="majorEastAsia" w:hAnsi="Arial Narrow" w:cs="Times New Roman"/>
                <w:bCs/>
                <w:sz w:val="20"/>
              </w:rPr>
              <w:t>enfortumab</w:t>
            </w:r>
            <w:proofErr w:type="spellEnd"/>
            <w:r w:rsidRPr="00625A92">
              <w:rPr>
                <w:rFonts w:ascii="Arial Narrow" w:eastAsiaTheme="majorEastAsia" w:hAnsi="Arial Narrow" w:cs="Times New Roman"/>
                <w:bCs/>
                <w:sz w:val="20"/>
              </w:rPr>
              <w:t xml:space="preserve"> </w:t>
            </w:r>
            <w:proofErr w:type="spellStart"/>
            <w:r w:rsidRPr="00625A92">
              <w:rPr>
                <w:rFonts w:ascii="Arial Narrow" w:eastAsiaTheme="majorEastAsia" w:hAnsi="Arial Narrow" w:cs="Times New Roman"/>
                <w:bCs/>
                <w:sz w:val="20"/>
              </w:rPr>
              <w:t>vedotin</w:t>
            </w:r>
            <w:proofErr w:type="spellEnd"/>
            <w:r w:rsidRPr="00625A92">
              <w:rPr>
                <w:rFonts w:ascii="Arial Narrow" w:eastAsiaTheme="majorEastAsia" w:hAnsi="Arial Narrow" w:cs="Times New Roman"/>
                <w:bCs/>
                <w:sz w:val="20"/>
              </w:rPr>
              <w:t xml:space="preserve"> vs docetaxel and </w:t>
            </w:r>
            <w:proofErr w:type="spellStart"/>
            <w:r w:rsidRPr="00625A92">
              <w:rPr>
                <w:rFonts w:ascii="Arial Narrow" w:eastAsiaTheme="majorEastAsia" w:hAnsi="Arial Narrow" w:cs="Times New Roman"/>
                <w:bCs/>
                <w:sz w:val="20"/>
              </w:rPr>
              <w:t>paclitaxe</w:t>
            </w:r>
            <w:r w:rsidR="000A444B">
              <w:rPr>
                <w:rFonts w:ascii="Arial Narrow" w:eastAsiaTheme="majorEastAsia" w:hAnsi="Arial Narrow" w:cs="Times New Roman"/>
                <w:bCs/>
                <w:sz w:val="20"/>
              </w:rPr>
              <w:t>l</w:t>
            </w:r>
            <w:r w:rsidRPr="00625A92">
              <w:rPr>
                <w:rFonts w:ascii="Arial Narrow" w:eastAsiaTheme="majorEastAsia" w:hAnsi="Arial Narrow" w:cs="Times New Roman"/>
                <w:bCs/>
                <w:sz w:val="20"/>
                <w:vertAlign w:val="superscript"/>
              </w:rPr>
              <w:t>c</w:t>
            </w:r>
            <w:proofErr w:type="spellEnd"/>
          </w:p>
        </w:tc>
        <w:tc>
          <w:tcPr>
            <w:tcW w:w="1961" w:type="dxa"/>
          </w:tcPr>
          <w:p w14:paraId="28709EAF"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EV-301 subgroup analysis</w:t>
            </w:r>
          </w:p>
        </w:tc>
        <w:tc>
          <w:tcPr>
            <w:tcW w:w="1538" w:type="dxa"/>
            <w:shd w:val="clear" w:color="auto" w:fill="D9D9D9" w:themeFill="background1" w:themeFillShade="D9"/>
          </w:tcPr>
          <w:p w14:paraId="03846962"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HR = 0.649</w:t>
            </w:r>
          </w:p>
        </w:tc>
        <w:tc>
          <w:tcPr>
            <w:tcW w:w="1538" w:type="dxa"/>
            <w:shd w:val="clear" w:color="auto" w:fill="D9D9D9" w:themeFill="background1" w:themeFillShade="D9"/>
          </w:tcPr>
          <w:p w14:paraId="09CB84DC" w14:textId="777777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HR = 0.702 (based on ITT)</w:t>
            </w:r>
          </w:p>
        </w:tc>
      </w:tr>
      <w:tr w:rsidR="007A57F4" w:rsidRPr="00625A92" w14:paraId="18FE775B" w14:textId="77777777" w:rsidTr="003A346E">
        <w:tc>
          <w:tcPr>
            <w:tcW w:w="1635" w:type="dxa"/>
            <w:vMerge w:val="restart"/>
          </w:tcPr>
          <w:p w14:paraId="2F315F48"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Time on </w:t>
            </w:r>
            <w:proofErr w:type="spellStart"/>
            <w:r w:rsidRPr="00625A92">
              <w:rPr>
                <w:rFonts w:ascii="Arial Narrow" w:eastAsiaTheme="majorEastAsia" w:hAnsi="Arial Narrow" w:cs="Times New Roman"/>
                <w:bCs/>
                <w:sz w:val="20"/>
              </w:rPr>
              <w:t>treatment</w:t>
            </w:r>
            <w:r w:rsidRPr="00625A92">
              <w:rPr>
                <w:rFonts w:ascii="Arial Narrow" w:eastAsiaTheme="majorEastAsia" w:hAnsi="Arial Narrow" w:cs="Times New Roman"/>
                <w:bCs/>
                <w:sz w:val="20"/>
                <w:vertAlign w:val="superscript"/>
              </w:rPr>
              <w:t>b</w:t>
            </w:r>
            <w:proofErr w:type="spellEnd"/>
          </w:p>
        </w:tc>
        <w:tc>
          <w:tcPr>
            <w:tcW w:w="2345" w:type="dxa"/>
          </w:tcPr>
          <w:p w14:paraId="14210B46"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Observed time on treatment curve for 15 months for docetaxel and paclitaxel subgroup</w:t>
            </w:r>
          </w:p>
        </w:tc>
        <w:tc>
          <w:tcPr>
            <w:tcW w:w="1961" w:type="dxa"/>
          </w:tcPr>
          <w:p w14:paraId="52BA4629"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EV-301</w:t>
            </w:r>
          </w:p>
        </w:tc>
        <w:tc>
          <w:tcPr>
            <w:tcW w:w="1538" w:type="dxa"/>
            <w:shd w:val="clear" w:color="auto" w:fill="D9D9D9" w:themeFill="background1" w:themeFillShade="D9"/>
          </w:tcPr>
          <w:p w14:paraId="4F22628B"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KM curve to 15 months</w:t>
            </w:r>
          </w:p>
        </w:tc>
        <w:tc>
          <w:tcPr>
            <w:tcW w:w="1538" w:type="dxa"/>
            <w:shd w:val="clear" w:color="auto" w:fill="D9D9D9" w:themeFill="background1" w:themeFillShade="D9"/>
          </w:tcPr>
          <w:p w14:paraId="752B4B8E" w14:textId="777777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Altered to include time on treatment for vinflunine (based on ITT)</w:t>
            </w:r>
          </w:p>
        </w:tc>
      </w:tr>
      <w:tr w:rsidR="007A57F4" w:rsidRPr="00625A92" w14:paraId="26D7F510" w14:textId="77777777" w:rsidTr="003A346E">
        <w:tc>
          <w:tcPr>
            <w:tcW w:w="1635" w:type="dxa"/>
            <w:vMerge/>
          </w:tcPr>
          <w:p w14:paraId="75359FC5" w14:textId="77777777" w:rsidR="007A57F4" w:rsidRPr="00625A92" w:rsidRDefault="007A57F4" w:rsidP="00125618">
            <w:pPr>
              <w:keepNext/>
              <w:jc w:val="left"/>
              <w:rPr>
                <w:rFonts w:ascii="Arial Narrow" w:eastAsiaTheme="majorEastAsia" w:hAnsi="Arial Narrow" w:cs="Times New Roman"/>
                <w:bCs/>
                <w:sz w:val="20"/>
              </w:rPr>
            </w:pPr>
          </w:p>
        </w:tc>
        <w:tc>
          <w:tcPr>
            <w:tcW w:w="2345" w:type="dxa"/>
          </w:tcPr>
          <w:p w14:paraId="253F2DDF"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Extrapolation to 10 years</w:t>
            </w:r>
          </w:p>
        </w:tc>
        <w:tc>
          <w:tcPr>
            <w:tcW w:w="1961" w:type="dxa"/>
          </w:tcPr>
          <w:p w14:paraId="03CF8DAC"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 xml:space="preserve">Parametric </w:t>
            </w:r>
            <w:proofErr w:type="spellStart"/>
            <w:r w:rsidRPr="00625A92">
              <w:rPr>
                <w:rFonts w:ascii="Arial Narrow" w:eastAsiaTheme="majorEastAsia" w:hAnsi="Arial Narrow" w:cs="Times New Roman"/>
                <w:bCs/>
                <w:sz w:val="20"/>
              </w:rPr>
              <w:t>function</w:t>
            </w:r>
            <w:r w:rsidRPr="00625A92">
              <w:rPr>
                <w:rFonts w:ascii="Arial Narrow" w:eastAsiaTheme="majorEastAsia" w:hAnsi="Arial Narrow" w:cs="Times New Roman"/>
                <w:bCs/>
                <w:sz w:val="20"/>
                <w:vertAlign w:val="superscript"/>
              </w:rPr>
              <w:t>a</w:t>
            </w:r>
            <w:proofErr w:type="spellEnd"/>
            <w:r w:rsidRPr="00625A92">
              <w:rPr>
                <w:rFonts w:ascii="Arial Narrow" w:eastAsiaTheme="majorEastAsia" w:hAnsi="Arial Narrow" w:cs="Times New Roman"/>
                <w:bCs/>
                <w:sz w:val="20"/>
              </w:rPr>
              <w:t xml:space="preserve"> of best fit based on AIC, </w:t>
            </w:r>
            <w:proofErr w:type="gramStart"/>
            <w:r w:rsidRPr="00625A92">
              <w:rPr>
                <w:rFonts w:ascii="Arial Narrow" w:eastAsiaTheme="majorEastAsia" w:hAnsi="Arial Narrow" w:cs="Times New Roman"/>
                <w:bCs/>
                <w:sz w:val="20"/>
              </w:rPr>
              <w:t>BIC</w:t>
            </w:r>
            <w:proofErr w:type="gramEnd"/>
            <w:r w:rsidRPr="00625A92">
              <w:rPr>
                <w:rFonts w:ascii="Arial Narrow" w:eastAsiaTheme="majorEastAsia" w:hAnsi="Arial Narrow" w:cs="Times New Roman"/>
                <w:bCs/>
                <w:sz w:val="20"/>
              </w:rPr>
              <w:t xml:space="preserve"> and visual inspection</w:t>
            </w:r>
          </w:p>
        </w:tc>
        <w:tc>
          <w:tcPr>
            <w:tcW w:w="1538" w:type="dxa"/>
          </w:tcPr>
          <w:p w14:paraId="4C7AA1CD" w14:textId="77777777" w:rsidR="007A57F4" w:rsidRPr="00625A92" w:rsidRDefault="007A57F4" w:rsidP="00125618">
            <w:pPr>
              <w:keepNext/>
              <w:jc w:val="left"/>
              <w:rPr>
                <w:rFonts w:ascii="Arial Narrow" w:eastAsiaTheme="majorEastAsia" w:hAnsi="Arial Narrow" w:cs="Times New Roman"/>
                <w:bCs/>
                <w:sz w:val="20"/>
              </w:rPr>
            </w:pPr>
            <w:r w:rsidRPr="00625A92">
              <w:rPr>
                <w:rFonts w:ascii="Arial Narrow" w:eastAsiaTheme="majorEastAsia" w:hAnsi="Arial Narrow" w:cs="Times New Roman"/>
                <w:bCs/>
                <w:sz w:val="20"/>
              </w:rPr>
              <w:t>Log-normal</w:t>
            </w:r>
          </w:p>
        </w:tc>
        <w:tc>
          <w:tcPr>
            <w:tcW w:w="1538" w:type="dxa"/>
          </w:tcPr>
          <w:p w14:paraId="179E16A8" w14:textId="1CEB8F77" w:rsidR="007A57F4" w:rsidRPr="00A25DCB" w:rsidRDefault="007A57F4" w:rsidP="00125618">
            <w:pPr>
              <w:keepNext/>
              <w:jc w:val="left"/>
              <w:rPr>
                <w:rFonts w:ascii="Arial Narrow" w:eastAsiaTheme="majorEastAsia" w:hAnsi="Arial Narrow" w:cs="Times New Roman"/>
                <w:bCs/>
                <w:iCs/>
                <w:sz w:val="20"/>
              </w:rPr>
            </w:pPr>
            <w:r w:rsidRPr="00A25DCB">
              <w:rPr>
                <w:rFonts w:ascii="Arial Narrow" w:eastAsiaTheme="majorEastAsia" w:hAnsi="Arial Narrow" w:cs="Times New Roman"/>
                <w:bCs/>
                <w:iCs/>
                <w:sz w:val="20"/>
              </w:rPr>
              <w:t xml:space="preserve">As per </w:t>
            </w:r>
            <w:r w:rsidR="0001544A" w:rsidRPr="00A25DCB">
              <w:rPr>
                <w:rFonts w:ascii="Arial Narrow" w:eastAsiaTheme="majorEastAsia" w:hAnsi="Arial Narrow" w:cs="Times New Roman"/>
                <w:bCs/>
                <w:iCs/>
                <w:sz w:val="20"/>
              </w:rPr>
              <w:t>base-case</w:t>
            </w:r>
          </w:p>
        </w:tc>
      </w:tr>
    </w:tbl>
    <w:p w14:paraId="45E12BF9" w14:textId="285D3984" w:rsidR="007A57F4" w:rsidRPr="00625A92" w:rsidRDefault="007A57F4" w:rsidP="007A57F4">
      <w:pPr>
        <w:pStyle w:val="TableFigureFooter"/>
      </w:pPr>
      <w:r w:rsidRPr="00625A92">
        <w:t>Source: Table constructed during the evaluation based on Section 3.4 of the submission.</w:t>
      </w:r>
    </w:p>
    <w:p w14:paraId="6A60BC08" w14:textId="58D029CD" w:rsidR="007A57F4" w:rsidRPr="00625A92" w:rsidRDefault="007A57F4" w:rsidP="007A57F4">
      <w:pPr>
        <w:pStyle w:val="TableFigureFooter"/>
      </w:pPr>
      <w:proofErr w:type="spellStart"/>
      <w:r w:rsidRPr="00625A92">
        <w:rPr>
          <w:vertAlign w:val="superscript"/>
        </w:rPr>
        <w:t>a</w:t>
      </w:r>
      <w:r w:rsidRPr="00625A92">
        <w:t>Parametric</w:t>
      </w:r>
      <w:proofErr w:type="spellEnd"/>
      <w:r w:rsidRPr="00625A92">
        <w:t xml:space="preserve"> function fit to KM data using R statistical package </w:t>
      </w:r>
      <w:r w:rsidR="007E0442">
        <w:t>“</w:t>
      </w:r>
      <w:proofErr w:type="spellStart"/>
      <w:r w:rsidRPr="00625A92">
        <w:t>flexsurv</w:t>
      </w:r>
      <w:proofErr w:type="spellEnd"/>
      <w:r w:rsidR="007E0442">
        <w:t>”</w:t>
      </w:r>
      <w:r w:rsidRPr="00625A92">
        <w:t>.</w:t>
      </w:r>
    </w:p>
    <w:p w14:paraId="1C1A712D" w14:textId="77777777" w:rsidR="007A57F4" w:rsidRPr="00625A92" w:rsidRDefault="007A57F4" w:rsidP="007A57F4">
      <w:pPr>
        <w:pStyle w:val="TableFigureFooter"/>
      </w:pPr>
      <w:proofErr w:type="spellStart"/>
      <w:r w:rsidRPr="00625A92">
        <w:rPr>
          <w:vertAlign w:val="superscript"/>
        </w:rPr>
        <w:t>b</w:t>
      </w:r>
      <w:r w:rsidRPr="00625A92">
        <w:t>Time</w:t>
      </w:r>
      <w:proofErr w:type="spellEnd"/>
      <w:r w:rsidRPr="00625A92">
        <w:t xml:space="preserve"> on treatment is not a health </w:t>
      </w:r>
      <w:proofErr w:type="gramStart"/>
      <w:r w:rsidRPr="00625A92">
        <w:t>state, and</w:t>
      </w:r>
      <w:proofErr w:type="gramEnd"/>
      <w:r w:rsidRPr="00625A92">
        <w:t xml:space="preserve"> is only used to apply treatment costs.</w:t>
      </w:r>
    </w:p>
    <w:p w14:paraId="3D747EE6" w14:textId="77777777" w:rsidR="007A57F4" w:rsidRPr="00625A92" w:rsidRDefault="007A57F4" w:rsidP="007A57F4">
      <w:pPr>
        <w:pStyle w:val="TableFigureFooter"/>
      </w:pPr>
      <w:proofErr w:type="spellStart"/>
      <w:r w:rsidRPr="00625A92">
        <w:rPr>
          <w:vertAlign w:val="superscript"/>
        </w:rPr>
        <w:t>c</w:t>
      </w:r>
      <w:r w:rsidRPr="00625A92">
        <w:t>Vinflunine</w:t>
      </w:r>
      <w:proofErr w:type="spellEnd"/>
      <w:r w:rsidRPr="00625A92">
        <w:t xml:space="preserve"> patients are removed from the estimate of the HR derived from a comparison of </w:t>
      </w:r>
      <w:proofErr w:type="spellStart"/>
      <w:r w:rsidRPr="00625A92">
        <w:t>enfortumab</w:t>
      </w:r>
      <w:proofErr w:type="spellEnd"/>
      <w:r w:rsidRPr="00625A92">
        <w:t xml:space="preserve"> vs chemotherapy in EV-301</w:t>
      </w:r>
    </w:p>
    <w:p w14:paraId="50C8EE6B" w14:textId="1DC3F927" w:rsidR="006C4CB6" w:rsidRPr="00A25DCB" w:rsidRDefault="006C4CB6" w:rsidP="007A57F4">
      <w:pPr>
        <w:pStyle w:val="TableFigureFooter"/>
        <w:rPr>
          <w:iCs/>
        </w:rPr>
      </w:pPr>
      <w:r w:rsidRPr="00A25DCB">
        <w:rPr>
          <w:iCs/>
        </w:rPr>
        <w:t>AIC = Akaike information criterion; BIC = Bayesian information criterion; HR = hazard ratio; ITT = intention to treat; PFS = progression-free survival; OS = overall survival.</w:t>
      </w:r>
    </w:p>
    <w:p w14:paraId="39351632" w14:textId="41CF825D" w:rsidR="007A57F4" w:rsidRPr="00A25DCB" w:rsidRDefault="007A57F4" w:rsidP="007A57F4">
      <w:pPr>
        <w:pStyle w:val="TableFigureFooter"/>
        <w:rPr>
          <w:iCs/>
        </w:rPr>
      </w:pPr>
      <w:r w:rsidRPr="00A25DCB">
        <w:rPr>
          <w:iCs/>
        </w:rPr>
        <w:t xml:space="preserve">Shaded cells represent values changed in the re-specification of the </w:t>
      </w:r>
      <w:r w:rsidR="0001544A" w:rsidRPr="00A25DCB">
        <w:rPr>
          <w:iCs/>
        </w:rPr>
        <w:t>base-case</w:t>
      </w:r>
      <w:r w:rsidRPr="00A25DCB">
        <w:rPr>
          <w:iCs/>
        </w:rPr>
        <w:t>.</w:t>
      </w:r>
    </w:p>
    <w:p w14:paraId="7BBDDDEC" w14:textId="1489A52C" w:rsidR="007A57F4" w:rsidRPr="00A25DCB" w:rsidRDefault="00EC4FF3" w:rsidP="007A57F4">
      <w:pPr>
        <w:pStyle w:val="3-BodyText"/>
        <w:rPr>
          <w:iCs/>
        </w:rPr>
      </w:pPr>
      <w:r w:rsidRPr="00A25DCB">
        <w:rPr>
          <w:iCs/>
        </w:rPr>
        <w:t xml:space="preserve">Observed Kaplan-Meier OS and PFS data for the chemotherapy arm were not used in the economic model. </w:t>
      </w:r>
      <w:r w:rsidR="007A57F4" w:rsidRPr="00A25DCB">
        <w:rPr>
          <w:iCs/>
        </w:rPr>
        <w:t xml:space="preserve">The PBAC Guidelines indicate </w:t>
      </w:r>
      <w:r w:rsidRPr="00A25DCB">
        <w:rPr>
          <w:iCs/>
        </w:rPr>
        <w:t xml:space="preserve">that, </w:t>
      </w:r>
      <w:r w:rsidR="007A57F4" w:rsidRPr="00A25DCB">
        <w:rPr>
          <w:iCs/>
        </w:rPr>
        <w:t xml:space="preserve">where extrapolation is undertaken, use observed time-to-event data in preference to modelled data up to the time point at which the observed data become unreliable </w:t>
      </w:r>
      <w:proofErr w:type="gramStart"/>
      <w:r w:rsidR="007A57F4" w:rsidRPr="00A25DCB">
        <w:rPr>
          <w:iCs/>
        </w:rPr>
        <w:t>as a result of</w:t>
      </w:r>
      <w:proofErr w:type="gramEnd"/>
      <w:r w:rsidR="007A57F4" w:rsidRPr="00A25DCB">
        <w:rPr>
          <w:iCs/>
        </w:rPr>
        <w:t xml:space="preserve"> small numbers of</w:t>
      </w:r>
      <w:r w:rsidRPr="00A25DCB">
        <w:rPr>
          <w:iCs/>
        </w:rPr>
        <w:t xml:space="preserve"> patients remaining event-free.</w:t>
      </w:r>
      <w:r w:rsidR="007A57F4" w:rsidRPr="00A25DCB">
        <w:rPr>
          <w:iCs/>
        </w:rPr>
        <w:t xml:space="preserve"> </w:t>
      </w:r>
      <w:proofErr w:type="gramStart"/>
      <w:r w:rsidR="007A57F4" w:rsidRPr="00A25DCB">
        <w:rPr>
          <w:iCs/>
        </w:rPr>
        <w:t>Therefore</w:t>
      </w:r>
      <w:proofErr w:type="gramEnd"/>
      <w:r w:rsidR="007A57F4" w:rsidRPr="00A25DCB">
        <w:rPr>
          <w:iCs/>
        </w:rPr>
        <w:t xml:space="preserve"> the observed PFS and OS for the comparator arm should have been used up to around 15 months and then applying parametric models to extrapolate for the remaining of the time horizon. </w:t>
      </w:r>
      <w:r w:rsidR="00E12ECB" w:rsidRPr="0070260D">
        <w:rPr>
          <w:iCs/>
        </w:rPr>
        <w:t xml:space="preserve">The PSCR acknowledged a difference in approach to modelling the comparator arm through to approximately 15 months. However, the PSCR stated the modelled curves </w:t>
      </w:r>
      <w:r w:rsidR="00C5184D" w:rsidRPr="0070260D">
        <w:rPr>
          <w:iCs/>
        </w:rPr>
        <w:t>we</w:t>
      </w:r>
      <w:r w:rsidR="00E12ECB" w:rsidRPr="0070260D">
        <w:rPr>
          <w:iCs/>
        </w:rPr>
        <w:t xml:space="preserve">re reasonably </w:t>
      </w:r>
      <w:proofErr w:type="gramStart"/>
      <w:r w:rsidR="00E12ECB" w:rsidRPr="0070260D">
        <w:rPr>
          <w:iCs/>
        </w:rPr>
        <w:t>similar to</w:t>
      </w:r>
      <w:proofErr w:type="gramEnd"/>
      <w:r w:rsidR="00E12ECB" w:rsidRPr="0070260D">
        <w:rPr>
          <w:iCs/>
        </w:rPr>
        <w:t xml:space="preserve"> the observed Kaplan-Meier curves, and therefore the results are likely to be similar to an approach that had been based on observed survival curves. </w:t>
      </w:r>
      <w:r w:rsidR="006C4CB6" w:rsidRPr="0070260D">
        <w:rPr>
          <w:iCs/>
        </w:rPr>
        <w:t>T</w:t>
      </w:r>
      <w:r w:rsidR="007A57F4" w:rsidRPr="0070260D">
        <w:rPr>
          <w:iCs/>
        </w:rPr>
        <w:t xml:space="preserve">he </w:t>
      </w:r>
      <w:r w:rsidR="00E12ECB" w:rsidRPr="0070260D">
        <w:rPr>
          <w:iCs/>
        </w:rPr>
        <w:t xml:space="preserve">ESC noted that, while </w:t>
      </w:r>
      <w:r w:rsidR="00C5184D" w:rsidRPr="0070260D">
        <w:rPr>
          <w:iCs/>
        </w:rPr>
        <w:t xml:space="preserve">the </w:t>
      </w:r>
      <w:r w:rsidR="007A57F4" w:rsidRPr="0070260D">
        <w:rPr>
          <w:iCs/>
        </w:rPr>
        <w:t>model structu</w:t>
      </w:r>
      <w:r w:rsidR="00E12ECB" w:rsidRPr="0070260D">
        <w:rPr>
          <w:iCs/>
        </w:rPr>
        <w:t xml:space="preserve">re was not designed to make this adjustment, the impact of the use of Kaplan-Meier curve data for chemotherapy up to 15 months could be estimated (see </w:t>
      </w:r>
      <w:r w:rsidR="00E12ECB" w:rsidRPr="0070260D">
        <w:rPr>
          <w:iCs/>
        </w:rPr>
        <w:fldChar w:fldCharType="begin"/>
      </w:r>
      <w:r w:rsidR="00E12ECB" w:rsidRPr="0070260D">
        <w:rPr>
          <w:iCs/>
        </w:rPr>
        <w:instrText xml:space="preserve"> REF _Ref95577686 \h  \* MERGEFORMAT </w:instrText>
      </w:r>
      <w:r w:rsidR="00E12ECB" w:rsidRPr="0070260D">
        <w:rPr>
          <w:iCs/>
        </w:rPr>
      </w:r>
      <w:r w:rsidR="00E12ECB" w:rsidRPr="0070260D">
        <w:rPr>
          <w:iCs/>
        </w:rPr>
        <w:fldChar w:fldCharType="separate"/>
      </w:r>
      <w:r w:rsidR="00221F1D" w:rsidRPr="00221F1D">
        <w:rPr>
          <w:iCs/>
        </w:rPr>
        <w:t>Table 11</w:t>
      </w:r>
      <w:r w:rsidR="00E12ECB" w:rsidRPr="0070260D">
        <w:rPr>
          <w:iCs/>
        </w:rPr>
        <w:fldChar w:fldCharType="end"/>
      </w:r>
      <w:r w:rsidR="00E12ECB" w:rsidRPr="0070260D">
        <w:rPr>
          <w:iCs/>
        </w:rPr>
        <w:t>).</w:t>
      </w:r>
    </w:p>
    <w:p w14:paraId="3DF79554" w14:textId="6988CF7C" w:rsidR="007A57F4" w:rsidRPr="00C5184D" w:rsidRDefault="007A57F4" w:rsidP="007A57F4">
      <w:pPr>
        <w:pStyle w:val="3-BodyText"/>
        <w:rPr>
          <w:iCs/>
        </w:rPr>
      </w:pPr>
      <w:r w:rsidRPr="00A25DCB">
        <w:rPr>
          <w:iCs/>
        </w:rPr>
        <w:t xml:space="preserve">In addition, applying the HRs for PFS and OS over the time horizon of the model has effectively assumed a continued treatment effect of </w:t>
      </w:r>
      <w:proofErr w:type="spellStart"/>
      <w:r w:rsidRPr="00A25DCB">
        <w:rPr>
          <w:iCs/>
        </w:rPr>
        <w:t>enfortumab</w:t>
      </w:r>
      <w:proofErr w:type="spellEnd"/>
      <w:r w:rsidRPr="00A25DCB">
        <w:rPr>
          <w:iCs/>
        </w:rPr>
        <w:t xml:space="preserve"> </w:t>
      </w:r>
      <w:proofErr w:type="spellStart"/>
      <w:r w:rsidRPr="00A25DCB">
        <w:rPr>
          <w:iCs/>
        </w:rPr>
        <w:t>vedotin</w:t>
      </w:r>
      <w:proofErr w:type="spellEnd"/>
      <w:r w:rsidRPr="00A25DCB">
        <w:rPr>
          <w:iCs/>
        </w:rPr>
        <w:t xml:space="preserve"> over docetaxel and paclitaxel. </w:t>
      </w:r>
      <w:r w:rsidR="00EC4FF3" w:rsidRPr="00A25DCB">
        <w:rPr>
          <w:iCs/>
        </w:rPr>
        <w:t xml:space="preserve">The ongoing treatment effect was not justified. </w:t>
      </w:r>
      <w:r w:rsidRPr="00A25DCB">
        <w:rPr>
          <w:iCs/>
        </w:rPr>
        <w:t xml:space="preserve">A more reasonable approach would be to nominate a time in the model after which a </w:t>
      </w:r>
      <w:r w:rsidRPr="00C5184D">
        <w:rPr>
          <w:iCs/>
        </w:rPr>
        <w:t>mechanism is applied to cause the overall survival curves to converge by an appropriate time.</w:t>
      </w:r>
    </w:p>
    <w:p w14:paraId="5E289540" w14:textId="7B8DD094" w:rsidR="007A57F4" w:rsidRPr="0070260D" w:rsidRDefault="007A57F4" w:rsidP="00F8559D">
      <w:pPr>
        <w:pStyle w:val="3-BodyText"/>
        <w:rPr>
          <w:iCs/>
        </w:rPr>
      </w:pPr>
      <w:bookmarkStart w:id="21" w:name="_Ref100170464"/>
      <w:r w:rsidRPr="00C5184D">
        <w:rPr>
          <w:iCs/>
        </w:rPr>
        <w:t>The submission removed PFS, OS and time on treatment (</w:t>
      </w:r>
      <w:proofErr w:type="spellStart"/>
      <w:r w:rsidRPr="00C5184D">
        <w:rPr>
          <w:iCs/>
        </w:rPr>
        <w:t>ToT</w:t>
      </w:r>
      <w:proofErr w:type="spellEnd"/>
      <w:r w:rsidRPr="00C5184D">
        <w:rPr>
          <w:iCs/>
        </w:rPr>
        <w:t xml:space="preserve">) data pertaining to vinflunine for the comparator arm from the EV-301 trial in the </w:t>
      </w:r>
      <w:r w:rsidR="0001544A" w:rsidRPr="00C5184D">
        <w:rPr>
          <w:iCs/>
        </w:rPr>
        <w:t>base-case</w:t>
      </w:r>
      <w:r w:rsidRPr="00C5184D">
        <w:rPr>
          <w:iCs/>
        </w:rPr>
        <w:t xml:space="preserve"> of the model, on the basis that vinflunine is not PBS listed or TGA registered for the treatment of urothelial cancer or any other cancer. Given that the selection of chemotherapy (docetaxel, paclitaxel or vinflunine) was a choice of investigators, the comparison of patients treated with </w:t>
      </w:r>
      <w:proofErr w:type="spellStart"/>
      <w:r w:rsidRPr="00C5184D">
        <w:rPr>
          <w:iCs/>
        </w:rPr>
        <w:t>enfortumab</w:t>
      </w:r>
      <w:proofErr w:type="spellEnd"/>
      <w:r w:rsidRPr="00C5184D">
        <w:rPr>
          <w:iCs/>
        </w:rPr>
        <w:t xml:space="preserve"> </w:t>
      </w:r>
      <w:proofErr w:type="spellStart"/>
      <w:r w:rsidRPr="00C5184D">
        <w:rPr>
          <w:iCs/>
        </w:rPr>
        <w:t>vedotin</w:t>
      </w:r>
      <w:proofErr w:type="spellEnd"/>
      <w:r w:rsidRPr="00C5184D">
        <w:rPr>
          <w:iCs/>
        </w:rPr>
        <w:t xml:space="preserve"> and the subgroup of patients receiving docetaxel and paclitaxel was </w:t>
      </w:r>
      <w:r w:rsidR="00A0378D" w:rsidRPr="00C5184D">
        <w:rPr>
          <w:iCs/>
        </w:rPr>
        <w:t>then</w:t>
      </w:r>
      <w:r w:rsidRPr="00C5184D">
        <w:rPr>
          <w:iCs/>
        </w:rPr>
        <w:t xml:space="preserve"> non-randomised.</w:t>
      </w:r>
      <w:r w:rsidRPr="00C5184D">
        <w:rPr>
          <w:i/>
        </w:rPr>
        <w:t xml:space="preserve"> </w:t>
      </w:r>
      <w:r w:rsidR="007B3279" w:rsidRPr="0070260D">
        <w:rPr>
          <w:iCs/>
        </w:rPr>
        <w:t xml:space="preserve">The PSCR </w:t>
      </w:r>
      <w:r w:rsidR="00504A9A" w:rsidRPr="0070260D">
        <w:rPr>
          <w:iCs/>
        </w:rPr>
        <w:t xml:space="preserve">presented the baseline characteristics of patients in the </w:t>
      </w:r>
      <w:proofErr w:type="spellStart"/>
      <w:r w:rsidR="00504A9A" w:rsidRPr="0070260D">
        <w:rPr>
          <w:iCs/>
        </w:rPr>
        <w:t>enfortumab</w:t>
      </w:r>
      <w:proofErr w:type="spellEnd"/>
      <w:r w:rsidR="00504A9A" w:rsidRPr="0070260D">
        <w:rPr>
          <w:iCs/>
        </w:rPr>
        <w:t xml:space="preserve"> </w:t>
      </w:r>
      <w:proofErr w:type="spellStart"/>
      <w:r w:rsidR="00504A9A" w:rsidRPr="0070260D">
        <w:rPr>
          <w:iCs/>
        </w:rPr>
        <w:t>vedotin</w:t>
      </w:r>
      <w:proofErr w:type="spellEnd"/>
      <w:r w:rsidR="00086FD9" w:rsidRPr="0070260D">
        <w:rPr>
          <w:iCs/>
        </w:rPr>
        <w:t xml:space="preserve">, chemotherapy and docetaxel/paclitaxel subgroups and argued that the baseline characteristics of these groups were generally comparable. </w:t>
      </w:r>
      <w:r w:rsidR="00C87342" w:rsidRPr="0070260D">
        <w:rPr>
          <w:iCs/>
        </w:rPr>
        <w:t xml:space="preserve">Using the information provided in the PSCR to determine characteristics for the vinflunine arm the ESC considered there are several characteristics that differed across the </w:t>
      </w:r>
      <w:proofErr w:type="spellStart"/>
      <w:r w:rsidR="00C87342" w:rsidRPr="0070260D">
        <w:rPr>
          <w:iCs/>
        </w:rPr>
        <w:t>taxanes</w:t>
      </w:r>
      <w:proofErr w:type="spellEnd"/>
      <w:r w:rsidR="00C87342" w:rsidRPr="0070260D">
        <w:rPr>
          <w:iCs/>
        </w:rPr>
        <w:t xml:space="preserve"> and vinflunine subgroups, including sex, region, smoking history, histology, number of prior therapies, and some variation of type of PD-(L)1 therapy used. The</w:t>
      </w:r>
      <w:r w:rsidR="00F8559D" w:rsidRPr="0070260D">
        <w:rPr>
          <w:iCs/>
        </w:rPr>
        <w:t xml:space="preserve"> ESC noted there</w:t>
      </w:r>
      <w:r w:rsidR="00C87342" w:rsidRPr="0070260D">
        <w:rPr>
          <w:iCs/>
        </w:rPr>
        <w:t xml:space="preserve"> are key differences in the comparative treatment effect of </w:t>
      </w:r>
      <w:proofErr w:type="spellStart"/>
      <w:r w:rsidR="00C87342" w:rsidRPr="0070260D">
        <w:rPr>
          <w:iCs/>
        </w:rPr>
        <w:t>enfortumab</w:t>
      </w:r>
      <w:proofErr w:type="spellEnd"/>
      <w:r w:rsidR="00C87342" w:rsidRPr="0070260D">
        <w:rPr>
          <w:iCs/>
        </w:rPr>
        <w:t xml:space="preserve"> across some of these subgroups.</w:t>
      </w:r>
      <w:r w:rsidR="001966B0" w:rsidRPr="0070260D">
        <w:rPr>
          <w:iCs/>
        </w:rPr>
        <w:t xml:space="preserve"> While the </w:t>
      </w:r>
      <w:r w:rsidR="00AB0384">
        <w:rPr>
          <w:iCs/>
        </w:rPr>
        <w:t>PBAC</w:t>
      </w:r>
      <w:r w:rsidR="001966B0" w:rsidRPr="0070260D">
        <w:rPr>
          <w:iCs/>
        </w:rPr>
        <w:t xml:space="preserve"> acknowledged that vinflunine is unlikely to be used in clinical practice in Australia</w:t>
      </w:r>
      <w:r w:rsidR="00425C2E" w:rsidRPr="0070260D">
        <w:rPr>
          <w:iCs/>
        </w:rPr>
        <w:t>, t</w:t>
      </w:r>
      <w:r w:rsidR="00C87342" w:rsidRPr="0070260D">
        <w:rPr>
          <w:iCs/>
        </w:rPr>
        <w:t>he</w:t>
      </w:r>
      <w:r w:rsidR="00F8559D" w:rsidRPr="0070260D">
        <w:rPr>
          <w:iCs/>
        </w:rPr>
        <w:t xml:space="preserve"> </w:t>
      </w:r>
      <w:r w:rsidR="00425C2E" w:rsidRPr="0070260D">
        <w:rPr>
          <w:iCs/>
        </w:rPr>
        <w:t>Committee considered</w:t>
      </w:r>
      <w:r w:rsidR="00C87342" w:rsidRPr="0070260D">
        <w:rPr>
          <w:iCs/>
        </w:rPr>
        <w:t xml:space="preserve"> exclusion of vinflunine data may impact the validity of the estimate of the HR</w:t>
      </w:r>
      <w:r w:rsidR="00425C2E" w:rsidRPr="0070260D">
        <w:rPr>
          <w:iCs/>
        </w:rPr>
        <w:t>.</w:t>
      </w:r>
      <w:bookmarkEnd w:id="21"/>
      <w:r w:rsidR="00425C2E" w:rsidRPr="0070260D">
        <w:rPr>
          <w:iCs/>
        </w:rPr>
        <w:t xml:space="preserve"> </w:t>
      </w:r>
    </w:p>
    <w:p w14:paraId="55F29B01" w14:textId="6605CEA1" w:rsidR="007A57F4" w:rsidRDefault="007A57F4" w:rsidP="007A57F4">
      <w:pPr>
        <w:pStyle w:val="3-BodyText"/>
        <w:rPr>
          <w:i/>
        </w:rPr>
      </w:pPr>
      <w:r w:rsidRPr="00C5184D">
        <w:rPr>
          <w:iCs/>
        </w:rPr>
        <w:t xml:space="preserve">The submission chose exponential distribution to extrapolate OS curve of </w:t>
      </w:r>
      <w:proofErr w:type="spellStart"/>
      <w:r w:rsidRPr="00C5184D">
        <w:rPr>
          <w:iCs/>
        </w:rPr>
        <w:t>enfortumab</w:t>
      </w:r>
      <w:proofErr w:type="spellEnd"/>
      <w:r w:rsidRPr="00C5184D">
        <w:rPr>
          <w:iCs/>
        </w:rPr>
        <w:t xml:space="preserve"> </w:t>
      </w:r>
      <w:proofErr w:type="spellStart"/>
      <w:r w:rsidRPr="00C5184D">
        <w:rPr>
          <w:iCs/>
        </w:rPr>
        <w:t>vedotin</w:t>
      </w:r>
      <w:proofErr w:type="spellEnd"/>
      <w:r w:rsidRPr="00C5184D">
        <w:rPr>
          <w:iCs/>
        </w:rPr>
        <w:t xml:space="preserve"> from 15 month</w:t>
      </w:r>
      <w:r w:rsidR="000A3E89" w:rsidRPr="00C5184D">
        <w:rPr>
          <w:iCs/>
        </w:rPr>
        <w:t>s</w:t>
      </w:r>
      <w:r w:rsidRPr="00C5184D">
        <w:rPr>
          <w:iCs/>
        </w:rPr>
        <w:t xml:space="preserve"> to</w:t>
      </w:r>
      <w:r w:rsidRPr="00A25DCB">
        <w:rPr>
          <w:iCs/>
        </w:rPr>
        <w:t xml:space="preserve"> 10 years. The comparison of </w:t>
      </w:r>
      <w:r w:rsidR="000A3E89" w:rsidRPr="00A25DCB">
        <w:rPr>
          <w:iCs/>
        </w:rPr>
        <w:t xml:space="preserve">the </w:t>
      </w:r>
      <w:r w:rsidRPr="00A25DCB">
        <w:rPr>
          <w:iCs/>
        </w:rPr>
        <w:t xml:space="preserve">KM OS curve and extrapolated curves using a selection of parametric functions is presented below. All parametric functions presented appear to fit the early KM curve well. After approximately 15 to 20 months, parametric functions diverged considerably with several functions providing estimates that are substantially greater than the </w:t>
      </w:r>
      <w:r w:rsidR="000A3E89" w:rsidRPr="00A25DCB">
        <w:rPr>
          <w:iCs/>
        </w:rPr>
        <w:t xml:space="preserve">remaining (and likely unstable) </w:t>
      </w:r>
      <w:r w:rsidRPr="00A25DCB">
        <w:rPr>
          <w:iCs/>
        </w:rPr>
        <w:t>observed data</w:t>
      </w:r>
      <w:r w:rsidRPr="0070260D">
        <w:rPr>
          <w:iCs/>
        </w:rPr>
        <w:t xml:space="preserve">. </w:t>
      </w:r>
      <w:r w:rsidR="00F8559D" w:rsidRPr="0070260D">
        <w:rPr>
          <w:iCs/>
        </w:rPr>
        <w:t xml:space="preserve">The ESC </w:t>
      </w:r>
      <w:r w:rsidR="005A075B" w:rsidRPr="0070260D">
        <w:rPr>
          <w:iCs/>
        </w:rPr>
        <w:t>noted</w:t>
      </w:r>
      <w:r w:rsidR="00F8559D" w:rsidRPr="0070260D">
        <w:rPr>
          <w:iCs/>
        </w:rPr>
        <w:t xml:space="preserve"> a</w:t>
      </w:r>
      <w:r w:rsidRPr="0070260D">
        <w:rPr>
          <w:iCs/>
        </w:rPr>
        <w:t xml:space="preserve"> Weibull</w:t>
      </w:r>
      <w:r w:rsidRPr="00A25DCB">
        <w:rPr>
          <w:iCs/>
        </w:rPr>
        <w:t xml:space="preserve"> distribution results in best statistical fit for the model and appear</w:t>
      </w:r>
      <w:r w:rsidR="00C5184D">
        <w:rPr>
          <w:iCs/>
        </w:rPr>
        <w:t>ed</w:t>
      </w:r>
      <w:r w:rsidRPr="00A25DCB">
        <w:rPr>
          <w:iCs/>
        </w:rPr>
        <w:t xml:space="preserve"> to be a good visual fit</w:t>
      </w:r>
      <w:r w:rsidRPr="00142F9C">
        <w:rPr>
          <w:i/>
        </w:rPr>
        <w:t>.</w:t>
      </w:r>
    </w:p>
    <w:p w14:paraId="1C0874ED" w14:textId="07D4E8C2" w:rsidR="007A57F4" w:rsidRDefault="007A57F4" w:rsidP="00263515">
      <w:pPr>
        <w:pStyle w:val="TableFigureHeading"/>
        <w:keepLines/>
        <w:rPr>
          <w:i/>
        </w:rPr>
      </w:pPr>
      <w:r>
        <w:t xml:space="preserve">Figure </w:t>
      </w:r>
      <w:r w:rsidR="00F06F14">
        <w:fldChar w:fldCharType="begin"/>
      </w:r>
      <w:r w:rsidR="00F06F14">
        <w:instrText xml:space="preserve"> SEQ </w:instrText>
      </w:r>
      <w:r w:rsidR="00F06F14">
        <w:instrText xml:space="preserve">Figure \* ARABIC </w:instrText>
      </w:r>
      <w:r w:rsidR="00F06F14">
        <w:fldChar w:fldCharType="separate"/>
      </w:r>
      <w:r w:rsidR="00BF7DF4">
        <w:rPr>
          <w:noProof/>
        </w:rPr>
        <w:t>5</w:t>
      </w:r>
      <w:r w:rsidR="00F06F14">
        <w:rPr>
          <w:noProof/>
        </w:rPr>
        <w:fldChar w:fldCharType="end"/>
      </w:r>
      <w:r>
        <w:t xml:space="preserve">: </w:t>
      </w:r>
      <w:r w:rsidRPr="00142F9C">
        <w:t xml:space="preserve">Parametric models fit to OS data for the </w:t>
      </w:r>
      <w:proofErr w:type="spellStart"/>
      <w:r w:rsidRPr="00142F9C">
        <w:t>enfortumab</w:t>
      </w:r>
      <w:proofErr w:type="spellEnd"/>
      <w:r w:rsidRPr="00142F9C">
        <w:t xml:space="preserve"> </w:t>
      </w:r>
      <w:proofErr w:type="spellStart"/>
      <w:r w:rsidRPr="00142F9C">
        <w:t>vedotin</w:t>
      </w:r>
      <w:proofErr w:type="spellEnd"/>
      <w:r w:rsidRPr="00142F9C">
        <w:t xml:space="preserve"> arm of EV-301</w:t>
      </w:r>
    </w:p>
    <w:p w14:paraId="3B1BF495" w14:textId="72948DFB" w:rsidR="00BE533C" w:rsidRDefault="006D6C62" w:rsidP="007A57F4">
      <w:pPr>
        <w:pStyle w:val="TableFigureFooter"/>
      </w:pPr>
      <w:r>
        <w:rPr>
          <w:noProof/>
        </w:rPr>
        <w:drawing>
          <wp:inline distT="0" distB="0" distL="0" distR="0" wp14:anchorId="4817C0E2" wp14:editId="5C75A096">
            <wp:extent cx="5524500" cy="5172075"/>
            <wp:effectExtent l="0" t="0" r="0" b="9525"/>
            <wp:docPr id="27" name="Picture 27" descr="Figure 5: Parametric models fit to OS data for the enfortumab vedotin arm of EV-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5: Parametric models fit to OS data for the enfortumab vedotin arm of EV-301"/>
                    <pic:cNvPicPr/>
                  </pic:nvPicPr>
                  <pic:blipFill>
                    <a:blip r:embed="rId12"/>
                    <a:stretch>
                      <a:fillRect/>
                    </a:stretch>
                  </pic:blipFill>
                  <pic:spPr>
                    <a:xfrm>
                      <a:off x="0" y="0"/>
                      <a:ext cx="5524500" cy="5172075"/>
                    </a:xfrm>
                    <a:prstGeom prst="rect">
                      <a:avLst/>
                    </a:prstGeom>
                  </pic:spPr>
                </pic:pic>
              </a:graphicData>
            </a:graphic>
          </wp:inline>
        </w:drawing>
      </w:r>
    </w:p>
    <w:p w14:paraId="0B7A562F" w14:textId="5512538C" w:rsidR="007A57F4" w:rsidRPr="002E7F92" w:rsidRDefault="007A57F4" w:rsidP="007A57F4">
      <w:pPr>
        <w:pStyle w:val="TableFigureFooter"/>
        <w:rPr>
          <w:rFonts w:asciiTheme="minorHAnsi" w:hAnsiTheme="minorHAnsi"/>
        </w:rPr>
      </w:pPr>
      <w:r w:rsidRPr="00142F9C">
        <w:t>Source: Figure 3-4, p68 of the submission</w:t>
      </w:r>
    </w:p>
    <w:p w14:paraId="6F48F162" w14:textId="3207D6C3" w:rsidR="007A57F4" w:rsidRPr="00A25DCB" w:rsidRDefault="004D1FAF" w:rsidP="007A57F4">
      <w:pPr>
        <w:pStyle w:val="3-BodyText"/>
        <w:rPr>
          <w:iCs/>
        </w:rPr>
      </w:pPr>
      <w:r>
        <w:t>The submission argued that</w:t>
      </w:r>
      <w:r w:rsidRPr="00BC6FAF">
        <w:t xml:space="preserve"> the choice of </w:t>
      </w:r>
      <w:r>
        <w:t>exponential</w:t>
      </w:r>
      <w:r w:rsidRPr="00BC6FAF">
        <w:t xml:space="preserve"> function</w:t>
      </w:r>
      <w:r>
        <w:t xml:space="preserve"> for OS extrapolation was supported by the OS curve from a non-randomised study of </w:t>
      </w:r>
      <w:proofErr w:type="spellStart"/>
      <w:r>
        <w:t>enfortumab</w:t>
      </w:r>
      <w:proofErr w:type="spellEnd"/>
      <w:r>
        <w:t xml:space="preserve"> </w:t>
      </w:r>
      <w:proofErr w:type="spellStart"/>
      <w:r>
        <w:t>vedotin</w:t>
      </w:r>
      <w:proofErr w:type="spellEnd"/>
      <w:r>
        <w:t xml:space="preserve"> (EV-201). </w:t>
      </w:r>
      <w:r w:rsidRPr="00A25DCB">
        <w:rPr>
          <w:iCs/>
        </w:rPr>
        <w:t>During the evaluation, KM data from EV-201 were digitally extracted, and a comparison of KM OS curve from EV-201 with OS curve from EV-301 and extrapolated curves using exponential and Weibull models is presented below.</w:t>
      </w:r>
      <w:r>
        <w:rPr>
          <w:iCs/>
        </w:rPr>
        <w:t xml:space="preserve"> </w:t>
      </w:r>
      <w:r w:rsidR="00416811">
        <w:rPr>
          <w:iCs/>
        </w:rPr>
        <w:t xml:space="preserve">The evaluation considered that, </w:t>
      </w:r>
      <w:r w:rsidR="00416811">
        <w:t>v</w:t>
      </w:r>
      <w:r w:rsidRPr="00A05D1A">
        <w:t xml:space="preserve">isually, the Weibull parametric function appears to be the better fit for the observed data from EV-201 up to about </w:t>
      </w:r>
      <w:r w:rsidRPr="000A444B">
        <w:rPr>
          <w:iCs/>
        </w:rPr>
        <w:t xml:space="preserve">25 </w:t>
      </w:r>
      <w:r w:rsidRPr="00A05D1A">
        <w:t xml:space="preserve">months of follow </w:t>
      </w:r>
      <w:r w:rsidRPr="0070260D">
        <w:t>up and for all observed data from EV-301</w:t>
      </w:r>
      <w:r w:rsidRPr="00A05D1A">
        <w:t>.</w:t>
      </w:r>
      <w:r>
        <w:t xml:space="preserve"> </w:t>
      </w:r>
      <w:proofErr w:type="gramStart"/>
      <w:r>
        <w:t>T</w:t>
      </w:r>
      <w:r w:rsidRPr="00A05D1A">
        <w:t>herefore</w:t>
      </w:r>
      <w:proofErr w:type="gramEnd"/>
      <w:r w:rsidRPr="00A05D1A">
        <w:t xml:space="preserve"> extrapolation of OS using Weibull model was used in a respecified base-case analysis during the evaluation</w:t>
      </w:r>
      <w:r>
        <w:t>.</w:t>
      </w:r>
    </w:p>
    <w:p w14:paraId="5C61322A" w14:textId="34306F9D" w:rsidR="007A57F4" w:rsidRPr="00BF7DF4" w:rsidRDefault="007A57F4" w:rsidP="007A57F4">
      <w:pPr>
        <w:pStyle w:val="TableFigureHeading"/>
        <w:rPr>
          <w:iCs/>
        </w:rPr>
      </w:pPr>
      <w:r w:rsidRPr="00BF7DF4">
        <w:rPr>
          <w:iCs/>
        </w:rPr>
        <w:t xml:space="preserve">Figure </w:t>
      </w:r>
      <w:r w:rsidRPr="00BF7DF4">
        <w:rPr>
          <w:iCs/>
        </w:rPr>
        <w:fldChar w:fldCharType="begin"/>
      </w:r>
      <w:r w:rsidRPr="00BF7DF4">
        <w:rPr>
          <w:iCs/>
        </w:rPr>
        <w:instrText xml:space="preserve"> SEQ Figure \* ARABIC </w:instrText>
      </w:r>
      <w:r w:rsidRPr="00BF7DF4">
        <w:rPr>
          <w:iCs/>
        </w:rPr>
        <w:fldChar w:fldCharType="separate"/>
      </w:r>
      <w:r w:rsidR="00BF7DF4" w:rsidRPr="00BF7DF4">
        <w:rPr>
          <w:iCs/>
          <w:noProof/>
        </w:rPr>
        <w:t>6</w:t>
      </w:r>
      <w:r w:rsidRPr="00BF7DF4">
        <w:rPr>
          <w:iCs/>
        </w:rPr>
        <w:fldChar w:fldCharType="end"/>
      </w:r>
      <w:r w:rsidRPr="00BF7DF4">
        <w:rPr>
          <w:iCs/>
        </w:rPr>
        <w:t>: Comparison of KM estimates from EV-201, EV-301 and the exponential parametric function (</w:t>
      </w:r>
      <w:r w:rsidR="0001544A" w:rsidRPr="00BF7DF4">
        <w:rPr>
          <w:iCs/>
        </w:rPr>
        <w:t>base-case</w:t>
      </w:r>
      <w:r w:rsidRPr="00BF7DF4">
        <w:rPr>
          <w:iCs/>
        </w:rPr>
        <w:t>) and the Weibull parametric function (best fit)</w:t>
      </w:r>
    </w:p>
    <w:p w14:paraId="17CE4EF3" w14:textId="77777777" w:rsidR="007A57F4" w:rsidRDefault="007A57F4" w:rsidP="000A3E89">
      <w:pPr>
        <w:pStyle w:val="3-BodyText"/>
        <w:numPr>
          <w:ilvl w:val="0"/>
          <w:numId w:val="0"/>
        </w:numPr>
        <w:rPr>
          <w:i/>
        </w:rPr>
      </w:pPr>
      <w:r>
        <w:rPr>
          <w:noProof/>
        </w:rPr>
        <w:drawing>
          <wp:inline distT="0" distB="0" distL="0" distR="0" wp14:anchorId="6E612BD3" wp14:editId="53BEF3BD">
            <wp:extent cx="5660057" cy="2993366"/>
            <wp:effectExtent l="0" t="0" r="0" b="0"/>
            <wp:docPr id="15" name="Picture 15" descr="Figure 6: Comparison of KM estimates from EV-201, EV-301 and the exponential parametric function (base-case) and the Weibull parametric function (best 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6: Comparison of KM estimates from EV-201, EV-301 and the exponential parametric function (base-case) and the Weibull parametric function (best fit)"/>
                    <pic:cNvPicPr/>
                  </pic:nvPicPr>
                  <pic:blipFill>
                    <a:blip r:embed="rId13"/>
                    <a:stretch>
                      <a:fillRect/>
                    </a:stretch>
                  </pic:blipFill>
                  <pic:spPr>
                    <a:xfrm>
                      <a:off x="0" y="0"/>
                      <a:ext cx="5699408" cy="3014177"/>
                    </a:xfrm>
                    <a:prstGeom prst="rect">
                      <a:avLst/>
                    </a:prstGeom>
                  </pic:spPr>
                </pic:pic>
              </a:graphicData>
            </a:graphic>
          </wp:inline>
        </w:drawing>
      </w:r>
    </w:p>
    <w:p w14:paraId="60B78403" w14:textId="520A7B40" w:rsidR="007A57F4" w:rsidRPr="00BF7DF4" w:rsidRDefault="007A57F4" w:rsidP="007A57F4">
      <w:pPr>
        <w:pStyle w:val="TableFigureFooter"/>
        <w:rPr>
          <w:iCs/>
        </w:rPr>
      </w:pPr>
      <w:r w:rsidRPr="00BF7DF4">
        <w:rPr>
          <w:iCs/>
        </w:rPr>
        <w:t>Source: generated during the evaluation from KM data and parametric functions provided in the submission</w:t>
      </w:r>
      <w:r w:rsidR="007E0442" w:rsidRPr="00BF7DF4">
        <w:rPr>
          <w:iCs/>
        </w:rPr>
        <w:t>’</w:t>
      </w:r>
      <w:r w:rsidRPr="00BF7DF4">
        <w:rPr>
          <w:iCs/>
        </w:rPr>
        <w:t>s economic model. KM data from EV-201 digitally extracted from Figure 3-6, p71 of the submission.</w:t>
      </w:r>
    </w:p>
    <w:p w14:paraId="7B5048B8" w14:textId="421C6AAB" w:rsidR="007A57F4" w:rsidRPr="00416811" w:rsidRDefault="00F8559D" w:rsidP="00416811">
      <w:pPr>
        <w:pStyle w:val="3-BodyText"/>
      </w:pPr>
      <w:bookmarkStart w:id="22" w:name="_Ref95729552"/>
      <w:r w:rsidRPr="0070260D">
        <w:t xml:space="preserve">The PSCR </w:t>
      </w:r>
      <w:r w:rsidR="00BF7DF4" w:rsidRPr="0070260D">
        <w:t xml:space="preserve">noted that with the availability of longer-term data from EV-301, OS predicted by the model can be compared to actual OS over a longer time horizon (Figure </w:t>
      </w:r>
      <w:r w:rsidR="00C5184D" w:rsidRPr="0070260D">
        <w:t>7</w:t>
      </w:r>
      <w:r w:rsidR="00BF7DF4" w:rsidRPr="0070260D">
        <w:t>). The PSCR argued that the exponential distribution applied in the submission’s model provided a good fit to the EV-301 longer-term data</w:t>
      </w:r>
      <w:r w:rsidR="00E97F77" w:rsidRPr="0070260D">
        <w:t xml:space="preserve"> for the </w:t>
      </w:r>
      <w:proofErr w:type="spellStart"/>
      <w:r w:rsidR="00E97F77" w:rsidRPr="0070260D">
        <w:t>enfortumab</w:t>
      </w:r>
      <w:proofErr w:type="spellEnd"/>
      <w:r w:rsidR="00E97F77" w:rsidRPr="0070260D">
        <w:t xml:space="preserve"> </w:t>
      </w:r>
      <w:proofErr w:type="spellStart"/>
      <w:r w:rsidR="00E97F77" w:rsidRPr="0070260D">
        <w:t>vedotin</w:t>
      </w:r>
      <w:proofErr w:type="spellEnd"/>
      <w:r w:rsidR="00E97F77" w:rsidRPr="0070260D">
        <w:t xml:space="preserve"> arm</w:t>
      </w:r>
      <w:r w:rsidR="00BF7DF4" w:rsidRPr="0070260D">
        <w:t xml:space="preserve"> whereas the Weibull distribution underestimates the proportion of patients alive, particularly beyond 15 months. The ESC noted that no estimates of statistical fit were provided</w:t>
      </w:r>
      <w:r w:rsidR="00E97F77" w:rsidRPr="0070260D">
        <w:t xml:space="preserve">, </w:t>
      </w:r>
      <w:r w:rsidR="00436DE8" w:rsidRPr="0070260D">
        <w:t xml:space="preserve">the parameters for the exponential function were not updated based on the longer-term data, and </w:t>
      </w:r>
      <w:r w:rsidR="00E97F77" w:rsidRPr="0070260D">
        <w:t xml:space="preserve">a comparison of the </w:t>
      </w:r>
      <w:r w:rsidR="00436DE8" w:rsidRPr="0070260D">
        <w:t xml:space="preserve">modelled and trial data was not provided for the chemotherapy arm. The ESC </w:t>
      </w:r>
      <w:r w:rsidR="0047148E" w:rsidRPr="0070260D">
        <w:t xml:space="preserve">therefore </w:t>
      </w:r>
      <w:r w:rsidR="00BF7DF4" w:rsidRPr="0070260D">
        <w:t xml:space="preserve">considered that the </w:t>
      </w:r>
      <w:r w:rsidR="00436DE8" w:rsidRPr="0070260D">
        <w:t xml:space="preserve">exponential extrapolation had not been adequately supported and that the </w:t>
      </w:r>
      <w:r w:rsidR="00BF7DF4" w:rsidRPr="0070260D">
        <w:t xml:space="preserve">Weibull extrapolation </w:t>
      </w:r>
      <w:r w:rsidR="00436DE8" w:rsidRPr="0070260D">
        <w:t>should be used in the base case analysis</w:t>
      </w:r>
      <w:r w:rsidR="00BF7DF4" w:rsidRPr="0070260D">
        <w:t>.</w:t>
      </w:r>
      <w:bookmarkEnd w:id="22"/>
      <w:r w:rsidR="00BF7DF4" w:rsidRPr="0070260D">
        <w:t xml:space="preserve"> </w:t>
      </w:r>
      <w:r w:rsidR="00416811">
        <w:t xml:space="preserve">The pre-PBAC response provided a statistical analysis comparing the fit of the exponential and Weibull functions to the updated survival data from the EV-301 trial. The statistical analysis presented the sum of squared difference between predicted and observed updated survival for the exponential and Weibull functions and the pre-PBAC response argued that the exponential function has a better fit compared to the Weibull function. </w:t>
      </w:r>
      <w:r w:rsidR="00856873">
        <w:t>The PBAC considered that sum of squared difference between predicted and observed is a non-standard approach for survival data, with other methods such as AIC or BIC preferred.</w:t>
      </w:r>
      <w:r w:rsidR="00AB0384">
        <w:t xml:space="preserve"> </w:t>
      </w:r>
    </w:p>
    <w:p w14:paraId="3B02E2DA" w14:textId="4DA075C8" w:rsidR="00BF7DF4" w:rsidRPr="0070260D" w:rsidRDefault="00BF7DF4" w:rsidP="00BF7DF4">
      <w:pPr>
        <w:pStyle w:val="TableFigureHeading"/>
        <w:rPr>
          <w:iCs/>
        </w:rPr>
      </w:pPr>
      <w:r w:rsidRPr="0070260D">
        <w:rPr>
          <w:iCs/>
        </w:rPr>
        <w:t xml:space="preserve">Figure </w:t>
      </w:r>
      <w:r w:rsidRPr="0070260D">
        <w:rPr>
          <w:iCs/>
        </w:rPr>
        <w:fldChar w:fldCharType="begin"/>
      </w:r>
      <w:r w:rsidRPr="0070260D">
        <w:rPr>
          <w:iCs/>
        </w:rPr>
        <w:instrText xml:space="preserve"> SEQ Figure \* ARABIC </w:instrText>
      </w:r>
      <w:r w:rsidRPr="0070260D">
        <w:rPr>
          <w:iCs/>
        </w:rPr>
        <w:fldChar w:fldCharType="separate"/>
      </w:r>
      <w:r w:rsidRPr="0070260D">
        <w:rPr>
          <w:iCs/>
        </w:rPr>
        <w:t>7</w:t>
      </w:r>
      <w:r w:rsidRPr="0070260D">
        <w:rPr>
          <w:iCs/>
        </w:rPr>
        <w:fldChar w:fldCharType="end"/>
      </w:r>
      <w:r w:rsidR="005D2ABB">
        <w:rPr>
          <w:iCs/>
        </w:rPr>
        <w:t>:</w:t>
      </w:r>
      <w:r w:rsidRPr="0070260D">
        <w:rPr>
          <w:iCs/>
        </w:rPr>
        <w:t xml:space="preserve"> Overlay of the KM OS plot for </w:t>
      </w:r>
      <w:proofErr w:type="spellStart"/>
      <w:r w:rsidRPr="0070260D">
        <w:rPr>
          <w:iCs/>
        </w:rPr>
        <w:t>enfortumab</w:t>
      </w:r>
      <w:proofErr w:type="spellEnd"/>
      <w:r w:rsidRPr="0070260D">
        <w:rPr>
          <w:iCs/>
        </w:rPr>
        <w:t xml:space="preserve"> </w:t>
      </w:r>
      <w:proofErr w:type="spellStart"/>
      <w:r w:rsidRPr="0070260D">
        <w:rPr>
          <w:iCs/>
        </w:rPr>
        <w:t>vedotin</w:t>
      </w:r>
      <w:proofErr w:type="spellEnd"/>
      <w:r w:rsidRPr="0070260D">
        <w:rPr>
          <w:iCs/>
        </w:rPr>
        <w:t xml:space="preserve"> from the primary analysis, the updated analysis and the exponential and Weibull functions fit to the primary OS data</w:t>
      </w:r>
    </w:p>
    <w:p w14:paraId="71DF49AD" w14:textId="0C0CBCCA" w:rsidR="00BF7DF4" w:rsidRDefault="00BF7DF4" w:rsidP="00BF7DF4">
      <w:r>
        <w:rPr>
          <w:noProof/>
        </w:rPr>
        <w:drawing>
          <wp:inline distT="0" distB="0" distL="0" distR="0" wp14:anchorId="0ABDD2D9" wp14:editId="52742AF2">
            <wp:extent cx="5530291" cy="3014179"/>
            <wp:effectExtent l="0" t="0" r="0" b="0"/>
            <wp:docPr id="2" name="Picture 2" descr="Figure 7 Overlay of the KM OS plot for enfortumab vedotin from the primary analysis, the updated analysis and the exponential and Weibull functions fit to the primary O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7 Overlay of the KM OS plot for enfortumab vedotin from the primary analysis, the updated analysis and the exponential and Weibull functions fit to the primary OS dat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538745" cy="3018787"/>
                    </a:xfrm>
                    <a:prstGeom prst="rect">
                      <a:avLst/>
                    </a:prstGeom>
                    <a:noFill/>
                    <a:ln>
                      <a:noFill/>
                    </a:ln>
                    <a:extLst>
                      <a:ext uri="{53640926-AAD7-44D8-BBD7-CCE9431645EC}">
                        <a14:shadowObscured xmlns:a14="http://schemas.microsoft.com/office/drawing/2010/main"/>
                      </a:ext>
                    </a:extLst>
                  </pic:spPr>
                </pic:pic>
              </a:graphicData>
            </a:graphic>
          </wp:inline>
        </w:drawing>
      </w:r>
    </w:p>
    <w:p w14:paraId="5FB341A3" w14:textId="44D53559" w:rsidR="00BF7DF4" w:rsidRPr="00416811" w:rsidRDefault="00BF7DF4" w:rsidP="00F06F14">
      <w:pPr>
        <w:spacing w:after="120"/>
        <w:rPr>
          <w:rFonts w:ascii="Arial Narrow" w:hAnsi="Arial Narrow"/>
          <w:iCs/>
          <w:snapToGrid w:val="0"/>
          <w:sz w:val="18"/>
          <w:szCs w:val="22"/>
        </w:rPr>
      </w:pPr>
      <w:r w:rsidRPr="00416811">
        <w:rPr>
          <w:rFonts w:ascii="Arial Narrow" w:hAnsi="Arial Narrow"/>
          <w:iCs/>
          <w:snapToGrid w:val="0"/>
          <w:sz w:val="18"/>
          <w:szCs w:val="22"/>
        </w:rPr>
        <w:t>Source: Figure 3, p3 of the PSCR</w:t>
      </w:r>
    </w:p>
    <w:p w14:paraId="5202AEAF" w14:textId="261A84E5" w:rsidR="007A57F4" w:rsidRPr="00A25DCB" w:rsidRDefault="007A57F4" w:rsidP="007A57F4">
      <w:pPr>
        <w:pStyle w:val="3-BodyText"/>
      </w:pPr>
      <w:bookmarkStart w:id="23" w:name="_Ref95729563"/>
      <w:r w:rsidRPr="00A25DCB">
        <w:t>The submission applied a HR 0.649 for OS (</w:t>
      </w:r>
      <w:proofErr w:type="spellStart"/>
      <w:r w:rsidRPr="00A25DCB">
        <w:t>enfortumab</w:t>
      </w:r>
      <w:proofErr w:type="spellEnd"/>
      <w:r w:rsidRPr="00A25DCB">
        <w:t xml:space="preserve"> </w:t>
      </w:r>
      <w:proofErr w:type="spellStart"/>
      <w:r w:rsidRPr="00A25DCB">
        <w:t>vedotin</w:t>
      </w:r>
      <w:proofErr w:type="spellEnd"/>
      <w:r w:rsidRPr="00A25DCB">
        <w:t xml:space="preserve"> vs. docetaxel or paclitaxel) in modelling the OS curve of the comparator arm. The source of the </w:t>
      </w:r>
      <w:r w:rsidR="00E13328">
        <w:t>HR</w:t>
      </w:r>
      <w:r w:rsidRPr="00A25DCB">
        <w:t xml:space="preserve"> is not provided in the submission. Although no subgroup analysis can be identified in the CSR that excludes only vinflunine, the proposed HR for docetaxel or paclitaxel appears inconsistent with HRs reported in the CSR for other subgroups (HR 0.706, 0.705 and 0.770 when comparing with docetaxel only, paclitaxel only and vinflunine only respectively). As noted earlier, the choice of chemotherapy was not a stratification factor in EV-301</w:t>
      </w:r>
      <w:r w:rsidR="003D3DDE" w:rsidRPr="00A25DCB">
        <w:t>,</w:t>
      </w:r>
      <w:r w:rsidRPr="00A25DCB">
        <w:t xml:space="preserve"> patient baseline characteristics may differ systematically across these subgroups and the results can only be interpreted as observational and exploratory. </w:t>
      </w:r>
      <w:r w:rsidR="00216711" w:rsidRPr="0070260D">
        <w:t xml:space="preserve">The PSCR stated that the HRs reported for the ITT population in the CSR for the primary analysis (data </w:t>
      </w:r>
      <w:r w:rsidR="00D30A88" w:rsidRPr="0070260D">
        <w:t>cut-off</w:t>
      </w:r>
      <w:r w:rsidR="00216711" w:rsidRPr="0070260D">
        <w:t xml:space="preserve">: July 15, 2020) and the HRs applied in the model for the </w:t>
      </w:r>
      <w:proofErr w:type="spellStart"/>
      <w:r w:rsidR="00216711" w:rsidRPr="0070260D">
        <w:t>enfortumab</w:t>
      </w:r>
      <w:proofErr w:type="spellEnd"/>
      <w:r w:rsidR="00216711" w:rsidRPr="0070260D">
        <w:t xml:space="preserve"> </w:t>
      </w:r>
      <w:proofErr w:type="spellStart"/>
      <w:r w:rsidR="00216711" w:rsidRPr="0070260D">
        <w:t>vedotin</w:t>
      </w:r>
      <w:proofErr w:type="spellEnd"/>
      <w:r w:rsidR="00216711" w:rsidRPr="0070260D">
        <w:t xml:space="preserve"> versus </w:t>
      </w:r>
      <w:proofErr w:type="spellStart"/>
      <w:r w:rsidR="00216711" w:rsidRPr="0070260D">
        <w:t>taxanes</w:t>
      </w:r>
      <w:proofErr w:type="spellEnd"/>
      <w:r w:rsidR="00216711" w:rsidRPr="0070260D">
        <w:t xml:space="preserve"> group were based on Cox models that adjusted for ECOG PS, region, and liver metastasis. The PSCR) stated the HRs reported in the CSR for </w:t>
      </w:r>
      <w:proofErr w:type="spellStart"/>
      <w:r w:rsidR="00216711" w:rsidRPr="0070260D">
        <w:t>enfortumab</w:t>
      </w:r>
      <w:proofErr w:type="spellEnd"/>
      <w:r w:rsidR="00216711" w:rsidRPr="0070260D">
        <w:t xml:space="preserve"> </w:t>
      </w:r>
      <w:proofErr w:type="spellStart"/>
      <w:r w:rsidR="00216711" w:rsidRPr="0070260D">
        <w:t>vedotin</w:t>
      </w:r>
      <w:proofErr w:type="spellEnd"/>
      <w:r w:rsidR="00216711" w:rsidRPr="0070260D">
        <w:t xml:space="preserve"> versus subgroups treated with docetaxel and paclitaxel were based on unadjusted Cox models. </w:t>
      </w:r>
      <w:r w:rsidR="00425C2E" w:rsidRPr="0070260D">
        <w:t xml:space="preserve">The ESC considered the inconsistency of the HR with the study results is likely due to the method of generating the HR, the difference in baseline patient characteristics across the control therapies and imbalances of patients assigned to the different control therapies (with the potential for better performing patients being excluded with the removal of vinflunine). </w:t>
      </w:r>
      <w:r w:rsidRPr="0070260D">
        <w:t>T</w:t>
      </w:r>
      <w:r w:rsidR="003D3DDE" w:rsidRPr="0070260D">
        <w:t>he</w:t>
      </w:r>
      <w:r w:rsidRPr="0070260D">
        <w:t xml:space="preserve"> </w:t>
      </w:r>
      <w:r w:rsidR="00AB0384">
        <w:t>PBAC agreed with the ESC and</w:t>
      </w:r>
      <w:r w:rsidR="00425C2E" w:rsidRPr="0070260D">
        <w:t xml:space="preserve"> considered the </w:t>
      </w:r>
      <w:r w:rsidRPr="0070260D">
        <w:t xml:space="preserve">HR observed from the ITT population is </w:t>
      </w:r>
      <w:r w:rsidR="003D3DDE" w:rsidRPr="0070260D">
        <w:t xml:space="preserve">likely to be </w:t>
      </w:r>
      <w:r w:rsidRPr="0070260D">
        <w:t>more reasonable than the HR from th</w:t>
      </w:r>
      <w:r w:rsidR="003D3DDE" w:rsidRPr="0070260D">
        <w:t>e subgroup</w:t>
      </w:r>
      <w:r w:rsidRPr="0070260D">
        <w:t>.</w:t>
      </w:r>
      <w:r w:rsidR="00783139" w:rsidRPr="0070260D">
        <w:t xml:space="preserve"> </w:t>
      </w:r>
      <w:r w:rsidR="00425C2E" w:rsidRPr="0070260D">
        <w:t xml:space="preserve">The </w:t>
      </w:r>
      <w:r w:rsidR="00AB0384">
        <w:t>PBAC</w:t>
      </w:r>
      <w:r w:rsidR="00425C2E" w:rsidRPr="0070260D">
        <w:t xml:space="preserve"> noted that</w:t>
      </w:r>
      <w:r w:rsidR="00425C2E">
        <w:rPr>
          <w:i/>
          <w:iCs/>
        </w:rPr>
        <w:t xml:space="preserve"> </w:t>
      </w:r>
      <w:r w:rsidR="00425C2E">
        <w:t>d</w:t>
      </w:r>
      <w:r w:rsidR="00783139" w:rsidRPr="00A25DCB">
        <w:t xml:space="preserve">uring </w:t>
      </w:r>
      <w:r w:rsidR="003D3DDE" w:rsidRPr="00A25DCB">
        <w:t xml:space="preserve">the </w:t>
      </w:r>
      <w:r w:rsidR="00783139" w:rsidRPr="00A25DCB">
        <w:t>evaluation,</w:t>
      </w:r>
      <w:r w:rsidR="003D3DDE" w:rsidRPr="00A25DCB">
        <w:t xml:space="preserve"> the</w:t>
      </w:r>
      <w:r w:rsidR="00783139" w:rsidRPr="00A25DCB">
        <w:t xml:space="preserve"> HR from ITT population was used in the respecified </w:t>
      </w:r>
      <w:r w:rsidR="0001544A" w:rsidRPr="00A25DCB">
        <w:t>base-case</w:t>
      </w:r>
      <w:r w:rsidR="00783139" w:rsidRPr="00A25DCB">
        <w:t xml:space="preserve"> analysis.</w:t>
      </w:r>
      <w:bookmarkEnd w:id="23"/>
      <w:r w:rsidR="00BF7DF4">
        <w:t xml:space="preserve"> </w:t>
      </w:r>
    </w:p>
    <w:p w14:paraId="4BF44285" w14:textId="3D632EEB" w:rsidR="007A57F4" w:rsidRPr="00A25DCB" w:rsidRDefault="007A57F4" w:rsidP="007A57F4">
      <w:pPr>
        <w:pStyle w:val="3-BodyText"/>
      </w:pPr>
      <w:r w:rsidRPr="00A25DCB">
        <w:t xml:space="preserve">Due to the maturity of the PFS and </w:t>
      </w:r>
      <w:proofErr w:type="spellStart"/>
      <w:r w:rsidRPr="00A25DCB">
        <w:t>ToT</w:t>
      </w:r>
      <w:proofErr w:type="spellEnd"/>
      <w:r w:rsidRPr="00A25DCB">
        <w:t xml:space="preserve"> data, the model is not sensitive to the parametric functions for extrapolation or the HRs to model the PFS for the chemotherapy arm</w:t>
      </w:r>
      <w:r w:rsidR="003D3DDE" w:rsidRPr="00A25DCB">
        <w:t xml:space="preserve"> in the submission</w:t>
      </w:r>
      <w:r w:rsidR="007E0442" w:rsidRPr="00A25DCB">
        <w:t>’</w:t>
      </w:r>
      <w:r w:rsidR="003D3DDE" w:rsidRPr="00A25DCB">
        <w:t>s base-case</w:t>
      </w:r>
      <w:r w:rsidRPr="00A25DCB">
        <w:t>.</w:t>
      </w:r>
      <w:r w:rsidR="003D3DDE" w:rsidRPr="00A25DCB">
        <w:t xml:space="preserve"> In the respecified analysis, the model becomes slightly more sensitive to this parameter as the QALY gain due to incremental PFS accounts for a higher proportion of overall gain in the model.</w:t>
      </w:r>
    </w:p>
    <w:p w14:paraId="74A8C513" w14:textId="344645D9" w:rsidR="007A57F4" w:rsidRDefault="007A57F4" w:rsidP="007A57F4">
      <w:pPr>
        <w:pStyle w:val="3-BodyText"/>
      </w:pPr>
      <w:r w:rsidRPr="00D0520C">
        <w:t xml:space="preserve">Utilities </w:t>
      </w:r>
      <w:r>
        <w:t>were</w:t>
      </w:r>
      <w:r w:rsidRPr="00D0520C">
        <w:t xml:space="preserve"> derived from the results of EQ-5D-5L questionnaires administered to patients in the EV-301 trial. EQ-5D-5L results </w:t>
      </w:r>
      <w:r w:rsidRPr="003D3DDE">
        <w:t xml:space="preserve">were mapped to EQ-5D-3L </w:t>
      </w:r>
      <w:proofErr w:type="gramStart"/>
      <w:r w:rsidRPr="003D3DDE">
        <w:t>scores, and</w:t>
      </w:r>
      <w:proofErr w:type="gramEnd"/>
      <w:r w:rsidRPr="003D3DDE">
        <w:t xml:space="preserve"> translated to utilities using UK preference weights. The submission stated that UK preference weights were used due to the absence of appropriate Australian weights. </w:t>
      </w:r>
      <w:r w:rsidR="00383A28" w:rsidRPr="002053CC">
        <w:t xml:space="preserve">The ESC considered that use of Australian EQ-5D-3L utility weights </w:t>
      </w:r>
      <w:r w:rsidR="001E2EF7" w:rsidRPr="002053CC">
        <w:t>would be more appropriate.</w:t>
      </w:r>
      <w:r w:rsidR="00FB6628" w:rsidRPr="002053CC">
        <w:rPr>
          <w:rStyle w:val="FootnoteReference"/>
        </w:rPr>
        <w:footnoteReference w:id="7"/>
      </w:r>
      <w:r w:rsidR="001E2EF7" w:rsidRPr="002053CC">
        <w:t xml:space="preserve"> The ESC noted that individual patient data of EQ-5D would be required to test the impact of using Australian preference weights.</w:t>
      </w:r>
      <w:r w:rsidR="001E2EF7">
        <w:rPr>
          <w:i/>
          <w:iCs/>
        </w:rPr>
        <w:t xml:space="preserve"> </w:t>
      </w:r>
    </w:p>
    <w:p w14:paraId="099D652A" w14:textId="08E25686" w:rsidR="007A57F4" w:rsidRPr="00A25DCB" w:rsidRDefault="007A57F4" w:rsidP="007A57F4">
      <w:pPr>
        <w:pStyle w:val="3-BodyText"/>
        <w:rPr>
          <w:iCs/>
        </w:rPr>
      </w:pPr>
      <w:r w:rsidRPr="005B7A39">
        <w:t xml:space="preserve">The EV-301 study reported a trend toward a higher utility estimates in patients treated with </w:t>
      </w:r>
      <w:proofErr w:type="spellStart"/>
      <w:r w:rsidRPr="005B7A39">
        <w:t>enfortumab</w:t>
      </w:r>
      <w:proofErr w:type="spellEnd"/>
      <w:r w:rsidRPr="005B7A39">
        <w:t xml:space="preserve"> </w:t>
      </w:r>
      <w:proofErr w:type="spellStart"/>
      <w:r w:rsidRPr="005B7A39">
        <w:t>vedotin</w:t>
      </w:r>
      <w:proofErr w:type="spellEnd"/>
      <w:r w:rsidRPr="005B7A39">
        <w:t xml:space="preserve"> compared with chemotherapy in the progression free health state, and the submission applied treatment specific utility values for this health state. A single utility value was applied in the post progression health state.</w:t>
      </w:r>
      <w:r>
        <w:t xml:space="preserve"> </w:t>
      </w:r>
      <w:r w:rsidR="004A73FE" w:rsidRPr="00A25DCB">
        <w:rPr>
          <w:iCs/>
        </w:rPr>
        <w:t>As noted earlier, g</w:t>
      </w:r>
      <w:r w:rsidRPr="00A25DCB">
        <w:rPr>
          <w:iCs/>
        </w:rPr>
        <w:t xml:space="preserve">iven the low compliance rate </w:t>
      </w:r>
      <w:r w:rsidR="004A73FE" w:rsidRPr="00A25DCB">
        <w:rPr>
          <w:iCs/>
        </w:rPr>
        <w:t>for the EQ-5D in EV-301</w:t>
      </w:r>
      <w:r w:rsidRPr="00A25DCB">
        <w:rPr>
          <w:iCs/>
        </w:rPr>
        <w:t>, and the open label design of the trial, the results of EQ-5D data were subject to bias.</w:t>
      </w:r>
      <w:r w:rsidR="005A0DFE">
        <w:rPr>
          <w:iCs/>
        </w:rPr>
        <w:t xml:space="preserve"> </w:t>
      </w:r>
      <w:r w:rsidR="005A0DFE" w:rsidRPr="002053CC">
        <w:rPr>
          <w:iCs/>
        </w:rPr>
        <w:t xml:space="preserve">The PSCR argued that the direction of the bias would be against </w:t>
      </w:r>
      <w:proofErr w:type="spellStart"/>
      <w:r w:rsidR="005A0DFE" w:rsidRPr="002053CC">
        <w:rPr>
          <w:iCs/>
        </w:rPr>
        <w:t>enfortumab</w:t>
      </w:r>
      <w:proofErr w:type="spellEnd"/>
      <w:r w:rsidR="005A0DFE" w:rsidRPr="002053CC">
        <w:rPr>
          <w:iCs/>
        </w:rPr>
        <w:t xml:space="preserve"> </w:t>
      </w:r>
      <w:proofErr w:type="spellStart"/>
      <w:r w:rsidR="005A0DFE" w:rsidRPr="002053CC">
        <w:rPr>
          <w:iCs/>
        </w:rPr>
        <w:t>vedotin</w:t>
      </w:r>
      <w:proofErr w:type="spellEnd"/>
      <w:r w:rsidR="005A0DFE" w:rsidRPr="002053CC">
        <w:rPr>
          <w:iCs/>
        </w:rPr>
        <w:t xml:space="preserve"> (see paragraph </w:t>
      </w:r>
      <w:r w:rsidR="00892265" w:rsidRPr="002053CC">
        <w:rPr>
          <w:iCs/>
        </w:rPr>
        <w:fldChar w:fldCharType="begin"/>
      </w:r>
      <w:r w:rsidR="00892265" w:rsidRPr="002053CC">
        <w:rPr>
          <w:iCs/>
        </w:rPr>
        <w:instrText xml:space="preserve"> REF _Ref95664135 \r \h </w:instrText>
      </w:r>
      <w:r w:rsidR="002053CC">
        <w:rPr>
          <w:iCs/>
        </w:rPr>
        <w:instrText xml:space="preserve"> \* MERGEFORMAT </w:instrText>
      </w:r>
      <w:r w:rsidR="00892265" w:rsidRPr="002053CC">
        <w:rPr>
          <w:iCs/>
        </w:rPr>
      </w:r>
      <w:r w:rsidR="00892265" w:rsidRPr="002053CC">
        <w:rPr>
          <w:iCs/>
        </w:rPr>
        <w:fldChar w:fldCharType="separate"/>
      </w:r>
      <w:r w:rsidR="00856873">
        <w:rPr>
          <w:iCs/>
        </w:rPr>
        <w:t>6.13</w:t>
      </w:r>
      <w:r w:rsidR="00892265" w:rsidRPr="002053CC">
        <w:rPr>
          <w:iCs/>
        </w:rPr>
        <w:fldChar w:fldCharType="end"/>
      </w:r>
      <w:r w:rsidR="00892265" w:rsidRPr="002053CC">
        <w:rPr>
          <w:iCs/>
        </w:rPr>
        <w:t>).</w:t>
      </w:r>
      <w:r w:rsidR="00892265">
        <w:rPr>
          <w:i/>
        </w:rPr>
        <w:t xml:space="preserve"> </w:t>
      </w:r>
    </w:p>
    <w:p w14:paraId="763EA816" w14:textId="57753FC2" w:rsidR="007A57F4" w:rsidRPr="00A25DCB" w:rsidRDefault="007A57F4" w:rsidP="007A57F4">
      <w:pPr>
        <w:pStyle w:val="3-BodyText"/>
        <w:rPr>
          <w:iCs/>
        </w:rPr>
      </w:pPr>
      <w:r w:rsidRPr="00A25DCB">
        <w:rPr>
          <w:iCs/>
        </w:rPr>
        <w:t xml:space="preserve">The utility values used in the submission (0.74 for progression free in </w:t>
      </w:r>
      <w:proofErr w:type="spellStart"/>
      <w:r w:rsidRPr="00A25DCB">
        <w:rPr>
          <w:iCs/>
        </w:rPr>
        <w:t>enfortumab</w:t>
      </w:r>
      <w:proofErr w:type="spellEnd"/>
      <w:r w:rsidRPr="00A25DCB">
        <w:rPr>
          <w:iCs/>
        </w:rPr>
        <w:t xml:space="preserve"> </w:t>
      </w:r>
      <w:proofErr w:type="spellStart"/>
      <w:r w:rsidRPr="00A25DCB">
        <w:rPr>
          <w:iCs/>
        </w:rPr>
        <w:t>vedotin</w:t>
      </w:r>
      <w:proofErr w:type="spellEnd"/>
      <w:r w:rsidRPr="00A25DCB">
        <w:rPr>
          <w:iCs/>
        </w:rPr>
        <w:t xml:space="preserve"> arm, 0.71 for progression free in chemotherapy arm, and 0.61 for progressed disease in both arms) are higher than those applied in a cost-utility analysis of atezolizumab for second-line treatment of metastatic bladder cancer</w:t>
      </w:r>
      <w:r w:rsidR="003D3DDE" w:rsidRPr="00A25DCB">
        <w:rPr>
          <w:rStyle w:val="FootnoteReference"/>
          <w:iCs/>
        </w:rPr>
        <w:footnoteReference w:id="8"/>
      </w:r>
      <w:r w:rsidRPr="00A25DCB">
        <w:rPr>
          <w:iCs/>
        </w:rPr>
        <w:t xml:space="preserve"> derived from </w:t>
      </w:r>
      <w:proofErr w:type="spellStart"/>
      <w:r w:rsidRPr="00A25DCB">
        <w:rPr>
          <w:iCs/>
        </w:rPr>
        <w:t>I</w:t>
      </w:r>
      <w:r w:rsidR="007E0442" w:rsidRPr="00A25DCB">
        <w:rPr>
          <w:iCs/>
        </w:rPr>
        <w:t>m</w:t>
      </w:r>
      <w:r w:rsidRPr="00A25DCB">
        <w:rPr>
          <w:iCs/>
        </w:rPr>
        <w:t>vigor</w:t>
      </w:r>
      <w:proofErr w:type="spellEnd"/>
      <w:r w:rsidRPr="00A25DCB">
        <w:rPr>
          <w:iCs/>
        </w:rPr>
        <w:t xml:space="preserve"> 211, a study of atezolizumab in metastatic bladder cancer. However, they are consistent with the values deemed acceptable in the NICE single technology assessment of nivolumab for the treatment of la/</w:t>
      </w:r>
      <w:proofErr w:type="spellStart"/>
      <w:r w:rsidRPr="00A25DCB">
        <w:rPr>
          <w:iCs/>
        </w:rPr>
        <w:t>mUC</w:t>
      </w:r>
      <w:proofErr w:type="spellEnd"/>
      <w:r w:rsidRPr="00A25DCB">
        <w:rPr>
          <w:iCs/>
        </w:rPr>
        <w:t xml:space="preserve"> following failure after platinum chemotherapy.</w:t>
      </w:r>
      <w:r w:rsidR="00892265">
        <w:rPr>
          <w:iCs/>
        </w:rPr>
        <w:t xml:space="preserve"> </w:t>
      </w:r>
      <w:r w:rsidR="00892265" w:rsidRPr="002053CC">
        <w:rPr>
          <w:iCs/>
        </w:rPr>
        <w:t>The ESC noted the differential utilities by treatment arm for the progression free health state. Noting the different adverse event profiles of the two treatment arms the ESC considered that</w:t>
      </w:r>
      <w:r w:rsidR="00D45040" w:rsidRPr="002053CC">
        <w:rPr>
          <w:iCs/>
        </w:rPr>
        <w:t xml:space="preserve"> the use of a higher utility value for the progression free state for patients treated with </w:t>
      </w:r>
      <w:proofErr w:type="spellStart"/>
      <w:r w:rsidR="00B00220" w:rsidRPr="002053CC">
        <w:rPr>
          <w:iCs/>
        </w:rPr>
        <w:t>enfortumab</w:t>
      </w:r>
      <w:proofErr w:type="spellEnd"/>
      <w:r w:rsidR="00D45040" w:rsidRPr="002053CC">
        <w:rPr>
          <w:iCs/>
        </w:rPr>
        <w:t xml:space="preserve"> </w:t>
      </w:r>
      <w:proofErr w:type="spellStart"/>
      <w:r w:rsidR="00D45040" w:rsidRPr="002053CC">
        <w:rPr>
          <w:iCs/>
        </w:rPr>
        <w:t>vedotin</w:t>
      </w:r>
      <w:proofErr w:type="spellEnd"/>
      <w:r w:rsidR="00D45040" w:rsidRPr="002053CC">
        <w:rPr>
          <w:iCs/>
        </w:rPr>
        <w:t xml:space="preserve"> was not adequately supported and</w:t>
      </w:r>
      <w:r w:rsidR="00892265" w:rsidRPr="002053CC">
        <w:rPr>
          <w:iCs/>
        </w:rPr>
        <w:t xml:space="preserve"> </w:t>
      </w:r>
      <w:r w:rsidR="00C87621" w:rsidRPr="002053CC">
        <w:rPr>
          <w:iCs/>
        </w:rPr>
        <w:t xml:space="preserve">it may be more appropriate to use </w:t>
      </w:r>
      <w:r w:rsidR="006006A4" w:rsidRPr="002053CC">
        <w:rPr>
          <w:iCs/>
        </w:rPr>
        <w:t>non-treatment specific utilities for the progression free health state (in addition to the use of non-treatment specific utilities for progressed disease).</w:t>
      </w:r>
      <w:r w:rsidR="004948D8">
        <w:rPr>
          <w:iCs/>
        </w:rPr>
        <w:t xml:space="preserve"> The pre-PBAC response accepted that any respecified base case analysis could assume </w:t>
      </w:r>
      <w:bookmarkStart w:id="24" w:name="_Hlk100175789"/>
      <w:r w:rsidR="004948D8">
        <w:rPr>
          <w:iCs/>
        </w:rPr>
        <w:t>non-treatment specific utilities for patients in equivalent health states regardless of treatment arm</w:t>
      </w:r>
      <w:bookmarkEnd w:id="24"/>
      <w:r w:rsidR="004948D8">
        <w:rPr>
          <w:iCs/>
        </w:rPr>
        <w:t xml:space="preserve">. </w:t>
      </w:r>
    </w:p>
    <w:p w14:paraId="4E0022A3" w14:textId="11D75723" w:rsidR="007A57F4" w:rsidRPr="00CA4DBA" w:rsidRDefault="007A57F4" w:rsidP="00942E83">
      <w:pPr>
        <w:pStyle w:val="3-BodyText"/>
      </w:pPr>
      <w:r w:rsidRPr="00CA4DBA">
        <w:t>The key drivers of the model are summarised below.</w:t>
      </w:r>
    </w:p>
    <w:p w14:paraId="763D9596" w14:textId="3875FDAA" w:rsidR="007A57F4" w:rsidRPr="00CA4DBA" w:rsidRDefault="007A57F4" w:rsidP="007A57F4">
      <w:pPr>
        <w:pStyle w:val="TableFigureHeading"/>
        <w:rPr>
          <w:rStyle w:val="CommentReference"/>
          <w:rFonts w:ascii="Calibri" w:hAnsi="Calibri"/>
          <w:b/>
          <w:sz w:val="18"/>
          <w:szCs w:val="18"/>
        </w:rPr>
      </w:pPr>
      <w:r>
        <w:t xml:space="preserve">Table </w:t>
      </w:r>
      <w:r w:rsidR="00F06F14">
        <w:fldChar w:fldCharType="begin"/>
      </w:r>
      <w:r w:rsidR="00F06F14">
        <w:instrText xml:space="preserve"> SEQ Table \* ARABIC </w:instrText>
      </w:r>
      <w:r w:rsidR="00F06F14">
        <w:fldChar w:fldCharType="separate"/>
      </w:r>
      <w:r w:rsidR="00234F7B">
        <w:rPr>
          <w:noProof/>
        </w:rPr>
        <w:t>9</w:t>
      </w:r>
      <w:r w:rsidR="00F06F14">
        <w:rPr>
          <w:noProof/>
        </w:rPr>
        <w:fldChar w:fldCharType="end"/>
      </w:r>
      <w:r>
        <w:t xml:space="preserve">: </w:t>
      </w:r>
      <w:r w:rsidRPr="00BB00B3">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695"/>
        <w:gridCol w:w="4539"/>
        <w:gridCol w:w="2783"/>
      </w:tblGrid>
      <w:tr w:rsidR="007A57F4" w:rsidRPr="003D1DE4" w14:paraId="5A62AA7B" w14:textId="77777777" w:rsidTr="00635561">
        <w:trPr>
          <w:tblHeader/>
        </w:trPr>
        <w:tc>
          <w:tcPr>
            <w:tcW w:w="940" w:type="pct"/>
            <w:shd w:val="clear" w:color="auto" w:fill="auto"/>
            <w:vAlign w:val="center"/>
          </w:tcPr>
          <w:p w14:paraId="33A09B8C" w14:textId="77777777" w:rsidR="007A57F4" w:rsidRPr="003D1DE4" w:rsidRDefault="007A57F4" w:rsidP="00125618">
            <w:pPr>
              <w:pStyle w:val="In-tableHeading"/>
              <w:jc w:val="center"/>
            </w:pPr>
            <w:r w:rsidRPr="003D1DE4">
              <w:t>Description</w:t>
            </w:r>
          </w:p>
        </w:tc>
        <w:tc>
          <w:tcPr>
            <w:tcW w:w="2517" w:type="pct"/>
            <w:shd w:val="clear" w:color="auto" w:fill="auto"/>
            <w:vAlign w:val="center"/>
          </w:tcPr>
          <w:p w14:paraId="337C0DAC" w14:textId="77777777" w:rsidR="007A57F4" w:rsidRPr="003D1DE4" w:rsidRDefault="007A57F4" w:rsidP="00125618">
            <w:pPr>
              <w:pStyle w:val="In-tableHeading"/>
              <w:jc w:val="center"/>
            </w:pPr>
            <w:r w:rsidRPr="003D1DE4">
              <w:t>Method/Value</w:t>
            </w:r>
          </w:p>
        </w:tc>
        <w:tc>
          <w:tcPr>
            <w:tcW w:w="1543" w:type="pct"/>
            <w:shd w:val="clear" w:color="auto" w:fill="auto"/>
            <w:vAlign w:val="center"/>
          </w:tcPr>
          <w:p w14:paraId="0B18C176" w14:textId="77777777" w:rsidR="007A57F4" w:rsidRDefault="007A57F4" w:rsidP="00C303CF">
            <w:pPr>
              <w:pStyle w:val="In-tableHeading"/>
              <w:jc w:val="center"/>
            </w:pPr>
            <w:r w:rsidRPr="003D1DE4">
              <w:t>Impact</w:t>
            </w:r>
          </w:p>
          <w:p w14:paraId="65571F8F" w14:textId="1C35F34D" w:rsidR="00C303CF" w:rsidRPr="003D1DE4" w:rsidRDefault="0001544A" w:rsidP="00C303CF">
            <w:pPr>
              <w:pStyle w:val="In-tableHeading"/>
              <w:jc w:val="center"/>
            </w:pPr>
            <w:r>
              <w:t>Base-case</w:t>
            </w:r>
            <w:r w:rsidR="00C303CF">
              <w:t xml:space="preserve"> ICER $</w:t>
            </w:r>
            <w:r w:rsidR="00C828EC" w:rsidRPr="00C828EC">
              <w:rPr>
                <w:color w:val="000000"/>
                <w:spacing w:val="103"/>
                <w:shd w:val="solid" w:color="000000" w:fill="000000"/>
                <w:fitText w:val="195" w:id="-1502409470"/>
                <w14:textFill>
                  <w14:solidFill>
                    <w14:srgbClr w14:val="000000">
                      <w14:alpha w14:val="100000"/>
                    </w14:srgbClr>
                  </w14:solidFill>
                </w14:textFill>
              </w:rPr>
              <w:t>|</w:t>
            </w:r>
            <w:r w:rsidR="00C828EC" w:rsidRPr="00C828EC">
              <w:rPr>
                <w:color w:val="000000"/>
                <w:spacing w:val="1"/>
                <w:shd w:val="solid" w:color="000000" w:fill="000000"/>
                <w:fitText w:val="195" w:id="-1502409470"/>
                <w14:textFill>
                  <w14:solidFill>
                    <w14:srgbClr w14:val="000000">
                      <w14:alpha w14:val="100000"/>
                    </w14:srgbClr>
                  </w14:solidFill>
                </w14:textFill>
              </w:rPr>
              <w:t>|</w:t>
            </w:r>
            <w:r w:rsidR="004C345B">
              <w:rPr>
                <w:vertAlign w:val="superscript"/>
              </w:rPr>
              <w:t>1</w:t>
            </w:r>
            <w:r w:rsidR="00C303CF">
              <w:t>/QALY</w:t>
            </w:r>
          </w:p>
        </w:tc>
      </w:tr>
      <w:tr w:rsidR="007A57F4" w:rsidRPr="00E2771E" w14:paraId="72C0A072" w14:textId="77777777" w:rsidTr="00635561">
        <w:tc>
          <w:tcPr>
            <w:tcW w:w="940" w:type="pct"/>
            <w:shd w:val="clear" w:color="auto" w:fill="auto"/>
            <w:vAlign w:val="center"/>
          </w:tcPr>
          <w:p w14:paraId="1633225A" w14:textId="77777777" w:rsidR="007A57F4" w:rsidRPr="00E2771E" w:rsidRDefault="007A57F4" w:rsidP="00E552D7">
            <w:pPr>
              <w:pStyle w:val="TableText0"/>
              <w:rPr>
                <w:lang w:val="en-US"/>
              </w:rPr>
            </w:pPr>
            <w:r>
              <w:rPr>
                <w:lang w:val="en-US"/>
              </w:rPr>
              <w:t>Extrapolation</w:t>
            </w:r>
          </w:p>
        </w:tc>
        <w:tc>
          <w:tcPr>
            <w:tcW w:w="2517" w:type="pct"/>
            <w:shd w:val="clear" w:color="auto" w:fill="auto"/>
            <w:vAlign w:val="center"/>
          </w:tcPr>
          <w:p w14:paraId="32A2C0B3" w14:textId="589F080D" w:rsidR="007A57F4" w:rsidRPr="00E2771E" w:rsidRDefault="00C303CF" w:rsidP="00125618">
            <w:pPr>
              <w:pStyle w:val="TableText0"/>
              <w:rPr>
                <w:lang w:val="en-US"/>
              </w:rPr>
            </w:pPr>
            <w:r>
              <w:rPr>
                <w:lang w:val="en-US"/>
              </w:rPr>
              <w:t xml:space="preserve">Exponential distribution was used for OS extrapolation in the </w:t>
            </w:r>
            <w:r w:rsidR="0001544A">
              <w:rPr>
                <w:lang w:val="en-US"/>
              </w:rPr>
              <w:t>base-case</w:t>
            </w:r>
            <w:r>
              <w:rPr>
                <w:lang w:val="en-US"/>
              </w:rPr>
              <w:t xml:space="preserve"> of the model</w:t>
            </w:r>
          </w:p>
        </w:tc>
        <w:tc>
          <w:tcPr>
            <w:tcW w:w="1543" w:type="pct"/>
            <w:shd w:val="clear" w:color="auto" w:fill="auto"/>
            <w:vAlign w:val="center"/>
          </w:tcPr>
          <w:p w14:paraId="28C75770" w14:textId="22962650" w:rsidR="007A57F4" w:rsidRPr="00A25DCB" w:rsidRDefault="007A57F4" w:rsidP="00125618">
            <w:pPr>
              <w:pStyle w:val="TableText0"/>
              <w:rPr>
                <w:iCs/>
                <w:lang w:val="en-US"/>
              </w:rPr>
            </w:pPr>
            <w:r w:rsidRPr="00A25DCB">
              <w:rPr>
                <w:iCs/>
                <w:lang w:val="en-US"/>
              </w:rPr>
              <w:t>H</w:t>
            </w:r>
            <w:r w:rsidR="00C303CF" w:rsidRPr="00A25DCB">
              <w:rPr>
                <w:iCs/>
                <w:lang w:val="en-US"/>
              </w:rPr>
              <w:t xml:space="preserve">igh, </w:t>
            </w:r>
            <w:proofErr w:type="spellStart"/>
            <w:r w:rsidR="00C303CF" w:rsidRPr="00A25DCB">
              <w:rPr>
                <w:iCs/>
                <w:lang w:val="en-US"/>
              </w:rPr>
              <w:t>favours</w:t>
            </w:r>
            <w:proofErr w:type="spellEnd"/>
            <w:r w:rsidR="00C303CF" w:rsidRPr="00A25DCB">
              <w:rPr>
                <w:iCs/>
                <w:lang w:val="en-US"/>
              </w:rPr>
              <w:t xml:space="preserve"> </w:t>
            </w:r>
            <w:proofErr w:type="spellStart"/>
            <w:r w:rsidR="00C303CF" w:rsidRPr="00A25DCB">
              <w:rPr>
                <w:iCs/>
                <w:lang w:val="en-US"/>
              </w:rPr>
              <w:t>enfortumab</w:t>
            </w:r>
            <w:proofErr w:type="spellEnd"/>
            <w:r w:rsidR="00C303CF" w:rsidRPr="00A25DCB">
              <w:rPr>
                <w:iCs/>
                <w:lang w:val="en-US"/>
              </w:rPr>
              <w:t xml:space="preserve"> </w:t>
            </w:r>
            <w:proofErr w:type="spellStart"/>
            <w:r w:rsidR="00C303CF" w:rsidRPr="00A25DCB">
              <w:rPr>
                <w:iCs/>
                <w:lang w:val="en-US"/>
              </w:rPr>
              <w:t>vedotin</w:t>
            </w:r>
            <w:proofErr w:type="spellEnd"/>
            <w:r w:rsidR="000B598C" w:rsidRPr="00A25DCB">
              <w:rPr>
                <w:iCs/>
                <w:lang w:val="en-US"/>
              </w:rPr>
              <w:t>.</w:t>
            </w:r>
          </w:p>
          <w:p w14:paraId="02723750" w14:textId="4BCD97FA" w:rsidR="007A57F4" w:rsidRPr="00A25DCB" w:rsidRDefault="007A57F4" w:rsidP="00C303CF">
            <w:pPr>
              <w:pStyle w:val="TableText0"/>
              <w:rPr>
                <w:iCs/>
                <w:lang w:val="en-US"/>
              </w:rPr>
            </w:pPr>
            <w:r w:rsidRPr="00A25DCB">
              <w:rPr>
                <w:iCs/>
                <w:lang w:val="en-US"/>
              </w:rPr>
              <w:t xml:space="preserve">Use of </w:t>
            </w:r>
            <w:r w:rsidR="00C303CF" w:rsidRPr="00A25DCB">
              <w:rPr>
                <w:iCs/>
                <w:lang w:val="en-US"/>
              </w:rPr>
              <w:t>Weibull distribution</w:t>
            </w:r>
            <w:r w:rsidRPr="00A25DCB">
              <w:rPr>
                <w:iCs/>
                <w:lang w:val="en-US"/>
              </w:rPr>
              <w:t xml:space="preserve"> increased the ICER to $</w:t>
            </w:r>
            <w:r w:rsidR="00C828EC" w:rsidRPr="00C828EC">
              <w:rPr>
                <w:iCs/>
                <w:color w:val="000000"/>
                <w:spacing w:val="53"/>
                <w:shd w:val="solid" w:color="000000" w:fill="000000"/>
                <w:fitText w:val="330" w:id="-1502409469"/>
                <w:lang w:val="en-US"/>
                <w14:textFill>
                  <w14:solidFill>
                    <w14:srgbClr w14:val="000000">
                      <w14:alpha w14:val="100000"/>
                    </w14:srgbClr>
                  </w14:solidFill>
                </w14:textFill>
              </w:rPr>
              <w:t>|||</w:t>
            </w:r>
            <w:r w:rsidR="00C828EC" w:rsidRPr="00C828EC">
              <w:rPr>
                <w:iCs/>
                <w:color w:val="000000"/>
                <w:spacing w:val="1"/>
                <w:shd w:val="solid" w:color="000000" w:fill="000000"/>
                <w:fitText w:val="330" w:id="-1502409469"/>
                <w:lang w:val="en-US"/>
                <w14:textFill>
                  <w14:solidFill>
                    <w14:srgbClr w14:val="000000">
                      <w14:alpha w14:val="100000"/>
                    </w14:srgbClr>
                  </w14:solidFill>
                </w14:textFill>
              </w:rPr>
              <w:t>|</w:t>
            </w:r>
            <w:r w:rsidR="004C345B">
              <w:rPr>
                <w:iCs/>
                <w:vertAlign w:val="superscript"/>
                <w:lang w:val="en-US"/>
              </w:rPr>
              <w:t>2</w:t>
            </w:r>
            <w:r w:rsidRPr="00A25DCB">
              <w:rPr>
                <w:iCs/>
                <w:lang w:val="en-US"/>
              </w:rPr>
              <w:t xml:space="preserve">/QALY gained. </w:t>
            </w:r>
          </w:p>
        </w:tc>
      </w:tr>
      <w:tr w:rsidR="007A57F4" w:rsidRPr="00E2771E" w14:paraId="529FC413" w14:textId="77777777" w:rsidTr="00635561">
        <w:tc>
          <w:tcPr>
            <w:tcW w:w="940" w:type="pct"/>
            <w:shd w:val="clear" w:color="auto" w:fill="auto"/>
            <w:vAlign w:val="center"/>
          </w:tcPr>
          <w:p w14:paraId="62D831F2" w14:textId="21DA3F07" w:rsidR="007A57F4" w:rsidRPr="00E2771E" w:rsidRDefault="00E552D7" w:rsidP="00E552D7">
            <w:pPr>
              <w:pStyle w:val="TableText0"/>
              <w:rPr>
                <w:lang w:val="en-US"/>
              </w:rPr>
            </w:pPr>
            <w:r>
              <w:rPr>
                <w:lang w:val="en-US"/>
              </w:rPr>
              <w:t xml:space="preserve">OS HR used to generate OS curve for the chemotherapy arm </w:t>
            </w:r>
          </w:p>
        </w:tc>
        <w:tc>
          <w:tcPr>
            <w:tcW w:w="2517" w:type="pct"/>
            <w:shd w:val="clear" w:color="auto" w:fill="auto"/>
            <w:vAlign w:val="center"/>
          </w:tcPr>
          <w:p w14:paraId="1B00FD7D" w14:textId="5C1F771A" w:rsidR="007A57F4" w:rsidRPr="00E2771E" w:rsidRDefault="00E552D7" w:rsidP="00125618">
            <w:pPr>
              <w:pStyle w:val="TableText0"/>
              <w:rPr>
                <w:lang w:val="en-US"/>
              </w:rPr>
            </w:pPr>
            <w:r>
              <w:rPr>
                <w:lang w:val="en-US"/>
              </w:rPr>
              <w:t>The submission used OS HR from the subgroup of patients receiving docetaxel or paclitaxel in the comparator arm (</w:t>
            </w:r>
            <w:proofErr w:type="gramStart"/>
            <w:r>
              <w:rPr>
                <w:lang w:val="en-US"/>
              </w:rPr>
              <w:t>i.e.</w:t>
            </w:r>
            <w:proofErr w:type="gramEnd"/>
            <w:r>
              <w:rPr>
                <w:lang w:val="en-US"/>
              </w:rPr>
              <w:t xml:space="preserve"> excluding patients who have received vinflunine)</w:t>
            </w:r>
          </w:p>
        </w:tc>
        <w:tc>
          <w:tcPr>
            <w:tcW w:w="1543" w:type="pct"/>
            <w:shd w:val="clear" w:color="auto" w:fill="auto"/>
            <w:vAlign w:val="center"/>
          </w:tcPr>
          <w:p w14:paraId="10095F75" w14:textId="7A19888D" w:rsidR="007A57F4" w:rsidRPr="00A25DCB" w:rsidRDefault="00E552D7" w:rsidP="00E13328">
            <w:pPr>
              <w:pStyle w:val="TableText0"/>
              <w:rPr>
                <w:iCs/>
                <w:lang w:val="en-US"/>
              </w:rPr>
            </w:pPr>
            <w:r w:rsidRPr="00A25DCB">
              <w:rPr>
                <w:iCs/>
                <w:lang w:val="en-US"/>
              </w:rPr>
              <w:t>Moderate</w:t>
            </w:r>
            <w:r w:rsidR="007A57F4" w:rsidRPr="00A25DCB">
              <w:rPr>
                <w:iCs/>
                <w:lang w:val="en-US"/>
              </w:rPr>
              <w:t xml:space="preserve">, </w:t>
            </w:r>
            <w:proofErr w:type="spellStart"/>
            <w:r w:rsidR="007A57F4" w:rsidRPr="00A25DCB">
              <w:rPr>
                <w:iCs/>
                <w:lang w:val="en-US"/>
              </w:rPr>
              <w:t>favours</w:t>
            </w:r>
            <w:proofErr w:type="spellEnd"/>
            <w:r w:rsidR="007A57F4" w:rsidRPr="00A25DCB">
              <w:rPr>
                <w:iCs/>
                <w:lang w:val="en-US"/>
              </w:rPr>
              <w:t xml:space="preserve"> </w:t>
            </w:r>
            <w:proofErr w:type="spellStart"/>
            <w:r w:rsidRPr="00A25DCB">
              <w:rPr>
                <w:iCs/>
                <w:lang w:val="en-US"/>
              </w:rPr>
              <w:t>enfortumab</w:t>
            </w:r>
            <w:proofErr w:type="spellEnd"/>
            <w:r w:rsidRPr="00A25DCB">
              <w:rPr>
                <w:iCs/>
                <w:lang w:val="en-US"/>
              </w:rPr>
              <w:t xml:space="preserve"> </w:t>
            </w:r>
            <w:proofErr w:type="spellStart"/>
            <w:r w:rsidRPr="00A25DCB">
              <w:rPr>
                <w:iCs/>
                <w:lang w:val="en-US"/>
              </w:rPr>
              <w:t>vedotin</w:t>
            </w:r>
            <w:proofErr w:type="spellEnd"/>
            <w:r w:rsidRPr="00A25DCB">
              <w:rPr>
                <w:iCs/>
                <w:lang w:val="en-US"/>
              </w:rPr>
              <w:t>.</w:t>
            </w:r>
            <w:r w:rsidR="007A57F4" w:rsidRPr="00A25DCB">
              <w:rPr>
                <w:iCs/>
                <w:lang w:val="en-US"/>
              </w:rPr>
              <w:t xml:space="preserve"> Use of </w:t>
            </w:r>
            <w:r w:rsidRPr="00A25DCB">
              <w:rPr>
                <w:iCs/>
                <w:lang w:val="en-US"/>
              </w:rPr>
              <w:t xml:space="preserve">OS HR from the ITT population </w:t>
            </w:r>
            <w:r w:rsidR="007A57F4" w:rsidRPr="00A25DCB">
              <w:rPr>
                <w:iCs/>
                <w:lang w:val="en-US"/>
              </w:rPr>
              <w:t>increased the ICER to $</w:t>
            </w:r>
            <w:r w:rsidR="00C828EC" w:rsidRPr="00C828EC">
              <w:rPr>
                <w:iCs/>
                <w:color w:val="000000"/>
                <w:spacing w:val="53"/>
                <w:shd w:val="solid" w:color="000000" w:fill="000000"/>
                <w:fitText w:val="330" w:id="-1502409468"/>
                <w:lang w:val="en-US"/>
                <w14:textFill>
                  <w14:solidFill>
                    <w14:srgbClr w14:val="000000">
                      <w14:alpha w14:val="100000"/>
                    </w14:srgbClr>
                  </w14:solidFill>
                </w14:textFill>
              </w:rPr>
              <w:t>|||</w:t>
            </w:r>
            <w:r w:rsidR="00C828EC" w:rsidRPr="00C828EC">
              <w:rPr>
                <w:iCs/>
                <w:color w:val="000000"/>
                <w:spacing w:val="1"/>
                <w:shd w:val="solid" w:color="000000" w:fill="000000"/>
                <w:fitText w:val="330" w:id="-1502409468"/>
                <w:lang w:val="en-US"/>
                <w14:textFill>
                  <w14:solidFill>
                    <w14:srgbClr w14:val="000000">
                      <w14:alpha w14:val="100000"/>
                    </w14:srgbClr>
                  </w14:solidFill>
                </w14:textFill>
              </w:rPr>
              <w:t>|</w:t>
            </w:r>
            <w:r w:rsidR="004C345B">
              <w:rPr>
                <w:iCs/>
                <w:vertAlign w:val="superscript"/>
                <w:lang w:val="en-US"/>
              </w:rPr>
              <w:t>3</w:t>
            </w:r>
            <w:r w:rsidR="007A57F4" w:rsidRPr="00A25DCB">
              <w:rPr>
                <w:iCs/>
                <w:lang w:val="en-US"/>
              </w:rPr>
              <w:t xml:space="preserve">/QALY </w:t>
            </w:r>
            <w:proofErr w:type="spellStart"/>
            <w:r w:rsidR="007A57F4" w:rsidRPr="00A25DCB">
              <w:rPr>
                <w:iCs/>
                <w:lang w:val="en-US"/>
              </w:rPr>
              <w:t>gained</w:t>
            </w:r>
            <w:r w:rsidR="00C17BF1" w:rsidRPr="00A25DCB">
              <w:rPr>
                <w:iCs/>
                <w:vertAlign w:val="superscript"/>
                <w:lang w:val="en-US"/>
              </w:rPr>
              <w:t>a</w:t>
            </w:r>
            <w:proofErr w:type="spellEnd"/>
            <w:r w:rsidR="007A57F4" w:rsidRPr="00A25DCB">
              <w:rPr>
                <w:iCs/>
                <w:lang w:val="en-US"/>
              </w:rPr>
              <w:t>.</w:t>
            </w:r>
            <w:r w:rsidR="007A57F4" w:rsidRPr="00A25DCB">
              <w:rPr>
                <w:rFonts w:cs="Arial"/>
                <w:iCs/>
                <w:color w:val="3366FF"/>
                <w:szCs w:val="20"/>
              </w:rPr>
              <w:t xml:space="preserve"> </w:t>
            </w:r>
          </w:p>
        </w:tc>
      </w:tr>
    </w:tbl>
    <w:p w14:paraId="37D9E33C" w14:textId="754891CB" w:rsidR="00C17BF1" w:rsidRDefault="00C17BF1" w:rsidP="007A57F4">
      <w:pPr>
        <w:pStyle w:val="TableFigureFooter"/>
      </w:pPr>
      <w:proofErr w:type="spellStart"/>
      <w:r>
        <w:t>a</w:t>
      </w:r>
      <w:proofErr w:type="spellEnd"/>
      <w:r w:rsidR="000B598C">
        <w:t xml:space="preserve"> </w:t>
      </w:r>
      <w:r>
        <w:t xml:space="preserve">The ICER calculated includes the application of the ITT HR for both OS and </w:t>
      </w:r>
      <w:proofErr w:type="gramStart"/>
      <w:r>
        <w:t>PFS, and</w:t>
      </w:r>
      <w:proofErr w:type="gramEnd"/>
      <w:r>
        <w:t xml:space="preserve"> increasing </w:t>
      </w:r>
      <w:proofErr w:type="spellStart"/>
      <w:r>
        <w:t>ToT</w:t>
      </w:r>
      <w:proofErr w:type="spellEnd"/>
      <w:r>
        <w:t xml:space="preserve"> for the chemotherapy arm to match that of the mean treatment duration of docetaxel, paclitaxel and vinflunine. Changes to PFS and </w:t>
      </w:r>
      <w:proofErr w:type="spellStart"/>
      <w:r>
        <w:t>ToT</w:t>
      </w:r>
      <w:proofErr w:type="spellEnd"/>
      <w:r>
        <w:t xml:space="preserve"> do not have a marked impact on the model.</w:t>
      </w:r>
    </w:p>
    <w:p w14:paraId="7043DD03" w14:textId="4376990A" w:rsidR="007A57F4" w:rsidRDefault="0080105B" w:rsidP="007A57F4">
      <w:pPr>
        <w:pStyle w:val="TableFigureFooter"/>
      </w:pPr>
      <w:r>
        <w:t>Source: Compiled during evaluation based on Section 3.9 of the submission.</w:t>
      </w:r>
    </w:p>
    <w:p w14:paraId="54ACCFC2" w14:textId="77777777" w:rsidR="006A1F4C" w:rsidRPr="00952414" w:rsidRDefault="0080105B" w:rsidP="006A1F4C">
      <w:pPr>
        <w:pStyle w:val="TableFigureFooter"/>
        <w:spacing w:after="0"/>
        <w:contextualSpacing w:val="0"/>
      </w:pPr>
      <w:r>
        <w:t>HR = hazard ratio; ICER = incremental cost effectiveness ratio; ITT = intention to treat; OS = overall survival; QALY = quality of adjusted life year.</w:t>
      </w:r>
      <w:r w:rsidR="006A1F4C">
        <w:br/>
      </w:r>
      <w:r w:rsidR="006A1F4C" w:rsidRPr="00952414">
        <w:rPr>
          <w:i/>
        </w:rPr>
        <w:t>The redacted values correspond to the following ranges</w:t>
      </w:r>
    </w:p>
    <w:p w14:paraId="04AB173A" w14:textId="77777777" w:rsidR="006A1F4C" w:rsidRPr="00952414" w:rsidRDefault="006A1F4C" w:rsidP="006A1F4C">
      <w:pPr>
        <w:rPr>
          <w:rFonts w:ascii="Arial Narrow" w:hAnsi="Arial Narrow"/>
          <w:i/>
          <w:sz w:val="18"/>
          <w:szCs w:val="18"/>
        </w:rPr>
      </w:pPr>
      <w:r w:rsidRPr="00952414">
        <w:rPr>
          <w:rFonts w:ascii="Arial Narrow" w:hAnsi="Arial Narrow"/>
          <w:i/>
          <w:sz w:val="18"/>
          <w:szCs w:val="18"/>
          <w:vertAlign w:val="superscript"/>
        </w:rPr>
        <w:t>1</w:t>
      </w:r>
      <w:r w:rsidRPr="00952414">
        <w:rPr>
          <w:rFonts w:ascii="Arial Narrow" w:hAnsi="Arial Narrow"/>
          <w:i/>
          <w:sz w:val="18"/>
          <w:szCs w:val="18"/>
        </w:rPr>
        <w:t xml:space="preserve"> $95,000 to &lt; $115,000</w:t>
      </w:r>
    </w:p>
    <w:p w14:paraId="32A6C611" w14:textId="77777777" w:rsidR="006A1F4C" w:rsidRPr="00952414" w:rsidRDefault="006A1F4C" w:rsidP="006A1F4C">
      <w:pPr>
        <w:rPr>
          <w:rFonts w:ascii="Arial Narrow" w:hAnsi="Arial Narrow"/>
          <w:i/>
          <w:sz w:val="18"/>
          <w:szCs w:val="18"/>
        </w:rPr>
      </w:pPr>
      <w:r w:rsidRPr="00952414">
        <w:rPr>
          <w:rFonts w:ascii="Arial Narrow" w:hAnsi="Arial Narrow"/>
          <w:i/>
          <w:sz w:val="18"/>
          <w:szCs w:val="18"/>
          <w:vertAlign w:val="superscript"/>
        </w:rPr>
        <w:t>2</w:t>
      </w:r>
      <w:r w:rsidRPr="00952414">
        <w:rPr>
          <w:rFonts w:ascii="Arial Narrow" w:hAnsi="Arial Narrow"/>
          <w:i/>
          <w:sz w:val="18"/>
          <w:szCs w:val="18"/>
        </w:rPr>
        <w:t xml:space="preserve"> $135,000 to &lt; $155,000</w:t>
      </w:r>
    </w:p>
    <w:p w14:paraId="7B25CDB2" w14:textId="28679AFA" w:rsidR="0080105B" w:rsidRPr="006A1F4C" w:rsidRDefault="006A1F4C" w:rsidP="006A1F4C">
      <w:pPr>
        <w:spacing w:after="120"/>
        <w:rPr>
          <w:rFonts w:ascii="Arial Narrow" w:hAnsi="Arial Narrow"/>
          <w:i/>
          <w:sz w:val="18"/>
          <w:szCs w:val="18"/>
        </w:rPr>
      </w:pPr>
      <w:r w:rsidRPr="00952414">
        <w:rPr>
          <w:rFonts w:ascii="Arial Narrow" w:hAnsi="Arial Narrow"/>
          <w:i/>
          <w:sz w:val="18"/>
          <w:szCs w:val="18"/>
          <w:vertAlign w:val="superscript"/>
        </w:rPr>
        <w:t>3</w:t>
      </w:r>
      <w:r w:rsidRPr="00952414">
        <w:rPr>
          <w:rFonts w:ascii="Arial Narrow" w:hAnsi="Arial Narrow"/>
          <w:i/>
          <w:sz w:val="18"/>
          <w:szCs w:val="18"/>
        </w:rPr>
        <w:t xml:space="preserve"> $115,000 to &lt; $135,000</w:t>
      </w:r>
    </w:p>
    <w:p w14:paraId="7682A942" w14:textId="0DE05F5A" w:rsidR="007A57F4" w:rsidRPr="00942E83" w:rsidRDefault="00942E83" w:rsidP="00942E83">
      <w:pPr>
        <w:pStyle w:val="3-BodyText"/>
      </w:pPr>
      <w:r>
        <w:t>The results of the stepped economic evaluation are summarised below.</w:t>
      </w:r>
    </w:p>
    <w:p w14:paraId="0DA452C6" w14:textId="6E630FC9" w:rsidR="007A57F4" w:rsidRDefault="008B1035" w:rsidP="008B1035">
      <w:pPr>
        <w:pStyle w:val="Caption"/>
        <w:rPr>
          <w:rStyle w:val="CommentReference"/>
          <w:b/>
          <w:szCs w:val="24"/>
        </w:rPr>
      </w:pPr>
      <w:r>
        <w:t xml:space="preserve">Table </w:t>
      </w:r>
      <w:r w:rsidR="00F06F14">
        <w:fldChar w:fldCharType="begin"/>
      </w:r>
      <w:r w:rsidR="00F06F14">
        <w:instrText xml:space="preserve"> SEQ Table \* ARABIC </w:instrText>
      </w:r>
      <w:r w:rsidR="00F06F14">
        <w:fldChar w:fldCharType="separate"/>
      </w:r>
      <w:r w:rsidR="00234F7B">
        <w:rPr>
          <w:noProof/>
        </w:rPr>
        <w:t>10</w:t>
      </w:r>
      <w:r w:rsidR="00F06F14">
        <w:rPr>
          <w:noProof/>
        </w:rPr>
        <w:fldChar w:fldCharType="end"/>
      </w:r>
      <w:r>
        <w:t>:</w:t>
      </w:r>
      <w:r w:rsidR="007A57F4" w:rsidRPr="00BB00B3">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Caption w:val="Table 10: Results of the stepped economic evaluation"/>
      </w:tblPr>
      <w:tblGrid>
        <w:gridCol w:w="2547"/>
        <w:gridCol w:w="1134"/>
        <w:gridCol w:w="1022"/>
        <w:gridCol w:w="1104"/>
        <w:gridCol w:w="1053"/>
        <w:gridCol w:w="1078"/>
        <w:gridCol w:w="1079"/>
      </w:tblGrid>
      <w:tr w:rsidR="001F429B" w:rsidRPr="003B0B09" w14:paraId="1D9552F4" w14:textId="77777777" w:rsidTr="001F429B">
        <w:trPr>
          <w:trHeight w:val="20"/>
        </w:trPr>
        <w:tc>
          <w:tcPr>
            <w:tcW w:w="2547" w:type="dxa"/>
            <w:vMerge w:val="restart"/>
            <w:shd w:val="clear" w:color="auto" w:fill="auto"/>
            <w:noWrap/>
            <w:vAlign w:val="center"/>
            <w:hideMark/>
          </w:tcPr>
          <w:p w14:paraId="4F7B0962" w14:textId="77777777" w:rsidR="001F429B" w:rsidRPr="00696C61" w:rsidRDefault="001F429B" w:rsidP="007B2B72">
            <w:pPr>
              <w:pStyle w:val="TableText0"/>
            </w:pPr>
          </w:p>
        </w:tc>
        <w:tc>
          <w:tcPr>
            <w:tcW w:w="3260" w:type="dxa"/>
            <w:gridSpan w:val="3"/>
            <w:tcBorders>
              <w:bottom w:val="single" w:sz="4" w:space="0" w:color="auto"/>
            </w:tcBorders>
            <w:shd w:val="clear" w:color="auto" w:fill="auto"/>
            <w:vAlign w:val="center"/>
          </w:tcPr>
          <w:p w14:paraId="3E23C5F9" w14:textId="17EBC5D9" w:rsidR="001F429B" w:rsidRPr="000F4224" w:rsidRDefault="001F429B" w:rsidP="001F429B">
            <w:pPr>
              <w:pStyle w:val="TableText0"/>
              <w:jc w:val="center"/>
              <w:rPr>
                <w:b/>
              </w:rPr>
            </w:pPr>
            <w:r w:rsidRPr="000F4224">
              <w:rPr>
                <w:b/>
              </w:rPr>
              <w:t xml:space="preserve">Submission </w:t>
            </w:r>
            <w:r>
              <w:rPr>
                <w:b/>
              </w:rPr>
              <w:t>base-case</w:t>
            </w:r>
          </w:p>
        </w:tc>
        <w:tc>
          <w:tcPr>
            <w:tcW w:w="3210" w:type="dxa"/>
            <w:gridSpan w:val="3"/>
            <w:tcBorders>
              <w:bottom w:val="single" w:sz="4" w:space="0" w:color="auto"/>
            </w:tcBorders>
            <w:shd w:val="clear" w:color="auto" w:fill="auto"/>
            <w:vAlign w:val="center"/>
          </w:tcPr>
          <w:p w14:paraId="7D6EC555" w14:textId="078F48E8" w:rsidR="001F429B" w:rsidRPr="00725DEE" w:rsidRDefault="001F429B" w:rsidP="001F429B">
            <w:pPr>
              <w:pStyle w:val="TableText0"/>
              <w:jc w:val="center"/>
              <w:rPr>
                <w:b/>
                <w:iCs/>
              </w:rPr>
            </w:pPr>
            <w:r w:rsidRPr="00725DEE">
              <w:rPr>
                <w:b/>
                <w:iCs/>
              </w:rPr>
              <w:t>Respecified base-case</w:t>
            </w:r>
          </w:p>
        </w:tc>
      </w:tr>
      <w:tr w:rsidR="001F429B" w:rsidRPr="003B0B09" w14:paraId="6956C7DB" w14:textId="77777777" w:rsidTr="001F429B">
        <w:trPr>
          <w:trHeight w:val="20"/>
        </w:trPr>
        <w:tc>
          <w:tcPr>
            <w:tcW w:w="2547" w:type="dxa"/>
            <w:vMerge/>
            <w:shd w:val="clear" w:color="auto" w:fill="auto"/>
            <w:noWrap/>
            <w:vAlign w:val="center"/>
          </w:tcPr>
          <w:p w14:paraId="049C24E6" w14:textId="77777777" w:rsidR="001F429B" w:rsidRPr="00626141" w:rsidRDefault="001F429B" w:rsidP="007B2B72">
            <w:pPr>
              <w:pStyle w:val="TableText0"/>
              <w:rPr>
                <w:b/>
              </w:rPr>
            </w:pPr>
          </w:p>
        </w:tc>
        <w:tc>
          <w:tcPr>
            <w:tcW w:w="1134" w:type="dxa"/>
            <w:tcBorders>
              <w:bottom w:val="single" w:sz="4" w:space="0" w:color="auto"/>
            </w:tcBorders>
            <w:shd w:val="clear" w:color="auto" w:fill="auto"/>
            <w:vAlign w:val="center"/>
          </w:tcPr>
          <w:p w14:paraId="75403F41" w14:textId="77777777" w:rsidR="001F429B" w:rsidRPr="000F4224" w:rsidRDefault="001F429B" w:rsidP="001F429B">
            <w:pPr>
              <w:pStyle w:val="TableText0"/>
              <w:jc w:val="center"/>
              <w:rPr>
                <w:b/>
              </w:rPr>
            </w:pPr>
            <w:r w:rsidRPr="000F4224">
              <w:rPr>
                <w:b/>
              </w:rPr>
              <w:t>EV arm</w:t>
            </w:r>
          </w:p>
        </w:tc>
        <w:tc>
          <w:tcPr>
            <w:tcW w:w="1022" w:type="dxa"/>
            <w:tcBorders>
              <w:bottom w:val="single" w:sz="4" w:space="0" w:color="auto"/>
            </w:tcBorders>
            <w:shd w:val="clear" w:color="auto" w:fill="auto"/>
            <w:vAlign w:val="center"/>
          </w:tcPr>
          <w:p w14:paraId="3CC78731" w14:textId="77777777" w:rsidR="001F429B" w:rsidRPr="000F4224" w:rsidRDefault="001F429B" w:rsidP="001F429B">
            <w:pPr>
              <w:pStyle w:val="TableText0"/>
              <w:jc w:val="center"/>
              <w:rPr>
                <w:b/>
              </w:rPr>
            </w:pPr>
            <w:r w:rsidRPr="000F4224">
              <w:rPr>
                <w:b/>
              </w:rPr>
              <w:t>DP</w:t>
            </w:r>
            <w:r>
              <w:rPr>
                <w:b/>
              </w:rPr>
              <w:t xml:space="preserve"> </w:t>
            </w:r>
            <w:r w:rsidRPr="000F4224">
              <w:rPr>
                <w:b/>
              </w:rPr>
              <w:t>arm</w:t>
            </w:r>
          </w:p>
        </w:tc>
        <w:tc>
          <w:tcPr>
            <w:tcW w:w="1104" w:type="dxa"/>
            <w:tcBorders>
              <w:bottom w:val="single" w:sz="4" w:space="0" w:color="auto"/>
            </w:tcBorders>
            <w:shd w:val="clear" w:color="auto" w:fill="auto"/>
            <w:vAlign w:val="center"/>
          </w:tcPr>
          <w:p w14:paraId="4D9A2FE7" w14:textId="77777777" w:rsidR="001F429B" w:rsidRPr="000F4224" w:rsidRDefault="001F429B" w:rsidP="001F429B">
            <w:pPr>
              <w:pStyle w:val="TableText0"/>
              <w:jc w:val="center"/>
              <w:rPr>
                <w:b/>
              </w:rPr>
            </w:pPr>
            <w:r w:rsidRPr="000F4224">
              <w:rPr>
                <w:b/>
              </w:rPr>
              <w:t>Increment</w:t>
            </w:r>
          </w:p>
        </w:tc>
        <w:tc>
          <w:tcPr>
            <w:tcW w:w="1053" w:type="dxa"/>
            <w:tcBorders>
              <w:bottom w:val="single" w:sz="4" w:space="0" w:color="auto"/>
            </w:tcBorders>
            <w:shd w:val="clear" w:color="auto" w:fill="auto"/>
            <w:vAlign w:val="center"/>
          </w:tcPr>
          <w:p w14:paraId="2F2C873D" w14:textId="77777777" w:rsidR="001F429B" w:rsidRPr="00725DEE" w:rsidRDefault="001F429B" w:rsidP="001F429B">
            <w:pPr>
              <w:pStyle w:val="TableText0"/>
              <w:jc w:val="center"/>
              <w:rPr>
                <w:b/>
                <w:iCs/>
              </w:rPr>
            </w:pPr>
            <w:r w:rsidRPr="00725DEE">
              <w:rPr>
                <w:b/>
                <w:iCs/>
              </w:rPr>
              <w:t>EV arm</w:t>
            </w:r>
          </w:p>
        </w:tc>
        <w:tc>
          <w:tcPr>
            <w:tcW w:w="1078" w:type="dxa"/>
            <w:tcBorders>
              <w:bottom w:val="single" w:sz="4" w:space="0" w:color="auto"/>
            </w:tcBorders>
            <w:shd w:val="clear" w:color="auto" w:fill="auto"/>
            <w:vAlign w:val="center"/>
          </w:tcPr>
          <w:p w14:paraId="5A4CEC3A" w14:textId="77777777" w:rsidR="001F429B" w:rsidRPr="00725DEE" w:rsidRDefault="001F429B" w:rsidP="001F429B">
            <w:pPr>
              <w:pStyle w:val="TableText0"/>
              <w:jc w:val="center"/>
              <w:rPr>
                <w:b/>
                <w:iCs/>
              </w:rPr>
            </w:pPr>
            <w:r w:rsidRPr="00725DEE">
              <w:rPr>
                <w:b/>
                <w:iCs/>
              </w:rPr>
              <w:t>DP arm</w:t>
            </w:r>
          </w:p>
        </w:tc>
        <w:tc>
          <w:tcPr>
            <w:tcW w:w="1079" w:type="dxa"/>
            <w:tcBorders>
              <w:bottom w:val="single" w:sz="4" w:space="0" w:color="auto"/>
            </w:tcBorders>
            <w:shd w:val="clear" w:color="auto" w:fill="auto"/>
            <w:vAlign w:val="center"/>
          </w:tcPr>
          <w:p w14:paraId="540F4855" w14:textId="77777777" w:rsidR="001F429B" w:rsidRPr="00725DEE" w:rsidRDefault="001F429B" w:rsidP="001F429B">
            <w:pPr>
              <w:pStyle w:val="TableText0"/>
              <w:jc w:val="center"/>
              <w:rPr>
                <w:b/>
                <w:iCs/>
              </w:rPr>
            </w:pPr>
            <w:r w:rsidRPr="00725DEE">
              <w:rPr>
                <w:b/>
                <w:iCs/>
              </w:rPr>
              <w:t>Increment</w:t>
            </w:r>
          </w:p>
        </w:tc>
      </w:tr>
      <w:tr w:rsidR="008B1035" w:rsidRPr="003B0B09" w14:paraId="06949A02" w14:textId="77777777" w:rsidTr="007B2B72">
        <w:trPr>
          <w:trHeight w:val="20"/>
        </w:trPr>
        <w:tc>
          <w:tcPr>
            <w:tcW w:w="9017" w:type="dxa"/>
            <w:gridSpan w:val="7"/>
            <w:shd w:val="clear" w:color="auto" w:fill="auto"/>
            <w:noWrap/>
            <w:vAlign w:val="center"/>
          </w:tcPr>
          <w:p w14:paraId="413E1ABD" w14:textId="1A49991B" w:rsidR="008B1035" w:rsidRPr="00725DEE" w:rsidRDefault="008B1035" w:rsidP="007B2B72">
            <w:pPr>
              <w:pStyle w:val="TableText0"/>
              <w:rPr>
                <w:b/>
                <w:iCs/>
              </w:rPr>
            </w:pPr>
            <w:r w:rsidRPr="00725DEE">
              <w:rPr>
                <w:b/>
                <w:iCs/>
              </w:rPr>
              <w:t xml:space="preserve">Step 1: </w:t>
            </w:r>
            <w:r w:rsidRPr="00725DEE">
              <w:rPr>
                <w:iCs/>
              </w:rPr>
              <w:t>trial-based costs and outcomes (15 months)</w:t>
            </w:r>
          </w:p>
        </w:tc>
      </w:tr>
      <w:tr w:rsidR="008B1035" w:rsidRPr="00B07E1E" w14:paraId="206C0C8E" w14:textId="77777777" w:rsidTr="007B2B72">
        <w:trPr>
          <w:trHeight w:val="20"/>
        </w:trPr>
        <w:tc>
          <w:tcPr>
            <w:tcW w:w="2547" w:type="dxa"/>
            <w:shd w:val="clear" w:color="auto" w:fill="auto"/>
            <w:noWrap/>
            <w:vAlign w:val="center"/>
            <w:hideMark/>
          </w:tcPr>
          <w:p w14:paraId="314C3BEA" w14:textId="513B3AAA" w:rsidR="008B1035" w:rsidRPr="008B1035" w:rsidRDefault="008B1035" w:rsidP="006C4EFE">
            <w:pPr>
              <w:pStyle w:val="TableText0"/>
            </w:pPr>
            <w:r w:rsidRPr="008B1035">
              <w:t xml:space="preserve">Costs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A33CD9" w14:textId="2F483273" w:rsidR="008B1035" w:rsidRPr="008B1035" w:rsidRDefault="008B1035" w:rsidP="007B2B72">
            <w:pPr>
              <w:pStyle w:val="TableText0"/>
              <w:jc w:val="right"/>
            </w:pPr>
            <w:r w:rsidRPr="008B1035">
              <w:t>$</w:t>
            </w:r>
            <w:r w:rsidR="00C828EC" w:rsidRPr="00C828EC">
              <w:rPr>
                <w:color w:val="000000"/>
                <w:shd w:val="solid" w:color="000000" w:fill="000000"/>
                <w14:textFill>
                  <w14:solidFill>
                    <w14:srgbClr w14:val="000000">
                      <w14:alpha w14:val="100000"/>
                    </w14:srgbClr>
                  </w14:solidFill>
                </w14:textFill>
              </w:rPr>
              <w: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623D8E" w14:textId="1C2A229F" w:rsidR="008B1035" w:rsidRPr="008B1035" w:rsidRDefault="008B1035" w:rsidP="007B2B72">
            <w:pPr>
              <w:pStyle w:val="TableText0"/>
              <w:jc w:val="right"/>
            </w:pPr>
            <w:r w:rsidRPr="008B1035">
              <w:t>$</w:t>
            </w:r>
            <w:r w:rsidR="00C828EC" w:rsidRPr="00C828EC">
              <w:rPr>
                <w:color w:val="000000"/>
                <w:shd w:val="solid" w:color="000000" w:fill="000000"/>
                <w14:textFill>
                  <w14:solidFill>
                    <w14:srgbClr w14:val="000000">
                      <w14:alpha w14:val="100000"/>
                    </w14:srgbClr>
                  </w14:solidFill>
                </w14:textFill>
              </w:rPr>
              <w:t>|</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4E03990" w14:textId="7F750147" w:rsidR="008B1035" w:rsidRPr="008B1035" w:rsidRDefault="008B1035" w:rsidP="007B2B72">
            <w:pPr>
              <w:pStyle w:val="TableText0"/>
              <w:jc w:val="right"/>
            </w:pPr>
            <w:r w:rsidRPr="008B1035">
              <w:t>$</w:t>
            </w:r>
            <w:r w:rsidR="00C828EC" w:rsidRPr="00C828EC">
              <w:rPr>
                <w:color w:val="000000"/>
                <w:shd w:val="solid" w:color="000000" w:fill="000000"/>
                <w14:textFill>
                  <w14:solidFill>
                    <w14:srgbClr w14:val="000000">
                      <w14:alpha w14:val="100000"/>
                    </w14:srgbClr>
                  </w14:solidFill>
                </w14:textFill>
              </w:rPr>
              <w: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90D465E" w14:textId="720D796C" w:rsidR="008B1035" w:rsidRPr="00725DEE" w:rsidRDefault="008B1035" w:rsidP="007B2B72">
            <w:pPr>
              <w:pStyle w:val="TableText0"/>
              <w:jc w:val="right"/>
              <w:rPr>
                <w:iCs/>
              </w:rPr>
            </w:pPr>
            <w:r w:rsidRPr="00725DEE">
              <w:rPr>
                <w:iCs/>
              </w:rPr>
              <w:t>$</w:t>
            </w:r>
            <w:r w:rsidR="00C828EC" w:rsidRPr="00C828EC">
              <w:rPr>
                <w:iCs/>
                <w:color w:val="000000"/>
                <w:shd w:val="solid" w:color="000000" w:fill="000000"/>
                <w14:textFill>
                  <w14:solidFill>
                    <w14:srgbClr w14:val="000000">
                      <w14:alpha w14:val="100000"/>
                    </w14:srgbClr>
                  </w14:solidFill>
                </w14:textFill>
              </w:rPr>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516421" w14:textId="456F2E05" w:rsidR="008B1035" w:rsidRPr="00725DEE" w:rsidRDefault="008B1035" w:rsidP="007B2B72">
            <w:pPr>
              <w:pStyle w:val="TableText0"/>
              <w:jc w:val="right"/>
              <w:rPr>
                <w:iCs/>
              </w:rPr>
            </w:pPr>
            <w:r w:rsidRPr="00725DEE">
              <w:rPr>
                <w:iCs/>
              </w:rPr>
              <w:t>$</w:t>
            </w:r>
            <w:r w:rsidR="00C828EC" w:rsidRPr="00C828EC">
              <w:rPr>
                <w:iCs/>
                <w:color w:val="000000"/>
                <w:shd w:val="solid" w:color="000000" w:fill="000000"/>
                <w14:textFill>
                  <w14:solidFill>
                    <w14:srgbClr w14:val="000000">
                      <w14:alpha w14:val="100000"/>
                    </w14:srgbClr>
                  </w14:solidFill>
                </w14:textFill>
              </w:rPr>
              <w:t>|</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67B39FA" w14:textId="3ABBB610" w:rsidR="008B1035" w:rsidRPr="00725DEE" w:rsidRDefault="008B1035" w:rsidP="007B2B72">
            <w:pPr>
              <w:pStyle w:val="TableText0"/>
              <w:jc w:val="right"/>
              <w:rPr>
                <w:iCs/>
              </w:rPr>
            </w:pPr>
            <w:r w:rsidRPr="00725DEE">
              <w:rPr>
                <w:iCs/>
              </w:rPr>
              <w:t>$</w:t>
            </w:r>
            <w:r w:rsidR="00C828EC" w:rsidRPr="00C828EC">
              <w:rPr>
                <w:iCs/>
                <w:color w:val="000000"/>
                <w:shd w:val="solid" w:color="000000" w:fill="000000"/>
                <w14:textFill>
                  <w14:solidFill>
                    <w14:srgbClr w14:val="000000">
                      <w14:alpha w14:val="100000"/>
                    </w14:srgbClr>
                  </w14:solidFill>
                </w14:textFill>
              </w:rPr>
              <w:t>|</w:t>
            </w:r>
          </w:p>
        </w:tc>
      </w:tr>
      <w:tr w:rsidR="008B1035" w:rsidRPr="003B0B09" w14:paraId="2D731B88" w14:textId="77777777" w:rsidTr="007B2B72">
        <w:trPr>
          <w:trHeight w:val="20"/>
        </w:trPr>
        <w:tc>
          <w:tcPr>
            <w:tcW w:w="2547" w:type="dxa"/>
            <w:shd w:val="clear" w:color="auto" w:fill="auto"/>
            <w:noWrap/>
            <w:vAlign w:val="center"/>
            <w:hideMark/>
          </w:tcPr>
          <w:p w14:paraId="226D32A2" w14:textId="4760D248" w:rsidR="008B1035" w:rsidRDefault="008B1035" w:rsidP="006C4EFE">
            <w:pPr>
              <w:pStyle w:val="TableText0"/>
            </w:pPr>
            <w:r>
              <w:t xml:space="preserve">Life-years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3C327D" w14:textId="77777777" w:rsidR="008B1035" w:rsidRPr="001F45B8" w:rsidRDefault="008B1035" w:rsidP="007B2B72">
            <w:pPr>
              <w:pStyle w:val="TableText0"/>
              <w:jc w:val="right"/>
            </w:pPr>
            <w:r w:rsidRPr="001F45B8">
              <w:t>0.880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6A69C3BE" w14:textId="77777777" w:rsidR="008B1035" w:rsidRPr="001F45B8" w:rsidRDefault="008B1035" w:rsidP="007B2B72">
            <w:pPr>
              <w:pStyle w:val="TableText0"/>
              <w:jc w:val="right"/>
            </w:pPr>
            <w:r w:rsidRPr="001F45B8">
              <w:t>0.748</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6874429" w14:textId="77777777" w:rsidR="008B1035" w:rsidRPr="001F45B8" w:rsidRDefault="008B1035" w:rsidP="007B2B72">
            <w:pPr>
              <w:pStyle w:val="TableText0"/>
              <w:jc w:val="right"/>
            </w:pPr>
            <w:r w:rsidRPr="001F45B8">
              <w:t>0.132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E4EC790" w14:textId="77777777" w:rsidR="008B1035" w:rsidRPr="001F45B8" w:rsidRDefault="008B1035" w:rsidP="007B2B72">
            <w:pPr>
              <w:pStyle w:val="TableText0"/>
              <w:jc w:val="right"/>
              <w:rPr>
                <w:iCs/>
              </w:rPr>
            </w:pPr>
            <w:r w:rsidRPr="001F45B8">
              <w:rPr>
                <w:iCs/>
              </w:rPr>
              <w:t>0.880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4AC417" w14:textId="77777777" w:rsidR="008B1035" w:rsidRPr="001F45B8" w:rsidRDefault="008B1035" w:rsidP="007B2B72">
            <w:pPr>
              <w:pStyle w:val="TableText0"/>
              <w:jc w:val="right"/>
              <w:rPr>
                <w:iCs/>
              </w:rPr>
            </w:pPr>
            <w:r w:rsidRPr="001F45B8">
              <w:rPr>
                <w:iCs/>
              </w:rPr>
              <w:t>0.773</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2518BF6" w14:textId="77777777" w:rsidR="008B1035" w:rsidRPr="001F45B8" w:rsidRDefault="008B1035" w:rsidP="007B2B72">
            <w:pPr>
              <w:pStyle w:val="TableText0"/>
              <w:jc w:val="right"/>
              <w:rPr>
                <w:iCs/>
              </w:rPr>
            </w:pPr>
            <w:r w:rsidRPr="001F45B8">
              <w:rPr>
                <w:iCs/>
              </w:rPr>
              <w:t>0.106</w:t>
            </w:r>
          </w:p>
        </w:tc>
      </w:tr>
      <w:tr w:rsidR="008B1035" w:rsidRPr="003B0B09" w14:paraId="28086777" w14:textId="77777777" w:rsidTr="007B2B72">
        <w:trPr>
          <w:trHeight w:val="20"/>
        </w:trPr>
        <w:tc>
          <w:tcPr>
            <w:tcW w:w="2547" w:type="dxa"/>
            <w:shd w:val="clear" w:color="auto" w:fill="auto"/>
            <w:noWrap/>
            <w:vAlign w:val="center"/>
          </w:tcPr>
          <w:p w14:paraId="2CDD58FF" w14:textId="02FD3A12" w:rsidR="008B1035" w:rsidRDefault="008B1035" w:rsidP="006C4EFE">
            <w:pPr>
              <w:pStyle w:val="TableText0"/>
            </w:pPr>
            <w:r>
              <w:t xml:space="preserve">QALYs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ABFE6F" w14:textId="1E7A0FBB" w:rsidR="008B1035" w:rsidRPr="001F45B8" w:rsidRDefault="008B1035" w:rsidP="008B1035">
            <w:pPr>
              <w:pStyle w:val="TableText0"/>
              <w:jc w:val="right"/>
            </w:pPr>
            <w:r w:rsidRPr="001F45B8">
              <w:t>0.612</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B4CD352" w14:textId="4BBA2CA2" w:rsidR="008B1035" w:rsidRPr="001F45B8" w:rsidRDefault="008B1035" w:rsidP="008B1035">
            <w:pPr>
              <w:pStyle w:val="TableText0"/>
              <w:jc w:val="right"/>
            </w:pPr>
            <w:r w:rsidRPr="001F45B8">
              <w:t>0.498</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D53D951" w14:textId="404F296E" w:rsidR="008B1035" w:rsidRPr="001F45B8" w:rsidRDefault="008B1035" w:rsidP="008B1035">
            <w:pPr>
              <w:pStyle w:val="TableText0"/>
              <w:jc w:val="right"/>
            </w:pPr>
            <w:r w:rsidRPr="001F45B8">
              <w:t>0.113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4C4BAD1" w14:textId="37F52DFD" w:rsidR="008B1035" w:rsidRPr="001F45B8" w:rsidRDefault="008B1035" w:rsidP="008B1035">
            <w:pPr>
              <w:pStyle w:val="TableText0"/>
              <w:jc w:val="right"/>
              <w:rPr>
                <w:iCs/>
              </w:rPr>
            </w:pPr>
            <w:r w:rsidRPr="001F45B8">
              <w:rPr>
                <w:iCs/>
              </w:rPr>
              <w:t>0.612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A3F94DC" w14:textId="53F21242" w:rsidR="008B1035" w:rsidRPr="001F45B8" w:rsidRDefault="008B1035" w:rsidP="008B1035">
            <w:pPr>
              <w:pStyle w:val="TableText0"/>
              <w:jc w:val="right"/>
              <w:rPr>
                <w:iCs/>
              </w:rPr>
            </w:pPr>
            <w:r w:rsidRPr="001F45B8">
              <w:rPr>
                <w:iCs/>
              </w:rPr>
              <w:t>0.513</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43E607D" w14:textId="08B35588" w:rsidR="008B1035" w:rsidRPr="001F45B8" w:rsidRDefault="008B1035" w:rsidP="008B1035">
            <w:pPr>
              <w:pStyle w:val="TableText0"/>
              <w:jc w:val="right"/>
              <w:rPr>
                <w:iCs/>
              </w:rPr>
            </w:pPr>
            <w:r w:rsidRPr="001F45B8">
              <w:rPr>
                <w:iCs/>
              </w:rPr>
              <w:t>0.099</w:t>
            </w:r>
          </w:p>
        </w:tc>
      </w:tr>
      <w:tr w:rsidR="008B1035" w:rsidRPr="003B0B09" w14:paraId="37A7639B" w14:textId="77777777" w:rsidTr="007B2B72">
        <w:trPr>
          <w:trHeight w:val="20"/>
        </w:trPr>
        <w:tc>
          <w:tcPr>
            <w:tcW w:w="2547" w:type="dxa"/>
            <w:shd w:val="clear" w:color="auto" w:fill="auto"/>
            <w:noWrap/>
            <w:vAlign w:val="center"/>
          </w:tcPr>
          <w:p w14:paraId="33F40EF8" w14:textId="5B9ACACE" w:rsidR="008B1035" w:rsidRPr="006C4EFE" w:rsidRDefault="006C4EFE" w:rsidP="008B1035">
            <w:pPr>
              <w:pStyle w:val="TableText0"/>
              <w:jc w:val="right"/>
            </w:pPr>
            <w:r>
              <w:t>Incremental cost/</w:t>
            </w:r>
            <w:r w:rsidR="008B1035" w:rsidRPr="006C4EFE">
              <w:t>life year</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4EEFC69" w14:textId="31E00C52" w:rsidR="008B1035" w:rsidRPr="001F45B8" w:rsidRDefault="008B1035" w:rsidP="008B1035">
            <w:pPr>
              <w:pStyle w:val="TableText0"/>
              <w:jc w:val="right"/>
              <w:rPr>
                <w:vertAlign w:val="superscript"/>
              </w:rPr>
            </w:pPr>
            <w:r w:rsidRPr="006C4EFE">
              <w:rPr>
                <w:rFonts w:cs="Calibri"/>
              </w:rPr>
              <w:t>$</w:t>
            </w:r>
            <w:r w:rsidR="00C828EC" w:rsidRPr="00C828EC">
              <w:rPr>
                <w:rFonts w:cs="Calibri"/>
                <w:color w:val="000000"/>
                <w:shd w:val="solid" w:color="000000" w:fill="000000"/>
                <w14:textFill>
                  <w14:solidFill>
                    <w14:srgbClr w14:val="000000">
                      <w14:alpha w14:val="100000"/>
                    </w14:srgbClr>
                  </w14:solidFill>
                </w14:textFill>
              </w:rPr>
              <w:t>|</w:t>
            </w:r>
            <w:r w:rsidR="001F45B8">
              <w:rPr>
                <w:rFonts w:cs="Calibri"/>
                <w:vertAlign w:val="superscript"/>
              </w:rPr>
              <w:t>1</w:t>
            </w:r>
          </w:p>
        </w:tc>
        <w:tc>
          <w:tcPr>
            <w:tcW w:w="32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562A73" w14:textId="326062CB" w:rsidR="008B1035" w:rsidRPr="001B509A" w:rsidRDefault="008B1035" w:rsidP="008B1035">
            <w:pPr>
              <w:pStyle w:val="TableText0"/>
              <w:jc w:val="right"/>
              <w:rPr>
                <w:iCs/>
                <w:vertAlign w:val="superscript"/>
              </w:rPr>
            </w:pPr>
            <w:r w:rsidRPr="00725DEE">
              <w:rPr>
                <w:rFonts w:cs="Calibri"/>
                <w:iCs/>
              </w:rPr>
              <w:t>$</w:t>
            </w:r>
            <w:r w:rsidR="00C828EC" w:rsidRPr="00C828EC">
              <w:rPr>
                <w:rFonts w:cs="Calibri"/>
                <w:iCs/>
                <w:color w:val="000000"/>
                <w:shd w:val="solid" w:color="000000" w:fill="000000"/>
                <w14:textFill>
                  <w14:solidFill>
                    <w14:srgbClr w14:val="000000">
                      <w14:alpha w14:val="100000"/>
                    </w14:srgbClr>
                  </w14:solidFill>
                </w14:textFill>
              </w:rPr>
              <w:t>|</w:t>
            </w:r>
            <w:r w:rsidR="001B509A">
              <w:rPr>
                <w:rFonts w:cs="Calibri"/>
                <w:iCs/>
                <w:vertAlign w:val="superscript"/>
              </w:rPr>
              <w:t>4</w:t>
            </w:r>
          </w:p>
        </w:tc>
      </w:tr>
      <w:tr w:rsidR="008B1035" w:rsidRPr="003B0B09" w14:paraId="0FCB0033" w14:textId="77777777" w:rsidTr="007B2B72">
        <w:trPr>
          <w:trHeight w:val="70"/>
        </w:trPr>
        <w:tc>
          <w:tcPr>
            <w:tcW w:w="2547" w:type="dxa"/>
            <w:tcBorders>
              <w:top w:val="single" w:sz="4" w:space="0" w:color="auto"/>
              <w:bottom w:val="single" w:sz="4" w:space="0" w:color="auto"/>
            </w:tcBorders>
            <w:shd w:val="clear" w:color="auto" w:fill="auto"/>
            <w:noWrap/>
            <w:vAlign w:val="center"/>
          </w:tcPr>
          <w:p w14:paraId="4883B8E4" w14:textId="5453DBEF" w:rsidR="008B1035" w:rsidRPr="006C4EFE" w:rsidRDefault="006C4EFE" w:rsidP="008B1035">
            <w:pPr>
              <w:pStyle w:val="TableText0"/>
              <w:jc w:val="right"/>
            </w:pPr>
            <w:r>
              <w:t>Incremental cost</w:t>
            </w:r>
            <w:r w:rsidR="008B1035" w:rsidRPr="006C4EFE">
              <w:t>/QALY</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058D5C7" w14:textId="1759553D" w:rsidR="008B1035" w:rsidRPr="001F45B8" w:rsidRDefault="008B1035" w:rsidP="008B1035">
            <w:pPr>
              <w:pStyle w:val="TableText0"/>
              <w:jc w:val="right"/>
              <w:rPr>
                <w:rFonts w:cs="Calibri"/>
                <w:vertAlign w:val="superscript"/>
              </w:rPr>
            </w:pPr>
            <w:r w:rsidRPr="006C4EFE">
              <w:rPr>
                <w:rFonts w:cs="Calibri"/>
              </w:rPr>
              <w:t>$</w:t>
            </w:r>
            <w:r w:rsidR="00C828EC" w:rsidRPr="00C828EC">
              <w:rPr>
                <w:rFonts w:cs="Calibri"/>
                <w:color w:val="000000"/>
                <w:shd w:val="solid" w:color="000000" w:fill="000000"/>
                <w14:textFill>
                  <w14:solidFill>
                    <w14:srgbClr w14:val="000000">
                      <w14:alpha w14:val="100000"/>
                    </w14:srgbClr>
                  </w14:solidFill>
                </w14:textFill>
              </w:rPr>
              <w:t>|</w:t>
            </w:r>
            <w:r w:rsidR="001F45B8">
              <w:rPr>
                <w:rFonts w:cs="Calibri"/>
                <w:vertAlign w:val="superscript"/>
              </w:rPr>
              <w:t>1</w:t>
            </w:r>
          </w:p>
        </w:tc>
        <w:tc>
          <w:tcPr>
            <w:tcW w:w="3210" w:type="dxa"/>
            <w:gridSpan w:val="3"/>
            <w:tcBorders>
              <w:top w:val="single" w:sz="4" w:space="0" w:color="auto"/>
              <w:left w:val="nil"/>
              <w:bottom w:val="single" w:sz="4" w:space="0" w:color="auto"/>
              <w:right w:val="single" w:sz="4" w:space="0" w:color="auto"/>
            </w:tcBorders>
            <w:shd w:val="clear" w:color="auto" w:fill="auto"/>
            <w:vAlign w:val="center"/>
          </w:tcPr>
          <w:p w14:paraId="6B0DE9B0" w14:textId="28930C33" w:rsidR="008B1035" w:rsidRPr="001B509A" w:rsidRDefault="008B1035" w:rsidP="008B1035">
            <w:pPr>
              <w:pStyle w:val="TableText0"/>
              <w:jc w:val="right"/>
              <w:rPr>
                <w:rFonts w:cs="Calibri"/>
                <w:iCs/>
                <w:vertAlign w:val="superscript"/>
              </w:rPr>
            </w:pPr>
            <w:r w:rsidRPr="00725DEE">
              <w:rPr>
                <w:rFonts w:cs="Calibri"/>
                <w:iCs/>
              </w:rPr>
              <w:t>$</w:t>
            </w:r>
            <w:r w:rsidR="00C828EC" w:rsidRPr="00C828EC">
              <w:rPr>
                <w:rFonts w:cs="Calibri"/>
                <w:iCs/>
                <w:color w:val="000000"/>
                <w:shd w:val="solid" w:color="000000" w:fill="000000"/>
                <w14:textFill>
                  <w14:solidFill>
                    <w14:srgbClr w14:val="000000">
                      <w14:alpha w14:val="100000"/>
                    </w14:srgbClr>
                  </w14:solidFill>
                </w14:textFill>
              </w:rPr>
              <w:t>|</w:t>
            </w:r>
            <w:r w:rsidR="001B509A">
              <w:rPr>
                <w:rFonts w:cs="Calibri"/>
                <w:iCs/>
                <w:vertAlign w:val="superscript"/>
              </w:rPr>
              <w:t>4</w:t>
            </w:r>
          </w:p>
        </w:tc>
      </w:tr>
      <w:tr w:rsidR="006C4EFE" w:rsidRPr="00415230" w14:paraId="48F69220" w14:textId="77777777" w:rsidTr="006C4EFE">
        <w:trPr>
          <w:trHeight w:val="20"/>
        </w:trPr>
        <w:tc>
          <w:tcPr>
            <w:tcW w:w="9017" w:type="dxa"/>
            <w:gridSpan w:val="7"/>
            <w:tcBorders>
              <w:right w:val="single" w:sz="4" w:space="0" w:color="auto"/>
            </w:tcBorders>
            <w:shd w:val="clear" w:color="auto" w:fill="auto"/>
            <w:noWrap/>
            <w:vAlign w:val="center"/>
          </w:tcPr>
          <w:p w14:paraId="19EA34C1" w14:textId="63CC3B26" w:rsidR="006C4EFE" w:rsidRPr="00725DEE" w:rsidRDefault="006C4EFE" w:rsidP="006C4EFE">
            <w:pPr>
              <w:pStyle w:val="TableText0"/>
              <w:rPr>
                <w:b/>
                <w:iCs/>
              </w:rPr>
            </w:pPr>
            <w:r w:rsidRPr="00725DEE">
              <w:rPr>
                <w:b/>
                <w:iCs/>
              </w:rPr>
              <w:t xml:space="preserve">Step 2: </w:t>
            </w:r>
            <w:proofErr w:type="gramStart"/>
            <w:r w:rsidRPr="00725DEE">
              <w:rPr>
                <w:b/>
                <w:iCs/>
              </w:rPr>
              <w:t>10 year</w:t>
            </w:r>
            <w:proofErr w:type="gramEnd"/>
            <w:r w:rsidRPr="00725DEE">
              <w:rPr>
                <w:b/>
                <w:iCs/>
              </w:rPr>
              <w:t xml:space="preserve"> time horizon</w:t>
            </w:r>
          </w:p>
        </w:tc>
      </w:tr>
      <w:tr w:rsidR="006C4EFE" w:rsidRPr="00415230" w14:paraId="188CEDCB" w14:textId="77777777" w:rsidTr="007B2B72">
        <w:trPr>
          <w:trHeight w:val="20"/>
        </w:trPr>
        <w:tc>
          <w:tcPr>
            <w:tcW w:w="2547" w:type="dxa"/>
            <w:shd w:val="clear" w:color="auto" w:fill="auto"/>
            <w:noWrap/>
            <w:vAlign w:val="center"/>
            <w:hideMark/>
          </w:tcPr>
          <w:p w14:paraId="70EC27AB" w14:textId="77777777" w:rsidR="006C4EFE" w:rsidRPr="006C4EFE" w:rsidRDefault="006C4EFE" w:rsidP="007B2B72">
            <w:pPr>
              <w:pStyle w:val="TableText0"/>
            </w:pPr>
            <w:r w:rsidRPr="006C4EFE">
              <w:t>Total costs</w:t>
            </w:r>
          </w:p>
        </w:tc>
        <w:tc>
          <w:tcPr>
            <w:tcW w:w="1134" w:type="dxa"/>
            <w:tcBorders>
              <w:top w:val="single" w:sz="4" w:space="0" w:color="auto"/>
              <w:left w:val="nil"/>
              <w:bottom w:val="single" w:sz="4" w:space="0" w:color="auto"/>
              <w:right w:val="single" w:sz="4" w:space="0" w:color="auto"/>
            </w:tcBorders>
            <w:shd w:val="clear" w:color="auto" w:fill="auto"/>
          </w:tcPr>
          <w:p w14:paraId="2EBAB7B2" w14:textId="5E42098C" w:rsidR="006C4EFE" w:rsidRPr="006C4EFE" w:rsidRDefault="006C4EFE" w:rsidP="007B2B72">
            <w:pPr>
              <w:pStyle w:val="TableText0"/>
              <w:jc w:val="right"/>
            </w:pPr>
            <w:r w:rsidRPr="006C4EFE">
              <w:t>$</w:t>
            </w:r>
            <w:r w:rsidR="00C828EC" w:rsidRPr="00C828EC">
              <w:rPr>
                <w:color w:val="000000"/>
                <w:shd w:val="solid" w:color="000000" w:fill="000000"/>
                <w14:textFill>
                  <w14:solidFill>
                    <w14:srgbClr w14:val="000000">
                      <w14:alpha w14:val="100000"/>
                    </w14:srgbClr>
                  </w14:solidFill>
                </w14:textFill>
              </w:rPr>
              <w: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4C25E2C8" w14:textId="05FE57DC" w:rsidR="006C4EFE" w:rsidRPr="006C4EFE" w:rsidRDefault="006C4EFE" w:rsidP="007B2B72">
            <w:pPr>
              <w:pStyle w:val="TableText0"/>
              <w:jc w:val="right"/>
            </w:pPr>
            <w:r w:rsidRPr="006C4EFE">
              <w:t>$</w:t>
            </w:r>
            <w:r w:rsidR="00C828EC" w:rsidRPr="00C828EC">
              <w:rPr>
                <w:color w:val="000000"/>
                <w:shd w:val="solid" w:color="000000" w:fill="000000"/>
                <w14:textFill>
                  <w14:solidFill>
                    <w14:srgbClr w14:val="000000">
                      <w14:alpha w14:val="100000"/>
                    </w14:srgbClr>
                  </w14:solidFill>
                </w14:textFill>
              </w:rPr>
              <w:t>|</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479F88F" w14:textId="01C1E969" w:rsidR="006C4EFE" w:rsidRPr="006C4EFE" w:rsidRDefault="006C4EFE" w:rsidP="007B2B72">
            <w:pPr>
              <w:pStyle w:val="TableText0"/>
              <w:jc w:val="right"/>
            </w:pPr>
            <w:r w:rsidRPr="006C4EFE">
              <w:t>$</w:t>
            </w:r>
            <w:r w:rsidR="00C828EC" w:rsidRPr="00C828EC">
              <w:rPr>
                <w:color w:val="000000"/>
                <w:shd w:val="solid" w:color="000000" w:fill="000000"/>
                <w14:textFill>
                  <w14:solidFill>
                    <w14:srgbClr w14:val="000000">
                      <w14:alpha w14:val="100000"/>
                    </w14:srgbClr>
                  </w14:solidFill>
                </w14:textFill>
              </w:rPr>
              <w:t>|</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364160FD" w14:textId="0EF850AA" w:rsidR="006C4EFE" w:rsidRPr="00725DEE" w:rsidRDefault="006C4EFE" w:rsidP="007B2B72">
            <w:pPr>
              <w:pStyle w:val="TableText0"/>
              <w:jc w:val="right"/>
              <w:rPr>
                <w:iCs/>
              </w:rPr>
            </w:pPr>
            <w:r w:rsidRPr="00725DEE">
              <w:rPr>
                <w:iCs/>
              </w:rPr>
              <w:t>$</w:t>
            </w:r>
            <w:r w:rsidR="00C828EC" w:rsidRPr="00C828EC">
              <w:rPr>
                <w:iCs/>
                <w:color w:val="000000"/>
                <w:shd w:val="solid" w:color="000000" w:fill="000000"/>
                <w14:textFill>
                  <w14:solidFill>
                    <w14:srgbClr w14:val="000000">
                      <w14:alpha w14:val="100000"/>
                    </w14:srgbClr>
                  </w14:solidFill>
                </w14:textFill>
              </w:rPr>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53297FD" w14:textId="1545DDE5" w:rsidR="006C4EFE" w:rsidRPr="00725DEE" w:rsidRDefault="006C4EFE" w:rsidP="007B2B72">
            <w:pPr>
              <w:pStyle w:val="TableText0"/>
              <w:jc w:val="right"/>
              <w:rPr>
                <w:iCs/>
              </w:rPr>
            </w:pPr>
            <w:r w:rsidRPr="00725DEE">
              <w:rPr>
                <w:iCs/>
              </w:rPr>
              <w:t>$</w:t>
            </w:r>
            <w:r w:rsidR="00C828EC" w:rsidRPr="00C828EC">
              <w:rPr>
                <w:iCs/>
                <w:color w:val="000000"/>
                <w:shd w:val="solid" w:color="000000" w:fill="000000"/>
                <w14:textFill>
                  <w14:solidFill>
                    <w14:srgbClr w14:val="000000">
                      <w14:alpha w14:val="100000"/>
                    </w14:srgbClr>
                  </w14:solidFill>
                </w14:textFill>
              </w:rPr>
              <w:t>|</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0FD82BB" w14:textId="0ED74159" w:rsidR="006C4EFE" w:rsidRPr="00725DEE" w:rsidRDefault="006C4EFE" w:rsidP="007B2B72">
            <w:pPr>
              <w:pStyle w:val="TableText0"/>
              <w:jc w:val="right"/>
              <w:rPr>
                <w:iCs/>
              </w:rPr>
            </w:pPr>
            <w:r w:rsidRPr="00725DEE">
              <w:rPr>
                <w:iCs/>
              </w:rPr>
              <w:t>$</w:t>
            </w:r>
            <w:r w:rsidR="00C828EC" w:rsidRPr="00C828EC">
              <w:rPr>
                <w:iCs/>
                <w:color w:val="000000"/>
                <w:shd w:val="solid" w:color="000000" w:fill="000000"/>
                <w14:textFill>
                  <w14:solidFill>
                    <w14:srgbClr w14:val="000000">
                      <w14:alpha w14:val="100000"/>
                    </w14:srgbClr>
                  </w14:solidFill>
                </w14:textFill>
              </w:rPr>
              <w:t>|</w:t>
            </w:r>
          </w:p>
        </w:tc>
      </w:tr>
      <w:tr w:rsidR="006C4EFE" w:rsidRPr="00415230" w14:paraId="31D4D9C8" w14:textId="77777777" w:rsidTr="007B2B72">
        <w:trPr>
          <w:trHeight w:val="20"/>
        </w:trPr>
        <w:tc>
          <w:tcPr>
            <w:tcW w:w="2547" w:type="dxa"/>
            <w:shd w:val="clear" w:color="auto" w:fill="auto"/>
            <w:noWrap/>
          </w:tcPr>
          <w:p w14:paraId="051331A9" w14:textId="0BDE72E6" w:rsidR="006C4EFE" w:rsidRDefault="006C4EFE" w:rsidP="006C4EFE">
            <w:pPr>
              <w:pStyle w:val="TableText0"/>
            </w:pPr>
            <w:r>
              <w:t xml:space="preserve">Life years </w:t>
            </w:r>
          </w:p>
        </w:tc>
        <w:tc>
          <w:tcPr>
            <w:tcW w:w="1134" w:type="dxa"/>
            <w:tcBorders>
              <w:top w:val="single" w:sz="4" w:space="0" w:color="auto"/>
              <w:left w:val="nil"/>
              <w:bottom w:val="single" w:sz="4" w:space="0" w:color="auto"/>
              <w:right w:val="single" w:sz="4" w:space="0" w:color="auto"/>
            </w:tcBorders>
            <w:shd w:val="clear" w:color="auto" w:fill="auto"/>
          </w:tcPr>
          <w:p w14:paraId="4C64CC9A" w14:textId="77777777" w:rsidR="006C4EFE" w:rsidRPr="001F45B8" w:rsidRDefault="006C4EFE" w:rsidP="007B2B72">
            <w:pPr>
              <w:pStyle w:val="TableText0"/>
              <w:jc w:val="right"/>
            </w:pPr>
            <w:r w:rsidRPr="001F45B8">
              <w:t>1.538</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20A103A" w14:textId="77777777" w:rsidR="006C4EFE" w:rsidRPr="001F45B8" w:rsidRDefault="006C4EFE" w:rsidP="007B2B72">
            <w:pPr>
              <w:pStyle w:val="TableText0"/>
              <w:jc w:val="right"/>
            </w:pPr>
            <w:r w:rsidRPr="001F45B8">
              <w:t>1.036</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71D6A91" w14:textId="77777777" w:rsidR="006C4EFE" w:rsidRPr="001F45B8" w:rsidRDefault="006C4EFE" w:rsidP="007B2B72">
            <w:pPr>
              <w:pStyle w:val="TableText0"/>
              <w:jc w:val="right"/>
            </w:pPr>
            <w:r w:rsidRPr="001F45B8">
              <w:t>0.502</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6E8E3349" w14:textId="77777777" w:rsidR="006C4EFE" w:rsidRPr="001F45B8" w:rsidRDefault="006C4EFE" w:rsidP="007B2B72">
            <w:pPr>
              <w:pStyle w:val="TableText0"/>
              <w:jc w:val="right"/>
              <w:rPr>
                <w:iCs/>
              </w:rPr>
            </w:pPr>
            <w:r w:rsidRPr="001F45B8">
              <w:rPr>
                <w:iCs/>
              </w:rPr>
              <w:t>1.316</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5265F6" w14:textId="77777777" w:rsidR="006C4EFE" w:rsidRPr="001F45B8" w:rsidRDefault="006C4EFE" w:rsidP="007B2B72">
            <w:pPr>
              <w:pStyle w:val="TableText0"/>
              <w:jc w:val="right"/>
              <w:rPr>
                <w:iCs/>
              </w:rPr>
            </w:pPr>
            <w:r w:rsidRPr="001F45B8">
              <w:rPr>
                <w:iCs/>
              </w:rPr>
              <w:t>1.002</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41E84AE" w14:textId="77777777" w:rsidR="006C4EFE" w:rsidRPr="001F45B8" w:rsidRDefault="006C4EFE" w:rsidP="007B2B72">
            <w:pPr>
              <w:pStyle w:val="TableText0"/>
              <w:jc w:val="right"/>
              <w:rPr>
                <w:iCs/>
              </w:rPr>
            </w:pPr>
            <w:r w:rsidRPr="001F45B8">
              <w:rPr>
                <w:iCs/>
              </w:rPr>
              <w:t>0.314</w:t>
            </w:r>
          </w:p>
        </w:tc>
      </w:tr>
      <w:tr w:rsidR="006C4EFE" w:rsidRPr="00415230" w14:paraId="16BF8570" w14:textId="77777777" w:rsidTr="007B2B72">
        <w:trPr>
          <w:trHeight w:val="20"/>
        </w:trPr>
        <w:tc>
          <w:tcPr>
            <w:tcW w:w="2547" w:type="dxa"/>
            <w:shd w:val="clear" w:color="auto" w:fill="auto"/>
            <w:noWrap/>
          </w:tcPr>
          <w:p w14:paraId="33C1194E" w14:textId="02739D35" w:rsidR="006C4EFE" w:rsidRDefault="006C4EFE" w:rsidP="006C4EFE">
            <w:pPr>
              <w:pStyle w:val="TableText0"/>
            </w:pPr>
            <w:r>
              <w:t>QALYs</w:t>
            </w:r>
          </w:p>
        </w:tc>
        <w:tc>
          <w:tcPr>
            <w:tcW w:w="1134" w:type="dxa"/>
            <w:tcBorders>
              <w:top w:val="single" w:sz="4" w:space="0" w:color="auto"/>
              <w:left w:val="nil"/>
              <w:bottom w:val="single" w:sz="4" w:space="0" w:color="auto"/>
              <w:right w:val="single" w:sz="4" w:space="0" w:color="auto"/>
            </w:tcBorders>
            <w:shd w:val="clear" w:color="auto" w:fill="auto"/>
          </w:tcPr>
          <w:p w14:paraId="11F49FDA" w14:textId="5C0CA08F" w:rsidR="006C4EFE" w:rsidRPr="001F45B8" w:rsidRDefault="006C4EFE" w:rsidP="006C4EFE">
            <w:pPr>
              <w:pStyle w:val="TableText0"/>
              <w:jc w:val="right"/>
            </w:pPr>
            <w:r w:rsidRPr="001F45B8">
              <w:t>1.040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0A531DA" w14:textId="6B786C6E" w:rsidR="006C4EFE" w:rsidRPr="001F45B8" w:rsidRDefault="006C4EFE" w:rsidP="006C4EFE">
            <w:pPr>
              <w:pStyle w:val="TableText0"/>
              <w:jc w:val="right"/>
            </w:pPr>
            <w:r w:rsidRPr="001F45B8">
              <w:t>0.677</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C76793A" w14:textId="05E4BA0A" w:rsidR="006C4EFE" w:rsidRPr="001F45B8" w:rsidRDefault="006C4EFE" w:rsidP="006C4EFE">
            <w:pPr>
              <w:pStyle w:val="TableText0"/>
              <w:jc w:val="right"/>
            </w:pPr>
            <w:r w:rsidRPr="001F45B8">
              <w:t>0.363</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38155174" w14:textId="32C1D1B3" w:rsidR="006C4EFE" w:rsidRPr="001F45B8" w:rsidRDefault="006C4EFE" w:rsidP="006C4EFE">
            <w:pPr>
              <w:pStyle w:val="TableText0"/>
              <w:jc w:val="right"/>
              <w:rPr>
                <w:iCs/>
              </w:rPr>
            </w:pPr>
            <w:r w:rsidRPr="001F45B8">
              <w:rPr>
                <w:iCs/>
              </w:rPr>
              <w:t>0.901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E2AF80" w14:textId="50967F1E" w:rsidR="006C4EFE" w:rsidRPr="001F45B8" w:rsidRDefault="006C4EFE" w:rsidP="006C4EFE">
            <w:pPr>
              <w:pStyle w:val="TableText0"/>
              <w:jc w:val="right"/>
              <w:rPr>
                <w:iCs/>
              </w:rPr>
            </w:pPr>
            <w:r w:rsidRPr="001F45B8">
              <w:rPr>
                <w:iCs/>
              </w:rPr>
              <w:t>0.656</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7738B9B" w14:textId="3897797E" w:rsidR="006C4EFE" w:rsidRPr="001F45B8" w:rsidRDefault="006C4EFE" w:rsidP="006C4EFE">
            <w:pPr>
              <w:pStyle w:val="TableText0"/>
              <w:jc w:val="right"/>
              <w:rPr>
                <w:iCs/>
              </w:rPr>
            </w:pPr>
            <w:r w:rsidRPr="001F45B8">
              <w:rPr>
                <w:iCs/>
              </w:rPr>
              <w:t>0.245</w:t>
            </w:r>
          </w:p>
        </w:tc>
      </w:tr>
      <w:tr w:rsidR="006C4EFE" w:rsidRPr="00415230" w14:paraId="52DAAA85" w14:textId="77777777" w:rsidTr="007B2B72">
        <w:trPr>
          <w:trHeight w:val="20"/>
        </w:trPr>
        <w:tc>
          <w:tcPr>
            <w:tcW w:w="2547" w:type="dxa"/>
            <w:shd w:val="clear" w:color="auto" w:fill="auto"/>
            <w:noWrap/>
            <w:vAlign w:val="center"/>
          </w:tcPr>
          <w:p w14:paraId="4DB3ADF0" w14:textId="401D828A" w:rsidR="006C4EFE" w:rsidRPr="006C4EFE" w:rsidRDefault="006C4EFE" w:rsidP="006C4EFE">
            <w:pPr>
              <w:pStyle w:val="TableText0"/>
              <w:jc w:val="right"/>
              <w:rPr>
                <w:b/>
              </w:rPr>
            </w:pPr>
            <w:r>
              <w:rPr>
                <w:b/>
              </w:rPr>
              <w:t>Incremental cost/</w:t>
            </w:r>
            <w:r w:rsidRPr="006C4EFE">
              <w:rPr>
                <w:b/>
              </w:rPr>
              <w:t>life year</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124B9B1" w14:textId="5965E0D4" w:rsidR="006C4EFE" w:rsidRPr="001F45B8" w:rsidRDefault="006C4EFE" w:rsidP="006C4EFE">
            <w:pPr>
              <w:pStyle w:val="TableText0"/>
              <w:jc w:val="right"/>
              <w:rPr>
                <w:b/>
                <w:vertAlign w:val="superscript"/>
              </w:rPr>
            </w:pPr>
            <w:r w:rsidRPr="00B0701C">
              <w:rPr>
                <w:b/>
              </w:rPr>
              <w:t>$</w:t>
            </w:r>
            <w:r w:rsidR="00C828EC" w:rsidRPr="00C828EC">
              <w:rPr>
                <w:b/>
                <w:color w:val="000000"/>
                <w:shd w:val="solid" w:color="000000" w:fill="000000"/>
                <w14:textFill>
                  <w14:solidFill>
                    <w14:srgbClr w14:val="000000">
                      <w14:alpha w14:val="100000"/>
                    </w14:srgbClr>
                  </w14:solidFill>
                </w14:textFill>
              </w:rPr>
              <w:t>|</w:t>
            </w:r>
            <w:r w:rsidR="001F45B8">
              <w:rPr>
                <w:b/>
                <w:vertAlign w:val="superscript"/>
              </w:rPr>
              <w:t>2</w:t>
            </w:r>
          </w:p>
        </w:tc>
        <w:tc>
          <w:tcPr>
            <w:tcW w:w="32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F4652F" w14:textId="30B439B6" w:rsidR="006C4EFE" w:rsidRPr="001B509A" w:rsidRDefault="006C4EFE" w:rsidP="006C4EFE">
            <w:pPr>
              <w:pStyle w:val="TableText0"/>
              <w:jc w:val="right"/>
              <w:rPr>
                <w:b/>
                <w:iCs/>
                <w:vertAlign w:val="superscript"/>
              </w:rPr>
            </w:pPr>
            <w:r w:rsidRPr="00725DEE">
              <w:rPr>
                <w:b/>
                <w:iCs/>
              </w:rPr>
              <w:t>$</w:t>
            </w:r>
            <w:r w:rsidR="00C828EC" w:rsidRPr="00C828EC">
              <w:rPr>
                <w:b/>
                <w:iCs/>
                <w:color w:val="000000"/>
                <w:shd w:val="solid" w:color="000000" w:fill="000000"/>
                <w14:textFill>
                  <w14:solidFill>
                    <w14:srgbClr w14:val="000000">
                      <w14:alpha w14:val="100000"/>
                    </w14:srgbClr>
                  </w14:solidFill>
                </w14:textFill>
              </w:rPr>
              <w:t>|</w:t>
            </w:r>
            <w:r w:rsidR="001B509A">
              <w:rPr>
                <w:b/>
                <w:iCs/>
                <w:vertAlign w:val="superscript"/>
              </w:rPr>
              <w:t>5</w:t>
            </w:r>
          </w:p>
        </w:tc>
      </w:tr>
      <w:tr w:rsidR="006C4EFE" w:rsidRPr="00415230" w14:paraId="7FDF38D5" w14:textId="77777777" w:rsidTr="007B2B72">
        <w:trPr>
          <w:trHeight w:val="20"/>
        </w:trPr>
        <w:tc>
          <w:tcPr>
            <w:tcW w:w="2547" w:type="dxa"/>
            <w:tcBorders>
              <w:top w:val="single" w:sz="4" w:space="0" w:color="auto"/>
              <w:bottom w:val="single" w:sz="4" w:space="0" w:color="auto"/>
            </w:tcBorders>
            <w:shd w:val="clear" w:color="auto" w:fill="auto"/>
            <w:noWrap/>
            <w:vAlign w:val="center"/>
          </w:tcPr>
          <w:p w14:paraId="62E3995A" w14:textId="06F03ECE" w:rsidR="006C4EFE" w:rsidRPr="006C4EFE" w:rsidRDefault="006C4EFE" w:rsidP="006C4EFE">
            <w:pPr>
              <w:pStyle w:val="TableText0"/>
              <w:jc w:val="right"/>
              <w:rPr>
                <w:b/>
              </w:rPr>
            </w:pPr>
            <w:r w:rsidRPr="006C4EFE">
              <w:rPr>
                <w:b/>
              </w:rPr>
              <w:t>Incremental cost/QALY</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507EF799" w14:textId="47F1F41E" w:rsidR="006C4EFE" w:rsidRPr="001F45B8" w:rsidRDefault="006C4EFE" w:rsidP="006C4EFE">
            <w:pPr>
              <w:pStyle w:val="TableText0"/>
              <w:jc w:val="right"/>
              <w:rPr>
                <w:rFonts w:cs="Calibri"/>
                <w:b/>
                <w:vertAlign w:val="superscript"/>
              </w:rPr>
            </w:pPr>
            <w:r w:rsidRPr="00B0701C">
              <w:rPr>
                <w:rFonts w:cs="Calibri"/>
                <w:b/>
              </w:rPr>
              <w:t>$</w:t>
            </w:r>
            <w:r w:rsidR="00C828EC" w:rsidRPr="00C828EC">
              <w:rPr>
                <w:rFonts w:cs="Calibri"/>
                <w:b/>
                <w:color w:val="000000"/>
                <w:shd w:val="solid" w:color="000000" w:fill="000000"/>
                <w14:textFill>
                  <w14:solidFill>
                    <w14:srgbClr w14:val="000000">
                      <w14:alpha w14:val="100000"/>
                    </w14:srgbClr>
                  </w14:solidFill>
                </w14:textFill>
              </w:rPr>
              <w:t>|</w:t>
            </w:r>
            <w:r w:rsidR="001F45B8">
              <w:rPr>
                <w:rFonts w:cs="Calibri"/>
                <w:b/>
                <w:vertAlign w:val="superscript"/>
              </w:rPr>
              <w:t>3</w:t>
            </w:r>
          </w:p>
        </w:tc>
        <w:tc>
          <w:tcPr>
            <w:tcW w:w="3210" w:type="dxa"/>
            <w:gridSpan w:val="3"/>
            <w:tcBorders>
              <w:top w:val="single" w:sz="4" w:space="0" w:color="auto"/>
              <w:left w:val="nil"/>
              <w:bottom w:val="single" w:sz="4" w:space="0" w:color="auto"/>
              <w:right w:val="single" w:sz="4" w:space="0" w:color="auto"/>
            </w:tcBorders>
            <w:shd w:val="clear" w:color="auto" w:fill="auto"/>
            <w:vAlign w:val="center"/>
          </w:tcPr>
          <w:p w14:paraId="31ED839F" w14:textId="052101A3" w:rsidR="006C4EFE" w:rsidRPr="001B509A" w:rsidRDefault="006C4EFE" w:rsidP="006C4EFE">
            <w:pPr>
              <w:pStyle w:val="TableText0"/>
              <w:jc w:val="right"/>
              <w:rPr>
                <w:rFonts w:cs="Calibri"/>
                <w:b/>
                <w:iCs/>
                <w:vertAlign w:val="superscript"/>
              </w:rPr>
            </w:pPr>
            <w:r w:rsidRPr="00725DEE">
              <w:rPr>
                <w:rFonts w:cs="Calibri"/>
                <w:b/>
                <w:iCs/>
              </w:rPr>
              <w:t>$</w:t>
            </w:r>
            <w:r w:rsidR="00C828EC" w:rsidRPr="00C828EC">
              <w:rPr>
                <w:rFonts w:cs="Calibri"/>
                <w:b/>
                <w:iCs/>
                <w:color w:val="000000"/>
                <w:shd w:val="solid" w:color="000000" w:fill="000000"/>
                <w14:textFill>
                  <w14:solidFill>
                    <w14:srgbClr w14:val="000000">
                      <w14:alpha w14:val="100000"/>
                    </w14:srgbClr>
                  </w14:solidFill>
                </w14:textFill>
              </w:rPr>
              <w:t>|</w:t>
            </w:r>
            <w:r w:rsidR="001B509A">
              <w:rPr>
                <w:rFonts w:cs="Calibri"/>
                <w:b/>
                <w:iCs/>
                <w:vertAlign w:val="superscript"/>
              </w:rPr>
              <w:t>1</w:t>
            </w:r>
          </w:p>
        </w:tc>
      </w:tr>
    </w:tbl>
    <w:p w14:paraId="04D12734" w14:textId="74F93B52" w:rsidR="00B74CE6" w:rsidRDefault="006C4EFE" w:rsidP="00B74CE6">
      <w:pPr>
        <w:pStyle w:val="TableFigureFooter"/>
      </w:pPr>
      <w:r w:rsidRPr="006C4EFE">
        <w:t xml:space="preserve">Source: Tables 3.7-1 and 3.7-2, p88-89 of the submission. Respecified </w:t>
      </w:r>
      <w:r w:rsidR="0001544A">
        <w:t>base-case</w:t>
      </w:r>
      <w:r w:rsidRPr="006C4EFE">
        <w:t xml:space="preserve"> generated during the evaluation</w:t>
      </w:r>
      <w:proofErr w:type="gramStart"/>
      <w:r w:rsidR="00B74CE6">
        <w:t xml:space="preserve">. </w:t>
      </w:r>
      <w:r w:rsidR="00B74CE6" w:rsidRPr="00B74CE6">
        <w:rPr>
          <w:rFonts w:eastAsiaTheme="majorEastAsia" w:cs="Times New Roman"/>
          <w:sz w:val="20"/>
        </w:rPr>
        <w:t>.</w:t>
      </w:r>
      <w:proofErr w:type="gramEnd"/>
    </w:p>
    <w:p w14:paraId="72DC2524" w14:textId="77777777" w:rsidR="00B74CE6" w:rsidRDefault="00B74CE6" w:rsidP="00B74CE6">
      <w:pPr>
        <w:pStyle w:val="TableFigureFooter"/>
      </w:pPr>
      <w:r>
        <w:t>LYS = life year saved; QALY = quality adjusted life year</w:t>
      </w:r>
    </w:p>
    <w:p w14:paraId="74272FF0" w14:textId="6405DC36" w:rsidR="00B74CE6" w:rsidRPr="00AE3F7A" w:rsidRDefault="00B74CE6" w:rsidP="00B74CE6">
      <w:pPr>
        <w:pStyle w:val="TableFigureFooter"/>
      </w:pPr>
      <w:r w:rsidRPr="00AE3F7A">
        <w:t xml:space="preserve">Estimates for the DP arm are different from the submission due to an error identified in the economic analysis. </w:t>
      </w:r>
    </w:p>
    <w:p w14:paraId="4FDDEA45" w14:textId="66F59FB6" w:rsidR="00B74CE6" w:rsidRPr="00AE3F7A" w:rsidRDefault="00B74CE6" w:rsidP="00B74CE6">
      <w:pPr>
        <w:pStyle w:val="TableFigureFooter"/>
      </w:pPr>
      <w:r w:rsidRPr="00AE3F7A">
        <w:t xml:space="preserve">Note: Costs &gt; $100 are rounded to whole dollars. Costs and outcomes are discounted at </w:t>
      </w:r>
      <w:proofErr w:type="gramStart"/>
      <w:r w:rsidR="00C828EC" w:rsidRPr="00C828EC">
        <w:rPr>
          <w:color w:val="000000"/>
          <w:spacing w:val="40"/>
          <w:shd w:val="solid" w:color="000000" w:fill="000000"/>
          <w:fitText w:val="280" w:id="-1502409467"/>
          <w14:textFill>
            <w14:solidFill>
              <w14:srgbClr w14:val="000000">
                <w14:alpha w14:val="100000"/>
              </w14:srgbClr>
            </w14:solidFill>
          </w14:textFill>
        </w:rPr>
        <w:t xml:space="preserve">|  </w:t>
      </w:r>
      <w:r w:rsidR="00C828EC" w:rsidRPr="00C828EC">
        <w:rPr>
          <w:color w:val="000000"/>
          <w:spacing w:val="2"/>
          <w:shd w:val="solid" w:color="000000" w:fill="000000"/>
          <w:fitText w:val="280" w:id="-1502409467"/>
          <w14:textFill>
            <w14:solidFill>
              <w14:srgbClr w14:val="000000">
                <w14:alpha w14:val="100000"/>
              </w14:srgbClr>
            </w14:solidFill>
          </w14:textFill>
        </w:rPr>
        <w:t>|</w:t>
      </w:r>
      <w:proofErr w:type="gramEnd"/>
      <w:r w:rsidRPr="00AE3F7A">
        <w:t>% per annum</w:t>
      </w:r>
    </w:p>
    <w:p w14:paraId="55E702C4" w14:textId="596A75E7" w:rsidR="00C17BF1" w:rsidRDefault="00C17BF1" w:rsidP="00B74CE6">
      <w:pPr>
        <w:pStyle w:val="TableFigureFooter"/>
      </w:pPr>
      <w:r w:rsidRPr="00AE3F7A">
        <w:t xml:space="preserve">Respecified base-case uses a Weibull parametric function for the extrapolation of the OS curve for </w:t>
      </w:r>
      <w:proofErr w:type="spellStart"/>
      <w:r w:rsidRPr="00AE3F7A">
        <w:t>enfortumab</w:t>
      </w:r>
      <w:proofErr w:type="spellEnd"/>
      <w:r w:rsidR="00AE3F7A" w:rsidRPr="00AE3F7A">
        <w:t xml:space="preserve"> (base case = exponential), applies the ITT HR for OS and PFS (base case = subgroup HR for docetaxel and paclitaxel), and time on treatment for the chemotherapy arm is based on ITT (base case = subgroup of docetaxel and paclitaxel).</w:t>
      </w:r>
    </w:p>
    <w:p w14:paraId="1E680365" w14:textId="77777777" w:rsidR="004C345B" w:rsidRPr="00952414" w:rsidRDefault="004C345B" w:rsidP="004C345B">
      <w:pPr>
        <w:pStyle w:val="TableFigureFooter"/>
        <w:spacing w:after="0"/>
        <w:contextualSpacing w:val="0"/>
      </w:pPr>
      <w:r w:rsidRPr="00952414">
        <w:rPr>
          <w:i/>
        </w:rPr>
        <w:t>The redacted values correspond to the following ranges</w:t>
      </w:r>
    </w:p>
    <w:p w14:paraId="1756ED52" w14:textId="46B3F1F4" w:rsidR="004C345B" w:rsidRPr="00952414" w:rsidRDefault="004C345B" w:rsidP="004C345B">
      <w:pPr>
        <w:rPr>
          <w:rFonts w:ascii="Arial Narrow" w:hAnsi="Arial Narrow"/>
          <w:i/>
          <w:sz w:val="18"/>
          <w:szCs w:val="18"/>
        </w:rPr>
      </w:pPr>
      <w:r w:rsidRPr="00952414">
        <w:rPr>
          <w:rFonts w:ascii="Arial Narrow" w:hAnsi="Arial Narrow"/>
          <w:i/>
          <w:sz w:val="18"/>
          <w:szCs w:val="18"/>
          <w:vertAlign w:val="superscript"/>
        </w:rPr>
        <w:t>1</w:t>
      </w:r>
      <w:r w:rsidRPr="00952414">
        <w:rPr>
          <w:rFonts w:ascii="Arial Narrow" w:hAnsi="Arial Narrow"/>
          <w:i/>
          <w:sz w:val="18"/>
          <w:szCs w:val="18"/>
        </w:rPr>
        <w:t xml:space="preserve"> $155,000</w:t>
      </w:r>
      <w:r w:rsidR="00952414" w:rsidRPr="00952414">
        <w:rPr>
          <w:rFonts w:ascii="Arial Narrow" w:hAnsi="Arial Narrow"/>
          <w:i/>
          <w:sz w:val="18"/>
          <w:szCs w:val="18"/>
        </w:rPr>
        <w:t xml:space="preserve"> to &lt; </w:t>
      </w:r>
      <w:r w:rsidRPr="00952414">
        <w:rPr>
          <w:rFonts w:ascii="Arial Narrow" w:hAnsi="Arial Narrow"/>
          <w:i/>
          <w:sz w:val="18"/>
          <w:szCs w:val="18"/>
        </w:rPr>
        <w:t xml:space="preserve">$255,000 </w:t>
      </w:r>
    </w:p>
    <w:p w14:paraId="7CDB1C08" w14:textId="7FD85AC3" w:rsidR="004C345B" w:rsidRPr="00952414" w:rsidRDefault="004C345B" w:rsidP="004C345B">
      <w:pPr>
        <w:rPr>
          <w:rFonts w:ascii="Arial Narrow" w:hAnsi="Arial Narrow"/>
          <w:i/>
          <w:sz w:val="18"/>
          <w:szCs w:val="18"/>
        </w:rPr>
      </w:pPr>
      <w:r w:rsidRPr="00952414">
        <w:rPr>
          <w:rFonts w:ascii="Arial Narrow" w:hAnsi="Arial Narrow"/>
          <w:i/>
          <w:sz w:val="18"/>
          <w:szCs w:val="18"/>
          <w:vertAlign w:val="superscript"/>
        </w:rPr>
        <w:t>2</w:t>
      </w:r>
      <w:r w:rsidRPr="00952414">
        <w:rPr>
          <w:rFonts w:ascii="Arial Narrow" w:hAnsi="Arial Narrow"/>
          <w:i/>
          <w:sz w:val="18"/>
          <w:szCs w:val="18"/>
        </w:rPr>
        <w:t xml:space="preserve"> $75,000</w:t>
      </w:r>
      <w:r w:rsidR="00952414" w:rsidRPr="00952414">
        <w:rPr>
          <w:rFonts w:ascii="Arial Narrow" w:hAnsi="Arial Narrow"/>
          <w:i/>
          <w:sz w:val="18"/>
          <w:szCs w:val="18"/>
        </w:rPr>
        <w:t xml:space="preserve"> to &lt; </w:t>
      </w:r>
      <w:r w:rsidRPr="00952414">
        <w:rPr>
          <w:rFonts w:ascii="Arial Narrow" w:hAnsi="Arial Narrow"/>
          <w:i/>
          <w:sz w:val="18"/>
          <w:szCs w:val="18"/>
        </w:rPr>
        <w:t xml:space="preserve">$95,000 </w:t>
      </w:r>
    </w:p>
    <w:p w14:paraId="7CCF566A" w14:textId="7EB32A8F" w:rsidR="004C345B" w:rsidRPr="00952414" w:rsidRDefault="004C345B" w:rsidP="004C345B">
      <w:pPr>
        <w:rPr>
          <w:rFonts w:ascii="Arial Narrow" w:hAnsi="Arial Narrow"/>
          <w:i/>
          <w:sz w:val="18"/>
          <w:szCs w:val="18"/>
        </w:rPr>
      </w:pPr>
      <w:r w:rsidRPr="00952414">
        <w:rPr>
          <w:rFonts w:ascii="Arial Narrow" w:hAnsi="Arial Narrow"/>
          <w:i/>
          <w:sz w:val="18"/>
          <w:szCs w:val="18"/>
          <w:vertAlign w:val="superscript"/>
        </w:rPr>
        <w:t>3</w:t>
      </w:r>
      <w:r w:rsidRPr="00952414">
        <w:rPr>
          <w:rFonts w:ascii="Arial Narrow" w:hAnsi="Arial Narrow"/>
          <w:i/>
          <w:sz w:val="18"/>
          <w:szCs w:val="18"/>
        </w:rPr>
        <w:t xml:space="preserve"> $95,000</w:t>
      </w:r>
      <w:r w:rsidR="00952414" w:rsidRPr="00952414">
        <w:rPr>
          <w:rFonts w:ascii="Arial Narrow" w:hAnsi="Arial Narrow"/>
          <w:i/>
          <w:sz w:val="18"/>
          <w:szCs w:val="18"/>
        </w:rPr>
        <w:t xml:space="preserve"> to &lt; </w:t>
      </w:r>
      <w:r w:rsidRPr="00952414">
        <w:rPr>
          <w:rFonts w:ascii="Arial Narrow" w:hAnsi="Arial Narrow"/>
          <w:i/>
          <w:sz w:val="18"/>
          <w:szCs w:val="18"/>
        </w:rPr>
        <w:t>$115,000</w:t>
      </w:r>
    </w:p>
    <w:p w14:paraId="393315EC" w14:textId="270A1733" w:rsidR="004C345B" w:rsidRPr="00952414" w:rsidRDefault="004C345B" w:rsidP="004C345B">
      <w:pPr>
        <w:rPr>
          <w:rFonts w:ascii="Arial Narrow" w:hAnsi="Arial Narrow"/>
          <w:i/>
          <w:sz w:val="18"/>
          <w:szCs w:val="18"/>
        </w:rPr>
      </w:pPr>
      <w:r w:rsidRPr="00952414">
        <w:rPr>
          <w:rFonts w:ascii="Arial Narrow" w:hAnsi="Arial Narrow"/>
          <w:i/>
          <w:sz w:val="18"/>
          <w:szCs w:val="18"/>
          <w:vertAlign w:val="superscript"/>
        </w:rPr>
        <w:t xml:space="preserve">4 </w:t>
      </w:r>
      <w:r w:rsidRPr="00952414">
        <w:rPr>
          <w:rFonts w:ascii="Arial Narrow" w:hAnsi="Arial Narrow"/>
          <w:i/>
          <w:sz w:val="18"/>
          <w:szCs w:val="18"/>
        </w:rPr>
        <w:t>$255,000</w:t>
      </w:r>
      <w:r w:rsidR="00952414" w:rsidRPr="00952414">
        <w:rPr>
          <w:rFonts w:ascii="Arial Narrow" w:hAnsi="Arial Narrow"/>
          <w:i/>
          <w:sz w:val="18"/>
          <w:szCs w:val="18"/>
        </w:rPr>
        <w:t xml:space="preserve"> to &lt; </w:t>
      </w:r>
      <w:r w:rsidRPr="00952414">
        <w:rPr>
          <w:rFonts w:ascii="Arial Narrow" w:hAnsi="Arial Narrow"/>
          <w:i/>
          <w:sz w:val="18"/>
          <w:szCs w:val="18"/>
        </w:rPr>
        <w:t xml:space="preserve">$355,000 </w:t>
      </w:r>
    </w:p>
    <w:p w14:paraId="6439F48F" w14:textId="3B8D0656" w:rsidR="004C345B" w:rsidRPr="00952414" w:rsidRDefault="004C345B" w:rsidP="004C345B">
      <w:pPr>
        <w:spacing w:after="120"/>
        <w:rPr>
          <w:rFonts w:ascii="Arial Narrow" w:hAnsi="Arial Narrow"/>
          <w:i/>
          <w:sz w:val="18"/>
          <w:szCs w:val="18"/>
        </w:rPr>
      </w:pPr>
      <w:r w:rsidRPr="00952414">
        <w:rPr>
          <w:rFonts w:ascii="Arial Narrow" w:hAnsi="Arial Narrow"/>
          <w:i/>
          <w:sz w:val="18"/>
          <w:szCs w:val="18"/>
          <w:vertAlign w:val="superscript"/>
        </w:rPr>
        <w:t>5</w:t>
      </w:r>
      <w:r w:rsidRPr="00952414">
        <w:rPr>
          <w:rFonts w:ascii="Arial Narrow" w:hAnsi="Arial Narrow"/>
          <w:i/>
          <w:sz w:val="18"/>
          <w:szCs w:val="18"/>
        </w:rPr>
        <w:t xml:space="preserve"> $115,000</w:t>
      </w:r>
      <w:r w:rsidR="00952414" w:rsidRPr="00952414">
        <w:rPr>
          <w:rFonts w:ascii="Arial Narrow" w:hAnsi="Arial Narrow"/>
          <w:i/>
          <w:sz w:val="18"/>
          <w:szCs w:val="18"/>
        </w:rPr>
        <w:t xml:space="preserve"> to &lt; </w:t>
      </w:r>
      <w:r w:rsidRPr="00952414">
        <w:rPr>
          <w:rFonts w:ascii="Arial Narrow" w:hAnsi="Arial Narrow"/>
          <w:i/>
          <w:sz w:val="18"/>
          <w:szCs w:val="18"/>
        </w:rPr>
        <w:t>$135,000</w:t>
      </w:r>
    </w:p>
    <w:p w14:paraId="08B21787" w14:textId="2070A12E" w:rsidR="00BA0141" w:rsidRPr="00725DEE" w:rsidRDefault="00BA0141" w:rsidP="00BA0141">
      <w:pPr>
        <w:pStyle w:val="3-BodyText"/>
        <w:rPr>
          <w:iCs/>
        </w:rPr>
      </w:pPr>
      <w:r w:rsidRPr="00725DEE">
        <w:rPr>
          <w:iCs/>
        </w:rPr>
        <w:t xml:space="preserve">The extrapolation of health outcomes to the model time horizon of 10 years had the most impact on the results of the economic evaluation. Comparing the exponential model used to extrapolate OS in the submission’s </w:t>
      </w:r>
      <w:r w:rsidR="0001544A" w:rsidRPr="00725DEE">
        <w:rPr>
          <w:iCs/>
        </w:rPr>
        <w:t>base-case</w:t>
      </w:r>
      <w:r w:rsidRPr="00725DEE">
        <w:rPr>
          <w:iCs/>
        </w:rPr>
        <w:t xml:space="preserve">, the use of a Weibull extrapolation reduced the life years accrued in the </w:t>
      </w:r>
      <w:proofErr w:type="spellStart"/>
      <w:r w:rsidRPr="00725DEE">
        <w:rPr>
          <w:iCs/>
        </w:rPr>
        <w:t>enfortumab</w:t>
      </w:r>
      <w:proofErr w:type="spellEnd"/>
      <w:r w:rsidRPr="00725DEE">
        <w:rPr>
          <w:iCs/>
        </w:rPr>
        <w:t xml:space="preserve"> </w:t>
      </w:r>
      <w:proofErr w:type="spellStart"/>
      <w:r w:rsidRPr="00725DEE">
        <w:rPr>
          <w:iCs/>
        </w:rPr>
        <w:t>vedotin</w:t>
      </w:r>
      <w:proofErr w:type="spellEnd"/>
      <w:r w:rsidRPr="00725DEE">
        <w:rPr>
          <w:iCs/>
        </w:rPr>
        <w:t xml:space="preserve"> arm from 1.54 to 1.32. As the comparator arm is generated by applying a HR, </w:t>
      </w:r>
      <w:r w:rsidR="000C4D1C" w:rsidRPr="00725DEE">
        <w:rPr>
          <w:iCs/>
        </w:rPr>
        <w:t xml:space="preserve">changing the OS extrapolation for </w:t>
      </w:r>
      <w:proofErr w:type="spellStart"/>
      <w:r w:rsidR="000C4D1C" w:rsidRPr="00725DEE">
        <w:rPr>
          <w:iCs/>
        </w:rPr>
        <w:t>enfortumab</w:t>
      </w:r>
      <w:proofErr w:type="spellEnd"/>
      <w:r w:rsidR="000C4D1C" w:rsidRPr="00725DEE">
        <w:rPr>
          <w:iCs/>
        </w:rPr>
        <w:t xml:space="preserve"> </w:t>
      </w:r>
      <w:proofErr w:type="spellStart"/>
      <w:r w:rsidR="000C4D1C" w:rsidRPr="00725DEE">
        <w:rPr>
          <w:iCs/>
        </w:rPr>
        <w:t>vedotin</w:t>
      </w:r>
      <w:proofErr w:type="spellEnd"/>
      <w:r w:rsidR="000C4D1C" w:rsidRPr="00725DEE">
        <w:rPr>
          <w:iCs/>
        </w:rPr>
        <w:t xml:space="preserve"> </w:t>
      </w:r>
      <w:r w:rsidRPr="00725DEE">
        <w:rPr>
          <w:iCs/>
        </w:rPr>
        <w:t>also reduces the life years accrued in the comparator arm from 1.04 to 0.94</w:t>
      </w:r>
      <w:r w:rsidR="000C4D1C" w:rsidRPr="00725DEE">
        <w:rPr>
          <w:iCs/>
        </w:rPr>
        <w:t xml:space="preserve"> (step not shown in table above)</w:t>
      </w:r>
      <w:r w:rsidRPr="00725DEE">
        <w:rPr>
          <w:iCs/>
        </w:rPr>
        <w:t>. Applying the ITT HR from EV-301</w:t>
      </w:r>
      <w:r w:rsidR="000C4D1C" w:rsidRPr="00725DEE">
        <w:rPr>
          <w:iCs/>
        </w:rPr>
        <w:t xml:space="preserve"> to the respecified (Weibull) extrapolation</w:t>
      </w:r>
      <w:r w:rsidRPr="00725DEE">
        <w:rPr>
          <w:iCs/>
        </w:rPr>
        <w:t xml:space="preserve">, the life years accrued in the comparator arm </w:t>
      </w:r>
      <w:r w:rsidR="000C4D1C" w:rsidRPr="00725DEE">
        <w:rPr>
          <w:iCs/>
        </w:rPr>
        <w:t xml:space="preserve">result in a smaller </w:t>
      </w:r>
      <w:r w:rsidRPr="00725DEE">
        <w:rPr>
          <w:iCs/>
        </w:rPr>
        <w:t xml:space="preserve">drop from 1.04 in the </w:t>
      </w:r>
      <w:r w:rsidR="0001544A" w:rsidRPr="00725DEE">
        <w:rPr>
          <w:iCs/>
        </w:rPr>
        <w:t>base-case</w:t>
      </w:r>
      <w:r w:rsidRPr="00725DEE">
        <w:rPr>
          <w:iCs/>
        </w:rPr>
        <w:t xml:space="preserve"> to 1.00 in the respecified </w:t>
      </w:r>
      <w:r w:rsidR="0001544A" w:rsidRPr="00725DEE">
        <w:rPr>
          <w:iCs/>
        </w:rPr>
        <w:t>base-case</w:t>
      </w:r>
      <w:r w:rsidRPr="00725DEE">
        <w:rPr>
          <w:iCs/>
        </w:rPr>
        <w:t>. Therefore, the combination of using a more reasonable Weibull extrapolation and the ITT HR result</w:t>
      </w:r>
      <w:r w:rsidR="00AE3F7A" w:rsidRPr="00725DEE">
        <w:rPr>
          <w:iCs/>
        </w:rPr>
        <w:t>s</w:t>
      </w:r>
      <w:r w:rsidRPr="00725DEE">
        <w:rPr>
          <w:iCs/>
        </w:rPr>
        <w:t xml:space="preserve"> in a minor reduction in the QALYs generated in the comparator arm (approx. 3%) compared with more substantial reduction in the </w:t>
      </w:r>
      <w:proofErr w:type="spellStart"/>
      <w:r w:rsidRPr="00725DEE">
        <w:rPr>
          <w:iCs/>
        </w:rPr>
        <w:t>enfortumab</w:t>
      </w:r>
      <w:proofErr w:type="spellEnd"/>
      <w:r w:rsidRPr="00725DEE">
        <w:rPr>
          <w:iCs/>
        </w:rPr>
        <w:t xml:space="preserve"> </w:t>
      </w:r>
      <w:proofErr w:type="spellStart"/>
      <w:r w:rsidRPr="00725DEE">
        <w:rPr>
          <w:iCs/>
        </w:rPr>
        <w:t>vedotin</w:t>
      </w:r>
      <w:proofErr w:type="spellEnd"/>
      <w:r w:rsidRPr="00725DEE">
        <w:rPr>
          <w:iCs/>
        </w:rPr>
        <w:t xml:space="preserve"> arm (approx. 13%).</w:t>
      </w:r>
    </w:p>
    <w:p w14:paraId="7F773902" w14:textId="582F18E1" w:rsidR="00BA0141" w:rsidRDefault="00535341" w:rsidP="00535341">
      <w:pPr>
        <w:pStyle w:val="3-BodyText"/>
        <w:rPr>
          <w:i/>
        </w:rPr>
      </w:pPr>
      <w:r w:rsidRPr="00725DEE">
        <w:rPr>
          <w:iCs/>
        </w:rPr>
        <w:t xml:space="preserve">In the respecified </w:t>
      </w:r>
      <w:r w:rsidR="0001544A" w:rsidRPr="00725DEE">
        <w:rPr>
          <w:iCs/>
        </w:rPr>
        <w:t>base-case</w:t>
      </w:r>
      <w:r w:rsidRPr="00725DEE">
        <w:rPr>
          <w:iCs/>
        </w:rPr>
        <w:t>, approximately one</w:t>
      </w:r>
      <w:r w:rsidR="00AE3F7A" w:rsidRPr="00725DEE">
        <w:rPr>
          <w:iCs/>
        </w:rPr>
        <w:t>-</w:t>
      </w:r>
      <w:r w:rsidRPr="00725DEE">
        <w:rPr>
          <w:iCs/>
        </w:rPr>
        <w:t>third of the incremental life years (undiscounted) are accrued pr</w:t>
      </w:r>
      <w:r w:rsidR="00AC7927" w:rsidRPr="00725DEE">
        <w:rPr>
          <w:iCs/>
        </w:rPr>
        <w:t xml:space="preserve">ior to the </w:t>
      </w:r>
      <w:proofErr w:type="gramStart"/>
      <w:r w:rsidR="00AC7927" w:rsidRPr="00725DEE">
        <w:rPr>
          <w:iCs/>
        </w:rPr>
        <w:t>15 month</w:t>
      </w:r>
      <w:proofErr w:type="gramEnd"/>
      <w:r w:rsidR="00AC7927" w:rsidRPr="00725DEE">
        <w:rPr>
          <w:iCs/>
        </w:rPr>
        <w:t xml:space="preserve"> Kaplan-</w:t>
      </w:r>
      <w:r w:rsidRPr="00725DEE">
        <w:rPr>
          <w:iCs/>
        </w:rPr>
        <w:t xml:space="preserve">Meier truncation point. By 5 years, almost </w:t>
      </w:r>
      <w:proofErr w:type="gramStart"/>
      <w:r w:rsidRPr="00725DEE">
        <w:rPr>
          <w:iCs/>
        </w:rPr>
        <w:t>all of</w:t>
      </w:r>
      <w:proofErr w:type="gramEnd"/>
      <w:r w:rsidRPr="00725DEE">
        <w:rPr>
          <w:iCs/>
        </w:rPr>
        <w:t xml:space="preserve"> the incremental differences between the arms have been accrued. The accumulated life years over time by treatment arm are illustrated below.</w:t>
      </w:r>
    </w:p>
    <w:p w14:paraId="36B4B239" w14:textId="154B783A" w:rsidR="00535341" w:rsidRPr="00535341" w:rsidRDefault="00535341" w:rsidP="00535341">
      <w:pPr>
        <w:pStyle w:val="TableHeading"/>
        <w:rPr>
          <w:i/>
        </w:rPr>
      </w:pPr>
      <w:r>
        <w:t xml:space="preserve">Figure </w:t>
      </w:r>
      <w:r w:rsidR="00F06F14">
        <w:fldChar w:fldCharType="begin"/>
      </w:r>
      <w:r w:rsidR="00F06F14">
        <w:instrText xml:space="preserve"> SEQ Figure \* ARABIC </w:instrText>
      </w:r>
      <w:r w:rsidR="00F06F14">
        <w:fldChar w:fldCharType="separate"/>
      </w:r>
      <w:r w:rsidR="00BF7DF4">
        <w:rPr>
          <w:noProof/>
        </w:rPr>
        <w:t>8</w:t>
      </w:r>
      <w:r w:rsidR="00F06F14">
        <w:rPr>
          <w:noProof/>
        </w:rPr>
        <w:fldChar w:fldCharType="end"/>
      </w:r>
      <w:r>
        <w:t xml:space="preserve">: Accumulated life year gains (undiscounted) over time in the model, by treatment arm (respecified </w:t>
      </w:r>
      <w:r w:rsidR="0001544A">
        <w:t>base-case</w:t>
      </w:r>
      <w:r>
        <w:t>)</w:t>
      </w:r>
    </w:p>
    <w:p w14:paraId="31F49155" w14:textId="09630D5A" w:rsidR="00BA0141" w:rsidRDefault="00535341" w:rsidP="00D26531">
      <w:pPr>
        <w:pStyle w:val="3-BodyText"/>
        <w:numPr>
          <w:ilvl w:val="0"/>
          <w:numId w:val="0"/>
        </w:numPr>
        <w:ind w:left="-142"/>
      </w:pPr>
      <w:r>
        <w:rPr>
          <w:noProof/>
        </w:rPr>
        <w:drawing>
          <wp:inline distT="0" distB="0" distL="0" distR="0" wp14:anchorId="76E3544F" wp14:editId="3CC52D2D">
            <wp:extent cx="5770331" cy="3329796"/>
            <wp:effectExtent l="0" t="0" r="1905" b="4445"/>
            <wp:docPr id="11" name="Picture 11" descr="Figure 8: Accumulated life year gains (undiscounted) over time in the model, by treatment arm (respecified base-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8: Accumulated life year gains (undiscounted) over time in the model, by treatment arm (respecified base-ca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0718" cy="3335790"/>
                    </a:xfrm>
                    <a:prstGeom prst="rect">
                      <a:avLst/>
                    </a:prstGeom>
                    <a:noFill/>
                  </pic:spPr>
                </pic:pic>
              </a:graphicData>
            </a:graphic>
          </wp:inline>
        </w:drawing>
      </w:r>
    </w:p>
    <w:p w14:paraId="1CE63336" w14:textId="312A4E15" w:rsidR="00535341" w:rsidRDefault="00535341" w:rsidP="00535341">
      <w:pPr>
        <w:pStyle w:val="TableFigureFooter"/>
      </w:pPr>
      <w:r w:rsidRPr="00B8008C">
        <w:t>Source: generated during the evaluation</w:t>
      </w:r>
    </w:p>
    <w:p w14:paraId="3803E679" w14:textId="038C72E6" w:rsidR="00535341" w:rsidRDefault="00AE3F7A" w:rsidP="00EC7D63">
      <w:pPr>
        <w:pStyle w:val="TableFigureFooter"/>
      </w:pPr>
      <w:r>
        <w:t>KM = Kaplan-Meier; LY = life year; LYG = life years gained.</w:t>
      </w:r>
    </w:p>
    <w:p w14:paraId="24CD863A" w14:textId="63A63266" w:rsidR="00535341" w:rsidRDefault="007D1467" w:rsidP="00BA0141">
      <w:pPr>
        <w:pStyle w:val="3-BodyText"/>
      </w:pPr>
      <w:r>
        <w:t>The results of key sensitivity analyses are presented below.</w:t>
      </w:r>
    </w:p>
    <w:p w14:paraId="7DE5744D" w14:textId="5D46DE4E" w:rsidR="007D1467" w:rsidRDefault="00FB37FA" w:rsidP="00FB37FA">
      <w:pPr>
        <w:pStyle w:val="Caption"/>
      </w:pPr>
      <w:bookmarkStart w:id="25" w:name="_Ref95577686"/>
      <w:r>
        <w:t xml:space="preserve">Table </w:t>
      </w:r>
      <w:r w:rsidR="00F06F14">
        <w:fldChar w:fldCharType="begin"/>
      </w:r>
      <w:r w:rsidR="00F06F14">
        <w:instrText xml:space="preserve"> SEQ Table \* ARABIC </w:instrText>
      </w:r>
      <w:r w:rsidR="00F06F14">
        <w:fldChar w:fldCharType="separate"/>
      </w:r>
      <w:r w:rsidR="00234F7B">
        <w:rPr>
          <w:noProof/>
        </w:rPr>
        <w:t>11</w:t>
      </w:r>
      <w:r w:rsidR="00F06F14">
        <w:rPr>
          <w:noProof/>
        </w:rPr>
        <w:fldChar w:fldCharType="end"/>
      </w:r>
      <w:bookmarkEnd w:id="25"/>
      <w:r>
        <w:t>: Results of key sensitivity analyses</w:t>
      </w:r>
      <w:r w:rsidR="00453AA6">
        <w:t xml:space="preserve"> for the submission base-case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key sensitivity analyses for the submission base-case"/>
      </w:tblPr>
      <w:tblGrid>
        <w:gridCol w:w="4957"/>
        <w:gridCol w:w="1275"/>
        <w:gridCol w:w="1418"/>
        <w:gridCol w:w="1367"/>
      </w:tblGrid>
      <w:tr w:rsidR="00FB37FA" w:rsidRPr="0076146C" w14:paraId="27A3837D" w14:textId="77777777" w:rsidTr="00C828EC">
        <w:trPr>
          <w:tblHeader/>
        </w:trPr>
        <w:tc>
          <w:tcPr>
            <w:tcW w:w="4957" w:type="dxa"/>
            <w:shd w:val="clear" w:color="auto" w:fill="D9D9D9" w:themeFill="background1" w:themeFillShade="D9"/>
            <w:vAlign w:val="center"/>
          </w:tcPr>
          <w:p w14:paraId="174F2364" w14:textId="77777777" w:rsidR="00FB37FA" w:rsidRPr="0076146C" w:rsidRDefault="00FB37FA" w:rsidP="007B2B72">
            <w:pPr>
              <w:pStyle w:val="Tabletext"/>
              <w:rPr>
                <w:b/>
              </w:rPr>
            </w:pPr>
            <w:r w:rsidRPr="0076146C">
              <w:rPr>
                <w:b/>
              </w:rPr>
              <w:t>Variables altered in sensitivity analysis</w:t>
            </w:r>
          </w:p>
        </w:tc>
        <w:tc>
          <w:tcPr>
            <w:tcW w:w="1275" w:type="dxa"/>
            <w:tcBorders>
              <w:bottom w:val="single" w:sz="4" w:space="0" w:color="auto"/>
            </w:tcBorders>
            <w:shd w:val="clear" w:color="auto" w:fill="D9D9D9" w:themeFill="background1" w:themeFillShade="D9"/>
            <w:vAlign w:val="center"/>
          </w:tcPr>
          <w:p w14:paraId="520D630F" w14:textId="74DF0FB5" w:rsidR="00FB37FA" w:rsidRPr="0076146C" w:rsidRDefault="00FB37FA" w:rsidP="007B2B72">
            <w:pPr>
              <w:pStyle w:val="Tabletext"/>
              <w:jc w:val="center"/>
              <w:rPr>
                <w:b/>
              </w:rPr>
            </w:pPr>
            <w:r w:rsidRPr="0076146C">
              <w:rPr>
                <w:b/>
              </w:rPr>
              <w:t>Incremental costs</w:t>
            </w:r>
            <w:r w:rsidR="005D359A">
              <w:rPr>
                <w:b/>
              </w:rPr>
              <w:t xml:space="preserve"> </w:t>
            </w:r>
            <w:r w:rsidR="005D359A">
              <w:t>($)</w:t>
            </w:r>
          </w:p>
        </w:tc>
        <w:tc>
          <w:tcPr>
            <w:tcW w:w="1418" w:type="dxa"/>
            <w:shd w:val="clear" w:color="auto" w:fill="D9D9D9" w:themeFill="background1" w:themeFillShade="D9"/>
            <w:vAlign w:val="center"/>
          </w:tcPr>
          <w:p w14:paraId="669E04F9" w14:textId="78BFE5C8" w:rsidR="00FB37FA" w:rsidRPr="0076146C" w:rsidRDefault="00FB37FA" w:rsidP="007B2B72">
            <w:pPr>
              <w:pStyle w:val="Tabletext"/>
              <w:jc w:val="center"/>
              <w:rPr>
                <w:b/>
              </w:rPr>
            </w:pPr>
            <w:r w:rsidRPr="0076146C">
              <w:rPr>
                <w:b/>
              </w:rPr>
              <w:t>Incremental QALYs</w:t>
            </w:r>
          </w:p>
        </w:tc>
        <w:tc>
          <w:tcPr>
            <w:tcW w:w="1367" w:type="dxa"/>
            <w:tcBorders>
              <w:bottom w:val="single" w:sz="4" w:space="0" w:color="auto"/>
            </w:tcBorders>
            <w:shd w:val="clear" w:color="auto" w:fill="D9D9D9" w:themeFill="background1" w:themeFillShade="D9"/>
            <w:vAlign w:val="center"/>
          </w:tcPr>
          <w:p w14:paraId="5731AC15" w14:textId="2C6A7BE1" w:rsidR="00FB37FA" w:rsidRPr="0076146C" w:rsidRDefault="00FB37FA" w:rsidP="007B2B72">
            <w:pPr>
              <w:pStyle w:val="Tabletext"/>
              <w:jc w:val="center"/>
              <w:rPr>
                <w:b/>
              </w:rPr>
            </w:pPr>
            <w:r w:rsidRPr="0076146C">
              <w:rPr>
                <w:b/>
              </w:rPr>
              <w:t>ICER</w:t>
            </w:r>
            <w:r w:rsidR="005D359A">
              <w:rPr>
                <w:b/>
              </w:rPr>
              <w:t xml:space="preserve"> </w:t>
            </w:r>
            <w:r w:rsidR="005D359A">
              <w:t>($)</w:t>
            </w:r>
          </w:p>
        </w:tc>
      </w:tr>
      <w:tr w:rsidR="00FB37FA" w:rsidRPr="0076146C" w14:paraId="44AF5A16" w14:textId="77777777" w:rsidTr="00C828EC">
        <w:trPr>
          <w:tblHeader/>
        </w:trPr>
        <w:tc>
          <w:tcPr>
            <w:tcW w:w="4957" w:type="dxa"/>
            <w:shd w:val="clear" w:color="auto" w:fill="auto"/>
          </w:tcPr>
          <w:p w14:paraId="46F80E6D" w14:textId="77777777" w:rsidR="00FB37FA" w:rsidRPr="0076146C" w:rsidRDefault="00FB37FA" w:rsidP="007B2B72">
            <w:pPr>
              <w:pStyle w:val="Tabletext"/>
            </w:pPr>
            <w:r w:rsidRPr="0076146C">
              <w:t>Base-case results</w:t>
            </w:r>
          </w:p>
        </w:tc>
        <w:tc>
          <w:tcPr>
            <w:tcW w:w="1275" w:type="dxa"/>
            <w:tcBorders>
              <w:bottom w:val="single" w:sz="4" w:space="0" w:color="auto"/>
            </w:tcBorders>
            <w:shd w:val="solid" w:color="000000" w:fill="000000"/>
            <w:vAlign w:val="bottom"/>
          </w:tcPr>
          <w:p w14:paraId="354E5865" w14:textId="346DCDB8"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19A1EAA4" w14:textId="77777777" w:rsidR="00FB37FA" w:rsidRPr="0076146C" w:rsidRDefault="00FB37FA" w:rsidP="007B2B72">
            <w:pPr>
              <w:pStyle w:val="Tabletext"/>
              <w:jc w:val="right"/>
            </w:pPr>
            <w:r w:rsidRPr="0076146C">
              <w:t>0.363</w:t>
            </w:r>
          </w:p>
        </w:tc>
        <w:tc>
          <w:tcPr>
            <w:tcW w:w="1367" w:type="dxa"/>
            <w:tcBorders>
              <w:bottom w:val="single" w:sz="4" w:space="0" w:color="auto"/>
            </w:tcBorders>
            <w:shd w:val="solid" w:color="000000" w:fill="000000"/>
            <w:vAlign w:val="bottom"/>
          </w:tcPr>
          <w:p w14:paraId="73B36825" w14:textId="1041FF12"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5B3250" w14:paraId="4D3AE215" w14:textId="77777777" w:rsidTr="00C828EC">
        <w:trPr>
          <w:tblHeader/>
        </w:trPr>
        <w:tc>
          <w:tcPr>
            <w:tcW w:w="4957" w:type="dxa"/>
            <w:shd w:val="clear" w:color="auto" w:fill="auto"/>
          </w:tcPr>
          <w:p w14:paraId="6C617782" w14:textId="77777777" w:rsidR="00FB37FA" w:rsidRPr="00066179" w:rsidRDefault="00FB37FA" w:rsidP="007B2B72">
            <w:pPr>
              <w:pStyle w:val="Tabletext"/>
              <w:rPr>
                <w:iCs/>
              </w:rPr>
            </w:pPr>
            <w:r w:rsidRPr="00066179">
              <w:rPr>
                <w:iCs/>
              </w:rPr>
              <w:t>Respecified base-case results</w:t>
            </w:r>
          </w:p>
          <w:p w14:paraId="161FE792" w14:textId="1DDBCF39" w:rsidR="00F80E62" w:rsidRPr="00066179" w:rsidRDefault="00F80E62" w:rsidP="00F80E62">
            <w:pPr>
              <w:pStyle w:val="Tabletext"/>
              <w:rPr>
                <w:iCs/>
              </w:rPr>
            </w:pPr>
            <w:r w:rsidRPr="00066179">
              <w:rPr>
                <w:iCs/>
              </w:rPr>
              <w:t xml:space="preserve">Weibull parametric function for OS, ITT HR for OS and PFS, ITT data for </w:t>
            </w:r>
            <w:proofErr w:type="spellStart"/>
            <w:r w:rsidRPr="00066179">
              <w:rPr>
                <w:iCs/>
              </w:rPr>
              <w:t>ToT</w:t>
            </w:r>
            <w:proofErr w:type="spellEnd"/>
            <w:r w:rsidRPr="00066179">
              <w:rPr>
                <w:iCs/>
              </w:rPr>
              <w:t xml:space="preserve"> in the comparator arm</w:t>
            </w:r>
          </w:p>
        </w:tc>
        <w:tc>
          <w:tcPr>
            <w:tcW w:w="1275" w:type="dxa"/>
            <w:shd w:val="solid" w:color="000000" w:fill="000000"/>
            <w:vAlign w:val="bottom"/>
          </w:tcPr>
          <w:p w14:paraId="61037CE4" w14:textId="679DB1CA" w:rsidR="00FB37FA" w:rsidRPr="00C828EC" w:rsidRDefault="00C828EC" w:rsidP="007B2B72">
            <w:pPr>
              <w:pStyle w:val="Tabletext"/>
              <w:jc w:val="right"/>
              <w:rPr>
                <w:iCs/>
              </w:rPr>
            </w:pPr>
            <w:r w:rsidRPr="00C828EC">
              <w:rPr>
                <w:iCs/>
                <w:color w:val="000000"/>
                <w14:textFill>
                  <w14:solidFill>
                    <w14:srgbClr w14:val="000000">
                      <w14:alpha w14:val="100000"/>
                    </w14:srgbClr>
                  </w14:solidFill>
                </w14:textFill>
              </w:rPr>
              <w:t>|</w:t>
            </w:r>
          </w:p>
        </w:tc>
        <w:tc>
          <w:tcPr>
            <w:tcW w:w="1418" w:type="dxa"/>
            <w:shd w:val="clear" w:color="auto" w:fill="auto"/>
            <w:vAlign w:val="bottom"/>
          </w:tcPr>
          <w:p w14:paraId="5DDB2126" w14:textId="77777777" w:rsidR="00FB37FA" w:rsidRPr="00066179" w:rsidRDefault="00FB37FA" w:rsidP="007B2B72">
            <w:pPr>
              <w:pStyle w:val="Tabletext"/>
              <w:jc w:val="right"/>
              <w:rPr>
                <w:iCs/>
              </w:rPr>
            </w:pPr>
            <w:r w:rsidRPr="00066179">
              <w:rPr>
                <w:iCs/>
              </w:rPr>
              <w:t>0.245</w:t>
            </w:r>
          </w:p>
        </w:tc>
        <w:tc>
          <w:tcPr>
            <w:tcW w:w="1367" w:type="dxa"/>
            <w:shd w:val="solid" w:color="000000" w:fill="000000"/>
            <w:vAlign w:val="bottom"/>
          </w:tcPr>
          <w:p w14:paraId="3A93A558" w14:textId="0118DAA7" w:rsidR="00FB37FA" w:rsidRPr="00C828EC" w:rsidRDefault="00C828EC" w:rsidP="007B2B72">
            <w:pPr>
              <w:pStyle w:val="Tabletext"/>
              <w:jc w:val="right"/>
              <w:rPr>
                <w:iCs/>
                <w:vertAlign w:val="superscript"/>
              </w:rPr>
            </w:pPr>
            <w:r w:rsidRPr="00C828EC">
              <w:rPr>
                <w:iCs/>
                <w:color w:val="000000"/>
                <w14:textFill>
                  <w14:solidFill>
                    <w14:srgbClr w14:val="000000">
                      <w14:alpha w14:val="100000"/>
                    </w14:srgbClr>
                  </w14:solidFill>
                </w14:textFill>
              </w:rPr>
              <w:t>|</w:t>
            </w:r>
          </w:p>
        </w:tc>
      </w:tr>
      <w:tr w:rsidR="00FB37FA" w:rsidRPr="0076146C" w14:paraId="0422F3D2" w14:textId="77777777" w:rsidTr="003A346E">
        <w:trPr>
          <w:tblHeader/>
        </w:trPr>
        <w:tc>
          <w:tcPr>
            <w:tcW w:w="9017" w:type="dxa"/>
            <w:gridSpan w:val="4"/>
            <w:shd w:val="clear" w:color="auto" w:fill="D9D9D9" w:themeFill="background1" w:themeFillShade="D9"/>
          </w:tcPr>
          <w:p w14:paraId="5240344B" w14:textId="77777777" w:rsidR="00FB37FA" w:rsidRPr="0076146C" w:rsidRDefault="00FB37FA" w:rsidP="007B2B72">
            <w:pPr>
              <w:pStyle w:val="Tabletext"/>
            </w:pPr>
            <w:r w:rsidRPr="0076146C">
              <w:t>Time horizon (base-case = 10 years)</w:t>
            </w:r>
          </w:p>
        </w:tc>
      </w:tr>
      <w:tr w:rsidR="00FB37FA" w:rsidRPr="0076146C" w14:paraId="32573699" w14:textId="77777777" w:rsidTr="00C828EC">
        <w:trPr>
          <w:tblHeader/>
        </w:trPr>
        <w:tc>
          <w:tcPr>
            <w:tcW w:w="4957" w:type="dxa"/>
            <w:shd w:val="clear" w:color="auto" w:fill="auto"/>
          </w:tcPr>
          <w:p w14:paraId="4BF07935" w14:textId="77777777" w:rsidR="00FB37FA" w:rsidRPr="0076146C" w:rsidRDefault="00FB37FA" w:rsidP="007B2B72">
            <w:pPr>
              <w:pStyle w:val="Tabletext"/>
            </w:pPr>
            <w:r w:rsidRPr="0076146C">
              <w:t>5 years</w:t>
            </w:r>
          </w:p>
        </w:tc>
        <w:tc>
          <w:tcPr>
            <w:tcW w:w="1275" w:type="dxa"/>
            <w:tcBorders>
              <w:bottom w:val="single" w:sz="4" w:space="0" w:color="auto"/>
            </w:tcBorders>
            <w:shd w:val="solid" w:color="000000" w:fill="000000"/>
            <w:vAlign w:val="bottom"/>
          </w:tcPr>
          <w:p w14:paraId="6366CFC0" w14:textId="2A694813"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7A3CEF5C" w14:textId="77777777" w:rsidR="00FB37FA" w:rsidRPr="0076146C" w:rsidRDefault="00FB37FA" w:rsidP="007B2B72">
            <w:pPr>
              <w:pStyle w:val="Tabletext"/>
              <w:jc w:val="right"/>
            </w:pPr>
            <w:r w:rsidRPr="0076146C">
              <w:t>0.332</w:t>
            </w:r>
          </w:p>
        </w:tc>
        <w:tc>
          <w:tcPr>
            <w:tcW w:w="1367" w:type="dxa"/>
            <w:tcBorders>
              <w:bottom w:val="single" w:sz="4" w:space="0" w:color="auto"/>
            </w:tcBorders>
            <w:shd w:val="solid" w:color="000000" w:fill="000000"/>
            <w:vAlign w:val="bottom"/>
          </w:tcPr>
          <w:p w14:paraId="0EB78ADF" w14:textId="06C57D57"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48B9F514" w14:textId="77777777" w:rsidTr="00C828EC">
        <w:trPr>
          <w:tblHeader/>
        </w:trPr>
        <w:tc>
          <w:tcPr>
            <w:tcW w:w="4957" w:type="dxa"/>
            <w:shd w:val="clear" w:color="auto" w:fill="auto"/>
          </w:tcPr>
          <w:p w14:paraId="56D65E27" w14:textId="77777777" w:rsidR="00FB37FA" w:rsidRPr="0076146C" w:rsidRDefault="00FB37FA" w:rsidP="007B2B72">
            <w:pPr>
              <w:pStyle w:val="Tabletext"/>
            </w:pPr>
            <w:r w:rsidRPr="0076146C">
              <w:t>20 years</w:t>
            </w:r>
          </w:p>
        </w:tc>
        <w:tc>
          <w:tcPr>
            <w:tcW w:w="1275" w:type="dxa"/>
            <w:shd w:val="solid" w:color="000000" w:fill="000000"/>
            <w:vAlign w:val="bottom"/>
          </w:tcPr>
          <w:p w14:paraId="78E6DE73" w14:textId="7807F90E"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4BF0CB47" w14:textId="77777777" w:rsidR="00FB37FA" w:rsidRPr="0076146C" w:rsidRDefault="00FB37FA" w:rsidP="007B2B72">
            <w:pPr>
              <w:pStyle w:val="Tabletext"/>
              <w:jc w:val="right"/>
            </w:pPr>
            <w:r w:rsidRPr="0076146C">
              <w:t>0.365</w:t>
            </w:r>
          </w:p>
        </w:tc>
        <w:tc>
          <w:tcPr>
            <w:tcW w:w="1367" w:type="dxa"/>
            <w:shd w:val="solid" w:color="000000" w:fill="000000"/>
            <w:vAlign w:val="bottom"/>
          </w:tcPr>
          <w:p w14:paraId="6FB3330A" w14:textId="554E33F1"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3AE96728" w14:textId="77777777" w:rsidTr="003A346E">
        <w:trPr>
          <w:tblHeader/>
        </w:trPr>
        <w:tc>
          <w:tcPr>
            <w:tcW w:w="9017" w:type="dxa"/>
            <w:gridSpan w:val="4"/>
            <w:shd w:val="clear" w:color="auto" w:fill="D9D9D9" w:themeFill="background1" w:themeFillShade="D9"/>
          </w:tcPr>
          <w:p w14:paraId="4FC7B14B" w14:textId="77777777" w:rsidR="00FB37FA" w:rsidRPr="0076146C" w:rsidRDefault="00FB37FA" w:rsidP="007B2B72">
            <w:pPr>
              <w:pStyle w:val="Tabletext"/>
            </w:pPr>
            <w:r w:rsidRPr="0076146C">
              <w:t>Selection of parametric function for OS (base-case = exponential)</w:t>
            </w:r>
          </w:p>
        </w:tc>
      </w:tr>
      <w:tr w:rsidR="00FB37FA" w:rsidRPr="0076146C" w14:paraId="02427C8A" w14:textId="77777777" w:rsidTr="00C828EC">
        <w:trPr>
          <w:tblHeader/>
        </w:trPr>
        <w:tc>
          <w:tcPr>
            <w:tcW w:w="4957" w:type="dxa"/>
            <w:shd w:val="clear" w:color="auto" w:fill="FDE9D9" w:themeFill="accent6" w:themeFillTint="33"/>
          </w:tcPr>
          <w:p w14:paraId="27274C5D" w14:textId="77777777" w:rsidR="00FB37FA" w:rsidRPr="0076146C" w:rsidRDefault="00FB37FA" w:rsidP="007B2B72">
            <w:pPr>
              <w:pStyle w:val="Tabletext"/>
            </w:pPr>
            <w:r w:rsidRPr="0076146C">
              <w:t>Weibull</w:t>
            </w:r>
          </w:p>
        </w:tc>
        <w:tc>
          <w:tcPr>
            <w:tcW w:w="1275" w:type="dxa"/>
            <w:tcBorders>
              <w:bottom w:val="single" w:sz="4" w:space="0" w:color="auto"/>
            </w:tcBorders>
            <w:shd w:val="solid" w:color="000000" w:fill="000000"/>
            <w:vAlign w:val="bottom"/>
          </w:tcPr>
          <w:p w14:paraId="29A955AB" w14:textId="04BA2CFE"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FDE9D9" w:themeFill="accent6" w:themeFillTint="33"/>
            <w:vAlign w:val="bottom"/>
          </w:tcPr>
          <w:p w14:paraId="60483857" w14:textId="77777777" w:rsidR="00FB37FA" w:rsidRPr="0076146C" w:rsidRDefault="00FB37FA" w:rsidP="007B2B72">
            <w:pPr>
              <w:pStyle w:val="Tabletext"/>
              <w:jc w:val="right"/>
            </w:pPr>
            <w:r w:rsidRPr="0076146C">
              <w:t>0.281</w:t>
            </w:r>
          </w:p>
        </w:tc>
        <w:tc>
          <w:tcPr>
            <w:tcW w:w="1367" w:type="dxa"/>
            <w:tcBorders>
              <w:bottom w:val="single" w:sz="4" w:space="0" w:color="auto"/>
            </w:tcBorders>
            <w:shd w:val="solid" w:color="000000" w:fill="000000"/>
            <w:vAlign w:val="bottom"/>
          </w:tcPr>
          <w:p w14:paraId="4DA65CC9" w14:textId="5E839D82"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3D18778C" w14:textId="77777777" w:rsidTr="00C828EC">
        <w:trPr>
          <w:tblHeader/>
        </w:trPr>
        <w:tc>
          <w:tcPr>
            <w:tcW w:w="4957" w:type="dxa"/>
            <w:shd w:val="clear" w:color="auto" w:fill="auto"/>
          </w:tcPr>
          <w:p w14:paraId="4BB074BA" w14:textId="77777777" w:rsidR="00FB37FA" w:rsidRPr="0076146C" w:rsidRDefault="00FB37FA" w:rsidP="007B2B72">
            <w:pPr>
              <w:pStyle w:val="Tabletext"/>
            </w:pPr>
            <w:proofErr w:type="spellStart"/>
            <w:r w:rsidRPr="0076146C">
              <w:t>Gompertz</w:t>
            </w:r>
            <w:proofErr w:type="spellEnd"/>
          </w:p>
        </w:tc>
        <w:tc>
          <w:tcPr>
            <w:tcW w:w="1275" w:type="dxa"/>
            <w:tcBorders>
              <w:bottom w:val="single" w:sz="4" w:space="0" w:color="auto"/>
            </w:tcBorders>
            <w:shd w:val="solid" w:color="000000" w:fill="000000"/>
            <w:vAlign w:val="bottom"/>
          </w:tcPr>
          <w:p w14:paraId="4B7ADF0F" w14:textId="041E7FE2"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43CC2AF9" w14:textId="77777777" w:rsidR="00FB37FA" w:rsidRPr="0076146C" w:rsidRDefault="00FB37FA" w:rsidP="007B2B72">
            <w:pPr>
              <w:pStyle w:val="Tabletext"/>
              <w:jc w:val="right"/>
            </w:pPr>
            <w:r w:rsidRPr="0076146C">
              <w:t>0.219</w:t>
            </w:r>
          </w:p>
        </w:tc>
        <w:tc>
          <w:tcPr>
            <w:tcW w:w="1367" w:type="dxa"/>
            <w:tcBorders>
              <w:bottom w:val="single" w:sz="4" w:space="0" w:color="auto"/>
            </w:tcBorders>
            <w:shd w:val="solid" w:color="000000" w:fill="000000"/>
            <w:vAlign w:val="bottom"/>
          </w:tcPr>
          <w:p w14:paraId="0A997B36" w14:textId="006C45E4"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4BB02472" w14:textId="77777777" w:rsidTr="00C828EC">
        <w:trPr>
          <w:tblHeader/>
        </w:trPr>
        <w:tc>
          <w:tcPr>
            <w:tcW w:w="4957" w:type="dxa"/>
            <w:shd w:val="clear" w:color="auto" w:fill="auto"/>
          </w:tcPr>
          <w:p w14:paraId="6EAF00C9" w14:textId="77777777" w:rsidR="00FB37FA" w:rsidRPr="0076146C" w:rsidRDefault="00FB37FA" w:rsidP="007B2B72">
            <w:pPr>
              <w:pStyle w:val="Tabletext"/>
            </w:pPr>
            <w:r w:rsidRPr="0076146C">
              <w:t>Log-normal</w:t>
            </w:r>
          </w:p>
        </w:tc>
        <w:tc>
          <w:tcPr>
            <w:tcW w:w="1275" w:type="dxa"/>
            <w:tcBorders>
              <w:bottom w:val="single" w:sz="4" w:space="0" w:color="auto"/>
            </w:tcBorders>
            <w:shd w:val="solid" w:color="000000" w:fill="000000"/>
            <w:vAlign w:val="bottom"/>
          </w:tcPr>
          <w:p w14:paraId="4ABE116F" w14:textId="7449F472"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78AFB73F" w14:textId="77777777" w:rsidR="00FB37FA" w:rsidRPr="0076146C" w:rsidRDefault="00FB37FA" w:rsidP="007B2B72">
            <w:pPr>
              <w:pStyle w:val="Tabletext"/>
              <w:jc w:val="right"/>
            </w:pPr>
            <w:r w:rsidRPr="0076146C">
              <w:t>0.505</w:t>
            </w:r>
          </w:p>
        </w:tc>
        <w:tc>
          <w:tcPr>
            <w:tcW w:w="1367" w:type="dxa"/>
            <w:tcBorders>
              <w:bottom w:val="single" w:sz="4" w:space="0" w:color="auto"/>
            </w:tcBorders>
            <w:shd w:val="solid" w:color="000000" w:fill="000000"/>
            <w:vAlign w:val="bottom"/>
          </w:tcPr>
          <w:p w14:paraId="0815E99F" w14:textId="30645A45"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74DC8748" w14:textId="77777777" w:rsidTr="00C828EC">
        <w:trPr>
          <w:tblHeader/>
        </w:trPr>
        <w:tc>
          <w:tcPr>
            <w:tcW w:w="4957" w:type="dxa"/>
            <w:shd w:val="clear" w:color="auto" w:fill="auto"/>
          </w:tcPr>
          <w:p w14:paraId="3F72FF48" w14:textId="77777777" w:rsidR="00FB37FA" w:rsidRPr="0076146C" w:rsidRDefault="00FB37FA" w:rsidP="007B2B72">
            <w:pPr>
              <w:pStyle w:val="Tabletext"/>
            </w:pPr>
            <w:r w:rsidRPr="0076146C">
              <w:t>Log-logistic</w:t>
            </w:r>
          </w:p>
        </w:tc>
        <w:tc>
          <w:tcPr>
            <w:tcW w:w="1275" w:type="dxa"/>
            <w:tcBorders>
              <w:bottom w:val="single" w:sz="4" w:space="0" w:color="auto"/>
            </w:tcBorders>
            <w:shd w:val="solid" w:color="000000" w:fill="000000"/>
            <w:vAlign w:val="bottom"/>
          </w:tcPr>
          <w:p w14:paraId="39B84D24" w14:textId="48F4F54F"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6E742BB4" w14:textId="77777777" w:rsidR="00FB37FA" w:rsidRPr="0076146C" w:rsidRDefault="00FB37FA" w:rsidP="007B2B72">
            <w:pPr>
              <w:pStyle w:val="Tabletext"/>
              <w:jc w:val="right"/>
            </w:pPr>
            <w:r w:rsidRPr="0076146C">
              <w:t>0.476</w:t>
            </w:r>
          </w:p>
        </w:tc>
        <w:tc>
          <w:tcPr>
            <w:tcW w:w="1367" w:type="dxa"/>
            <w:tcBorders>
              <w:bottom w:val="single" w:sz="4" w:space="0" w:color="auto"/>
            </w:tcBorders>
            <w:shd w:val="solid" w:color="000000" w:fill="000000"/>
            <w:vAlign w:val="bottom"/>
          </w:tcPr>
          <w:p w14:paraId="79BD791F" w14:textId="0CB99845"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669298C5" w14:textId="77777777" w:rsidTr="00C828EC">
        <w:trPr>
          <w:tblHeader/>
        </w:trPr>
        <w:tc>
          <w:tcPr>
            <w:tcW w:w="4957" w:type="dxa"/>
            <w:shd w:val="clear" w:color="auto" w:fill="auto"/>
          </w:tcPr>
          <w:p w14:paraId="4B3EBA16" w14:textId="77777777" w:rsidR="00FB37FA" w:rsidRPr="0076146C" w:rsidRDefault="00FB37FA" w:rsidP="007B2B72">
            <w:pPr>
              <w:pStyle w:val="Tabletext"/>
            </w:pPr>
            <w:r w:rsidRPr="0076146C">
              <w:t>Generalised gamma</w:t>
            </w:r>
          </w:p>
        </w:tc>
        <w:tc>
          <w:tcPr>
            <w:tcW w:w="1275" w:type="dxa"/>
            <w:shd w:val="solid" w:color="000000" w:fill="000000"/>
            <w:vAlign w:val="bottom"/>
          </w:tcPr>
          <w:p w14:paraId="4075AB3E" w14:textId="747D8C33"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7D374DC6" w14:textId="77777777" w:rsidR="00FB37FA" w:rsidRPr="0076146C" w:rsidRDefault="00FB37FA" w:rsidP="007B2B72">
            <w:pPr>
              <w:pStyle w:val="Tabletext"/>
              <w:jc w:val="right"/>
            </w:pPr>
            <w:r w:rsidRPr="0076146C">
              <w:t>0.240</w:t>
            </w:r>
          </w:p>
        </w:tc>
        <w:tc>
          <w:tcPr>
            <w:tcW w:w="1367" w:type="dxa"/>
            <w:shd w:val="solid" w:color="000000" w:fill="000000"/>
            <w:vAlign w:val="bottom"/>
          </w:tcPr>
          <w:p w14:paraId="4DAFA67B" w14:textId="31923310"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32D38476" w14:textId="77777777" w:rsidTr="003A346E">
        <w:trPr>
          <w:tblHeader/>
        </w:trPr>
        <w:tc>
          <w:tcPr>
            <w:tcW w:w="9017" w:type="dxa"/>
            <w:gridSpan w:val="4"/>
            <w:shd w:val="clear" w:color="auto" w:fill="D9D9D9" w:themeFill="background1" w:themeFillShade="D9"/>
          </w:tcPr>
          <w:p w14:paraId="754352FC" w14:textId="77777777" w:rsidR="00FB37FA" w:rsidRPr="0076146C" w:rsidRDefault="00FB37FA" w:rsidP="007B2B72">
            <w:pPr>
              <w:pStyle w:val="Tabletext"/>
            </w:pPr>
            <w:r w:rsidRPr="0076146C">
              <w:t>Source of data for comparator arm (base-case = docetaxel &amp; paclitaxel patients in EV-301)</w:t>
            </w:r>
          </w:p>
        </w:tc>
      </w:tr>
      <w:tr w:rsidR="00FB37FA" w:rsidRPr="0076146C" w14:paraId="31747282" w14:textId="77777777" w:rsidTr="00C828EC">
        <w:trPr>
          <w:tblHeader/>
        </w:trPr>
        <w:tc>
          <w:tcPr>
            <w:tcW w:w="4957" w:type="dxa"/>
            <w:shd w:val="clear" w:color="auto" w:fill="auto"/>
          </w:tcPr>
          <w:p w14:paraId="778D6088" w14:textId="77777777" w:rsidR="00FB37FA" w:rsidRPr="0076146C" w:rsidRDefault="00FB37FA" w:rsidP="007B2B72">
            <w:pPr>
              <w:pStyle w:val="Tabletext"/>
            </w:pPr>
            <w:r w:rsidRPr="0076146C">
              <w:t>Docetaxel, paclitaxel &amp; vinflunine patients in EV-301</w:t>
            </w:r>
            <w:r w:rsidRPr="0076146C">
              <w:rPr>
                <w:vertAlign w:val="superscript"/>
              </w:rPr>
              <w:t>a</w:t>
            </w:r>
          </w:p>
        </w:tc>
        <w:tc>
          <w:tcPr>
            <w:tcW w:w="1275" w:type="dxa"/>
            <w:tcBorders>
              <w:bottom w:val="single" w:sz="4" w:space="0" w:color="auto"/>
            </w:tcBorders>
            <w:shd w:val="solid" w:color="000000" w:fill="000000"/>
            <w:vAlign w:val="bottom"/>
          </w:tcPr>
          <w:p w14:paraId="05BD2E0E" w14:textId="5C4D47B7"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459C913F" w14:textId="77777777" w:rsidR="00FB37FA" w:rsidRPr="0076146C" w:rsidRDefault="00FB37FA" w:rsidP="007B2B72">
            <w:pPr>
              <w:pStyle w:val="Tabletext"/>
              <w:jc w:val="right"/>
            </w:pPr>
            <w:r w:rsidRPr="0076146C">
              <w:t>0.368</w:t>
            </w:r>
          </w:p>
        </w:tc>
        <w:tc>
          <w:tcPr>
            <w:tcW w:w="1367" w:type="dxa"/>
            <w:tcBorders>
              <w:bottom w:val="single" w:sz="4" w:space="0" w:color="auto"/>
            </w:tcBorders>
            <w:shd w:val="solid" w:color="000000" w:fill="000000"/>
            <w:vAlign w:val="bottom"/>
          </w:tcPr>
          <w:p w14:paraId="227D06A3" w14:textId="4F279A1D"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25DEE" w14:paraId="2C11B839" w14:textId="77777777" w:rsidTr="00C828EC">
        <w:trPr>
          <w:tblHeader/>
        </w:trPr>
        <w:tc>
          <w:tcPr>
            <w:tcW w:w="4957" w:type="dxa"/>
            <w:shd w:val="clear" w:color="auto" w:fill="FDE9D9" w:themeFill="accent6" w:themeFillTint="33"/>
          </w:tcPr>
          <w:p w14:paraId="5B59B027" w14:textId="77777777" w:rsidR="00FB37FA" w:rsidRPr="00725DEE" w:rsidRDefault="00FB37FA" w:rsidP="007B2B72">
            <w:pPr>
              <w:pStyle w:val="Tabletext"/>
              <w:rPr>
                <w:iCs/>
              </w:rPr>
            </w:pPr>
            <w:r w:rsidRPr="00725DEE">
              <w:rPr>
                <w:iCs/>
              </w:rPr>
              <w:t xml:space="preserve">Actual impact of using the ITT data for </w:t>
            </w:r>
            <w:proofErr w:type="spellStart"/>
            <w:r w:rsidRPr="00725DEE">
              <w:rPr>
                <w:iCs/>
              </w:rPr>
              <w:t>ToT</w:t>
            </w:r>
            <w:proofErr w:type="spellEnd"/>
            <w:r w:rsidRPr="00725DEE">
              <w:rPr>
                <w:iCs/>
              </w:rPr>
              <w:t xml:space="preserve">, PFS and </w:t>
            </w:r>
            <w:proofErr w:type="spellStart"/>
            <w:r w:rsidRPr="00725DEE">
              <w:rPr>
                <w:iCs/>
              </w:rPr>
              <w:t>OS</w:t>
            </w:r>
            <w:r w:rsidRPr="00725DEE">
              <w:rPr>
                <w:iCs/>
                <w:vertAlign w:val="superscript"/>
              </w:rPr>
              <w:t>b</w:t>
            </w:r>
            <w:proofErr w:type="spellEnd"/>
          </w:p>
        </w:tc>
        <w:tc>
          <w:tcPr>
            <w:tcW w:w="1275" w:type="dxa"/>
            <w:shd w:val="solid" w:color="000000" w:fill="000000"/>
            <w:vAlign w:val="bottom"/>
          </w:tcPr>
          <w:p w14:paraId="1AC7BA96" w14:textId="71BB1367" w:rsidR="00FB37FA" w:rsidRPr="00C828EC" w:rsidRDefault="00C828EC" w:rsidP="007B2B72">
            <w:pPr>
              <w:pStyle w:val="Tabletext"/>
              <w:jc w:val="right"/>
              <w:rPr>
                <w:iCs/>
              </w:rPr>
            </w:pPr>
            <w:r w:rsidRPr="00C828EC">
              <w:rPr>
                <w:iCs/>
                <w:color w:val="000000"/>
                <w14:textFill>
                  <w14:solidFill>
                    <w14:srgbClr w14:val="000000">
                      <w14:alpha w14:val="100000"/>
                    </w14:srgbClr>
                  </w14:solidFill>
                </w14:textFill>
              </w:rPr>
              <w:t>|</w:t>
            </w:r>
          </w:p>
        </w:tc>
        <w:tc>
          <w:tcPr>
            <w:tcW w:w="1418" w:type="dxa"/>
            <w:shd w:val="clear" w:color="auto" w:fill="FDE9D9" w:themeFill="accent6" w:themeFillTint="33"/>
            <w:vAlign w:val="bottom"/>
          </w:tcPr>
          <w:p w14:paraId="7B4DCDFA" w14:textId="77777777" w:rsidR="00FB37FA" w:rsidRPr="00725DEE" w:rsidRDefault="00FB37FA" w:rsidP="007B2B72">
            <w:pPr>
              <w:pStyle w:val="Tabletext"/>
              <w:jc w:val="right"/>
              <w:rPr>
                <w:iCs/>
              </w:rPr>
            </w:pPr>
            <w:r w:rsidRPr="00725DEE">
              <w:rPr>
                <w:iCs/>
              </w:rPr>
              <w:t>0.316</w:t>
            </w:r>
          </w:p>
        </w:tc>
        <w:tc>
          <w:tcPr>
            <w:tcW w:w="1367" w:type="dxa"/>
            <w:shd w:val="solid" w:color="000000" w:fill="000000"/>
            <w:vAlign w:val="bottom"/>
          </w:tcPr>
          <w:p w14:paraId="72E3E694" w14:textId="5AE5FBEF" w:rsidR="00FB37FA" w:rsidRPr="00C828EC" w:rsidRDefault="00C828EC" w:rsidP="007B2B72">
            <w:pPr>
              <w:pStyle w:val="Tabletext"/>
              <w:jc w:val="right"/>
              <w:rPr>
                <w:iCs/>
                <w:vertAlign w:val="superscript"/>
              </w:rPr>
            </w:pPr>
            <w:r w:rsidRPr="00C828EC">
              <w:rPr>
                <w:iCs/>
                <w:color w:val="000000"/>
                <w14:textFill>
                  <w14:solidFill>
                    <w14:srgbClr w14:val="000000">
                      <w14:alpha w14:val="100000"/>
                    </w14:srgbClr>
                  </w14:solidFill>
                </w14:textFill>
              </w:rPr>
              <w:t>|</w:t>
            </w:r>
          </w:p>
        </w:tc>
      </w:tr>
      <w:tr w:rsidR="00FB37FA" w:rsidRPr="0076146C" w14:paraId="177952F3" w14:textId="77777777" w:rsidTr="003A346E">
        <w:trPr>
          <w:tblHeader/>
        </w:trPr>
        <w:tc>
          <w:tcPr>
            <w:tcW w:w="9017" w:type="dxa"/>
            <w:gridSpan w:val="4"/>
            <w:shd w:val="clear" w:color="auto" w:fill="D9D9D9" w:themeFill="background1" w:themeFillShade="D9"/>
          </w:tcPr>
          <w:p w14:paraId="05EE066E" w14:textId="77777777" w:rsidR="00FB37FA" w:rsidRPr="0076146C" w:rsidRDefault="00FB37FA" w:rsidP="007B2B72">
            <w:pPr>
              <w:pStyle w:val="Tabletext"/>
            </w:pPr>
            <w:r w:rsidRPr="0076146C">
              <w:t xml:space="preserve">OS HR for chemotherapy vs </w:t>
            </w:r>
            <w:proofErr w:type="spellStart"/>
            <w:r w:rsidRPr="0076146C">
              <w:t>enfortumab</w:t>
            </w:r>
            <w:proofErr w:type="spellEnd"/>
            <w:r w:rsidRPr="0076146C">
              <w:t xml:space="preserve"> </w:t>
            </w:r>
            <w:proofErr w:type="spellStart"/>
            <w:r w:rsidRPr="0076146C">
              <w:t>vedotin</w:t>
            </w:r>
            <w:proofErr w:type="spellEnd"/>
            <w:r w:rsidRPr="0076146C">
              <w:t xml:space="preserve"> (base-case = point estimate [1.541])</w:t>
            </w:r>
          </w:p>
        </w:tc>
      </w:tr>
      <w:tr w:rsidR="00FB37FA" w:rsidRPr="0076146C" w14:paraId="13891ECB" w14:textId="77777777" w:rsidTr="00C828EC">
        <w:trPr>
          <w:tblHeader/>
        </w:trPr>
        <w:tc>
          <w:tcPr>
            <w:tcW w:w="4957" w:type="dxa"/>
            <w:shd w:val="clear" w:color="auto" w:fill="auto"/>
          </w:tcPr>
          <w:p w14:paraId="246FF578" w14:textId="77777777" w:rsidR="00FB37FA" w:rsidRPr="0076146C" w:rsidRDefault="00FB37FA" w:rsidP="007B2B72">
            <w:pPr>
              <w:pStyle w:val="Tabletext"/>
            </w:pPr>
            <w:r w:rsidRPr="0076146C">
              <w:t>Lower 95% CL around point estimate [1.194]</w:t>
            </w:r>
          </w:p>
        </w:tc>
        <w:tc>
          <w:tcPr>
            <w:tcW w:w="1275" w:type="dxa"/>
            <w:tcBorders>
              <w:bottom w:val="single" w:sz="4" w:space="0" w:color="auto"/>
            </w:tcBorders>
            <w:shd w:val="solid" w:color="000000" w:fill="000000"/>
            <w:vAlign w:val="bottom"/>
          </w:tcPr>
          <w:p w14:paraId="7628B11E" w14:textId="4E65F4C3"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121FB267" w14:textId="77777777" w:rsidR="00FB37FA" w:rsidRPr="0076146C" w:rsidRDefault="00FB37FA" w:rsidP="007B2B72">
            <w:pPr>
              <w:pStyle w:val="Tabletext"/>
              <w:jc w:val="right"/>
            </w:pPr>
            <w:r w:rsidRPr="0076146C">
              <w:t>0.197</w:t>
            </w:r>
          </w:p>
        </w:tc>
        <w:tc>
          <w:tcPr>
            <w:tcW w:w="1367" w:type="dxa"/>
            <w:tcBorders>
              <w:bottom w:val="single" w:sz="4" w:space="0" w:color="auto"/>
            </w:tcBorders>
            <w:shd w:val="solid" w:color="000000" w:fill="000000"/>
            <w:vAlign w:val="bottom"/>
          </w:tcPr>
          <w:p w14:paraId="650BDF79" w14:textId="410155D0"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4B8740EA" w14:textId="77777777" w:rsidTr="00C828EC">
        <w:trPr>
          <w:tblHeader/>
        </w:trPr>
        <w:tc>
          <w:tcPr>
            <w:tcW w:w="4957" w:type="dxa"/>
            <w:shd w:val="clear" w:color="auto" w:fill="auto"/>
          </w:tcPr>
          <w:p w14:paraId="0E6F1290" w14:textId="77777777" w:rsidR="00FB37FA" w:rsidRPr="0076146C" w:rsidRDefault="00FB37FA" w:rsidP="007B2B72">
            <w:pPr>
              <w:pStyle w:val="Tabletext"/>
            </w:pPr>
            <w:r w:rsidRPr="0076146C">
              <w:t>Upper 95% CL around point estimate [1.989]</w:t>
            </w:r>
          </w:p>
        </w:tc>
        <w:tc>
          <w:tcPr>
            <w:tcW w:w="1275" w:type="dxa"/>
            <w:shd w:val="solid" w:color="000000" w:fill="000000"/>
            <w:vAlign w:val="bottom"/>
          </w:tcPr>
          <w:p w14:paraId="5627D65C" w14:textId="56A6F3DF"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51575C2A" w14:textId="77777777" w:rsidR="00FB37FA" w:rsidRPr="0076146C" w:rsidRDefault="00FB37FA" w:rsidP="007B2B72">
            <w:pPr>
              <w:pStyle w:val="Tabletext"/>
              <w:jc w:val="right"/>
            </w:pPr>
            <w:r w:rsidRPr="0076146C">
              <w:t>0.495</w:t>
            </w:r>
          </w:p>
        </w:tc>
        <w:tc>
          <w:tcPr>
            <w:tcW w:w="1367" w:type="dxa"/>
            <w:shd w:val="solid" w:color="000000" w:fill="000000"/>
            <w:vAlign w:val="bottom"/>
          </w:tcPr>
          <w:p w14:paraId="1F77A1CF" w14:textId="2B5FD2C5"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66DD3724" w14:textId="77777777" w:rsidTr="003A346E">
        <w:trPr>
          <w:tblHeader/>
        </w:trPr>
        <w:tc>
          <w:tcPr>
            <w:tcW w:w="9017" w:type="dxa"/>
            <w:gridSpan w:val="4"/>
            <w:shd w:val="clear" w:color="auto" w:fill="D9D9D9" w:themeFill="background1" w:themeFillShade="D9"/>
          </w:tcPr>
          <w:p w14:paraId="51633B0D" w14:textId="77777777" w:rsidR="00FB37FA" w:rsidRPr="0076146C" w:rsidRDefault="00FB37FA" w:rsidP="007B2B72">
            <w:pPr>
              <w:pStyle w:val="Tabletext"/>
            </w:pPr>
            <w:r w:rsidRPr="0076146C">
              <w:t xml:space="preserve">Source of utilities (base-case = treatment-specific utilities while progression-free; not treatment-specific utilities post-progression) </w:t>
            </w:r>
          </w:p>
        </w:tc>
      </w:tr>
      <w:tr w:rsidR="00FB37FA" w:rsidRPr="0076146C" w14:paraId="6C386DD6" w14:textId="77777777" w:rsidTr="00C828EC">
        <w:trPr>
          <w:tblHeader/>
        </w:trPr>
        <w:tc>
          <w:tcPr>
            <w:tcW w:w="4957" w:type="dxa"/>
            <w:shd w:val="clear" w:color="auto" w:fill="auto"/>
          </w:tcPr>
          <w:p w14:paraId="4F993C9D" w14:textId="77777777" w:rsidR="00FB37FA" w:rsidRPr="0076146C" w:rsidRDefault="00FB37FA" w:rsidP="007B2B72">
            <w:pPr>
              <w:pStyle w:val="Tabletext"/>
            </w:pPr>
            <w:r w:rsidRPr="0076146C">
              <w:t>Treatment-specific utilities for both health states</w:t>
            </w:r>
          </w:p>
        </w:tc>
        <w:tc>
          <w:tcPr>
            <w:tcW w:w="1275" w:type="dxa"/>
            <w:tcBorders>
              <w:bottom w:val="single" w:sz="4" w:space="0" w:color="auto"/>
            </w:tcBorders>
            <w:shd w:val="solid" w:color="000000" w:fill="000000"/>
            <w:vAlign w:val="bottom"/>
          </w:tcPr>
          <w:p w14:paraId="44B73963" w14:textId="290B196F"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44216973" w14:textId="77777777" w:rsidR="00FB37FA" w:rsidRPr="0076146C" w:rsidRDefault="00FB37FA" w:rsidP="007B2B72">
            <w:pPr>
              <w:pStyle w:val="Tabletext"/>
              <w:jc w:val="right"/>
            </w:pPr>
            <w:r w:rsidRPr="0076146C">
              <w:t>0.373</w:t>
            </w:r>
          </w:p>
        </w:tc>
        <w:tc>
          <w:tcPr>
            <w:tcW w:w="1367" w:type="dxa"/>
            <w:tcBorders>
              <w:bottom w:val="single" w:sz="4" w:space="0" w:color="auto"/>
            </w:tcBorders>
            <w:shd w:val="solid" w:color="000000" w:fill="000000"/>
            <w:vAlign w:val="bottom"/>
          </w:tcPr>
          <w:p w14:paraId="50D73C7D" w14:textId="629E3DAD"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FB37FA" w:rsidRPr="0076146C" w14:paraId="582D85F1" w14:textId="77777777" w:rsidTr="00C828EC">
        <w:trPr>
          <w:tblHeader/>
        </w:trPr>
        <w:tc>
          <w:tcPr>
            <w:tcW w:w="4957" w:type="dxa"/>
            <w:shd w:val="clear" w:color="auto" w:fill="auto"/>
          </w:tcPr>
          <w:p w14:paraId="4BDA9032" w14:textId="77777777" w:rsidR="00FB37FA" w:rsidRPr="0076146C" w:rsidRDefault="00FB37FA" w:rsidP="007B2B72">
            <w:pPr>
              <w:pStyle w:val="Tabletext"/>
            </w:pPr>
            <w:bookmarkStart w:id="26" w:name="_Hlk95670136"/>
            <w:r w:rsidRPr="0076146C">
              <w:t>Non-treatment-specific utilities for both health states</w:t>
            </w:r>
            <w:bookmarkEnd w:id="26"/>
          </w:p>
        </w:tc>
        <w:tc>
          <w:tcPr>
            <w:tcW w:w="1275" w:type="dxa"/>
            <w:shd w:val="solid" w:color="000000" w:fill="000000"/>
            <w:vAlign w:val="bottom"/>
          </w:tcPr>
          <w:p w14:paraId="1ADAA5E8" w14:textId="24354664" w:rsidR="00FB37FA" w:rsidRPr="00C828EC" w:rsidRDefault="00C828EC" w:rsidP="007B2B72">
            <w:pPr>
              <w:pStyle w:val="Tabletext"/>
              <w:jc w:val="right"/>
            </w:pPr>
            <w:r w:rsidRPr="00C828EC">
              <w:rPr>
                <w:color w:val="000000"/>
                <w14:textFill>
                  <w14:solidFill>
                    <w14:srgbClr w14:val="000000">
                      <w14:alpha w14:val="100000"/>
                    </w14:srgbClr>
                  </w14:solidFill>
                </w14:textFill>
              </w:rPr>
              <w:t>|</w:t>
            </w:r>
          </w:p>
        </w:tc>
        <w:tc>
          <w:tcPr>
            <w:tcW w:w="1418" w:type="dxa"/>
            <w:shd w:val="clear" w:color="auto" w:fill="auto"/>
            <w:vAlign w:val="bottom"/>
          </w:tcPr>
          <w:p w14:paraId="511B83A8" w14:textId="77777777" w:rsidR="00FB37FA" w:rsidRPr="0076146C" w:rsidRDefault="00FB37FA" w:rsidP="007B2B72">
            <w:pPr>
              <w:pStyle w:val="Tabletext"/>
              <w:jc w:val="right"/>
            </w:pPr>
            <w:r w:rsidRPr="0076146C">
              <w:t>0.351</w:t>
            </w:r>
          </w:p>
        </w:tc>
        <w:tc>
          <w:tcPr>
            <w:tcW w:w="1367" w:type="dxa"/>
            <w:shd w:val="solid" w:color="000000" w:fill="000000"/>
            <w:vAlign w:val="bottom"/>
          </w:tcPr>
          <w:p w14:paraId="27969DB9" w14:textId="136EE27E" w:rsidR="00FB37FA" w:rsidRPr="00C828EC" w:rsidRDefault="00C828EC" w:rsidP="007B2B72">
            <w:pPr>
              <w:pStyle w:val="Tabletext"/>
              <w:jc w:val="right"/>
              <w:rPr>
                <w:vertAlign w:val="superscript"/>
              </w:rPr>
            </w:pPr>
            <w:r w:rsidRPr="00C828EC">
              <w:rPr>
                <w:color w:val="000000"/>
                <w14:textFill>
                  <w14:solidFill>
                    <w14:srgbClr w14:val="000000">
                      <w14:alpha w14:val="100000"/>
                    </w14:srgbClr>
                  </w14:solidFill>
                </w14:textFill>
              </w:rPr>
              <w:t>|</w:t>
            </w:r>
          </w:p>
        </w:tc>
      </w:tr>
      <w:tr w:rsidR="0069453A" w:rsidRPr="00D45040" w14:paraId="75E2A9E1" w14:textId="77777777" w:rsidTr="0069453A">
        <w:trPr>
          <w:tblHeader/>
        </w:trPr>
        <w:tc>
          <w:tcPr>
            <w:tcW w:w="9017" w:type="dxa"/>
            <w:gridSpan w:val="4"/>
            <w:shd w:val="clear" w:color="auto" w:fill="D9D9D9" w:themeFill="background1" w:themeFillShade="D9"/>
            <w:vAlign w:val="center"/>
          </w:tcPr>
          <w:p w14:paraId="3E12E4DC" w14:textId="71F581AB" w:rsidR="0069453A" w:rsidRPr="002053CC" w:rsidRDefault="0069453A" w:rsidP="0069453A">
            <w:pPr>
              <w:pStyle w:val="Tabletext"/>
              <w:rPr>
                <w:iCs/>
                <w:vertAlign w:val="superscript"/>
              </w:rPr>
            </w:pPr>
            <w:r w:rsidRPr="002053CC">
              <w:rPr>
                <w:iCs/>
              </w:rPr>
              <w:t xml:space="preserve">Use of observed Kaplan-Meier data for chemotherapy arm (base-case = not </w:t>
            </w:r>
            <w:proofErr w:type="gramStart"/>
            <w:r w:rsidRPr="002053CC">
              <w:rPr>
                <w:iCs/>
              </w:rPr>
              <w:t>used)</w:t>
            </w:r>
            <w:r w:rsidR="002053CC" w:rsidRPr="002053CC">
              <w:rPr>
                <w:iCs/>
                <w:vertAlign w:val="superscript"/>
              </w:rPr>
              <w:t>c</w:t>
            </w:r>
            <w:proofErr w:type="gramEnd"/>
          </w:p>
        </w:tc>
      </w:tr>
      <w:tr w:rsidR="0069453A" w:rsidRPr="0076146C" w14:paraId="6A8E9A4F" w14:textId="77777777" w:rsidTr="00C828EC">
        <w:trPr>
          <w:tblHeader/>
        </w:trPr>
        <w:tc>
          <w:tcPr>
            <w:tcW w:w="4957" w:type="dxa"/>
            <w:shd w:val="clear" w:color="auto" w:fill="auto"/>
          </w:tcPr>
          <w:p w14:paraId="79DA1BCB" w14:textId="6D911252" w:rsidR="0069453A" w:rsidRPr="002053CC" w:rsidRDefault="0069453A" w:rsidP="0069453A">
            <w:pPr>
              <w:pStyle w:val="Tabletext"/>
              <w:rPr>
                <w:iCs/>
              </w:rPr>
            </w:pPr>
            <w:r w:rsidRPr="002053CC">
              <w:rPr>
                <w:rFonts w:eastAsiaTheme="minorHAnsi"/>
                <w:iCs/>
                <w:lang w:eastAsia="en-US"/>
              </w:rPr>
              <w:t>Observed data for chemotherapy up to 15 months</w:t>
            </w:r>
          </w:p>
        </w:tc>
        <w:tc>
          <w:tcPr>
            <w:tcW w:w="1275" w:type="dxa"/>
            <w:shd w:val="solid" w:color="000000" w:fill="000000"/>
            <w:vAlign w:val="bottom"/>
          </w:tcPr>
          <w:p w14:paraId="3F69455D" w14:textId="1C72BB74" w:rsidR="0069453A" w:rsidRPr="00C828EC" w:rsidRDefault="00C828EC" w:rsidP="0069453A">
            <w:pPr>
              <w:pStyle w:val="Tabletext"/>
              <w:jc w:val="right"/>
              <w:rPr>
                <w:iC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4496DC1F" w14:textId="3EA3E00F" w:rsidR="0069453A" w:rsidRPr="002053CC" w:rsidRDefault="0069453A" w:rsidP="0069453A">
            <w:pPr>
              <w:pStyle w:val="Tabletext"/>
              <w:jc w:val="right"/>
              <w:rPr>
                <w:iCs/>
              </w:rPr>
            </w:pPr>
            <w:r w:rsidRPr="002053CC">
              <w:rPr>
                <w:rFonts w:eastAsiaTheme="minorHAnsi"/>
                <w:iCs/>
                <w:lang w:eastAsia="en-US"/>
              </w:rPr>
              <w:t>0.344</w:t>
            </w:r>
          </w:p>
        </w:tc>
        <w:tc>
          <w:tcPr>
            <w:tcW w:w="1367" w:type="dxa"/>
            <w:shd w:val="solid" w:color="000000" w:fill="000000"/>
            <w:vAlign w:val="bottom"/>
          </w:tcPr>
          <w:p w14:paraId="6A877B35" w14:textId="7A7D4D92" w:rsidR="0069453A" w:rsidRPr="00C828EC" w:rsidRDefault="00C828EC" w:rsidP="0069453A">
            <w:pPr>
              <w:pStyle w:val="Tabletext"/>
              <w:jc w:val="right"/>
              <w:rPr>
                <w:iCs/>
                <w:vertAlign w:val="superscript"/>
              </w:rPr>
            </w:pPr>
            <w:r w:rsidRPr="00C828EC">
              <w:rPr>
                <w:rFonts w:eastAsiaTheme="minorHAnsi"/>
                <w:iCs/>
                <w:color w:val="000000"/>
                <w:lang w:eastAsia="en-US"/>
                <w14:textFill>
                  <w14:solidFill>
                    <w14:srgbClr w14:val="000000">
                      <w14:alpha w14:val="100000"/>
                    </w14:srgbClr>
                  </w14:solidFill>
                </w14:textFill>
              </w:rPr>
              <w:t>|</w:t>
            </w:r>
          </w:p>
        </w:tc>
      </w:tr>
      <w:tr w:rsidR="00066179" w:rsidRPr="0076146C" w14:paraId="572BA4EF" w14:textId="77777777" w:rsidTr="00066179">
        <w:trPr>
          <w:tblHeader/>
        </w:trPr>
        <w:tc>
          <w:tcPr>
            <w:tcW w:w="9017" w:type="dxa"/>
            <w:gridSpan w:val="4"/>
            <w:shd w:val="clear" w:color="auto" w:fill="D9D9D9" w:themeFill="background1" w:themeFillShade="D9"/>
          </w:tcPr>
          <w:p w14:paraId="3C384E96" w14:textId="727C680B" w:rsidR="00066179" w:rsidRPr="002053CC" w:rsidRDefault="00066179" w:rsidP="00066179">
            <w:pPr>
              <w:pStyle w:val="Tabletext"/>
              <w:rPr>
                <w:iCs/>
                <w:vertAlign w:val="superscript"/>
              </w:rPr>
            </w:pPr>
            <w:r w:rsidRPr="002053CC">
              <w:rPr>
                <w:iCs/>
              </w:rPr>
              <w:t xml:space="preserve">Variations to respecified base case requested by ESC (respecified base case = Weibull parametric function for OS, ITT HR for OS and PFS, ITT data for </w:t>
            </w:r>
            <w:proofErr w:type="spellStart"/>
            <w:r w:rsidRPr="002053CC">
              <w:rPr>
                <w:iCs/>
              </w:rPr>
              <w:t>ToT</w:t>
            </w:r>
            <w:proofErr w:type="spellEnd"/>
            <w:r w:rsidRPr="002053CC">
              <w:rPr>
                <w:iCs/>
              </w:rPr>
              <w:t xml:space="preserve"> in the comparator arm, 10 year time </w:t>
            </w:r>
            <w:proofErr w:type="gramStart"/>
            <w:r w:rsidRPr="002053CC">
              <w:rPr>
                <w:iCs/>
              </w:rPr>
              <w:t>horizon)</w:t>
            </w:r>
            <w:r w:rsidR="002053CC" w:rsidRPr="002053CC">
              <w:rPr>
                <w:iCs/>
                <w:vertAlign w:val="superscript"/>
              </w:rPr>
              <w:t>c</w:t>
            </w:r>
            <w:proofErr w:type="gramEnd"/>
          </w:p>
        </w:tc>
      </w:tr>
      <w:tr w:rsidR="00066179" w:rsidRPr="0076146C" w14:paraId="3E9227FC" w14:textId="77777777" w:rsidTr="00C828EC">
        <w:trPr>
          <w:tblHeader/>
        </w:trPr>
        <w:tc>
          <w:tcPr>
            <w:tcW w:w="4957" w:type="dxa"/>
            <w:shd w:val="clear" w:color="auto" w:fill="auto"/>
          </w:tcPr>
          <w:p w14:paraId="7A24E240" w14:textId="05BE0192" w:rsidR="00066179" w:rsidRPr="002053CC" w:rsidRDefault="00066179" w:rsidP="00066179">
            <w:pPr>
              <w:pStyle w:val="Tabletext"/>
              <w:rPr>
                <w:iCs/>
              </w:rPr>
            </w:pPr>
            <w:r w:rsidRPr="002053CC">
              <w:rPr>
                <w:iCs/>
              </w:rPr>
              <w:t xml:space="preserve">Respecified base-case results + </w:t>
            </w:r>
            <w:proofErr w:type="gramStart"/>
            <w:r w:rsidRPr="002053CC">
              <w:rPr>
                <w:iCs/>
              </w:rPr>
              <w:t>5 year</w:t>
            </w:r>
            <w:proofErr w:type="gramEnd"/>
            <w:r w:rsidRPr="002053CC">
              <w:rPr>
                <w:iCs/>
              </w:rPr>
              <w:t xml:space="preserve"> time horizon</w:t>
            </w:r>
          </w:p>
        </w:tc>
        <w:tc>
          <w:tcPr>
            <w:tcW w:w="1275" w:type="dxa"/>
            <w:tcBorders>
              <w:bottom w:val="single" w:sz="4" w:space="0" w:color="auto"/>
            </w:tcBorders>
            <w:shd w:val="solid" w:color="000000" w:fill="000000"/>
            <w:vAlign w:val="bottom"/>
          </w:tcPr>
          <w:p w14:paraId="7408B5A5" w14:textId="1FFFD6F0" w:rsidR="00066179" w:rsidRPr="00C828EC" w:rsidRDefault="00C828EC" w:rsidP="00066179">
            <w:pPr>
              <w:pStyle w:val="Tabletext"/>
              <w:jc w:val="right"/>
              <w:rPr>
                <w:iC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0D2D79A6" w14:textId="259F5588" w:rsidR="00066179" w:rsidRPr="002053CC" w:rsidRDefault="00066179" w:rsidP="00066179">
            <w:pPr>
              <w:pStyle w:val="Tabletext"/>
              <w:jc w:val="right"/>
              <w:rPr>
                <w:iCs/>
              </w:rPr>
            </w:pPr>
            <w:r w:rsidRPr="002053CC">
              <w:rPr>
                <w:rFonts w:eastAsiaTheme="minorHAnsi"/>
                <w:iCs/>
                <w:lang w:eastAsia="en-US"/>
              </w:rPr>
              <w:t>0.241</w:t>
            </w:r>
          </w:p>
        </w:tc>
        <w:tc>
          <w:tcPr>
            <w:tcW w:w="1367" w:type="dxa"/>
            <w:tcBorders>
              <w:bottom w:val="single" w:sz="4" w:space="0" w:color="auto"/>
            </w:tcBorders>
            <w:shd w:val="solid" w:color="000000" w:fill="000000"/>
            <w:vAlign w:val="bottom"/>
          </w:tcPr>
          <w:p w14:paraId="24A08EC7" w14:textId="0BA4CEC6" w:rsidR="00066179" w:rsidRPr="00C828EC" w:rsidRDefault="00C828EC" w:rsidP="00066179">
            <w:pPr>
              <w:pStyle w:val="Tabletext"/>
              <w:jc w:val="right"/>
              <w:rPr>
                <w:iCs/>
                <w:vertAlign w:val="superscript"/>
              </w:rPr>
            </w:pPr>
            <w:r w:rsidRPr="00C828EC">
              <w:rPr>
                <w:rFonts w:eastAsiaTheme="minorHAnsi"/>
                <w:iCs/>
                <w:color w:val="000000"/>
                <w:lang w:eastAsia="en-US"/>
                <w14:textFill>
                  <w14:solidFill>
                    <w14:srgbClr w14:val="000000">
                      <w14:alpha w14:val="100000"/>
                    </w14:srgbClr>
                  </w14:solidFill>
                </w14:textFill>
              </w:rPr>
              <w:t>|</w:t>
            </w:r>
          </w:p>
        </w:tc>
      </w:tr>
      <w:tr w:rsidR="00066179" w:rsidRPr="0076146C" w14:paraId="405EBC19" w14:textId="77777777" w:rsidTr="00C828EC">
        <w:trPr>
          <w:tblHeader/>
        </w:trPr>
        <w:tc>
          <w:tcPr>
            <w:tcW w:w="4957" w:type="dxa"/>
            <w:shd w:val="clear" w:color="auto" w:fill="auto"/>
          </w:tcPr>
          <w:p w14:paraId="1506F049" w14:textId="577EC00A" w:rsidR="00066179" w:rsidRPr="002053CC" w:rsidRDefault="00066179" w:rsidP="00066179">
            <w:pPr>
              <w:pStyle w:val="Tabletext"/>
              <w:rPr>
                <w:iCs/>
              </w:rPr>
            </w:pPr>
            <w:r w:rsidRPr="002053CC">
              <w:rPr>
                <w:iCs/>
              </w:rPr>
              <w:t xml:space="preserve">Respecified base-case results + KM curve for chemotherapy up to 15 months </w:t>
            </w:r>
          </w:p>
        </w:tc>
        <w:tc>
          <w:tcPr>
            <w:tcW w:w="1275" w:type="dxa"/>
            <w:tcBorders>
              <w:bottom w:val="single" w:sz="4" w:space="0" w:color="auto"/>
            </w:tcBorders>
            <w:shd w:val="solid" w:color="000000" w:fill="000000"/>
            <w:vAlign w:val="bottom"/>
          </w:tcPr>
          <w:p w14:paraId="463CE767" w14:textId="13ABEF54" w:rsidR="00066179" w:rsidRPr="00C828EC" w:rsidRDefault="00C828EC" w:rsidP="00066179">
            <w:pPr>
              <w:pStyle w:val="Tabletext"/>
              <w:jc w:val="right"/>
              <w:rPr>
                <w:iC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29862DD1" w14:textId="1E722D87" w:rsidR="00066179" w:rsidRPr="002053CC" w:rsidRDefault="00066179" w:rsidP="00066179">
            <w:pPr>
              <w:pStyle w:val="Tabletext"/>
              <w:jc w:val="right"/>
              <w:rPr>
                <w:iCs/>
              </w:rPr>
            </w:pPr>
            <w:r w:rsidRPr="002053CC">
              <w:rPr>
                <w:rFonts w:eastAsiaTheme="minorHAnsi"/>
                <w:iCs/>
                <w:lang w:eastAsia="en-US"/>
              </w:rPr>
              <w:t>0.241</w:t>
            </w:r>
          </w:p>
        </w:tc>
        <w:tc>
          <w:tcPr>
            <w:tcW w:w="1367" w:type="dxa"/>
            <w:tcBorders>
              <w:bottom w:val="single" w:sz="4" w:space="0" w:color="auto"/>
            </w:tcBorders>
            <w:shd w:val="solid" w:color="000000" w:fill="000000"/>
            <w:vAlign w:val="bottom"/>
          </w:tcPr>
          <w:p w14:paraId="1B9864C6" w14:textId="053106E6" w:rsidR="00066179" w:rsidRPr="00C828EC" w:rsidRDefault="00C828EC" w:rsidP="00066179">
            <w:pPr>
              <w:pStyle w:val="Tabletext"/>
              <w:jc w:val="right"/>
              <w:rPr>
                <w:iCs/>
                <w:vertAlign w:val="superscript"/>
              </w:rPr>
            </w:pPr>
            <w:r w:rsidRPr="00C828EC">
              <w:rPr>
                <w:rFonts w:eastAsiaTheme="minorHAnsi"/>
                <w:iCs/>
                <w:color w:val="000000"/>
                <w:lang w:eastAsia="en-US"/>
                <w14:textFill>
                  <w14:solidFill>
                    <w14:srgbClr w14:val="000000">
                      <w14:alpha w14:val="100000"/>
                    </w14:srgbClr>
                  </w14:solidFill>
                </w14:textFill>
              </w:rPr>
              <w:t>|</w:t>
            </w:r>
          </w:p>
        </w:tc>
      </w:tr>
      <w:tr w:rsidR="00066179" w:rsidRPr="0076146C" w14:paraId="06914C7D" w14:textId="77777777" w:rsidTr="00C828EC">
        <w:trPr>
          <w:tblHeader/>
        </w:trPr>
        <w:tc>
          <w:tcPr>
            <w:tcW w:w="4957" w:type="dxa"/>
            <w:shd w:val="clear" w:color="auto" w:fill="auto"/>
          </w:tcPr>
          <w:p w14:paraId="30B28497" w14:textId="41A5FB9C" w:rsidR="00066179" w:rsidRPr="002053CC" w:rsidRDefault="00066179" w:rsidP="00066179">
            <w:pPr>
              <w:pStyle w:val="Tabletext"/>
              <w:rPr>
                <w:iCs/>
              </w:rPr>
            </w:pPr>
            <w:r w:rsidRPr="002053CC">
              <w:rPr>
                <w:iCs/>
              </w:rPr>
              <w:t xml:space="preserve">Respecified base-case results + KM curve for chemotherapy up to 15 months + </w:t>
            </w:r>
            <w:proofErr w:type="gramStart"/>
            <w:r w:rsidRPr="002053CC">
              <w:rPr>
                <w:iCs/>
              </w:rPr>
              <w:t>5 year</w:t>
            </w:r>
            <w:proofErr w:type="gramEnd"/>
            <w:r w:rsidRPr="002053CC">
              <w:rPr>
                <w:iCs/>
              </w:rPr>
              <w:t xml:space="preserve"> time horizon </w:t>
            </w:r>
          </w:p>
        </w:tc>
        <w:tc>
          <w:tcPr>
            <w:tcW w:w="1275" w:type="dxa"/>
            <w:tcBorders>
              <w:bottom w:val="single" w:sz="4" w:space="0" w:color="auto"/>
            </w:tcBorders>
            <w:shd w:val="solid" w:color="000000" w:fill="000000"/>
            <w:vAlign w:val="bottom"/>
          </w:tcPr>
          <w:p w14:paraId="4B9553DF" w14:textId="3108C4D8" w:rsidR="00066179" w:rsidRPr="00C828EC" w:rsidRDefault="00C828EC" w:rsidP="00066179">
            <w:pPr>
              <w:pStyle w:val="Tabletext"/>
              <w:jc w:val="right"/>
              <w:rPr>
                <w:rFonts w:eastAsiaTheme="minorHAnsi"/>
                <w:iCs/>
                <w:lang w:eastAsia="en-U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3ABF62A3" w14:textId="7CBF00EA" w:rsidR="00066179" w:rsidRPr="002053CC" w:rsidRDefault="00066179" w:rsidP="00066179">
            <w:pPr>
              <w:pStyle w:val="Tabletext"/>
              <w:jc w:val="right"/>
              <w:rPr>
                <w:rFonts w:eastAsiaTheme="minorHAnsi"/>
                <w:iCs/>
                <w:lang w:eastAsia="en-US"/>
              </w:rPr>
            </w:pPr>
            <w:r w:rsidRPr="002053CC">
              <w:rPr>
                <w:rFonts w:eastAsiaTheme="minorHAnsi"/>
                <w:iCs/>
                <w:lang w:eastAsia="en-US"/>
              </w:rPr>
              <w:t>0.237</w:t>
            </w:r>
          </w:p>
        </w:tc>
        <w:tc>
          <w:tcPr>
            <w:tcW w:w="1367" w:type="dxa"/>
            <w:tcBorders>
              <w:bottom w:val="single" w:sz="4" w:space="0" w:color="auto"/>
            </w:tcBorders>
            <w:shd w:val="solid" w:color="000000" w:fill="000000"/>
            <w:vAlign w:val="bottom"/>
          </w:tcPr>
          <w:p w14:paraId="5B37CBC6" w14:textId="3C4BF601" w:rsidR="00066179" w:rsidRPr="00C828EC" w:rsidRDefault="00C828EC" w:rsidP="00066179">
            <w:pPr>
              <w:pStyle w:val="Tabletext"/>
              <w:jc w:val="right"/>
              <w:rPr>
                <w:rFonts w:eastAsiaTheme="minorHAnsi"/>
                <w:iCs/>
                <w:vertAlign w:val="superscript"/>
                <w:lang w:eastAsia="en-US"/>
              </w:rPr>
            </w:pPr>
            <w:r w:rsidRPr="00C828EC">
              <w:rPr>
                <w:rFonts w:eastAsiaTheme="minorHAnsi"/>
                <w:iCs/>
                <w:color w:val="000000"/>
                <w:lang w:eastAsia="en-US"/>
                <w14:textFill>
                  <w14:solidFill>
                    <w14:srgbClr w14:val="000000">
                      <w14:alpha w14:val="100000"/>
                    </w14:srgbClr>
                  </w14:solidFill>
                </w14:textFill>
              </w:rPr>
              <w:t>|</w:t>
            </w:r>
          </w:p>
        </w:tc>
      </w:tr>
      <w:tr w:rsidR="0069453A" w:rsidRPr="0076146C" w14:paraId="1138394D" w14:textId="77777777" w:rsidTr="00C828EC">
        <w:trPr>
          <w:tblHeader/>
        </w:trPr>
        <w:tc>
          <w:tcPr>
            <w:tcW w:w="4957" w:type="dxa"/>
            <w:shd w:val="clear" w:color="auto" w:fill="auto"/>
          </w:tcPr>
          <w:p w14:paraId="739A0708" w14:textId="7580BCD9" w:rsidR="0069453A" w:rsidRPr="002053CC" w:rsidRDefault="0069453A" w:rsidP="0069453A">
            <w:pPr>
              <w:pStyle w:val="Tabletext"/>
              <w:rPr>
                <w:iCs/>
              </w:rPr>
            </w:pPr>
            <w:r w:rsidRPr="002053CC">
              <w:rPr>
                <w:iCs/>
              </w:rPr>
              <w:t>Respecified base-case results + non-treatment specific utilities for both health states</w:t>
            </w:r>
          </w:p>
        </w:tc>
        <w:tc>
          <w:tcPr>
            <w:tcW w:w="1275" w:type="dxa"/>
            <w:tcBorders>
              <w:bottom w:val="single" w:sz="4" w:space="0" w:color="auto"/>
            </w:tcBorders>
            <w:shd w:val="solid" w:color="000000" w:fill="000000"/>
            <w:vAlign w:val="bottom"/>
          </w:tcPr>
          <w:p w14:paraId="770CBAE2" w14:textId="697FD204" w:rsidR="0069453A" w:rsidRPr="00C828EC" w:rsidRDefault="00C828EC" w:rsidP="0069453A">
            <w:pPr>
              <w:pStyle w:val="Tabletext"/>
              <w:jc w:val="right"/>
              <w:rPr>
                <w:rFonts w:eastAsiaTheme="minorHAnsi"/>
                <w:iCs/>
                <w:lang w:eastAsia="en-U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3E6A6F68" w14:textId="3588D2C2" w:rsidR="0069453A" w:rsidRPr="002053CC" w:rsidRDefault="0069453A" w:rsidP="0069453A">
            <w:pPr>
              <w:pStyle w:val="Tabletext"/>
              <w:jc w:val="right"/>
              <w:rPr>
                <w:rFonts w:eastAsiaTheme="minorHAnsi"/>
                <w:iCs/>
                <w:lang w:eastAsia="en-US"/>
              </w:rPr>
            </w:pPr>
            <w:r w:rsidRPr="002053CC">
              <w:rPr>
                <w:rFonts w:eastAsiaTheme="minorHAnsi"/>
                <w:iCs/>
                <w:lang w:eastAsia="en-US"/>
              </w:rPr>
              <w:t>0.227</w:t>
            </w:r>
          </w:p>
        </w:tc>
        <w:tc>
          <w:tcPr>
            <w:tcW w:w="1367" w:type="dxa"/>
            <w:tcBorders>
              <w:bottom w:val="single" w:sz="4" w:space="0" w:color="auto"/>
            </w:tcBorders>
            <w:shd w:val="solid" w:color="000000" w:fill="000000"/>
            <w:vAlign w:val="bottom"/>
          </w:tcPr>
          <w:p w14:paraId="1440B3A3" w14:textId="0D68C3C7" w:rsidR="0069453A" w:rsidRPr="00C828EC" w:rsidRDefault="00C828EC" w:rsidP="0069453A">
            <w:pPr>
              <w:pStyle w:val="Tabletext"/>
              <w:jc w:val="right"/>
              <w:rPr>
                <w:rFonts w:eastAsiaTheme="minorHAnsi"/>
                <w:iCs/>
                <w:vertAlign w:val="superscript"/>
                <w:lang w:eastAsia="en-US"/>
              </w:rPr>
            </w:pPr>
            <w:r w:rsidRPr="00C828EC">
              <w:rPr>
                <w:rFonts w:eastAsiaTheme="minorHAnsi"/>
                <w:iCs/>
                <w:color w:val="000000"/>
                <w:lang w:eastAsia="en-US"/>
                <w14:textFill>
                  <w14:solidFill>
                    <w14:srgbClr w14:val="000000">
                      <w14:alpha w14:val="100000"/>
                    </w14:srgbClr>
                  </w14:solidFill>
                </w14:textFill>
              </w:rPr>
              <w:t>|</w:t>
            </w:r>
          </w:p>
        </w:tc>
      </w:tr>
      <w:tr w:rsidR="0069453A" w:rsidRPr="0076146C" w14:paraId="2505E58A" w14:textId="77777777" w:rsidTr="00C828EC">
        <w:trPr>
          <w:tblHeader/>
        </w:trPr>
        <w:tc>
          <w:tcPr>
            <w:tcW w:w="4957" w:type="dxa"/>
            <w:shd w:val="clear" w:color="auto" w:fill="auto"/>
          </w:tcPr>
          <w:p w14:paraId="205B49AB" w14:textId="60AAF3C5" w:rsidR="0069453A" w:rsidRPr="002053CC" w:rsidRDefault="0069453A" w:rsidP="0069453A">
            <w:pPr>
              <w:pStyle w:val="Tabletext"/>
              <w:rPr>
                <w:iCs/>
              </w:rPr>
            </w:pPr>
            <w:r w:rsidRPr="002053CC">
              <w:rPr>
                <w:iCs/>
              </w:rPr>
              <w:t xml:space="preserve">Respecified base-case results + non-treatment specific utilities for both health states + </w:t>
            </w:r>
            <w:proofErr w:type="gramStart"/>
            <w:r w:rsidRPr="002053CC">
              <w:rPr>
                <w:iCs/>
              </w:rPr>
              <w:t>5 year</w:t>
            </w:r>
            <w:proofErr w:type="gramEnd"/>
            <w:r w:rsidRPr="002053CC">
              <w:rPr>
                <w:iCs/>
              </w:rPr>
              <w:t xml:space="preserve"> time horizon</w:t>
            </w:r>
          </w:p>
        </w:tc>
        <w:tc>
          <w:tcPr>
            <w:tcW w:w="1275" w:type="dxa"/>
            <w:tcBorders>
              <w:bottom w:val="single" w:sz="4" w:space="0" w:color="auto"/>
            </w:tcBorders>
            <w:shd w:val="solid" w:color="000000" w:fill="000000"/>
            <w:vAlign w:val="bottom"/>
          </w:tcPr>
          <w:p w14:paraId="6925ECE6" w14:textId="57E6EE9D" w:rsidR="0069453A" w:rsidRPr="00C828EC" w:rsidRDefault="00C828EC" w:rsidP="0069453A">
            <w:pPr>
              <w:pStyle w:val="Tabletext"/>
              <w:jc w:val="right"/>
              <w:rPr>
                <w:rFonts w:eastAsiaTheme="minorHAnsi"/>
                <w:iCs/>
                <w:lang w:eastAsia="en-U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6EFE3434" w14:textId="1A514628" w:rsidR="0069453A" w:rsidRPr="002053CC" w:rsidRDefault="0069453A" w:rsidP="0069453A">
            <w:pPr>
              <w:pStyle w:val="Tabletext"/>
              <w:jc w:val="right"/>
              <w:rPr>
                <w:rFonts w:eastAsiaTheme="minorHAnsi"/>
                <w:iCs/>
                <w:lang w:eastAsia="en-US"/>
              </w:rPr>
            </w:pPr>
            <w:r w:rsidRPr="002053CC">
              <w:rPr>
                <w:rFonts w:eastAsiaTheme="minorHAnsi"/>
                <w:iCs/>
                <w:color w:val="000000"/>
                <w:lang w:eastAsia="en-US"/>
              </w:rPr>
              <w:t>0.224</w:t>
            </w:r>
          </w:p>
        </w:tc>
        <w:tc>
          <w:tcPr>
            <w:tcW w:w="1367" w:type="dxa"/>
            <w:tcBorders>
              <w:bottom w:val="single" w:sz="4" w:space="0" w:color="auto"/>
            </w:tcBorders>
            <w:shd w:val="solid" w:color="000000" w:fill="000000"/>
            <w:vAlign w:val="bottom"/>
          </w:tcPr>
          <w:p w14:paraId="2925AA60" w14:textId="121F3743" w:rsidR="0069453A" w:rsidRPr="00C828EC" w:rsidRDefault="00C828EC" w:rsidP="0069453A">
            <w:pPr>
              <w:pStyle w:val="Tabletext"/>
              <w:jc w:val="right"/>
              <w:rPr>
                <w:rFonts w:eastAsiaTheme="minorHAnsi"/>
                <w:iCs/>
                <w:vertAlign w:val="superscript"/>
                <w:lang w:eastAsia="en-US"/>
              </w:rPr>
            </w:pPr>
            <w:r w:rsidRPr="00C828EC">
              <w:rPr>
                <w:rFonts w:eastAsiaTheme="minorHAnsi"/>
                <w:iCs/>
                <w:color w:val="000000"/>
                <w:lang w:eastAsia="en-US"/>
                <w14:textFill>
                  <w14:solidFill>
                    <w14:srgbClr w14:val="000000">
                      <w14:alpha w14:val="100000"/>
                    </w14:srgbClr>
                  </w14:solidFill>
                </w14:textFill>
              </w:rPr>
              <w:t>|</w:t>
            </w:r>
          </w:p>
        </w:tc>
      </w:tr>
      <w:tr w:rsidR="0069453A" w:rsidRPr="0076146C" w14:paraId="17D9E47D" w14:textId="77777777" w:rsidTr="00C828EC">
        <w:trPr>
          <w:tblHeader/>
        </w:trPr>
        <w:tc>
          <w:tcPr>
            <w:tcW w:w="4957" w:type="dxa"/>
            <w:shd w:val="clear" w:color="auto" w:fill="auto"/>
          </w:tcPr>
          <w:p w14:paraId="3A20C8DE" w14:textId="79EDCD40" w:rsidR="0069453A" w:rsidRPr="002053CC" w:rsidRDefault="0069453A" w:rsidP="0069453A">
            <w:pPr>
              <w:pStyle w:val="Tabletext"/>
              <w:rPr>
                <w:iCs/>
              </w:rPr>
            </w:pPr>
            <w:r w:rsidRPr="002053CC">
              <w:rPr>
                <w:iCs/>
              </w:rPr>
              <w:t>Respecified base-case results + KM curve for chemotherapy up to 15 months + non-treatment specific utilities for both health states</w:t>
            </w:r>
          </w:p>
        </w:tc>
        <w:tc>
          <w:tcPr>
            <w:tcW w:w="1275" w:type="dxa"/>
            <w:tcBorders>
              <w:bottom w:val="single" w:sz="4" w:space="0" w:color="auto"/>
            </w:tcBorders>
            <w:shd w:val="solid" w:color="000000" w:fill="000000"/>
            <w:vAlign w:val="bottom"/>
          </w:tcPr>
          <w:p w14:paraId="16C6D27B" w14:textId="785760B9" w:rsidR="0069453A" w:rsidRPr="00C828EC" w:rsidRDefault="00C828EC" w:rsidP="0069453A">
            <w:pPr>
              <w:pStyle w:val="Tabletext"/>
              <w:jc w:val="right"/>
              <w:rPr>
                <w:rFonts w:eastAsiaTheme="minorHAnsi"/>
                <w:iCs/>
                <w:color w:val="000000"/>
                <w:lang w:eastAsia="en-U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64856663" w14:textId="6E715494" w:rsidR="0069453A" w:rsidRPr="002053CC" w:rsidRDefault="0069453A" w:rsidP="0069453A">
            <w:pPr>
              <w:pStyle w:val="Tabletext"/>
              <w:jc w:val="right"/>
              <w:rPr>
                <w:rFonts w:eastAsiaTheme="minorHAnsi"/>
                <w:iCs/>
                <w:color w:val="000000"/>
                <w:lang w:eastAsia="en-US"/>
              </w:rPr>
            </w:pPr>
            <w:r w:rsidRPr="002053CC">
              <w:rPr>
                <w:rFonts w:eastAsiaTheme="minorHAnsi"/>
                <w:iCs/>
                <w:lang w:eastAsia="en-US"/>
              </w:rPr>
              <w:t>0.223</w:t>
            </w:r>
          </w:p>
        </w:tc>
        <w:tc>
          <w:tcPr>
            <w:tcW w:w="1367" w:type="dxa"/>
            <w:tcBorders>
              <w:bottom w:val="single" w:sz="4" w:space="0" w:color="auto"/>
            </w:tcBorders>
            <w:shd w:val="solid" w:color="000000" w:fill="000000"/>
            <w:vAlign w:val="bottom"/>
          </w:tcPr>
          <w:p w14:paraId="6CB5DC86" w14:textId="21134C4A" w:rsidR="0069453A" w:rsidRPr="00C828EC" w:rsidRDefault="00C828EC" w:rsidP="0069453A">
            <w:pPr>
              <w:pStyle w:val="Tabletext"/>
              <w:jc w:val="right"/>
              <w:rPr>
                <w:rFonts w:eastAsiaTheme="minorHAnsi"/>
                <w:iCs/>
                <w:color w:val="000000"/>
                <w:vertAlign w:val="superscript"/>
                <w:lang w:eastAsia="en-US"/>
              </w:rPr>
            </w:pPr>
            <w:r w:rsidRPr="00C828EC">
              <w:rPr>
                <w:rFonts w:eastAsiaTheme="minorHAnsi"/>
                <w:iCs/>
                <w:color w:val="000000"/>
                <w:lang w:eastAsia="en-US"/>
                <w14:textFill>
                  <w14:solidFill>
                    <w14:srgbClr w14:val="000000">
                      <w14:alpha w14:val="100000"/>
                    </w14:srgbClr>
                  </w14:solidFill>
                </w14:textFill>
              </w:rPr>
              <w:t>|</w:t>
            </w:r>
          </w:p>
        </w:tc>
      </w:tr>
      <w:tr w:rsidR="0069453A" w:rsidRPr="0076146C" w14:paraId="4C4E4CED" w14:textId="77777777" w:rsidTr="00C828EC">
        <w:trPr>
          <w:tblHeader/>
        </w:trPr>
        <w:tc>
          <w:tcPr>
            <w:tcW w:w="4957" w:type="dxa"/>
            <w:shd w:val="clear" w:color="auto" w:fill="auto"/>
          </w:tcPr>
          <w:p w14:paraId="74902621" w14:textId="5017B2E4" w:rsidR="0069453A" w:rsidRPr="002053CC" w:rsidRDefault="0069453A" w:rsidP="0069453A">
            <w:pPr>
              <w:pStyle w:val="Tabletext"/>
              <w:rPr>
                <w:iCs/>
              </w:rPr>
            </w:pPr>
            <w:r w:rsidRPr="002053CC">
              <w:rPr>
                <w:iCs/>
              </w:rPr>
              <w:t xml:space="preserve">Respecified base-case results + KM curve for chemotherapy up to 15 months + non-treatment specific utilities for both health states + 5 years </w:t>
            </w:r>
          </w:p>
        </w:tc>
        <w:tc>
          <w:tcPr>
            <w:tcW w:w="1275" w:type="dxa"/>
            <w:shd w:val="solid" w:color="000000" w:fill="000000"/>
            <w:vAlign w:val="bottom"/>
          </w:tcPr>
          <w:p w14:paraId="5913AA3C" w14:textId="52913234" w:rsidR="0069453A" w:rsidRPr="00C828EC" w:rsidRDefault="00C828EC" w:rsidP="0069453A">
            <w:pPr>
              <w:pStyle w:val="Tabletext"/>
              <w:jc w:val="right"/>
              <w:rPr>
                <w:rFonts w:eastAsiaTheme="minorHAnsi"/>
                <w:iCs/>
                <w:lang w:eastAsia="en-US"/>
              </w:rPr>
            </w:pPr>
            <w:r w:rsidRPr="00C828EC">
              <w:rPr>
                <w:rFonts w:eastAsiaTheme="minorHAnsi"/>
                <w:iCs/>
                <w:color w:val="000000"/>
                <w:lang w:eastAsia="en-US"/>
                <w14:textFill>
                  <w14:solidFill>
                    <w14:srgbClr w14:val="000000">
                      <w14:alpha w14:val="100000"/>
                    </w14:srgbClr>
                  </w14:solidFill>
                </w14:textFill>
              </w:rPr>
              <w:t>|</w:t>
            </w:r>
          </w:p>
        </w:tc>
        <w:tc>
          <w:tcPr>
            <w:tcW w:w="1418" w:type="dxa"/>
            <w:shd w:val="clear" w:color="auto" w:fill="auto"/>
            <w:vAlign w:val="bottom"/>
          </w:tcPr>
          <w:p w14:paraId="6276AF83" w14:textId="4ED4E691" w:rsidR="0069453A" w:rsidRPr="002053CC" w:rsidRDefault="0069453A" w:rsidP="0069453A">
            <w:pPr>
              <w:pStyle w:val="Tabletext"/>
              <w:jc w:val="right"/>
              <w:rPr>
                <w:rFonts w:eastAsiaTheme="minorHAnsi"/>
                <w:iCs/>
                <w:lang w:eastAsia="en-US"/>
              </w:rPr>
            </w:pPr>
            <w:r w:rsidRPr="002053CC">
              <w:rPr>
                <w:rFonts w:eastAsiaTheme="minorHAnsi"/>
                <w:iCs/>
                <w:color w:val="000000"/>
                <w:lang w:eastAsia="en-US"/>
              </w:rPr>
              <w:t>0.220</w:t>
            </w:r>
          </w:p>
        </w:tc>
        <w:tc>
          <w:tcPr>
            <w:tcW w:w="1367" w:type="dxa"/>
            <w:shd w:val="solid" w:color="000000" w:fill="000000"/>
            <w:vAlign w:val="bottom"/>
          </w:tcPr>
          <w:p w14:paraId="7E382E1F" w14:textId="34E2C5FE" w:rsidR="0069453A" w:rsidRPr="00C828EC" w:rsidRDefault="00C828EC" w:rsidP="0069453A">
            <w:pPr>
              <w:pStyle w:val="Tabletext"/>
              <w:jc w:val="right"/>
              <w:rPr>
                <w:rFonts w:eastAsiaTheme="minorHAnsi"/>
                <w:iCs/>
                <w:vertAlign w:val="superscript"/>
                <w:lang w:eastAsia="en-US"/>
              </w:rPr>
            </w:pPr>
            <w:r w:rsidRPr="00C828EC">
              <w:rPr>
                <w:rFonts w:eastAsiaTheme="minorHAnsi"/>
                <w:iCs/>
                <w:color w:val="000000"/>
                <w:lang w:eastAsia="en-US"/>
                <w14:textFill>
                  <w14:solidFill>
                    <w14:srgbClr w14:val="000000">
                      <w14:alpha w14:val="100000"/>
                    </w14:srgbClr>
                  </w14:solidFill>
                </w14:textFill>
              </w:rPr>
              <w:t>|</w:t>
            </w:r>
          </w:p>
        </w:tc>
      </w:tr>
    </w:tbl>
    <w:p w14:paraId="1835D9EC" w14:textId="613F1B28" w:rsidR="00FB37FA" w:rsidRPr="000C4D1C" w:rsidRDefault="00FB37FA" w:rsidP="00FB37FA">
      <w:pPr>
        <w:pStyle w:val="TableFigureFooter"/>
      </w:pPr>
      <w:r w:rsidRPr="000C4D1C">
        <w:t>Source:</w:t>
      </w:r>
      <w:r w:rsidR="00453AA6" w:rsidRPr="000C4D1C">
        <w:t xml:space="preserve"> Table 3.8-1, pp90-91 and generated during the evaluation based on the Section 3 workbook.</w:t>
      </w:r>
    </w:p>
    <w:p w14:paraId="4922981D" w14:textId="13591F2E" w:rsidR="00FB37FA" w:rsidRDefault="00FB37FA" w:rsidP="00FB37FA">
      <w:pPr>
        <w:pStyle w:val="TableFigureFooter"/>
      </w:pPr>
      <w:proofErr w:type="spellStart"/>
      <w:r w:rsidRPr="000C4D1C">
        <w:rPr>
          <w:vertAlign w:val="superscript"/>
        </w:rPr>
        <w:t>a</w:t>
      </w:r>
      <w:r w:rsidRPr="000C4D1C">
        <w:t>The</w:t>
      </w:r>
      <w:proofErr w:type="spellEnd"/>
      <w:r w:rsidRPr="000C4D1C">
        <w:t xml:space="preserve"> sensitivity</w:t>
      </w:r>
      <w:r>
        <w:t xml:space="preserve"> analysis presented claims to use docetaxel, paclitaxel and vinflunine as the source of data, however the model only incorporates a longer time on treatment as was observed in the EV-301 for the whole population. It does not include ITT hazard ratios to simulate the comparator curves. </w:t>
      </w:r>
    </w:p>
    <w:p w14:paraId="4F3264D4" w14:textId="29B04FA1" w:rsidR="00FB37FA" w:rsidRDefault="00FB37FA" w:rsidP="00FB37FA">
      <w:pPr>
        <w:pStyle w:val="TableFigureFooter"/>
        <w:rPr>
          <w:iCs/>
        </w:rPr>
      </w:pPr>
      <w:proofErr w:type="spellStart"/>
      <w:r w:rsidRPr="00725DEE">
        <w:rPr>
          <w:iCs/>
          <w:vertAlign w:val="superscript"/>
        </w:rPr>
        <w:t>b</w:t>
      </w:r>
      <w:r w:rsidRPr="00725DEE">
        <w:rPr>
          <w:iCs/>
        </w:rPr>
        <w:t>The</w:t>
      </w:r>
      <w:proofErr w:type="spellEnd"/>
      <w:r w:rsidRPr="00725DEE">
        <w:rPr>
          <w:iCs/>
        </w:rPr>
        <w:t xml:space="preserve"> sensitivity analysis performed during the evaluation has used the EV-301 ITT based hazard ratio to generate the survival curves for docetaxel and paclitaxel, as well as implementing the longer time on treatment for the docetaxel + paclitaxel arm. This is a multivariate analysis.</w:t>
      </w:r>
    </w:p>
    <w:p w14:paraId="13D7BA62" w14:textId="77777777" w:rsidR="005D359A" w:rsidRPr="00952414" w:rsidRDefault="002053CC" w:rsidP="00FB37FA">
      <w:pPr>
        <w:pStyle w:val="TableFigureFooter"/>
        <w:rPr>
          <w:iCs/>
        </w:rPr>
      </w:pPr>
      <w:r w:rsidRPr="00952414">
        <w:rPr>
          <w:iCs/>
          <w:vertAlign w:val="superscript"/>
        </w:rPr>
        <w:t xml:space="preserve">c </w:t>
      </w:r>
      <w:r w:rsidRPr="00952414">
        <w:rPr>
          <w:iCs/>
        </w:rPr>
        <w:t>Sensitivity analyses undertaken during the development of the ESC Advice.</w:t>
      </w:r>
    </w:p>
    <w:p w14:paraId="5615EF15" w14:textId="77777777" w:rsidR="005D359A" w:rsidRPr="00952414" w:rsidRDefault="005D359A" w:rsidP="005D359A">
      <w:pPr>
        <w:pStyle w:val="TableFigureFooter"/>
        <w:spacing w:after="0"/>
        <w:contextualSpacing w:val="0"/>
      </w:pPr>
      <w:r w:rsidRPr="00952414">
        <w:rPr>
          <w:i/>
        </w:rPr>
        <w:t>The redacted values correspond to the following ranges</w:t>
      </w:r>
    </w:p>
    <w:p w14:paraId="4A9FDF3F" w14:textId="4F54A371" w:rsidR="005D359A" w:rsidRPr="00952414" w:rsidRDefault="005D359A" w:rsidP="005D359A">
      <w:pPr>
        <w:rPr>
          <w:rFonts w:ascii="Arial Narrow" w:hAnsi="Arial Narrow"/>
          <w:i/>
          <w:sz w:val="18"/>
          <w:szCs w:val="18"/>
        </w:rPr>
      </w:pPr>
      <w:r w:rsidRPr="00952414">
        <w:rPr>
          <w:rFonts w:ascii="Arial Narrow" w:hAnsi="Arial Narrow"/>
          <w:i/>
          <w:sz w:val="18"/>
          <w:szCs w:val="18"/>
          <w:vertAlign w:val="superscript"/>
        </w:rPr>
        <w:t>1</w:t>
      </w:r>
      <w:r w:rsidRPr="00952414">
        <w:rPr>
          <w:rFonts w:ascii="Arial Narrow" w:hAnsi="Arial Narrow"/>
          <w:i/>
          <w:sz w:val="18"/>
          <w:szCs w:val="18"/>
        </w:rPr>
        <w:t xml:space="preserve"> $95,000</w:t>
      </w:r>
      <w:r w:rsidR="00952414" w:rsidRPr="00952414">
        <w:rPr>
          <w:rFonts w:ascii="Arial Narrow" w:hAnsi="Arial Narrow"/>
          <w:i/>
          <w:sz w:val="18"/>
          <w:szCs w:val="18"/>
        </w:rPr>
        <w:t xml:space="preserve"> to &lt; </w:t>
      </w:r>
      <w:r w:rsidRPr="00952414">
        <w:rPr>
          <w:rFonts w:ascii="Arial Narrow" w:hAnsi="Arial Narrow"/>
          <w:i/>
          <w:sz w:val="18"/>
          <w:szCs w:val="18"/>
        </w:rPr>
        <w:t>$115,000</w:t>
      </w:r>
    </w:p>
    <w:p w14:paraId="70892B1F" w14:textId="429889B8" w:rsidR="005D359A" w:rsidRPr="00952414" w:rsidRDefault="005D359A" w:rsidP="005D359A">
      <w:pPr>
        <w:rPr>
          <w:rFonts w:ascii="Arial Narrow" w:hAnsi="Arial Narrow"/>
          <w:i/>
          <w:sz w:val="18"/>
          <w:szCs w:val="18"/>
        </w:rPr>
      </w:pPr>
      <w:r w:rsidRPr="00952414">
        <w:rPr>
          <w:rFonts w:ascii="Arial Narrow" w:hAnsi="Arial Narrow"/>
          <w:i/>
          <w:sz w:val="18"/>
          <w:szCs w:val="18"/>
          <w:vertAlign w:val="superscript"/>
        </w:rPr>
        <w:t>2</w:t>
      </w:r>
      <w:r w:rsidRPr="00952414">
        <w:rPr>
          <w:rFonts w:ascii="Arial Narrow" w:hAnsi="Arial Narrow"/>
          <w:i/>
          <w:sz w:val="18"/>
          <w:szCs w:val="18"/>
        </w:rPr>
        <w:t xml:space="preserve"> $155,000</w:t>
      </w:r>
      <w:r w:rsidR="00952414" w:rsidRPr="00952414">
        <w:rPr>
          <w:rFonts w:ascii="Arial Narrow" w:hAnsi="Arial Narrow"/>
          <w:i/>
          <w:sz w:val="18"/>
          <w:szCs w:val="18"/>
        </w:rPr>
        <w:t xml:space="preserve"> to &lt; </w:t>
      </w:r>
      <w:r w:rsidRPr="00952414">
        <w:rPr>
          <w:rFonts w:ascii="Arial Narrow" w:hAnsi="Arial Narrow"/>
          <w:i/>
          <w:sz w:val="18"/>
          <w:szCs w:val="18"/>
        </w:rPr>
        <w:t>$255,000</w:t>
      </w:r>
    </w:p>
    <w:p w14:paraId="0DB2239E" w14:textId="13C47AE9" w:rsidR="005D359A" w:rsidRPr="00952414" w:rsidRDefault="005D359A" w:rsidP="005D359A">
      <w:pPr>
        <w:rPr>
          <w:rFonts w:ascii="Arial Narrow" w:hAnsi="Arial Narrow"/>
          <w:i/>
          <w:sz w:val="18"/>
          <w:szCs w:val="18"/>
        </w:rPr>
      </w:pPr>
      <w:r w:rsidRPr="00952414">
        <w:rPr>
          <w:rFonts w:ascii="Arial Narrow" w:hAnsi="Arial Narrow"/>
          <w:i/>
          <w:sz w:val="18"/>
          <w:szCs w:val="18"/>
          <w:vertAlign w:val="superscript"/>
        </w:rPr>
        <w:t>3</w:t>
      </w:r>
      <w:r w:rsidRPr="00952414">
        <w:rPr>
          <w:rFonts w:ascii="Arial Narrow" w:hAnsi="Arial Narrow"/>
          <w:i/>
          <w:sz w:val="18"/>
          <w:szCs w:val="18"/>
        </w:rPr>
        <w:t xml:space="preserve"> $115,000</w:t>
      </w:r>
      <w:r w:rsidR="00952414" w:rsidRPr="00952414">
        <w:rPr>
          <w:rFonts w:ascii="Arial Narrow" w:hAnsi="Arial Narrow"/>
          <w:i/>
          <w:sz w:val="18"/>
          <w:szCs w:val="18"/>
        </w:rPr>
        <w:t xml:space="preserve"> to &lt; </w:t>
      </w:r>
      <w:r w:rsidRPr="00952414">
        <w:rPr>
          <w:rFonts w:ascii="Arial Narrow" w:hAnsi="Arial Narrow"/>
          <w:i/>
          <w:sz w:val="18"/>
          <w:szCs w:val="18"/>
        </w:rPr>
        <w:t>$135,000</w:t>
      </w:r>
    </w:p>
    <w:p w14:paraId="170C7363" w14:textId="7A2E143B" w:rsidR="005D359A" w:rsidRPr="00952414" w:rsidRDefault="005D359A" w:rsidP="005D359A">
      <w:pPr>
        <w:rPr>
          <w:rFonts w:ascii="Arial Narrow" w:hAnsi="Arial Narrow"/>
          <w:i/>
          <w:sz w:val="18"/>
          <w:szCs w:val="18"/>
        </w:rPr>
      </w:pPr>
      <w:r w:rsidRPr="00952414">
        <w:rPr>
          <w:rFonts w:ascii="Arial Narrow" w:hAnsi="Arial Narrow"/>
          <w:i/>
          <w:sz w:val="18"/>
          <w:szCs w:val="18"/>
          <w:vertAlign w:val="superscript"/>
        </w:rPr>
        <w:t xml:space="preserve">4 </w:t>
      </w:r>
      <w:r w:rsidRPr="00952414">
        <w:rPr>
          <w:rFonts w:ascii="Arial Narrow" w:hAnsi="Arial Narrow"/>
          <w:i/>
          <w:sz w:val="18"/>
          <w:szCs w:val="18"/>
        </w:rPr>
        <w:t>$135,000</w:t>
      </w:r>
      <w:r w:rsidR="00952414" w:rsidRPr="00952414">
        <w:rPr>
          <w:rFonts w:ascii="Arial Narrow" w:hAnsi="Arial Narrow"/>
          <w:i/>
          <w:sz w:val="18"/>
          <w:szCs w:val="18"/>
        </w:rPr>
        <w:t xml:space="preserve"> to &lt; </w:t>
      </w:r>
      <w:r w:rsidRPr="00952414">
        <w:rPr>
          <w:rFonts w:ascii="Arial Narrow" w:hAnsi="Arial Narrow"/>
          <w:i/>
          <w:sz w:val="18"/>
          <w:szCs w:val="18"/>
        </w:rPr>
        <w:t>$155,000</w:t>
      </w:r>
    </w:p>
    <w:p w14:paraId="1F9B5C7D" w14:textId="481BD0E4" w:rsidR="00FB37FA" w:rsidRPr="00952414" w:rsidRDefault="005D359A" w:rsidP="003A0804">
      <w:pPr>
        <w:spacing w:after="120"/>
        <w:rPr>
          <w:rFonts w:ascii="Arial Narrow" w:hAnsi="Arial Narrow"/>
          <w:i/>
          <w:sz w:val="18"/>
          <w:szCs w:val="18"/>
        </w:rPr>
      </w:pPr>
      <w:r w:rsidRPr="00952414">
        <w:rPr>
          <w:rFonts w:ascii="Arial Narrow" w:hAnsi="Arial Narrow"/>
          <w:i/>
          <w:sz w:val="18"/>
          <w:szCs w:val="18"/>
          <w:vertAlign w:val="superscript"/>
        </w:rPr>
        <w:t>5</w:t>
      </w:r>
      <w:r w:rsidRPr="00952414">
        <w:rPr>
          <w:rFonts w:ascii="Arial Narrow" w:hAnsi="Arial Narrow"/>
          <w:i/>
          <w:sz w:val="18"/>
          <w:szCs w:val="18"/>
        </w:rPr>
        <w:t xml:space="preserve"> </w:t>
      </w:r>
      <w:r w:rsidR="003A0804" w:rsidRPr="00952414">
        <w:rPr>
          <w:rFonts w:ascii="Arial Narrow" w:hAnsi="Arial Narrow"/>
          <w:i/>
          <w:sz w:val="18"/>
          <w:szCs w:val="18"/>
        </w:rPr>
        <w:t>$75,000 to &lt;</w:t>
      </w:r>
      <w:r w:rsidR="00952414" w:rsidRPr="00952414">
        <w:rPr>
          <w:rFonts w:ascii="Arial Narrow" w:hAnsi="Arial Narrow"/>
          <w:i/>
          <w:sz w:val="18"/>
          <w:szCs w:val="18"/>
        </w:rPr>
        <w:t xml:space="preserve"> </w:t>
      </w:r>
      <w:r w:rsidR="003A0804" w:rsidRPr="00952414">
        <w:rPr>
          <w:rFonts w:ascii="Arial Narrow" w:hAnsi="Arial Narrow"/>
          <w:i/>
          <w:sz w:val="18"/>
          <w:szCs w:val="18"/>
        </w:rPr>
        <w:t>$95,000</w:t>
      </w:r>
    </w:p>
    <w:p w14:paraId="0738E778" w14:textId="351A3ECB" w:rsidR="007D1467" w:rsidRDefault="00FB37FA" w:rsidP="00BA0141">
      <w:pPr>
        <w:pStyle w:val="3-BodyText"/>
        <w:rPr>
          <w:iCs/>
        </w:rPr>
      </w:pPr>
      <w:r w:rsidRPr="00725DEE">
        <w:rPr>
          <w:iCs/>
        </w:rPr>
        <w:t xml:space="preserve">The model is most sensitive to </w:t>
      </w:r>
      <w:r w:rsidR="0015480E" w:rsidRPr="00725DEE">
        <w:rPr>
          <w:iCs/>
        </w:rPr>
        <w:t>parametric models used for OS extrapolation, and the 95% confidence interval of OS HR used to generate the OS curve of chemotherapy arm.</w:t>
      </w:r>
    </w:p>
    <w:p w14:paraId="0F67D7A3" w14:textId="65499151" w:rsidR="00FC017B" w:rsidRPr="00F53DB9" w:rsidRDefault="00C31AB3" w:rsidP="00F53DB9">
      <w:pPr>
        <w:pStyle w:val="3-BodyText"/>
        <w:rPr>
          <w:iCs/>
        </w:rPr>
      </w:pPr>
      <w:r w:rsidRPr="002053CC">
        <w:rPr>
          <w:iCs/>
        </w:rPr>
        <w:t xml:space="preserve">The ESC noted the respecified base-case proposed by the evaluation increased the base-case ICER from </w:t>
      </w:r>
      <w:r w:rsidR="00F53DB9" w:rsidRPr="00F53DB9">
        <w:rPr>
          <w:iCs/>
        </w:rPr>
        <w:t>$95,000 to &lt; $115,000</w:t>
      </w:r>
      <w:r w:rsidRPr="00F53DB9">
        <w:rPr>
          <w:iCs/>
        </w:rPr>
        <w:t xml:space="preserve">/QALY to </w:t>
      </w:r>
      <w:r w:rsidR="00F53DB9" w:rsidRPr="00F53DB9">
        <w:rPr>
          <w:iCs/>
        </w:rPr>
        <w:t>$155,000 to &lt; $255,000</w:t>
      </w:r>
      <w:r w:rsidRPr="00F53DB9">
        <w:rPr>
          <w:iCs/>
        </w:rPr>
        <w:t xml:space="preserve">/QALY. The ESC considered the use of the Weibull extrapolation and the ITT HR in the respecified base-case appropriate as outlined in paragraphs </w:t>
      </w:r>
      <w:r w:rsidRPr="00F53DB9">
        <w:rPr>
          <w:iCs/>
        </w:rPr>
        <w:fldChar w:fldCharType="begin"/>
      </w:r>
      <w:r w:rsidRPr="00F53DB9">
        <w:rPr>
          <w:iCs/>
        </w:rPr>
        <w:instrText xml:space="preserve"> REF _Ref95729552 \r \h </w:instrText>
      </w:r>
      <w:r w:rsidR="002053CC" w:rsidRPr="00F53DB9">
        <w:rPr>
          <w:iCs/>
        </w:rPr>
        <w:instrText xml:space="preserve"> \* MERGEFORMAT </w:instrText>
      </w:r>
      <w:r w:rsidRPr="00F53DB9">
        <w:rPr>
          <w:iCs/>
        </w:rPr>
      </w:r>
      <w:r w:rsidRPr="00F53DB9">
        <w:rPr>
          <w:iCs/>
        </w:rPr>
        <w:fldChar w:fldCharType="separate"/>
      </w:r>
      <w:r w:rsidR="007560D5" w:rsidRPr="00F53DB9">
        <w:rPr>
          <w:iCs/>
        </w:rPr>
        <w:t>6.36</w:t>
      </w:r>
      <w:r w:rsidRPr="00F53DB9">
        <w:rPr>
          <w:iCs/>
        </w:rPr>
        <w:fldChar w:fldCharType="end"/>
      </w:r>
      <w:r w:rsidRPr="00F53DB9">
        <w:rPr>
          <w:iCs/>
        </w:rPr>
        <w:t xml:space="preserve"> and </w:t>
      </w:r>
      <w:r w:rsidRPr="00F53DB9">
        <w:rPr>
          <w:iCs/>
        </w:rPr>
        <w:fldChar w:fldCharType="begin"/>
      </w:r>
      <w:r w:rsidRPr="00F53DB9">
        <w:rPr>
          <w:iCs/>
        </w:rPr>
        <w:instrText xml:space="preserve"> REF _Ref95729563 \r \h </w:instrText>
      </w:r>
      <w:r w:rsidR="002053CC" w:rsidRPr="00F53DB9">
        <w:rPr>
          <w:iCs/>
        </w:rPr>
        <w:instrText xml:space="preserve"> \* MERGEFORMAT </w:instrText>
      </w:r>
      <w:r w:rsidRPr="00F53DB9">
        <w:rPr>
          <w:iCs/>
        </w:rPr>
      </w:r>
      <w:r w:rsidRPr="00F53DB9">
        <w:rPr>
          <w:iCs/>
        </w:rPr>
        <w:fldChar w:fldCharType="separate"/>
      </w:r>
      <w:r w:rsidR="007560D5" w:rsidRPr="00F53DB9">
        <w:rPr>
          <w:iCs/>
        </w:rPr>
        <w:t>6.37</w:t>
      </w:r>
      <w:r w:rsidRPr="00F53DB9">
        <w:rPr>
          <w:iCs/>
        </w:rPr>
        <w:fldChar w:fldCharType="end"/>
      </w:r>
      <w:r w:rsidRPr="00F53DB9">
        <w:rPr>
          <w:iCs/>
        </w:rPr>
        <w:t xml:space="preserve">. However, the ESC </w:t>
      </w:r>
      <w:r w:rsidR="00D56E5D" w:rsidRPr="00F53DB9">
        <w:rPr>
          <w:iCs/>
        </w:rPr>
        <w:t xml:space="preserve">for clinical plausibility </w:t>
      </w:r>
      <w:r w:rsidRPr="00F53DB9">
        <w:rPr>
          <w:iCs/>
        </w:rPr>
        <w:t>considered that a</w:t>
      </w:r>
      <w:r w:rsidR="00E818F1" w:rsidRPr="00F53DB9">
        <w:rPr>
          <w:iCs/>
        </w:rPr>
        <w:t>ny</w:t>
      </w:r>
      <w:r w:rsidRPr="00F53DB9">
        <w:rPr>
          <w:iCs/>
        </w:rPr>
        <w:t xml:space="preserve"> respecified base-case should further incorporate a </w:t>
      </w:r>
      <w:proofErr w:type="gramStart"/>
      <w:r w:rsidRPr="00F53DB9">
        <w:rPr>
          <w:iCs/>
        </w:rPr>
        <w:t>5 year</w:t>
      </w:r>
      <w:proofErr w:type="gramEnd"/>
      <w:r w:rsidRPr="00F53DB9">
        <w:rPr>
          <w:iCs/>
        </w:rPr>
        <w:t xml:space="preserve"> time horizon</w:t>
      </w:r>
      <w:r w:rsidR="00D45040" w:rsidRPr="00F53DB9">
        <w:rPr>
          <w:iCs/>
        </w:rPr>
        <w:t xml:space="preserve"> </w:t>
      </w:r>
      <w:r w:rsidR="00D56E5D" w:rsidRPr="00F53DB9">
        <w:rPr>
          <w:iCs/>
        </w:rPr>
        <w:t>although</w:t>
      </w:r>
      <w:r w:rsidRPr="00F53DB9">
        <w:rPr>
          <w:iCs/>
        </w:rPr>
        <w:t xml:space="preserve"> noted this </w:t>
      </w:r>
      <w:r w:rsidR="00D56E5D" w:rsidRPr="00F53DB9">
        <w:rPr>
          <w:iCs/>
        </w:rPr>
        <w:t>only had a minimal impact on</w:t>
      </w:r>
      <w:r w:rsidRPr="00F53DB9">
        <w:rPr>
          <w:iCs/>
        </w:rPr>
        <w:t xml:space="preserve"> the </w:t>
      </w:r>
      <w:r w:rsidR="004220CB" w:rsidRPr="00F53DB9">
        <w:rPr>
          <w:iCs/>
        </w:rPr>
        <w:t xml:space="preserve">respecified base-case ICER </w:t>
      </w:r>
      <w:r w:rsidR="00F53DB9" w:rsidRPr="00F53DB9">
        <w:rPr>
          <w:iCs/>
        </w:rPr>
        <w:t>$155,000 to &lt; $255,000</w:t>
      </w:r>
      <w:r w:rsidR="00D56E5D" w:rsidRPr="00F53DB9">
        <w:rPr>
          <w:iCs/>
        </w:rPr>
        <w:t>/QALY)</w:t>
      </w:r>
      <w:r w:rsidR="004220CB" w:rsidRPr="00F53DB9">
        <w:rPr>
          <w:iCs/>
        </w:rPr>
        <w:t xml:space="preserve">. </w:t>
      </w:r>
      <w:r w:rsidR="00D56E5D" w:rsidRPr="00F53DB9">
        <w:rPr>
          <w:iCs/>
        </w:rPr>
        <w:t xml:space="preserve">Given the different adverse event profiles of the two treatment arms the ESC considered that it may be reasonable to use non-treatment specific utilities for both the progression free and progressed health states. The </w:t>
      </w:r>
      <w:r w:rsidR="00B464DE" w:rsidRPr="00F53DB9">
        <w:rPr>
          <w:iCs/>
        </w:rPr>
        <w:t>PBAC</w:t>
      </w:r>
      <w:r w:rsidR="00D56E5D" w:rsidRPr="00F53DB9">
        <w:rPr>
          <w:iCs/>
        </w:rPr>
        <w:t xml:space="preserve"> noted th</w:t>
      </w:r>
      <w:r w:rsidR="00B464DE" w:rsidRPr="00F53DB9">
        <w:rPr>
          <w:iCs/>
        </w:rPr>
        <w:t xml:space="preserve">e ESC </w:t>
      </w:r>
      <w:r w:rsidR="00D56E5D" w:rsidRPr="00F53DB9">
        <w:rPr>
          <w:iCs/>
        </w:rPr>
        <w:t xml:space="preserve">respecified </w:t>
      </w:r>
      <w:r w:rsidR="00EF063E" w:rsidRPr="00F53DB9">
        <w:rPr>
          <w:iCs/>
        </w:rPr>
        <w:t xml:space="preserve">base-case increased the </w:t>
      </w:r>
      <w:r w:rsidR="00D56E5D" w:rsidRPr="00F53DB9">
        <w:rPr>
          <w:iCs/>
        </w:rPr>
        <w:t xml:space="preserve">ICER to </w:t>
      </w:r>
      <w:r w:rsidR="00F53DB9" w:rsidRPr="00F53DB9">
        <w:rPr>
          <w:iCs/>
        </w:rPr>
        <w:t>$155,000 to &lt; $255,000</w:t>
      </w:r>
      <w:r w:rsidR="00D56E5D" w:rsidRPr="00F53DB9">
        <w:rPr>
          <w:iCs/>
        </w:rPr>
        <w:t>/QALY.</w:t>
      </w:r>
    </w:p>
    <w:p w14:paraId="1991ECFD" w14:textId="5258AFCF" w:rsidR="004220CB" w:rsidRPr="00EF063E" w:rsidRDefault="00FC017B" w:rsidP="00EF063E">
      <w:pPr>
        <w:pStyle w:val="3-BodyText"/>
        <w:rPr>
          <w:iCs/>
        </w:rPr>
      </w:pPr>
      <w:r w:rsidRPr="002053CC">
        <w:rPr>
          <w:iCs/>
        </w:rPr>
        <w:t xml:space="preserve">The ESC noted that </w:t>
      </w:r>
      <w:r w:rsidR="00D56E5D" w:rsidRPr="002053CC">
        <w:rPr>
          <w:iCs/>
        </w:rPr>
        <w:t xml:space="preserve">approximating the impact of </w:t>
      </w:r>
      <w:r w:rsidRPr="002053CC">
        <w:rPr>
          <w:iCs/>
        </w:rPr>
        <w:t xml:space="preserve">incorporating the KM curve for chemotherapy up to 15 months in the respecified base-case increased the ICER to </w:t>
      </w:r>
      <w:r w:rsidR="00F53DB9" w:rsidRPr="00F53DB9">
        <w:rPr>
          <w:iCs/>
        </w:rPr>
        <w:t>$155,000 to &lt; $255,000</w:t>
      </w:r>
      <w:r w:rsidRPr="002053CC">
        <w:rPr>
          <w:iCs/>
        </w:rPr>
        <w:t xml:space="preserve">/QALY. While the ESC considered it preferrable to use time-to-event-data the Committee noted the model structure was not designed to make this adjustment and hence </w:t>
      </w:r>
      <w:r w:rsidR="00E818F1" w:rsidRPr="002053CC">
        <w:rPr>
          <w:iCs/>
        </w:rPr>
        <w:t>it</w:t>
      </w:r>
      <w:r w:rsidR="00D56E5D" w:rsidRPr="002053CC">
        <w:rPr>
          <w:iCs/>
        </w:rPr>
        <w:t xml:space="preserve"> could not reliably be</w:t>
      </w:r>
      <w:r w:rsidR="00E818F1" w:rsidRPr="002053CC">
        <w:rPr>
          <w:iCs/>
        </w:rPr>
        <w:t xml:space="preserve"> </w:t>
      </w:r>
      <w:r w:rsidRPr="002053CC">
        <w:rPr>
          <w:iCs/>
        </w:rPr>
        <w:t>inclu</w:t>
      </w:r>
      <w:r w:rsidR="00D56E5D" w:rsidRPr="002053CC">
        <w:rPr>
          <w:iCs/>
        </w:rPr>
        <w:t>ded</w:t>
      </w:r>
      <w:r w:rsidRPr="002053CC">
        <w:rPr>
          <w:iCs/>
        </w:rPr>
        <w:t xml:space="preserve"> in a re-specified base</w:t>
      </w:r>
      <w:r w:rsidR="00D56E5D" w:rsidRPr="002053CC">
        <w:rPr>
          <w:iCs/>
        </w:rPr>
        <w:t>-</w:t>
      </w:r>
      <w:r w:rsidRPr="002053CC">
        <w:rPr>
          <w:iCs/>
        </w:rPr>
        <w:t xml:space="preserve">case. </w:t>
      </w:r>
    </w:p>
    <w:p w14:paraId="2667D7F3" w14:textId="77777777" w:rsidR="00910D50" w:rsidRDefault="00910D50" w:rsidP="00910D50">
      <w:pPr>
        <w:pStyle w:val="4-SubsectionHeading"/>
      </w:pPr>
      <w:bookmarkStart w:id="27" w:name="_Toc93491265"/>
      <w:r w:rsidRPr="002C2775">
        <w:t>Drug</w:t>
      </w:r>
      <w:r>
        <w:t xml:space="preserve"> cost/patient/course</w:t>
      </w:r>
      <w:bookmarkEnd w:id="27"/>
    </w:p>
    <w:p w14:paraId="78D45346" w14:textId="147AC56C" w:rsidR="00910D50" w:rsidRPr="00C94053" w:rsidRDefault="00DB76DB" w:rsidP="00DB76DB">
      <w:pPr>
        <w:pStyle w:val="Caption"/>
        <w:rPr>
          <w:rStyle w:val="CommentReference"/>
          <w:b/>
          <w:szCs w:val="24"/>
        </w:rPr>
      </w:pPr>
      <w:r>
        <w:t xml:space="preserve">Table </w:t>
      </w:r>
      <w:r w:rsidR="00F06F14">
        <w:fldChar w:fldCharType="begin"/>
      </w:r>
      <w:r w:rsidR="00F06F14">
        <w:instrText xml:space="preserve"> SEQ Table \* ARABIC </w:instrText>
      </w:r>
      <w:r w:rsidR="00F06F14">
        <w:fldChar w:fldCharType="separate"/>
      </w:r>
      <w:r w:rsidR="00234F7B">
        <w:rPr>
          <w:noProof/>
        </w:rPr>
        <w:t>12</w:t>
      </w:r>
      <w:r w:rsidR="00F06F14">
        <w:rPr>
          <w:noProof/>
        </w:rPr>
        <w:fldChar w:fldCharType="end"/>
      </w:r>
      <w:r>
        <w:t xml:space="preserve">: </w:t>
      </w:r>
      <w:r w:rsidR="00910D50" w:rsidRPr="00C94053">
        <w:rPr>
          <w:rStyle w:val="CommentReference"/>
          <w:b/>
          <w:szCs w:val="24"/>
        </w:rPr>
        <w:t xml:space="preserve">Drug cost per patient </w:t>
      </w:r>
      <w:r w:rsidR="00075454">
        <w:rPr>
          <w:rStyle w:val="CommentReference"/>
          <w:b/>
          <w:szCs w:val="24"/>
        </w:rPr>
        <w:t xml:space="preserve">per month and per course </w:t>
      </w:r>
      <w:r w:rsidR="00910D50" w:rsidRPr="00C94053">
        <w:rPr>
          <w:rStyle w:val="CommentReference"/>
          <w:b/>
          <w:szCs w:val="24"/>
        </w:rPr>
        <w:t xml:space="preserve">for </w:t>
      </w:r>
      <w:proofErr w:type="spellStart"/>
      <w:r>
        <w:rPr>
          <w:rStyle w:val="CommentReference"/>
          <w:b/>
          <w:szCs w:val="24"/>
        </w:rPr>
        <w:t>enfortumab</w:t>
      </w:r>
      <w:proofErr w:type="spellEnd"/>
      <w:r>
        <w:rPr>
          <w:rStyle w:val="CommentReference"/>
          <w:b/>
          <w:szCs w:val="24"/>
        </w:rPr>
        <w:t xml:space="preserve"> </w:t>
      </w:r>
      <w:proofErr w:type="spellStart"/>
      <w:r>
        <w:rPr>
          <w:rStyle w:val="CommentReference"/>
          <w:b/>
          <w:szCs w:val="24"/>
        </w:rPr>
        <w:t>vedotin</w:t>
      </w:r>
      <w:proofErr w:type="spellEnd"/>
      <w:r w:rsidR="00075454">
        <w:rPr>
          <w:rStyle w:val="CommentReference"/>
          <w:b/>
          <w:szCs w:val="24"/>
        </w:rPr>
        <w:t xml:space="preserve"> </w:t>
      </w:r>
      <w:r w:rsidR="00821980">
        <w:rPr>
          <w:rStyle w:val="CommentReference"/>
          <w:b/>
          <w:szCs w:val="24"/>
        </w:rPr>
        <w:t xml:space="preserve">(based on proposed </w:t>
      </w:r>
      <w:r w:rsidR="00493618">
        <w:rPr>
          <w:rStyle w:val="CommentReference"/>
          <w:b/>
          <w:szCs w:val="24"/>
        </w:rPr>
        <w:t>effective</w:t>
      </w:r>
      <w:r w:rsidR="00821980">
        <w:rPr>
          <w:rStyle w:val="CommentReference"/>
          <w:b/>
          <w:szCs w:val="24"/>
        </w:rPr>
        <w:t xml:space="preserve"> price) </w:t>
      </w:r>
      <w:r w:rsidR="00075454">
        <w:rPr>
          <w:rStyle w:val="CommentReference"/>
          <w:b/>
          <w:szCs w:val="24"/>
        </w:rPr>
        <w:t xml:space="preserve">and </w:t>
      </w:r>
      <w:r>
        <w:rPr>
          <w:rStyle w:val="CommentReference"/>
          <w:b/>
          <w:szCs w:val="24"/>
        </w:rPr>
        <w:t>chemotherapy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Drug cost per patient per month and per course for enfortumab vedotin (based on proposed effective price) and chemotherapy"/>
      </w:tblPr>
      <w:tblGrid>
        <w:gridCol w:w="1471"/>
        <w:gridCol w:w="1214"/>
        <w:gridCol w:w="1708"/>
        <w:gridCol w:w="1206"/>
        <w:gridCol w:w="1140"/>
        <w:gridCol w:w="1140"/>
        <w:gridCol w:w="1138"/>
      </w:tblGrid>
      <w:tr w:rsidR="00910D50" w:rsidRPr="00E2771E" w14:paraId="4F859667" w14:textId="77777777" w:rsidTr="00910D50">
        <w:trPr>
          <w:cantSplit/>
          <w:tblHeader/>
          <w:jc w:val="center"/>
        </w:trPr>
        <w:tc>
          <w:tcPr>
            <w:tcW w:w="816" w:type="pct"/>
            <w:shd w:val="clear" w:color="auto" w:fill="auto"/>
            <w:vAlign w:val="center"/>
          </w:tcPr>
          <w:p w14:paraId="048BA802" w14:textId="77777777" w:rsidR="00910D50" w:rsidRPr="00725DEE" w:rsidRDefault="00910D50" w:rsidP="00910D50">
            <w:pPr>
              <w:pStyle w:val="In-tableHeading"/>
              <w:jc w:val="center"/>
            </w:pPr>
          </w:p>
        </w:tc>
        <w:tc>
          <w:tcPr>
            <w:tcW w:w="673" w:type="pct"/>
            <w:shd w:val="clear" w:color="auto" w:fill="auto"/>
            <w:vAlign w:val="center"/>
          </w:tcPr>
          <w:p w14:paraId="7CB906B3" w14:textId="77777777" w:rsidR="00910D50" w:rsidRPr="00725DEE" w:rsidRDefault="00910D50" w:rsidP="00910D50">
            <w:pPr>
              <w:pStyle w:val="In-tableHeading"/>
              <w:jc w:val="center"/>
            </w:pPr>
            <w:r w:rsidRPr="00725DEE">
              <w:t>Trial dose and duration</w:t>
            </w:r>
          </w:p>
        </w:tc>
        <w:tc>
          <w:tcPr>
            <w:tcW w:w="947" w:type="pct"/>
            <w:shd w:val="clear" w:color="auto" w:fill="auto"/>
            <w:vAlign w:val="center"/>
          </w:tcPr>
          <w:p w14:paraId="61430726" w14:textId="6FF53EED" w:rsidR="00910D50" w:rsidRPr="00725DEE" w:rsidRDefault="00910D50" w:rsidP="00910D50">
            <w:pPr>
              <w:pStyle w:val="In-tableHeading"/>
              <w:jc w:val="center"/>
            </w:pPr>
            <w:proofErr w:type="spellStart"/>
            <w:r w:rsidRPr="00725DEE">
              <w:t>Model</w:t>
            </w:r>
            <w:r w:rsidR="00C16C33" w:rsidRPr="00725DEE">
              <w:rPr>
                <w:vertAlign w:val="superscript"/>
              </w:rPr>
              <w:t>b</w:t>
            </w:r>
            <w:proofErr w:type="spellEnd"/>
          </w:p>
        </w:tc>
        <w:tc>
          <w:tcPr>
            <w:tcW w:w="669" w:type="pct"/>
            <w:shd w:val="clear" w:color="auto" w:fill="auto"/>
            <w:vAlign w:val="center"/>
          </w:tcPr>
          <w:p w14:paraId="63761C09" w14:textId="77777777" w:rsidR="00910D50" w:rsidRPr="00725DEE" w:rsidRDefault="00910D50" w:rsidP="00910D50">
            <w:pPr>
              <w:pStyle w:val="In-tableHeading"/>
              <w:jc w:val="center"/>
            </w:pPr>
            <w:r w:rsidRPr="00725DEE">
              <w:t>Financial estimates</w:t>
            </w:r>
          </w:p>
        </w:tc>
        <w:tc>
          <w:tcPr>
            <w:tcW w:w="632" w:type="pct"/>
            <w:shd w:val="clear" w:color="auto" w:fill="FFFFFF" w:themeFill="background1"/>
            <w:vAlign w:val="center"/>
          </w:tcPr>
          <w:p w14:paraId="451E804D" w14:textId="77777777" w:rsidR="00910D50" w:rsidRPr="00725DEE" w:rsidRDefault="00910D50" w:rsidP="00910D50">
            <w:pPr>
              <w:pStyle w:val="In-tableHeading"/>
              <w:jc w:val="center"/>
            </w:pPr>
            <w:r w:rsidRPr="00725DEE">
              <w:t>Comparator</w:t>
            </w:r>
          </w:p>
          <w:p w14:paraId="3E2CED8E" w14:textId="77777777" w:rsidR="00910D50" w:rsidRPr="00725DEE" w:rsidRDefault="00910D50" w:rsidP="00910D50">
            <w:pPr>
              <w:pStyle w:val="In-tableHeading"/>
              <w:jc w:val="center"/>
            </w:pPr>
            <w:r w:rsidRPr="00725DEE">
              <w:t>Trial dose and duration</w:t>
            </w:r>
          </w:p>
        </w:tc>
        <w:tc>
          <w:tcPr>
            <w:tcW w:w="632" w:type="pct"/>
            <w:shd w:val="clear" w:color="auto" w:fill="FFFFFF" w:themeFill="background1"/>
            <w:vAlign w:val="center"/>
          </w:tcPr>
          <w:p w14:paraId="5CA2236C" w14:textId="77777777" w:rsidR="00910D50" w:rsidRPr="00725DEE" w:rsidRDefault="00910D50" w:rsidP="00910D50">
            <w:pPr>
              <w:pStyle w:val="In-tableHeading"/>
              <w:jc w:val="center"/>
            </w:pPr>
            <w:r w:rsidRPr="00725DEE">
              <w:t>Comparator</w:t>
            </w:r>
          </w:p>
          <w:p w14:paraId="5335C0F9" w14:textId="1D171427" w:rsidR="00910D50" w:rsidRPr="00725DEE" w:rsidRDefault="00910D50" w:rsidP="00910D50">
            <w:pPr>
              <w:pStyle w:val="In-tableHeading"/>
              <w:jc w:val="center"/>
            </w:pPr>
            <w:proofErr w:type="spellStart"/>
            <w:r w:rsidRPr="00725DEE">
              <w:t>Model</w:t>
            </w:r>
            <w:r w:rsidR="00C16C33" w:rsidRPr="00725DEE">
              <w:rPr>
                <w:vertAlign w:val="superscript"/>
              </w:rPr>
              <w:t>b</w:t>
            </w:r>
            <w:proofErr w:type="spellEnd"/>
          </w:p>
        </w:tc>
        <w:tc>
          <w:tcPr>
            <w:tcW w:w="631" w:type="pct"/>
            <w:shd w:val="clear" w:color="auto" w:fill="FFFFFF" w:themeFill="background1"/>
          </w:tcPr>
          <w:p w14:paraId="5038E906" w14:textId="77777777" w:rsidR="00910D50" w:rsidRPr="00725DEE" w:rsidRDefault="00910D50" w:rsidP="00910D50">
            <w:pPr>
              <w:pStyle w:val="In-tableHeading"/>
              <w:jc w:val="center"/>
            </w:pPr>
            <w:r w:rsidRPr="00725DEE">
              <w:t>Comparator</w:t>
            </w:r>
          </w:p>
          <w:p w14:paraId="3250597B" w14:textId="77777777" w:rsidR="00910D50" w:rsidRPr="00725DEE" w:rsidRDefault="00910D50" w:rsidP="00910D50">
            <w:pPr>
              <w:pStyle w:val="In-tableHeading"/>
              <w:jc w:val="center"/>
            </w:pPr>
            <w:r w:rsidRPr="00725DEE">
              <w:t>Financial estimates</w:t>
            </w:r>
          </w:p>
        </w:tc>
      </w:tr>
      <w:tr w:rsidR="00910D50" w:rsidRPr="00E2771E" w14:paraId="21189EFB" w14:textId="77777777" w:rsidTr="00910D50">
        <w:trPr>
          <w:cantSplit/>
          <w:jc w:val="center"/>
        </w:trPr>
        <w:tc>
          <w:tcPr>
            <w:tcW w:w="816" w:type="pct"/>
            <w:shd w:val="clear" w:color="auto" w:fill="auto"/>
            <w:vAlign w:val="center"/>
          </w:tcPr>
          <w:p w14:paraId="52E7DBA3" w14:textId="0C450209" w:rsidR="00910D50" w:rsidRPr="00725DEE" w:rsidRDefault="00910D50" w:rsidP="00910D50">
            <w:pPr>
              <w:pStyle w:val="TableText0"/>
              <w:rPr>
                <w:lang w:val="en-US"/>
              </w:rPr>
            </w:pPr>
            <w:r w:rsidRPr="00725DEE">
              <w:rPr>
                <w:lang w:val="en-US"/>
              </w:rPr>
              <w:t>Mean dose</w:t>
            </w:r>
            <w:r w:rsidR="009425F2" w:rsidRPr="00725DEE">
              <w:rPr>
                <w:lang w:val="en-US"/>
              </w:rPr>
              <w:t xml:space="preserve"> (per month)</w:t>
            </w:r>
          </w:p>
        </w:tc>
        <w:tc>
          <w:tcPr>
            <w:tcW w:w="673" w:type="pct"/>
            <w:shd w:val="clear" w:color="auto" w:fill="auto"/>
            <w:vAlign w:val="center"/>
          </w:tcPr>
          <w:p w14:paraId="23E1DD79" w14:textId="1DACC0DD" w:rsidR="00910D50" w:rsidRPr="00725DEE" w:rsidRDefault="009425F2" w:rsidP="009425F2">
            <w:pPr>
              <w:pStyle w:val="TableText0"/>
              <w:jc w:val="center"/>
              <w:rPr>
                <w:lang w:val="en-US"/>
              </w:rPr>
            </w:pPr>
            <w:r w:rsidRPr="00725DEE">
              <w:rPr>
                <w:lang w:val="en-US"/>
              </w:rPr>
              <w:t xml:space="preserve">220 </w:t>
            </w:r>
            <w:proofErr w:type="spellStart"/>
            <w:r w:rsidRPr="00725DEE">
              <w:rPr>
                <w:lang w:val="en-US"/>
              </w:rPr>
              <w:t>mg</w:t>
            </w:r>
            <w:r w:rsidR="00725562" w:rsidRPr="00725DEE">
              <w:rPr>
                <w:vertAlign w:val="superscript"/>
                <w:lang w:val="en-US"/>
              </w:rPr>
              <w:t>a</w:t>
            </w:r>
            <w:proofErr w:type="spellEnd"/>
          </w:p>
        </w:tc>
        <w:tc>
          <w:tcPr>
            <w:tcW w:w="947" w:type="pct"/>
            <w:shd w:val="clear" w:color="auto" w:fill="auto"/>
            <w:vAlign w:val="center"/>
          </w:tcPr>
          <w:p w14:paraId="2AFA3BF5" w14:textId="39EDD16C" w:rsidR="00910D50" w:rsidRPr="00725DEE" w:rsidRDefault="007D40B8" w:rsidP="009425F2">
            <w:pPr>
              <w:pStyle w:val="TableText0"/>
              <w:jc w:val="center"/>
              <w:rPr>
                <w:lang w:val="en-US"/>
              </w:rPr>
            </w:pPr>
            <w:r w:rsidRPr="00725DEE">
              <w:rPr>
                <w:lang w:val="en-US"/>
              </w:rPr>
              <w:t>234.5mg</w:t>
            </w:r>
          </w:p>
        </w:tc>
        <w:tc>
          <w:tcPr>
            <w:tcW w:w="669" w:type="pct"/>
            <w:shd w:val="clear" w:color="auto" w:fill="auto"/>
            <w:vAlign w:val="center"/>
          </w:tcPr>
          <w:p w14:paraId="5CDAE70A" w14:textId="4ED662D0" w:rsidR="00910D50" w:rsidRPr="00725DEE" w:rsidRDefault="00092B2D" w:rsidP="00910D50">
            <w:pPr>
              <w:pStyle w:val="TableText0"/>
              <w:jc w:val="center"/>
              <w:rPr>
                <w:lang w:val="en-US"/>
              </w:rPr>
            </w:pPr>
            <w:r w:rsidRPr="00725DEE">
              <w:rPr>
                <w:lang w:val="en-US"/>
              </w:rPr>
              <w:t>289.5mg</w:t>
            </w:r>
          </w:p>
        </w:tc>
        <w:tc>
          <w:tcPr>
            <w:tcW w:w="632" w:type="pct"/>
            <w:shd w:val="clear" w:color="auto" w:fill="FFFFFF" w:themeFill="background1"/>
            <w:vAlign w:val="center"/>
          </w:tcPr>
          <w:p w14:paraId="2300DF90" w14:textId="77777777" w:rsidR="00910D50" w:rsidRPr="00725DEE" w:rsidRDefault="00CE30E6" w:rsidP="00910D50">
            <w:pPr>
              <w:pStyle w:val="TableText0"/>
              <w:jc w:val="center"/>
              <w:rPr>
                <w:lang w:val="en-US"/>
              </w:rPr>
            </w:pPr>
            <w:r w:rsidRPr="00725DEE">
              <w:rPr>
                <w:lang w:val="en-US"/>
              </w:rPr>
              <w:t>Paclitaxel: 431.9mg</w:t>
            </w:r>
          </w:p>
          <w:p w14:paraId="54DE5DF2" w14:textId="75F06D27" w:rsidR="00CE30E6" w:rsidRPr="00725DEE" w:rsidRDefault="00CE30E6" w:rsidP="00910D50">
            <w:pPr>
              <w:pStyle w:val="TableText0"/>
              <w:jc w:val="center"/>
              <w:rPr>
                <w:lang w:val="en-US"/>
              </w:rPr>
            </w:pPr>
            <w:r w:rsidRPr="00725DEE">
              <w:rPr>
                <w:lang w:val="en-US"/>
              </w:rPr>
              <w:t>Docetaxel: 184.6mg</w:t>
            </w:r>
            <w:r w:rsidRPr="00725DEE">
              <w:rPr>
                <w:vertAlign w:val="superscript"/>
                <w:lang w:val="en-US"/>
              </w:rPr>
              <w:t>g</w:t>
            </w:r>
          </w:p>
        </w:tc>
        <w:tc>
          <w:tcPr>
            <w:tcW w:w="632" w:type="pct"/>
            <w:shd w:val="clear" w:color="auto" w:fill="FFFFFF" w:themeFill="background1"/>
            <w:vAlign w:val="center"/>
          </w:tcPr>
          <w:p w14:paraId="6674FF72" w14:textId="5F3C7239" w:rsidR="00910D50" w:rsidRPr="00725DEE" w:rsidRDefault="009425F2" w:rsidP="00910D50">
            <w:pPr>
              <w:pStyle w:val="TableText0"/>
              <w:jc w:val="center"/>
              <w:rPr>
                <w:lang w:val="en-US"/>
              </w:rPr>
            </w:pPr>
            <w:r w:rsidRPr="00725DEE">
              <w:rPr>
                <w:lang w:val="en-US"/>
              </w:rPr>
              <w:t>Paclitaxel: 441.1mg</w:t>
            </w:r>
          </w:p>
          <w:p w14:paraId="71C6FBA8" w14:textId="0DA2E63F" w:rsidR="009425F2" w:rsidRPr="00725DEE" w:rsidRDefault="009425F2" w:rsidP="009425F2">
            <w:pPr>
              <w:pStyle w:val="TableText0"/>
              <w:jc w:val="center"/>
              <w:rPr>
                <w:lang w:val="en-US"/>
              </w:rPr>
            </w:pPr>
            <w:r w:rsidRPr="00725DEE">
              <w:rPr>
                <w:lang w:val="en-US"/>
              </w:rPr>
              <w:t xml:space="preserve">Docetaxel: 192.3mg </w:t>
            </w:r>
          </w:p>
        </w:tc>
        <w:tc>
          <w:tcPr>
            <w:tcW w:w="631" w:type="pct"/>
            <w:shd w:val="clear" w:color="auto" w:fill="FFFFFF" w:themeFill="background1"/>
          </w:tcPr>
          <w:p w14:paraId="79B147B3" w14:textId="6072B5B4" w:rsidR="00910D50" w:rsidRPr="00725DEE" w:rsidRDefault="003F723C" w:rsidP="00910D50">
            <w:pPr>
              <w:pStyle w:val="TableText0"/>
              <w:jc w:val="center"/>
              <w:rPr>
                <w:lang w:val="en-US"/>
              </w:rPr>
            </w:pPr>
            <w:r w:rsidRPr="00725DEE">
              <w:rPr>
                <w:lang w:val="en-US"/>
              </w:rPr>
              <w:t>NR</w:t>
            </w:r>
          </w:p>
        </w:tc>
      </w:tr>
      <w:tr w:rsidR="00910D50" w:rsidRPr="00E2771E" w14:paraId="620C34E2" w14:textId="77777777" w:rsidTr="00910D50">
        <w:trPr>
          <w:cantSplit/>
          <w:jc w:val="center"/>
        </w:trPr>
        <w:tc>
          <w:tcPr>
            <w:tcW w:w="816" w:type="pct"/>
            <w:shd w:val="clear" w:color="auto" w:fill="auto"/>
            <w:vAlign w:val="center"/>
          </w:tcPr>
          <w:p w14:paraId="4897CDE3" w14:textId="77777777" w:rsidR="00910D50" w:rsidRPr="00725DEE" w:rsidRDefault="00910D50" w:rsidP="00910D50">
            <w:pPr>
              <w:pStyle w:val="TableText0"/>
              <w:rPr>
                <w:lang w:val="en-US"/>
              </w:rPr>
            </w:pPr>
            <w:r w:rsidRPr="00725DEE">
              <w:rPr>
                <w:lang w:val="en-US"/>
              </w:rPr>
              <w:t>Mean duration</w:t>
            </w:r>
          </w:p>
        </w:tc>
        <w:tc>
          <w:tcPr>
            <w:tcW w:w="673" w:type="pct"/>
            <w:shd w:val="clear" w:color="auto" w:fill="auto"/>
            <w:vAlign w:val="center"/>
          </w:tcPr>
          <w:p w14:paraId="02C25AFB" w14:textId="77777777" w:rsidR="00910D50" w:rsidRPr="00725DEE" w:rsidRDefault="00910D50" w:rsidP="00910D50">
            <w:pPr>
              <w:pStyle w:val="TableText0"/>
              <w:jc w:val="center"/>
              <w:rPr>
                <w:lang w:val="en-US"/>
              </w:rPr>
            </w:pPr>
            <w:r w:rsidRPr="00725DEE">
              <w:rPr>
                <w:lang w:val="en-US"/>
              </w:rPr>
              <w:t>5.4 months</w:t>
            </w:r>
          </w:p>
        </w:tc>
        <w:tc>
          <w:tcPr>
            <w:tcW w:w="947" w:type="pct"/>
            <w:shd w:val="clear" w:color="auto" w:fill="auto"/>
            <w:vAlign w:val="center"/>
          </w:tcPr>
          <w:p w14:paraId="7528F6AB" w14:textId="71779B86" w:rsidR="00910D50" w:rsidRPr="00725DEE" w:rsidRDefault="007D40B8" w:rsidP="00910D50">
            <w:pPr>
              <w:pStyle w:val="TableText0"/>
              <w:jc w:val="center"/>
              <w:rPr>
                <w:lang w:val="en-US"/>
              </w:rPr>
            </w:pPr>
            <w:r w:rsidRPr="00725DEE">
              <w:rPr>
                <w:lang w:val="en-US"/>
              </w:rPr>
              <w:t xml:space="preserve">6.97 </w:t>
            </w:r>
            <w:proofErr w:type="spellStart"/>
            <w:r w:rsidRPr="00725DEE">
              <w:rPr>
                <w:lang w:val="en-US"/>
              </w:rPr>
              <w:t>months</w:t>
            </w:r>
            <w:r w:rsidRPr="00725DEE">
              <w:rPr>
                <w:vertAlign w:val="superscript"/>
                <w:lang w:val="en-US"/>
              </w:rPr>
              <w:t>c</w:t>
            </w:r>
            <w:proofErr w:type="spellEnd"/>
          </w:p>
        </w:tc>
        <w:tc>
          <w:tcPr>
            <w:tcW w:w="669" w:type="pct"/>
            <w:shd w:val="clear" w:color="auto" w:fill="auto"/>
            <w:vAlign w:val="center"/>
          </w:tcPr>
          <w:p w14:paraId="3F8BF3C3" w14:textId="7A9B0D91" w:rsidR="00910D50" w:rsidRPr="00725DEE" w:rsidRDefault="007D40B8" w:rsidP="00910D50">
            <w:pPr>
              <w:pStyle w:val="TableText0"/>
              <w:jc w:val="center"/>
              <w:rPr>
                <w:lang w:val="en-US"/>
              </w:rPr>
            </w:pPr>
            <w:r w:rsidRPr="00725DEE">
              <w:rPr>
                <w:lang w:val="en-US"/>
              </w:rPr>
              <w:t xml:space="preserve">7.47 </w:t>
            </w:r>
            <w:proofErr w:type="spellStart"/>
            <w:r w:rsidRPr="00725DEE">
              <w:rPr>
                <w:lang w:val="en-US"/>
              </w:rPr>
              <w:t>months</w:t>
            </w:r>
            <w:r w:rsidRPr="00725DEE">
              <w:rPr>
                <w:vertAlign w:val="superscript"/>
                <w:lang w:val="en-US"/>
              </w:rPr>
              <w:t>d</w:t>
            </w:r>
            <w:proofErr w:type="spellEnd"/>
          </w:p>
        </w:tc>
        <w:tc>
          <w:tcPr>
            <w:tcW w:w="632" w:type="pct"/>
            <w:shd w:val="clear" w:color="auto" w:fill="FFFFFF" w:themeFill="background1"/>
            <w:vAlign w:val="center"/>
          </w:tcPr>
          <w:p w14:paraId="77135122" w14:textId="4038B840" w:rsidR="00910D50" w:rsidRPr="00725DEE" w:rsidRDefault="00075454" w:rsidP="00075454">
            <w:pPr>
              <w:pStyle w:val="TableText0"/>
              <w:jc w:val="center"/>
              <w:rPr>
                <w:lang w:val="en-US"/>
              </w:rPr>
            </w:pPr>
            <w:r w:rsidRPr="00725DEE">
              <w:rPr>
                <w:lang w:val="en-US"/>
              </w:rPr>
              <w:t xml:space="preserve">3.96 </w:t>
            </w:r>
            <w:proofErr w:type="spellStart"/>
            <w:r w:rsidRPr="00725DEE">
              <w:rPr>
                <w:lang w:val="en-US"/>
              </w:rPr>
              <w:t>months</w:t>
            </w:r>
            <w:r w:rsidRPr="00725DEE">
              <w:rPr>
                <w:vertAlign w:val="superscript"/>
                <w:lang w:val="en-US"/>
              </w:rPr>
              <w:t>f</w:t>
            </w:r>
            <w:proofErr w:type="spellEnd"/>
          </w:p>
        </w:tc>
        <w:tc>
          <w:tcPr>
            <w:tcW w:w="632" w:type="pct"/>
            <w:shd w:val="clear" w:color="auto" w:fill="FFFFFF" w:themeFill="background1"/>
            <w:vAlign w:val="center"/>
          </w:tcPr>
          <w:p w14:paraId="3B1C88A0" w14:textId="071F7322" w:rsidR="00910D50" w:rsidRPr="00725DEE" w:rsidRDefault="007D40B8" w:rsidP="00910D50">
            <w:pPr>
              <w:pStyle w:val="TableText0"/>
              <w:jc w:val="center"/>
              <w:rPr>
                <w:lang w:val="en-US"/>
              </w:rPr>
            </w:pPr>
            <w:r w:rsidRPr="00725DEE">
              <w:rPr>
                <w:lang w:val="en-US"/>
              </w:rPr>
              <w:t xml:space="preserve">4.06 </w:t>
            </w:r>
            <w:proofErr w:type="spellStart"/>
            <w:r w:rsidRPr="00725DEE">
              <w:rPr>
                <w:lang w:val="en-US"/>
              </w:rPr>
              <w:t>months</w:t>
            </w:r>
            <w:r w:rsidRPr="00725DEE">
              <w:rPr>
                <w:vertAlign w:val="superscript"/>
                <w:lang w:val="en-US"/>
              </w:rPr>
              <w:t>c</w:t>
            </w:r>
            <w:proofErr w:type="spellEnd"/>
          </w:p>
        </w:tc>
        <w:tc>
          <w:tcPr>
            <w:tcW w:w="631" w:type="pct"/>
            <w:shd w:val="clear" w:color="auto" w:fill="FFFFFF" w:themeFill="background1"/>
          </w:tcPr>
          <w:p w14:paraId="50B244F4" w14:textId="56CD43ED" w:rsidR="00910D50" w:rsidRPr="00725DEE" w:rsidRDefault="003F723C" w:rsidP="00910D50">
            <w:pPr>
              <w:pStyle w:val="TableText0"/>
              <w:jc w:val="center"/>
              <w:rPr>
                <w:lang w:val="en-US"/>
              </w:rPr>
            </w:pPr>
            <w:r w:rsidRPr="00725DEE">
              <w:rPr>
                <w:lang w:val="en-US"/>
              </w:rPr>
              <w:t>NR</w:t>
            </w:r>
          </w:p>
        </w:tc>
      </w:tr>
      <w:tr w:rsidR="00910D50" w:rsidRPr="00E2771E" w14:paraId="4A3DBDBC" w14:textId="77777777" w:rsidTr="00910D50">
        <w:trPr>
          <w:cantSplit/>
          <w:jc w:val="center"/>
        </w:trPr>
        <w:tc>
          <w:tcPr>
            <w:tcW w:w="816" w:type="pct"/>
            <w:shd w:val="clear" w:color="auto" w:fill="auto"/>
            <w:vAlign w:val="center"/>
          </w:tcPr>
          <w:p w14:paraId="09559FB1" w14:textId="77777777" w:rsidR="00910D50" w:rsidRPr="00725DEE" w:rsidRDefault="00910D50" w:rsidP="00910D50">
            <w:pPr>
              <w:pStyle w:val="TableText0"/>
              <w:rPr>
                <w:lang w:val="en-US"/>
              </w:rPr>
            </w:pPr>
            <w:r w:rsidRPr="00725DEE">
              <w:rPr>
                <w:lang w:val="en-US"/>
              </w:rPr>
              <w:t>Cost/patient/month</w:t>
            </w:r>
          </w:p>
        </w:tc>
        <w:tc>
          <w:tcPr>
            <w:tcW w:w="673" w:type="pct"/>
            <w:shd w:val="clear" w:color="auto" w:fill="auto"/>
            <w:vAlign w:val="center"/>
          </w:tcPr>
          <w:p w14:paraId="34DBF7C2" w14:textId="22DA1EB6" w:rsidR="00910D50" w:rsidRPr="00725DEE" w:rsidRDefault="00C16C33" w:rsidP="00910D50">
            <w:pPr>
              <w:pStyle w:val="TableText0"/>
              <w:jc w:val="center"/>
              <w:rPr>
                <w:lang w:val="en-US"/>
              </w:rPr>
            </w:pPr>
            <w:r w:rsidRPr="00725DEE">
              <w:rPr>
                <w:lang w:val="en-US"/>
              </w:rPr>
              <w:t>-</w:t>
            </w:r>
          </w:p>
        </w:tc>
        <w:tc>
          <w:tcPr>
            <w:tcW w:w="947" w:type="pct"/>
            <w:shd w:val="clear" w:color="auto" w:fill="auto"/>
            <w:vAlign w:val="center"/>
          </w:tcPr>
          <w:p w14:paraId="75BC98A0" w14:textId="47B72C60" w:rsidR="00910D50" w:rsidRPr="00725DEE" w:rsidRDefault="00910D50" w:rsidP="00C16C33">
            <w:pPr>
              <w:pStyle w:val="TableText0"/>
              <w:jc w:val="center"/>
              <w:rPr>
                <w:lang w:val="en-US"/>
              </w:rPr>
            </w:pPr>
            <w:r w:rsidRPr="00725DEE">
              <w:rPr>
                <w:lang w:val="en-US"/>
              </w:rPr>
              <w:t>$</w:t>
            </w:r>
            <w:r w:rsidR="00C828EC" w:rsidRPr="00C828EC">
              <w:rPr>
                <w:color w:val="000000"/>
                <w:shd w:val="solid" w:color="000000" w:fill="000000"/>
                <w:lang w:val="en-US"/>
                <w14:textFill>
                  <w14:solidFill>
                    <w14:srgbClr w14:val="000000">
                      <w14:alpha w14:val="100000"/>
                    </w14:srgbClr>
                  </w14:solidFill>
                </w14:textFill>
              </w:rPr>
              <w:t>|</w:t>
            </w:r>
          </w:p>
        </w:tc>
        <w:tc>
          <w:tcPr>
            <w:tcW w:w="669" w:type="pct"/>
            <w:shd w:val="clear" w:color="auto" w:fill="auto"/>
            <w:vAlign w:val="center"/>
          </w:tcPr>
          <w:p w14:paraId="5F383972" w14:textId="63B667E2" w:rsidR="00910D50" w:rsidRPr="00725DEE" w:rsidRDefault="00910D50" w:rsidP="00DB76DB">
            <w:pPr>
              <w:pStyle w:val="TableText0"/>
              <w:jc w:val="center"/>
              <w:rPr>
                <w:lang w:val="en-US"/>
              </w:rPr>
            </w:pPr>
            <w:r w:rsidRPr="00725DEE">
              <w:rPr>
                <w:lang w:val="en-US"/>
              </w:rPr>
              <w:t>$</w:t>
            </w:r>
            <w:r w:rsidR="00C828EC" w:rsidRPr="00C828EC">
              <w:rPr>
                <w:rFonts w:hint="eastAsia"/>
                <w:color w:val="000000"/>
                <w:w w:val="15"/>
                <w:shd w:val="solid" w:color="000000" w:fill="000000"/>
                <w:fitText w:val="45" w:id="-1502409216"/>
                <w:lang w:val="en-US"/>
                <w14:textFill>
                  <w14:solidFill>
                    <w14:srgbClr w14:val="000000">
                      <w14:alpha w14:val="100000"/>
                    </w14:srgbClr>
                  </w14:solidFill>
                </w14:textFill>
              </w:rPr>
              <w:t xml:space="preserve">　</w:t>
            </w:r>
            <w:r w:rsidR="00C828EC" w:rsidRPr="00C828EC">
              <w:rPr>
                <w:color w:val="000000"/>
                <w:w w:val="15"/>
                <w:shd w:val="solid" w:color="000000" w:fill="000000"/>
                <w:fitText w:val="45" w:id="-1502409216"/>
                <w:lang w:val="en-US"/>
                <w14:textFill>
                  <w14:solidFill>
                    <w14:srgbClr w14:val="000000">
                      <w14:alpha w14:val="100000"/>
                    </w14:srgbClr>
                  </w14:solidFill>
                </w14:textFill>
              </w:rPr>
              <w:t>|</w:t>
            </w:r>
            <w:r w:rsidR="00C828EC" w:rsidRPr="00C828EC">
              <w:rPr>
                <w:rFonts w:hint="eastAsia"/>
                <w:color w:val="000000"/>
                <w:spacing w:val="-20"/>
                <w:w w:val="15"/>
                <w:shd w:val="solid" w:color="000000" w:fill="000000"/>
                <w:fitText w:val="45" w:id="-1502409216"/>
                <w:lang w:val="en-US"/>
                <w14:textFill>
                  <w14:solidFill>
                    <w14:srgbClr w14:val="000000">
                      <w14:alpha w14:val="100000"/>
                    </w14:srgbClr>
                  </w14:solidFill>
                </w14:textFill>
              </w:rPr>
              <w:t xml:space="preserve">　</w:t>
            </w:r>
            <w:r w:rsidR="00493618" w:rsidRPr="00725DEE">
              <w:rPr>
                <w:vertAlign w:val="superscript"/>
                <w:lang w:val="en-US"/>
              </w:rPr>
              <w:t>h</w:t>
            </w:r>
          </w:p>
        </w:tc>
        <w:tc>
          <w:tcPr>
            <w:tcW w:w="632" w:type="pct"/>
            <w:shd w:val="clear" w:color="auto" w:fill="FFFFFF" w:themeFill="background1"/>
            <w:vAlign w:val="center"/>
          </w:tcPr>
          <w:p w14:paraId="0B00A60E" w14:textId="5733802D" w:rsidR="00910D50" w:rsidRPr="00725DEE" w:rsidRDefault="00C16C33" w:rsidP="00910D50">
            <w:pPr>
              <w:pStyle w:val="TableText0"/>
              <w:jc w:val="center"/>
              <w:rPr>
                <w:lang w:val="en-US"/>
              </w:rPr>
            </w:pPr>
            <w:r w:rsidRPr="00725DEE">
              <w:rPr>
                <w:lang w:val="en-US"/>
              </w:rPr>
              <w:t>-</w:t>
            </w:r>
          </w:p>
        </w:tc>
        <w:tc>
          <w:tcPr>
            <w:tcW w:w="632" w:type="pct"/>
            <w:shd w:val="clear" w:color="auto" w:fill="FFFFFF" w:themeFill="background1"/>
            <w:vAlign w:val="center"/>
          </w:tcPr>
          <w:p w14:paraId="32EF202F" w14:textId="1911330E" w:rsidR="00910D50" w:rsidRPr="00725DEE" w:rsidRDefault="00821980" w:rsidP="00910D50">
            <w:pPr>
              <w:pStyle w:val="TableText0"/>
              <w:jc w:val="center"/>
              <w:rPr>
                <w:lang w:val="en-US"/>
              </w:rPr>
            </w:pPr>
            <w:r w:rsidRPr="00725DEE">
              <w:rPr>
                <w:lang w:val="en-US"/>
              </w:rPr>
              <w:t>$242</w:t>
            </w:r>
          </w:p>
        </w:tc>
        <w:tc>
          <w:tcPr>
            <w:tcW w:w="631" w:type="pct"/>
            <w:shd w:val="clear" w:color="auto" w:fill="FFFFFF" w:themeFill="background1"/>
          </w:tcPr>
          <w:p w14:paraId="1AB26E4A" w14:textId="6481AB4E" w:rsidR="00910D50" w:rsidRPr="00725DEE" w:rsidRDefault="003F723C" w:rsidP="00910D50">
            <w:pPr>
              <w:pStyle w:val="TableText0"/>
              <w:jc w:val="center"/>
              <w:rPr>
                <w:lang w:val="en-US"/>
              </w:rPr>
            </w:pPr>
            <w:r w:rsidRPr="00725DEE">
              <w:rPr>
                <w:lang w:val="en-US"/>
              </w:rPr>
              <w:t>NR</w:t>
            </w:r>
          </w:p>
        </w:tc>
      </w:tr>
      <w:tr w:rsidR="00910D50" w:rsidRPr="00E2771E" w14:paraId="72641B01" w14:textId="77777777" w:rsidTr="00910D50">
        <w:trPr>
          <w:cantSplit/>
          <w:jc w:val="center"/>
        </w:trPr>
        <w:tc>
          <w:tcPr>
            <w:tcW w:w="816" w:type="pct"/>
            <w:shd w:val="clear" w:color="auto" w:fill="auto"/>
            <w:vAlign w:val="center"/>
          </w:tcPr>
          <w:p w14:paraId="3DA4BF9F" w14:textId="77777777" w:rsidR="00910D50" w:rsidRPr="00725DEE" w:rsidRDefault="00910D50" w:rsidP="00910D50">
            <w:pPr>
              <w:pStyle w:val="TableText0"/>
              <w:rPr>
                <w:lang w:val="en-US"/>
              </w:rPr>
            </w:pPr>
            <w:r w:rsidRPr="00725DEE">
              <w:rPr>
                <w:lang w:val="en-US"/>
              </w:rPr>
              <w:t>Cost/patient/course</w:t>
            </w:r>
          </w:p>
        </w:tc>
        <w:tc>
          <w:tcPr>
            <w:tcW w:w="673" w:type="pct"/>
            <w:shd w:val="clear" w:color="auto" w:fill="auto"/>
            <w:vAlign w:val="center"/>
          </w:tcPr>
          <w:p w14:paraId="745806EF" w14:textId="4B2AAF55" w:rsidR="00910D50" w:rsidRPr="00725DEE" w:rsidRDefault="00493618" w:rsidP="00910D50">
            <w:pPr>
              <w:pStyle w:val="TableText0"/>
              <w:jc w:val="center"/>
              <w:rPr>
                <w:lang w:val="en-US"/>
              </w:rPr>
            </w:pPr>
            <w:r w:rsidRPr="00725DEE">
              <w:rPr>
                <w:lang w:val="en-US"/>
              </w:rPr>
              <w:t>-</w:t>
            </w:r>
          </w:p>
        </w:tc>
        <w:tc>
          <w:tcPr>
            <w:tcW w:w="947" w:type="pct"/>
            <w:shd w:val="clear" w:color="auto" w:fill="auto"/>
            <w:vAlign w:val="center"/>
          </w:tcPr>
          <w:p w14:paraId="700EE64C" w14:textId="36F4E41A" w:rsidR="00910D50" w:rsidRPr="00725DEE" w:rsidRDefault="00910D50" w:rsidP="00C16C33">
            <w:pPr>
              <w:pStyle w:val="TableText0"/>
              <w:jc w:val="center"/>
              <w:rPr>
                <w:lang w:val="en-US"/>
              </w:rPr>
            </w:pPr>
            <w:r w:rsidRPr="00725DEE">
              <w:rPr>
                <w:lang w:val="en-US"/>
              </w:rPr>
              <w:t>$</w:t>
            </w:r>
            <w:r w:rsidR="00C828EC" w:rsidRPr="00C828EC">
              <w:rPr>
                <w:color w:val="000000"/>
                <w:shd w:val="solid" w:color="000000" w:fill="000000"/>
                <w:lang w:val="en-US"/>
                <w14:textFill>
                  <w14:solidFill>
                    <w14:srgbClr w14:val="000000">
                      <w14:alpha w14:val="100000"/>
                    </w14:srgbClr>
                  </w14:solidFill>
                </w14:textFill>
              </w:rPr>
              <w:t>|</w:t>
            </w:r>
          </w:p>
        </w:tc>
        <w:tc>
          <w:tcPr>
            <w:tcW w:w="669" w:type="pct"/>
            <w:shd w:val="clear" w:color="auto" w:fill="auto"/>
            <w:vAlign w:val="center"/>
          </w:tcPr>
          <w:p w14:paraId="06A5EBF9" w14:textId="2C6E669E" w:rsidR="00910D50" w:rsidRPr="00725DEE" w:rsidRDefault="00910D50" w:rsidP="00493618">
            <w:pPr>
              <w:pStyle w:val="TableText0"/>
              <w:jc w:val="center"/>
              <w:rPr>
                <w:lang w:val="en-US"/>
              </w:rPr>
            </w:pPr>
            <w:r w:rsidRPr="00725DEE">
              <w:rPr>
                <w:lang w:val="en-US"/>
              </w:rPr>
              <w:t>$</w:t>
            </w:r>
            <w:r w:rsidR="00C828EC" w:rsidRPr="00C828EC">
              <w:rPr>
                <w:rFonts w:hint="eastAsia"/>
                <w:color w:val="000000"/>
                <w:w w:val="15"/>
                <w:shd w:val="solid" w:color="000000" w:fill="000000"/>
                <w:fitText w:val="45" w:id="-1502409215"/>
                <w:lang w:val="en-US"/>
                <w14:textFill>
                  <w14:solidFill>
                    <w14:srgbClr w14:val="000000">
                      <w14:alpha w14:val="100000"/>
                    </w14:srgbClr>
                  </w14:solidFill>
                </w14:textFill>
              </w:rPr>
              <w:t xml:space="preserve">　</w:t>
            </w:r>
            <w:r w:rsidR="00C828EC" w:rsidRPr="00C828EC">
              <w:rPr>
                <w:color w:val="000000"/>
                <w:w w:val="15"/>
                <w:shd w:val="solid" w:color="000000" w:fill="000000"/>
                <w:fitText w:val="45" w:id="-1502409215"/>
                <w:lang w:val="en-US"/>
                <w14:textFill>
                  <w14:solidFill>
                    <w14:srgbClr w14:val="000000">
                      <w14:alpha w14:val="100000"/>
                    </w14:srgbClr>
                  </w14:solidFill>
                </w14:textFill>
              </w:rPr>
              <w:t>|</w:t>
            </w:r>
            <w:r w:rsidR="00C828EC" w:rsidRPr="00C828EC">
              <w:rPr>
                <w:rFonts w:hint="eastAsia"/>
                <w:color w:val="000000"/>
                <w:spacing w:val="-20"/>
                <w:w w:val="15"/>
                <w:shd w:val="solid" w:color="000000" w:fill="000000"/>
                <w:fitText w:val="45" w:id="-1502409215"/>
                <w:lang w:val="en-US"/>
                <w14:textFill>
                  <w14:solidFill>
                    <w14:srgbClr w14:val="000000">
                      <w14:alpha w14:val="100000"/>
                    </w14:srgbClr>
                  </w14:solidFill>
                </w14:textFill>
              </w:rPr>
              <w:t xml:space="preserve">　</w:t>
            </w:r>
            <w:r w:rsidR="00493618" w:rsidRPr="00725DEE">
              <w:rPr>
                <w:vertAlign w:val="superscript"/>
                <w:lang w:val="en-US"/>
              </w:rPr>
              <w:t>h</w:t>
            </w:r>
          </w:p>
        </w:tc>
        <w:tc>
          <w:tcPr>
            <w:tcW w:w="632" w:type="pct"/>
            <w:shd w:val="clear" w:color="auto" w:fill="FFFFFF" w:themeFill="background1"/>
            <w:vAlign w:val="center"/>
          </w:tcPr>
          <w:p w14:paraId="265A5466" w14:textId="6F5F35EB" w:rsidR="00910D50" w:rsidRPr="00725DEE" w:rsidRDefault="00493618" w:rsidP="00910D50">
            <w:pPr>
              <w:pStyle w:val="TableText0"/>
              <w:jc w:val="center"/>
              <w:rPr>
                <w:lang w:val="en-US"/>
              </w:rPr>
            </w:pPr>
            <w:r w:rsidRPr="00725DEE">
              <w:rPr>
                <w:lang w:val="en-US"/>
              </w:rPr>
              <w:t>-</w:t>
            </w:r>
          </w:p>
        </w:tc>
        <w:tc>
          <w:tcPr>
            <w:tcW w:w="632" w:type="pct"/>
            <w:shd w:val="clear" w:color="auto" w:fill="FFFFFF" w:themeFill="background1"/>
            <w:vAlign w:val="center"/>
          </w:tcPr>
          <w:p w14:paraId="72649595" w14:textId="0D3F4A3E" w:rsidR="00910D50" w:rsidRPr="00725DEE" w:rsidRDefault="00821980" w:rsidP="00910D50">
            <w:pPr>
              <w:pStyle w:val="TableText0"/>
              <w:jc w:val="center"/>
              <w:rPr>
                <w:lang w:val="en-US"/>
              </w:rPr>
            </w:pPr>
            <w:r w:rsidRPr="00725DEE">
              <w:rPr>
                <w:lang w:val="en-US"/>
              </w:rPr>
              <w:t>$982</w:t>
            </w:r>
          </w:p>
        </w:tc>
        <w:tc>
          <w:tcPr>
            <w:tcW w:w="631" w:type="pct"/>
            <w:shd w:val="clear" w:color="auto" w:fill="FFFFFF" w:themeFill="background1"/>
          </w:tcPr>
          <w:p w14:paraId="17CB6EBE" w14:textId="1048A19C" w:rsidR="00910D50" w:rsidRPr="00725DEE" w:rsidRDefault="003F723C" w:rsidP="00910D50">
            <w:pPr>
              <w:pStyle w:val="TableText0"/>
              <w:jc w:val="center"/>
              <w:rPr>
                <w:lang w:val="en-US"/>
              </w:rPr>
            </w:pPr>
            <w:r w:rsidRPr="00725DEE">
              <w:rPr>
                <w:lang w:val="en-US"/>
              </w:rPr>
              <w:t>NR</w:t>
            </w:r>
          </w:p>
        </w:tc>
      </w:tr>
    </w:tbl>
    <w:p w14:paraId="7E0621F0" w14:textId="634C70CB" w:rsidR="003F723C" w:rsidRDefault="003F723C" w:rsidP="00910D50">
      <w:pPr>
        <w:pStyle w:val="TableFigureFooter"/>
      </w:pPr>
      <w:r>
        <w:t>NR = not reported.</w:t>
      </w:r>
      <w:r w:rsidR="00057029">
        <w:t xml:space="preserve"> Cycle length = 1 month</w:t>
      </w:r>
    </w:p>
    <w:p w14:paraId="056CE71C" w14:textId="2D4A3EA0" w:rsidR="00910D50" w:rsidRDefault="00910D50" w:rsidP="00910D50">
      <w:pPr>
        <w:pStyle w:val="TableFigureFooter"/>
      </w:pPr>
      <w:r w:rsidRPr="00224E77">
        <w:t xml:space="preserve">Source: Table </w:t>
      </w:r>
      <w:r w:rsidR="00725562">
        <w:t>11</w:t>
      </w:r>
      <w:r w:rsidRPr="00224E77">
        <w:t>, p</w:t>
      </w:r>
      <w:r w:rsidR="00725562">
        <w:t>79 of the CSR, Table 12.2.1, pp228-31 of the CSR</w:t>
      </w:r>
      <w:r w:rsidRPr="00224E77">
        <w:t xml:space="preserve">, </w:t>
      </w:r>
      <w:r>
        <w:t>Section 3 workbook, sheet 3a of the utilisation-and-cost-model</w:t>
      </w:r>
      <w:r w:rsidRPr="00563FEB">
        <w:t>.</w:t>
      </w:r>
      <w:r>
        <w:t xml:space="preserve"> Italicised values have been calculated.</w:t>
      </w:r>
    </w:p>
    <w:p w14:paraId="1506E957" w14:textId="303D0C2D" w:rsidR="00725562" w:rsidRDefault="00910D50" w:rsidP="00910D50">
      <w:pPr>
        <w:pStyle w:val="TableFigureFooter"/>
      </w:pPr>
      <w:r>
        <w:rPr>
          <w:vertAlign w:val="superscript"/>
        </w:rPr>
        <w:t xml:space="preserve">a </w:t>
      </w:r>
      <w:r w:rsidR="00725562">
        <w:t>Dose intensity (2.98mg/kg</w:t>
      </w:r>
      <w:r w:rsidR="00057029">
        <w:t>/cycle</w:t>
      </w:r>
      <w:r w:rsidR="00725562">
        <w:t>) x average weight (73.9 kg)</w:t>
      </w:r>
    </w:p>
    <w:p w14:paraId="75539A09" w14:textId="21CDE7FA" w:rsidR="007D40B8" w:rsidRDefault="007D40B8" w:rsidP="00910D50">
      <w:pPr>
        <w:pStyle w:val="TableFigureFooter"/>
      </w:pPr>
      <w:proofErr w:type="spellStart"/>
      <w:r w:rsidRPr="00F24FE5">
        <w:rPr>
          <w:vertAlign w:val="superscript"/>
        </w:rPr>
        <w:t>b</w:t>
      </w:r>
      <w:r>
        <w:t>Mean</w:t>
      </w:r>
      <w:proofErr w:type="spellEnd"/>
      <w:r>
        <w:t xml:space="preserve"> dose dispensed accounting for efficient vial combination across the distribution of patient weights in EV-301.</w:t>
      </w:r>
    </w:p>
    <w:p w14:paraId="734938BD" w14:textId="7EE8C01B" w:rsidR="007D40B8" w:rsidRDefault="007D40B8" w:rsidP="00910D50">
      <w:pPr>
        <w:pStyle w:val="TableFigureFooter"/>
      </w:pPr>
      <w:proofErr w:type="spellStart"/>
      <w:r w:rsidRPr="00F24FE5">
        <w:rPr>
          <w:vertAlign w:val="superscript"/>
        </w:rPr>
        <w:t>c</w:t>
      </w:r>
      <w:r>
        <w:t>Mean</w:t>
      </w:r>
      <w:proofErr w:type="spellEnd"/>
      <w:r>
        <w:t xml:space="preserve"> treatment duration accounting for half-cycle correction</w:t>
      </w:r>
      <w:r w:rsidR="00821980">
        <w:t xml:space="preserve"> – estimated using mean treatment duration across docetaxel, paclitaxel and vinflunine (respecified base-case).</w:t>
      </w:r>
    </w:p>
    <w:p w14:paraId="02A5AF7C" w14:textId="3D6C4FAB" w:rsidR="007D40B8" w:rsidRDefault="007D40B8" w:rsidP="00910D50">
      <w:pPr>
        <w:pStyle w:val="TableFigureFooter"/>
      </w:pPr>
      <w:proofErr w:type="spellStart"/>
      <w:r w:rsidRPr="00F24FE5">
        <w:rPr>
          <w:vertAlign w:val="superscript"/>
        </w:rPr>
        <w:t>d</w:t>
      </w:r>
      <w:r>
        <w:t>Mean</w:t>
      </w:r>
      <w:proofErr w:type="spellEnd"/>
      <w:r>
        <w:t xml:space="preserve"> treatment duration without half-cycle correction</w:t>
      </w:r>
    </w:p>
    <w:p w14:paraId="7F39313A" w14:textId="458C42F1" w:rsidR="009425F2" w:rsidRDefault="009425F2" w:rsidP="00910D50">
      <w:pPr>
        <w:pStyle w:val="TableFigureFooter"/>
      </w:pPr>
      <w:proofErr w:type="spellStart"/>
      <w:r w:rsidRPr="00F24FE5">
        <w:rPr>
          <w:vertAlign w:val="superscript"/>
        </w:rPr>
        <w:t>e</w:t>
      </w:r>
      <w:r>
        <w:t>Docetaxel</w:t>
      </w:r>
      <w:proofErr w:type="spellEnd"/>
      <w:r>
        <w:t xml:space="preserve"> and Paclitaxel </w:t>
      </w:r>
      <w:proofErr w:type="gramStart"/>
      <w:r>
        <w:t>21 day</w:t>
      </w:r>
      <w:proofErr w:type="gramEnd"/>
      <w:r>
        <w:t xml:space="preserve"> cycles have been converted to monthly doses (/21x365.25/12)</w:t>
      </w:r>
    </w:p>
    <w:p w14:paraId="30F0E853" w14:textId="72899035" w:rsidR="00075454" w:rsidRDefault="00075454" w:rsidP="00910D50">
      <w:pPr>
        <w:pStyle w:val="TableFigureFooter"/>
      </w:pPr>
      <w:proofErr w:type="spellStart"/>
      <w:r w:rsidRPr="00F24FE5">
        <w:rPr>
          <w:vertAlign w:val="superscript"/>
        </w:rPr>
        <w:t>f</w:t>
      </w:r>
      <w:r>
        <w:t>Combined</w:t>
      </w:r>
      <w:proofErr w:type="spellEnd"/>
      <w:r>
        <w:t xml:space="preserve"> mean duration of treatment across docetaxel, paclitaxel and vinflunine</w:t>
      </w:r>
    </w:p>
    <w:p w14:paraId="226E3B2A" w14:textId="7AF147FB" w:rsidR="00075454" w:rsidRDefault="00075454" w:rsidP="00910D50">
      <w:pPr>
        <w:pStyle w:val="TableFigureFooter"/>
      </w:pPr>
      <w:proofErr w:type="spellStart"/>
      <w:r w:rsidRPr="00F24FE5">
        <w:rPr>
          <w:vertAlign w:val="superscript"/>
        </w:rPr>
        <w:t>g</w:t>
      </w:r>
      <w:r w:rsidR="00CE30E6">
        <w:t>Monthly</w:t>
      </w:r>
      <w:proofErr w:type="spellEnd"/>
      <w:r w:rsidR="00CE30E6">
        <w:t xml:space="preserve"> d</w:t>
      </w:r>
      <w:r>
        <w:t>oses</w:t>
      </w:r>
      <w:r w:rsidR="00CE30E6">
        <w:t xml:space="preserve"> for paclitaxel and docetaxel in the study are estimated by multiplying dose intensity (161.06mg and 68.84mg, respectively) by the average body surface area (1.85m</w:t>
      </w:r>
      <w:r w:rsidR="00CE30E6" w:rsidRPr="00CE30E6">
        <w:rPr>
          <w:vertAlign w:val="superscript"/>
        </w:rPr>
        <w:t>2</w:t>
      </w:r>
      <w:r w:rsidR="00CE30E6" w:rsidRPr="00CE30E6">
        <w:t>)</w:t>
      </w:r>
      <w:r w:rsidR="00CE30E6">
        <w:t>, dividing by 21 days, multiplying by 365.25/12.</w:t>
      </w:r>
    </w:p>
    <w:p w14:paraId="156374AD" w14:textId="30F079F1" w:rsidR="00493618" w:rsidRPr="00725562" w:rsidRDefault="00493618" w:rsidP="00910D50">
      <w:pPr>
        <w:pStyle w:val="TableFigureFooter"/>
      </w:pPr>
      <w:proofErr w:type="spellStart"/>
      <w:r w:rsidRPr="00F24FE5">
        <w:rPr>
          <w:vertAlign w:val="superscript"/>
        </w:rPr>
        <w:t>h</w:t>
      </w:r>
      <w:r>
        <w:t>Cost</w:t>
      </w:r>
      <w:proofErr w:type="spellEnd"/>
      <w:r>
        <w:t xml:space="preserve"> per </w:t>
      </w:r>
      <w:r w:rsidR="00DB76DB">
        <w:t>course</w:t>
      </w:r>
      <w:r>
        <w:t xml:space="preserve"> is derived by </w:t>
      </w:r>
      <w:r w:rsidR="00DB76DB">
        <w:t>dividing cost to R/PBS in Year 1 by the number of patients treated. Cost per month further divides this by treatment duration.</w:t>
      </w:r>
    </w:p>
    <w:p w14:paraId="18A20D7F" w14:textId="7AF4D9AC" w:rsidR="00092B2D" w:rsidRPr="00DB76DB" w:rsidRDefault="00092B2D" w:rsidP="00910D50">
      <w:pPr>
        <w:pStyle w:val="3-BodyText"/>
        <w:rPr>
          <w:snapToGrid/>
          <w:lang w:val="en-US"/>
        </w:rPr>
      </w:pPr>
      <w:r w:rsidRPr="00DB76DB">
        <w:t xml:space="preserve">The monthly doses for the financial section and the economic model are not comparable. The sequence in which relative dose intensity is applied results in a difference in the mean dose. The financial estimates account for relative dose intensity by reducing the number of scripts required, whereas the economic evaluation </w:t>
      </w:r>
      <w:r w:rsidR="00493618" w:rsidRPr="00DB76DB">
        <w:t xml:space="preserve">more appropriately </w:t>
      </w:r>
      <w:r w:rsidRPr="00DB76DB">
        <w:t xml:space="preserve">applies a reduced dose. </w:t>
      </w:r>
    </w:p>
    <w:p w14:paraId="7F0C6356" w14:textId="77777777" w:rsidR="00910D50" w:rsidRPr="00C9624D" w:rsidRDefault="00910D50" w:rsidP="00910D50">
      <w:pPr>
        <w:pStyle w:val="4-SubsectionHeading"/>
      </w:pPr>
      <w:bookmarkStart w:id="28" w:name="_Toc93491266"/>
      <w:r w:rsidRPr="00C9624D">
        <w:t>Estimated PBS usage &amp; financial implications</w:t>
      </w:r>
      <w:bookmarkEnd w:id="28"/>
    </w:p>
    <w:p w14:paraId="1B8A8D5C" w14:textId="14748C81" w:rsidR="00AD0866" w:rsidRPr="004745C2" w:rsidRDefault="00AD0866" w:rsidP="004745C2">
      <w:pPr>
        <w:pStyle w:val="3-BodyText"/>
        <w:rPr>
          <w:iCs/>
        </w:rPr>
      </w:pPr>
      <w:bookmarkStart w:id="29" w:name="_Toc93491267"/>
      <w:r w:rsidRPr="004745C2">
        <w:rPr>
          <w:iCs/>
        </w:rPr>
        <w:t xml:space="preserve">This submission was considered by DUSC. </w:t>
      </w:r>
    </w:p>
    <w:p w14:paraId="2D5DC1AA" w14:textId="77777777" w:rsidR="00AD0866" w:rsidRPr="004745C2" w:rsidRDefault="00AD0866" w:rsidP="004745C2">
      <w:pPr>
        <w:pStyle w:val="3-BodyText"/>
        <w:rPr>
          <w:iCs/>
        </w:rPr>
      </w:pPr>
      <w:r w:rsidRPr="004745C2">
        <w:rPr>
          <w:iCs/>
        </w:rPr>
        <w:t xml:space="preserve">The submission took an epidemiological approach to estimating the number of patients treated with </w:t>
      </w:r>
      <w:proofErr w:type="spellStart"/>
      <w:r w:rsidRPr="004745C2">
        <w:rPr>
          <w:iCs/>
        </w:rPr>
        <w:t>enfortumab</w:t>
      </w:r>
      <w:proofErr w:type="spellEnd"/>
      <w:r w:rsidRPr="004745C2">
        <w:rPr>
          <w:iCs/>
        </w:rPr>
        <w:t xml:space="preserve"> </w:t>
      </w:r>
      <w:proofErr w:type="spellStart"/>
      <w:r w:rsidRPr="004745C2">
        <w:rPr>
          <w:iCs/>
        </w:rPr>
        <w:t>vedotin</w:t>
      </w:r>
      <w:proofErr w:type="spellEnd"/>
      <w:r w:rsidRPr="004745C2">
        <w:rPr>
          <w:iCs/>
        </w:rPr>
        <w:t xml:space="preserve">. The key inputs for financial estimates are summarised below. </w:t>
      </w:r>
    </w:p>
    <w:p w14:paraId="00DB55ED" w14:textId="77777777" w:rsidR="00AD0866" w:rsidRPr="00EC7D63" w:rsidRDefault="00AD0866" w:rsidP="00EC7D63">
      <w:pPr>
        <w:pStyle w:val="Caption"/>
        <w:rPr>
          <w:rStyle w:val="CommentReference"/>
          <w:b/>
          <w:bCs w:val="0"/>
        </w:rPr>
      </w:pPr>
      <w:r>
        <w:t xml:space="preserve">Table </w:t>
      </w:r>
      <w:r w:rsidR="00F06F14">
        <w:fldChar w:fldCharType="begin"/>
      </w:r>
      <w:r w:rsidR="00F06F14">
        <w:instrText xml:space="preserve"> SEQ Table \* ARABIC </w:instrText>
      </w:r>
      <w:r w:rsidR="00F06F14">
        <w:fldChar w:fldCharType="separate"/>
      </w:r>
      <w:r>
        <w:rPr>
          <w:noProof/>
        </w:rPr>
        <w:t>13</w:t>
      </w:r>
      <w:r w:rsidR="00F06F14">
        <w:rPr>
          <w:noProof/>
        </w:rPr>
        <w:fldChar w:fldCharType="end"/>
      </w:r>
      <w:r w:rsidRPr="00EC7D63">
        <w:rPr>
          <w:b w:val="0"/>
          <w:bCs w:val="0"/>
        </w:rPr>
        <w:t xml:space="preserve">: </w:t>
      </w:r>
      <w:r w:rsidRPr="00EC7D63">
        <w:rPr>
          <w:rStyle w:val="CommentReference"/>
          <w:b/>
          <w:bCs w:val="0"/>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Key inputs for financial estimates"/>
      </w:tblPr>
      <w:tblGrid>
        <w:gridCol w:w="1696"/>
        <w:gridCol w:w="1843"/>
        <w:gridCol w:w="2409"/>
        <w:gridCol w:w="3069"/>
      </w:tblGrid>
      <w:tr w:rsidR="00AD0866" w14:paraId="469EA102" w14:textId="77777777" w:rsidTr="00EC7D63">
        <w:trPr>
          <w:tblHeader/>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7C1D4A" w14:textId="77777777" w:rsidR="00AD0866" w:rsidRDefault="00AD0866" w:rsidP="00EC7D63">
            <w:pPr>
              <w:pStyle w:val="Tabletext"/>
              <w:keepNext/>
              <w:rPr>
                <w:b/>
              </w:rPr>
            </w:pPr>
            <w:r>
              <w:rPr>
                <w:b/>
              </w:rPr>
              <w:t>Data</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7CA8EE" w14:textId="77777777" w:rsidR="00AD0866" w:rsidRDefault="00AD0866" w:rsidP="00EC7D63">
            <w:pPr>
              <w:pStyle w:val="Tabletext"/>
              <w:keepNext/>
              <w:jc w:val="center"/>
              <w:rPr>
                <w:b/>
              </w:rPr>
            </w:pPr>
            <w:r>
              <w:rPr>
                <w:b/>
              </w:rPr>
              <w:t>Value</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697A05" w14:textId="77777777" w:rsidR="00AD0866" w:rsidRDefault="00AD0866" w:rsidP="00EC7D63">
            <w:pPr>
              <w:pStyle w:val="Tabletext"/>
              <w:keepNext/>
              <w:jc w:val="center"/>
              <w:rPr>
                <w:b/>
              </w:rPr>
            </w:pPr>
            <w:r>
              <w:rPr>
                <w:b/>
              </w:rPr>
              <w:t>Source</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7AD734" w14:textId="77777777" w:rsidR="00AD0866" w:rsidRPr="00AD0866" w:rsidRDefault="00AD0866" w:rsidP="00EC7D63">
            <w:pPr>
              <w:pStyle w:val="Tabletext"/>
              <w:keepNext/>
              <w:jc w:val="center"/>
              <w:rPr>
                <w:b/>
              </w:rPr>
            </w:pPr>
            <w:r w:rsidRPr="00AD0866">
              <w:rPr>
                <w:b/>
              </w:rPr>
              <w:t>Comment</w:t>
            </w:r>
          </w:p>
        </w:tc>
      </w:tr>
      <w:tr w:rsidR="00AD0866" w14:paraId="12C58E87" w14:textId="77777777" w:rsidTr="001F429B">
        <w:tc>
          <w:tcPr>
            <w:tcW w:w="500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93AFA1" w14:textId="77777777" w:rsidR="00AD0866" w:rsidRPr="00AD0866" w:rsidRDefault="00AD0866" w:rsidP="00EC7D63">
            <w:pPr>
              <w:pStyle w:val="Tabletext"/>
              <w:keepNext/>
              <w:rPr>
                <w:b/>
              </w:rPr>
            </w:pPr>
            <w:r w:rsidRPr="00AD0866">
              <w:rPr>
                <w:b/>
              </w:rPr>
              <w:t>Eligible population</w:t>
            </w:r>
          </w:p>
        </w:tc>
      </w:tr>
      <w:tr w:rsidR="00AD0866" w14:paraId="11E217EC"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F99F1E" w14:textId="77777777" w:rsidR="00AD0866" w:rsidRDefault="00AD0866" w:rsidP="00EC7D63">
            <w:pPr>
              <w:pStyle w:val="Tabletext"/>
              <w:keepNext/>
            </w:pPr>
            <w:r>
              <w:t>Projected Australian Population</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5A2613" w14:textId="77777777" w:rsidR="00AD0866" w:rsidRDefault="00AD0866" w:rsidP="00EC7D63">
            <w:pPr>
              <w:pStyle w:val="Tabletext"/>
              <w:keepNext/>
            </w:pPr>
            <w:r>
              <w:t>Year 1: 26,727,025</w:t>
            </w:r>
          </w:p>
          <w:p w14:paraId="2B73A17D" w14:textId="77777777" w:rsidR="00AD0866" w:rsidRDefault="00AD0866" w:rsidP="00EC7D63">
            <w:pPr>
              <w:pStyle w:val="Tabletext"/>
              <w:keepNext/>
            </w:pPr>
            <w:r>
              <w:t>Year 6: 28,765,734</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06F22F" w14:textId="77777777" w:rsidR="00AD0866" w:rsidRDefault="00AD0866" w:rsidP="00EC7D63">
            <w:pPr>
              <w:pStyle w:val="Tabletext"/>
              <w:keepNext/>
            </w:pPr>
            <w:r>
              <w:t>ABS population data</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85AA46" w14:textId="77777777" w:rsidR="00AD0866" w:rsidRPr="00AD0866" w:rsidRDefault="00AD0866" w:rsidP="00EC7D63">
            <w:pPr>
              <w:pStyle w:val="Tabletext"/>
              <w:keepNext/>
            </w:pPr>
            <w:r w:rsidRPr="00AD0866">
              <w:t>Appropriate</w:t>
            </w:r>
          </w:p>
        </w:tc>
      </w:tr>
      <w:tr w:rsidR="00AD0866" w14:paraId="10F15192"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BC8011" w14:textId="77777777" w:rsidR="00AD0866" w:rsidRDefault="00AD0866" w:rsidP="00EC7D63">
            <w:pPr>
              <w:pStyle w:val="Tabletext"/>
              <w:keepNext/>
            </w:pPr>
            <w:r>
              <w:t>Incidence rate of urothelial cancer</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89E305" w14:textId="77777777" w:rsidR="00AD0866" w:rsidRDefault="00AD0866" w:rsidP="00EC7D63">
            <w:pPr>
              <w:pStyle w:val="Tabletext"/>
              <w:keepNext/>
            </w:pPr>
            <w:r>
              <w:t>13.32 per 100,000 person-years</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D6FE4D" w14:textId="77777777" w:rsidR="00AD0866" w:rsidRDefault="00AD0866" w:rsidP="00EC7D63">
            <w:pPr>
              <w:pStyle w:val="Tabletext"/>
              <w:keepNext/>
            </w:pPr>
            <w:r>
              <w:t>GLOBOCAN estimate of number of patients in Australia with bladder cancer in 2020</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E68E62" w14:textId="77777777" w:rsidR="00AD0866" w:rsidRPr="00AD0866" w:rsidRDefault="00AD0866" w:rsidP="00EC7D63">
            <w:pPr>
              <w:pStyle w:val="Tabletext"/>
              <w:keepNext/>
            </w:pPr>
            <w:r w:rsidRPr="00AD0866">
              <w:t xml:space="preserve">The incidence rate is applied directly to the Australian population. </w:t>
            </w:r>
          </w:p>
        </w:tc>
      </w:tr>
      <w:tr w:rsidR="00AD0866" w14:paraId="62BAC4E5"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D30D35" w14:textId="77777777" w:rsidR="00AD0866" w:rsidRDefault="00AD0866" w:rsidP="00EC7D63">
            <w:pPr>
              <w:pStyle w:val="Tabletext"/>
              <w:keepNext/>
            </w:pPr>
            <w:r>
              <w:t>Proportion of patients with la/m disease</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AE6272" w14:textId="77777777" w:rsidR="00AD0866" w:rsidRDefault="00AD0866" w:rsidP="00EC7D63">
            <w:pPr>
              <w:pStyle w:val="Tabletext"/>
              <w:keepNext/>
            </w:pPr>
            <w:r>
              <w:t>25%</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03B875" w14:textId="77777777" w:rsidR="00AD0866" w:rsidRDefault="00AD0866" w:rsidP="00EC7D63">
            <w:pPr>
              <w:pStyle w:val="Tabletext"/>
              <w:keepNext/>
            </w:pPr>
            <w:proofErr w:type="spellStart"/>
            <w:r>
              <w:t>Bellmunt</w:t>
            </w:r>
            <w:proofErr w:type="spellEnd"/>
            <w:r>
              <w:t xml:space="preserve"> (2021) </w:t>
            </w:r>
            <w:r>
              <w:fldChar w:fldCharType="begin"/>
            </w:r>
            <w:r>
              <w:instrText xml:space="preserve"> ADDIN EN.CITE &lt;EndNote&gt;&lt;Cite&gt;&lt;Author&gt;Bellmunt&lt;/Author&gt;&lt;Year&gt;2021&lt;/Year&gt;&lt;RecNum&gt;10&lt;/RecNum&gt;&lt;DisplayText&gt;&lt;style face="superscript"&gt;1&lt;/style&gt;&lt;/DisplayText&gt;&lt;record&gt;&lt;rec-number&gt;10&lt;/rec-number&gt;&lt;foreign-keys&gt;&lt;key app="EN" db-id="fzws2902npsd51erstn52w0wf2eetee9xs5s" timestamp="1638862998"&gt;10&lt;/key&gt;&lt;/foreign-keys&gt;&lt;ref-type name="Web Page"&gt;12&lt;/ref-type&gt;&lt;contributors&gt;&lt;authors&gt;&lt;author&gt;Bellmunt, J.&lt;/author&gt;&lt;/authors&gt;&lt;/contributors&gt;&lt;titles&gt;&lt;title&gt;Treatment of metastatic urothelial cancer of the bladder and urinary tract&lt;/title&gt;&lt;secondary-title&gt;UpToDate&lt;/secondary-title&gt;&lt;/titles&gt;&lt;volume&gt;2021&lt;/volume&gt;&lt;number&gt;07/12/2021&lt;/number&gt;&lt;dates&gt;&lt;year&gt;2021&lt;/year&gt;&lt;/dates&gt;&lt;urls&gt;&lt;related-urls&gt;&lt;url&gt;https://www.uptodate.com/contents/treatment-of-metastatic-urothelial-cancer-of-the-bladder-and-urinary-tract&lt;/url&gt;&lt;/related-urls&gt;&lt;/urls&gt;&lt;/record&gt;&lt;/Cite&gt;&lt;/EndNote&gt;</w:instrText>
            </w:r>
            <w:r>
              <w:fldChar w:fldCharType="separate"/>
            </w:r>
            <w:r>
              <w:rPr>
                <w:noProof/>
                <w:vertAlign w:val="superscript"/>
              </w:rPr>
              <w:t>1</w:t>
            </w:r>
            <w:r>
              <w:fldChar w:fldCharType="end"/>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C842E3" w14:textId="77777777" w:rsidR="00AD0866" w:rsidRPr="00AD0866" w:rsidRDefault="00AD0866" w:rsidP="00EC7D63">
            <w:pPr>
              <w:pStyle w:val="Tabletext"/>
              <w:keepNext/>
            </w:pPr>
            <w:r w:rsidRPr="00AD0866">
              <w:t>The reference provided in the submission is a website (</w:t>
            </w:r>
            <w:proofErr w:type="spellStart"/>
            <w:r w:rsidRPr="00AD0866">
              <w:t>UpTo</w:t>
            </w:r>
            <w:proofErr w:type="spellEnd"/>
            <w:r w:rsidRPr="00AD0866">
              <w:t xml:space="preserve"> Date). The author of the article does not cite any source for the estimate of the proportion of patients who present with or will develop locally advanced or metastatic disease. The estimate cannot be verified.</w:t>
            </w:r>
          </w:p>
        </w:tc>
      </w:tr>
      <w:tr w:rsidR="00AD0866" w14:paraId="0EBDCC73"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207B81" w14:textId="77777777" w:rsidR="00AD0866" w:rsidRDefault="00AD0866" w:rsidP="00EC7D63">
            <w:pPr>
              <w:pStyle w:val="Tabletext"/>
              <w:keepNext/>
            </w:pPr>
            <w:r>
              <w:t xml:space="preserve">Proportion who </w:t>
            </w:r>
            <w:proofErr w:type="gramStart"/>
            <w:r>
              <w:t>receive</w:t>
            </w:r>
            <w:proofErr w:type="gramEnd"/>
            <w:r>
              <w:t xml:space="preserve"> 1L platinum based chemotherapy</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2ED670" w14:textId="77777777" w:rsidR="00AD0866" w:rsidRDefault="00AD0866" w:rsidP="00EC7D63">
            <w:pPr>
              <w:pStyle w:val="Tabletext"/>
              <w:keepNext/>
            </w:pPr>
            <w:r>
              <w:t>90%</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E5409B" w14:textId="77777777" w:rsidR="00AD0866" w:rsidRDefault="00AD0866" w:rsidP="00EC7D63">
            <w:pPr>
              <w:pStyle w:val="Tabletext"/>
              <w:keepNext/>
            </w:pPr>
            <w:r>
              <w:t>Clinical advice</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EC63CF" w14:textId="77777777" w:rsidR="00AD0866" w:rsidRPr="00AD0866" w:rsidRDefault="00AD0866" w:rsidP="00EC7D63">
            <w:pPr>
              <w:pStyle w:val="Tabletext"/>
              <w:keepNext/>
            </w:pPr>
            <w:r w:rsidRPr="00AD0866">
              <w:t>This estimate cannot be verified.</w:t>
            </w:r>
          </w:p>
        </w:tc>
      </w:tr>
      <w:tr w:rsidR="00AD0866" w14:paraId="3DF5003D"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591FDC" w14:textId="77777777" w:rsidR="00AD0866" w:rsidRDefault="00AD0866" w:rsidP="00EC7D63">
            <w:pPr>
              <w:pStyle w:val="Tabletext"/>
              <w:keepNext/>
            </w:pPr>
            <w:r>
              <w:t>Proportion eligible for avelumab</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280AB8" w14:textId="77777777" w:rsidR="00AD0866" w:rsidRDefault="00AD0866" w:rsidP="00EC7D63">
            <w:pPr>
              <w:pStyle w:val="Tabletext"/>
              <w:keepNext/>
            </w:pPr>
            <w:r>
              <w:t>75%</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301FD8" w14:textId="77777777" w:rsidR="00AD0866" w:rsidRDefault="00AD0866" w:rsidP="00EC7D63">
            <w:pPr>
              <w:pStyle w:val="Tabletext"/>
              <w:keepNext/>
            </w:pPr>
            <w:r>
              <w:t xml:space="preserve">Based on an estimate of the proportion of patients remaining progression free 4 months after starting </w:t>
            </w:r>
            <w:proofErr w:type="gramStart"/>
            <w:r>
              <w:t>platinum based</w:t>
            </w:r>
            <w:proofErr w:type="gramEnd"/>
            <w:r>
              <w:t xml:space="preserve"> therapy</w:t>
            </w:r>
            <w:r>
              <w:fldChar w:fldCharType="begin">
                <w:fldData xml:space="preserve">PEVuZE5vdGU+PENpdGU+PEF1dGhvcj52b24gZGVyIE1hYXNlPC9BdXRob3I+PFllYXI+MjAwNTwv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</w:fldData>
              </w:fldChar>
            </w:r>
            <w:r>
              <w:instrText xml:space="preserve"> ADDIN EN.CITE </w:instrText>
            </w:r>
            <w:r>
              <w:fldChar w:fldCharType="begin">
                <w:fldData xml:space="preserve">PEVuZE5vdGU+PENpdGU+PEF1dGhvcj52b24gZGVyIE1hYXNlPC9BdXRob3I+PFllYXI+MjAwNTwv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</w:fldData>
              </w:fldChar>
            </w:r>
            <w:r>
              <w:instrText xml:space="preserve"> ADDIN EN.CITE.DATA </w:instrText>
            </w:r>
            <w:r>
              <w:fldChar w:fldCharType="end"/>
            </w:r>
            <w:r>
              <w:fldChar w:fldCharType="separate"/>
            </w:r>
            <w:r>
              <w:rPr>
                <w:noProof/>
                <w:vertAlign w:val="superscript"/>
              </w:rPr>
              <w:t>2</w:t>
            </w:r>
            <w:r>
              <w:fldChar w:fldCharType="end"/>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4263A1" w14:textId="77777777" w:rsidR="00AD0866" w:rsidRPr="00AD0866" w:rsidRDefault="00AD0866" w:rsidP="00EC7D63">
            <w:pPr>
              <w:pStyle w:val="Tabletext"/>
              <w:keepNext/>
            </w:pPr>
            <w:r w:rsidRPr="00AD0866">
              <w:t>This is reasonable.</w:t>
            </w:r>
          </w:p>
        </w:tc>
      </w:tr>
      <w:tr w:rsidR="00AD0866" w14:paraId="001B800C"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16FB99" w14:textId="77777777" w:rsidR="00AD0866" w:rsidRDefault="00AD0866" w:rsidP="00EC7D63">
            <w:pPr>
              <w:pStyle w:val="Tabletext"/>
              <w:keepNext/>
            </w:pPr>
            <w:r>
              <w:t>Proportion not treated with avelumab</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BF1BD0" w14:textId="77777777" w:rsidR="00AD0866" w:rsidRDefault="00AD0866" w:rsidP="00EC7D63">
            <w:pPr>
              <w:pStyle w:val="Tabletext"/>
              <w:keepNext/>
            </w:pPr>
            <w:r>
              <w:t>Year 1: 60%</w:t>
            </w:r>
          </w:p>
          <w:p w14:paraId="2D9ABE86" w14:textId="77777777" w:rsidR="00AD0866" w:rsidRDefault="00AD0866" w:rsidP="00EC7D63">
            <w:pPr>
              <w:pStyle w:val="Tabletext"/>
              <w:keepNext/>
            </w:pPr>
            <w:r>
              <w:t>Year 2: 25%</w:t>
            </w:r>
          </w:p>
          <w:p w14:paraId="248BEADB" w14:textId="77777777" w:rsidR="00AD0866" w:rsidRDefault="00AD0866" w:rsidP="00EC7D63">
            <w:pPr>
              <w:pStyle w:val="Tabletext"/>
              <w:keepNext/>
            </w:pPr>
            <w:r>
              <w:t>Year 3-6: 10%</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BD94AC" w14:textId="77777777" w:rsidR="00AD0866" w:rsidRDefault="00AD0866" w:rsidP="00EC7D63">
            <w:pPr>
              <w:pStyle w:val="Tabletext"/>
              <w:keepNext/>
            </w:pPr>
            <w:r>
              <w:t>Clinician advice</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FD5E67" w14:textId="77777777" w:rsidR="00AD0866" w:rsidRPr="00AD0866" w:rsidRDefault="00AD0866" w:rsidP="00EC7D63">
            <w:pPr>
              <w:pStyle w:val="Tabletext"/>
              <w:keepNext/>
            </w:pPr>
            <w:r w:rsidRPr="00AD0866">
              <w:t>The submission assumes that avelumab will be used increasingly over the years following listing. After 2 years, avelumab is anticipated to be used in 90% of those eligible. This estimate cannot be verified.</w:t>
            </w:r>
          </w:p>
        </w:tc>
      </w:tr>
      <w:tr w:rsidR="00AD0866" w14:paraId="0B9C633C"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0BEBAE" w14:textId="77777777" w:rsidR="00AD0866" w:rsidRDefault="00AD0866" w:rsidP="00EC7D63">
            <w:pPr>
              <w:pStyle w:val="Tabletext"/>
              <w:keepNext/>
            </w:pPr>
            <w:r>
              <w:t>Proportion treated with pembrolizumab</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5D4933" w14:textId="77777777" w:rsidR="00AD0866" w:rsidRDefault="00AD0866" w:rsidP="00EC7D63">
            <w:pPr>
              <w:pStyle w:val="Tabletext"/>
              <w:keepNext/>
            </w:pPr>
            <w:r>
              <w:t>75%</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CE33B1" w14:textId="77777777" w:rsidR="00AD0866" w:rsidRDefault="00AD0866" w:rsidP="00EC7D63">
            <w:pPr>
              <w:pStyle w:val="Tabletext"/>
              <w:keepNext/>
            </w:pPr>
            <w:r>
              <w:t>Clinician advice</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A20B68" w14:textId="77777777" w:rsidR="00AD0866" w:rsidRPr="00AD0866" w:rsidRDefault="00AD0866" w:rsidP="00EC7D63">
            <w:pPr>
              <w:pStyle w:val="Tabletext"/>
              <w:keepNext/>
            </w:pPr>
            <w:r w:rsidRPr="00AD0866">
              <w:t xml:space="preserve">This estimate is applied only to those not treated with avelumab. </w:t>
            </w:r>
          </w:p>
        </w:tc>
      </w:tr>
      <w:tr w:rsidR="00AD0866" w14:paraId="1B24EB56" w14:textId="77777777" w:rsidTr="001F429B">
        <w:tc>
          <w:tcPr>
            <w:tcW w:w="500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97AF18" w14:textId="77777777" w:rsidR="00AD0866" w:rsidRPr="00AD0866" w:rsidRDefault="00AD0866" w:rsidP="00EC7D63">
            <w:pPr>
              <w:pStyle w:val="Tabletext"/>
              <w:keepNext/>
              <w:rPr>
                <w:b/>
              </w:rPr>
            </w:pPr>
            <w:r w:rsidRPr="00AD0866">
              <w:rPr>
                <w:b/>
              </w:rPr>
              <w:t>Treatment utilisation</w:t>
            </w:r>
          </w:p>
        </w:tc>
      </w:tr>
      <w:tr w:rsidR="00AD0866" w14:paraId="7846E844"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64FDE2" w14:textId="77777777" w:rsidR="00AD0866" w:rsidRDefault="00AD0866" w:rsidP="00EC7D63">
            <w:pPr>
              <w:pStyle w:val="Tabletext"/>
              <w:keepNext/>
            </w:pPr>
            <w:r>
              <w:t xml:space="preserve">Uptake of </w:t>
            </w:r>
            <w:proofErr w:type="spellStart"/>
            <w:r>
              <w:t>enfortumab</w:t>
            </w:r>
            <w:proofErr w:type="spellEnd"/>
            <w:r>
              <w:t xml:space="preserve"> </w:t>
            </w:r>
            <w:proofErr w:type="spellStart"/>
            <w:r>
              <w:t>vedotin</w:t>
            </w:r>
            <w:proofErr w:type="spellEnd"/>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6CB76C" w14:textId="77777777" w:rsidR="00AD0866" w:rsidRDefault="00AD0866" w:rsidP="00EC7D63">
            <w:pPr>
              <w:pStyle w:val="Tabletext"/>
              <w:keepNext/>
            </w:pPr>
            <w:r>
              <w:t>Dependent on pathway</w:t>
            </w:r>
          </w:p>
          <w:p w14:paraId="10C56881" w14:textId="77777777" w:rsidR="00AD0866" w:rsidRDefault="00AD0866" w:rsidP="00EC7D63">
            <w:pPr>
              <w:pStyle w:val="Tabletext"/>
              <w:keepNext/>
            </w:pPr>
            <w:r>
              <w:t>(higher for shorter pathways)</w:t>
            </w:r>
          </w:p>
          <w:p w14:paraId="0046CE2C" w14:textId="77777777" w:rsidR="00AD0866" w:rsidRDefault="00AD0866" w:rsidP="00EC7D63">
            <w:pPr>
              <w:pStyle w:val="Tabletext"/>
              <w:keepNext/>
            </w:pPr>
            <w:r>
              <w:t>Year 3: 80% (post-avelumab)</w:t>
            </w:r>
          </w:p>
          <w:p w14:paraId="37600F07" w14:textId="77777777" w:rsidR="00AD0866" w:rsidRDefault="00AD0866" w:rsidP="00EC7D63">
            <w:pPr>
              <w:pStyle w:val="Tabletext"/>
              <w:keepNext/>
            </w:pPr>
            <w:r>
              <w:t>Year 3: 60% (post-pembrolizumab)</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2D5D5A" w14:textId="77777777" w:rsidR="00AD0866" w:rsidRDefault="00AD0866" w:rsidP="00EC7D63">
            <w:pPr>
              <w:pStyle w:val="Tabletext"/>
              <w:keepNext/>
            </w:pPr>
            <w:r>
              <w:t>Clinician advice</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633DCF" w14:textId="77777777" w:rsidR="00AD0866" w:rsidRPr="00AD0866" w:rsidRDefault="00AD0866" w:rsidP="00EC7D63">
            <w:pPr>
              <w:pStyle w:val="Tabletext"/>
              <w:keepNext/>
            </w:pPr>
            <w:r w:rsidRPr="00AD0866">
              <w:t>Estimates of uptake are uncertain</w:t>
            </w:r>
          </w:p>
        </w:tc>
      </w:tr>
      <w:tr w:rsidR="00AD0866" w14:paraId="7F0B8E55"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497023" w14:textId="77777777" w:rsidR="00AD0866" w:rsidRDefault="00AD0866" w:rsidP="00EC7D63">
            <w:pPr>
              <w:pStyle w:val="Tabletext"/>
              <w:keepNext/>
            </w:pPr>
            <w:r>
              <w:t>Grandfathered patients</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5FDD3C" w14:textId="77777777" w:rsidR="00AD0866" w:rsidRDefault="00AD0866" w:rsidP="00EC7D63">
            <w:pPr>
              <w:pStyle w:val="Tabletext"/>
              <w:keepNext/>
            </w:pPr>
            <w:r>
              <w:t>Year 1: 90</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B71D90" w14:textId="77777777" w:rsidR="00AD0866" w:rsidRDefault="00AD0866" w:rsidP="00EC7D63">
            <w:pPr>
              <w:pStyle w:val="Tabletext"/>
              <w:keepNext/>
            </w:pPr>
            <w:r>
              <w:t>Sponsor</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F60430" w14:textId="77777777" w:rsidR="00AD0866" w:rsidRPr="00AD0866" w:rsidRDefault="00AD0866" w:rsidP="00EC7D63">
            <w:pPr>
              <w:pStyle w:val="Tabletext"/>
              <w:keepNext/>
            </w:pPr>
            <w:r w:rsidRPr="00AD0866">
              <w:t>Grandfathered patients only enter in year 1. This may be reasonable. However, no reduction in duration of therapy has been estimated for this population.</w:t>
            </w:r>
          </w:p>
        </w:tc>
      </w:tr>
      <w:tr w:rsidR="00AD0866" w14:paraId="3F983B86"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605E78" w14:textId="77777777" w:rsidR="00AD0866" w:rsidRDefault="00AD0866">
            <w:pPr>
              <w:pStyle w:val="Tabletext"/>
            </w:pPr>
            <w:r>
              <w:t>Average treatment duration</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150AB9" w14:textId="77777777" w:rsidR="00AD0866" w:rsidRDefault="00AD0866">
            <w:pPr>
              <w:pStyle w:val="Tabletext"/>
            </w:pPr>
            <w:r>
              <w:t>7.47 months</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4908B1" w14:textId="77777777" w:rsidR="00AD0866" w:rsidRDefault="00AD0866">
            <w:pPr>
              <w:pStyle w:val="Tabletext"/>
            </w:pPr>
            <w:r>
              <w:t>EV-301 (extrapolated time on treatment curve presented in Section 3)</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DF2B98" w14:textId="77777777" w:rsidR="00AD0866" w:rsidRPr="00AD0866" w:rsidRDefault="00AD0866">
            <w:pPr>
              <w:pStyle w:val="Tabletext"/>
            </w:pPr>
            <w:r w:rsidRPr="00AD0866">
              <w:t>This is appropriate</w:t>
            </w:r>
          </w:p>
        </w:tc>
      </w:tr>
      <w:tr w:rsidR="00AD0866" w14:paraId="4CB1E2BC"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3068FB" w14:textId="77777777" w:rsidR="00AD0866" w:rsidRDefault="00AD0866">
            <w:pPr>
              <w:pStyle w:val="Tabletext"/>
            </w:pPr>
            <w:r>
              <w:t>Compliance / relative dose intensity</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385534" w14:textId="77777777" w:rsidR="00AD0866" w:rsidRDefault="00AD0866">
            <w:pPr>
              <w:pStyle w:val="Tabletext"/>
            </w:pPr>
            <w:r>
              <w:t>79.35%</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297492" w14:textId="77777777" w:rsidR="00AD0866" w:rsidRDefault="00AD0866">
            <w:pPr>
              <w:pStyle w:val="Tabletext"/>
            </w:pPr>
            <w:r>
              <w:t>EV-301</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69E638" w14:textId="48419E7C" w:rsidR="00AD0866" w:rsidRPr="00AD0866" w:rsidRDefault="00AD0866">
            <w:pPr>
              <w:pStyle w:val="Tabletext"/>
            </w:pPr>
            <w:r w:rsidRPr="00AD0866">
              <w:t>This is appropriate, however the sequence in which this is applied is likely incorrect.</w:t>
            </w:r>
            <w:r w:rsidR="004745C2">
              <w:t xml:space="preserve"> </w:t>
            </w:r>
          </w:p>
        </w:tc>
      </w:tr>
      <w:tr w:rsidR="00AD0866" w14:paraId="5EE71753" w14:textId="77777777" w:rsidTr="00EC7D63">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5431D1" w14:textId="77777777" w:rsidR="00AD0866" w:rsidRDefault="00AD0866">
            <w:pPr>
              <w:pStyle w:val="Tabletext"/>
            </w:pPr>
            <w:r>
              <w:t>Vial distribution</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C0811DE" w14:textId="77777777" w:rsidR="00AD0866" w:rsidRDefault="00AD0866">
            <w:pPr>
              <w:pStyle w:val="Tabletext"/>
            </w:pPr>
            <w:r>
              <w:t>1.1 x 20mg</w:t>
            </w:r>
          </w:p>
          <w:p w14:paraId="1CA23D8E" w14:textId="77777777" w:rsidR="00AD0866" w:rsidRDefault="00AD0866">
            <w:pPr>
              <w:pStyle w:val="Tabletext"/>
            </w:pPr>
            <w:r>
              <w:t>2.5 x 30mg</w:t>
            </w:r>
          </w:p>
        </w:tc>
        <w:tc>
          <w:tcPr>
            <w:tcW w:w="13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202424" w14:textId="77777777" w:rsidR="00AD0866" w:rsidRDefault="00AD0866">
            <w:pPr>
              <w:pStyle w:val="Tabletext"/>
            </w:pPr>
            <w:r>
              <w:t>Based on efficient vials for the target dose (1.25mg/kg) for the distribution of patients (by weight) in EV-301</w:t>
            </w:r>
          </w:p>
        </w:tc>
        <w:tc>
          <w:tcPr>
            <w:tcW w:w="170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172B5B" w14:textId="77777777" w:rsidR="00AD0866" w:rsidRPr="00AD0866" w:rsidRDefault="00AD0866">
            <w:pPr>
              <w:pStyle w:val="Tabletext"/>
            </w:pPr>
            <w:r w:rsidRPr="00AD0866">
              <w:t>This is based on the target dose, and not the dose as adjusted by mean relative dose intensity.</w:t>
            </w:r>
          </w:p>
        </w:tc>
      </w:tr>
    </w:tbl>
    <w:p w14:paraId="6276C01D" w14:textId="77777777" w:rsidR="00AD0866" w:rsidRDefault="00AD0866" w:rsidP="00AD0866">
      <w:pPr>
        <w:pStyle w:val="TableFooter"/>
      </w:pPr>
      <w:r>
        <w:t xml:space="preserve">Source: Tables 4-1, 4-2, 4-3, 4-4, 4-5, 4-6, 4-7, 4-9, pp95-107, text in Section 4 and Financial estimates – </w:t>
      </w:r>
      <w:proofErr w:type="spellStart"/>
      <w:r>
        <w:t>enfortumab</w:t>
      </w:r>
      <w:proofErr w:type="spellEnd"/>
      <w:r>
        <w:t xml:space="preserve"> </w:t>
      </w:r>
      <w:proofErr w:type="spellStart"/>
      <w:r>
        <w:t>vedotin</w:t>
      </w:r>
      <w:proofErr w:type="spellEnd"/>
      <w:r>
        <w:t xml:space="preserve"> (PADCEV) – la-</w:t>
      </w:r>
      <w:proofErr w:type="spellStart"/>
      <w:r>
        <w:t>mUC</w:t>
      </w:r>
      <w:proofErr w:type="spellEnd"/>
      <w:r>
        <w:t xml:space="preserve"> – March 2022 PBAC meeting.xlsx. </w:t>
      </w:r>
    </w:p>
    <w:p w14:paraId="00B50722" w14:textId="77777777" w:rsidR="00AD0866" w:rsidRDefault="00AD0866" w:rsidP="00AD0866">
      <w:pPr>
        <w:pStyle w:val="TableFooter"/>
      </w:pPr>
      <w:r>
        <w:t xml:space="preserve">1L = first line; la/m = locally advanced or metastatic; UC = urothelial cancer. </w:t>
      </w:r>
    </w:p>
    <w:p w14:paraId="02A84DF8" w14:textId="688CC0A0" w:rsidR="00AD0866" w:rsidRDefault="00AD0866" w:rsidP="00F06F14">
      <w:pPr>
        <w:pStyle w:val="TableFooter"/>
        <w:spacing w:after="120"/>
      </w:pPr>
      <w:proofErr w:type="spellStart"/>
      <w:r w:rsidRPr="00D30A88">
        <w:rPr>
          <w:vertAlign w:val="superscript"/>
        </w:rPr>
        <w:t>a</w:t>
      </w:r>
      <w:r>
        <w:t>Beneficiary</w:t>
      </w:r>
      <w:proofErr w:type="spellEnd"/>
      <w:r>
        <w:t xml:space="preserve"> types: General O ($41.30) = general ordinary; General SN ($6.60) = general safety net; </w:t>
      </w:r>
      <w:proofErr w:type="spellStart"/>
      <w:r>
        <w:t>Concess</w:t>
      </w:r>
      <w:proofErr w:type="spellEnd"/>
      <w:r>
        <w:t xml:space="preserve"> O = ($6.60) concessional ordinary; </w:t>
      </w:r>
      <w:proofErr w:type="spellStart"/>
      <w:r>
        <w:t>Concess</w:t>
      </w:r>
      <w:proofErr w:type="spellEnd"/>
      <w:r>
        <w:t xml:space="preserve"> F ($0) = concessional free; RPBS O ($6.60) = RPBS ordinary; RPBS SN ($0) = RPBS safety net.</w:t>
      </w:r>
    </w:p>
    <w:p w14:paraId="0DC3CB1C" w14:textId="77777777" w:rsidR="00AD0866" w:rsidRPr="004745C2" w:rsidRDefault="00AD0866" w:rsidP="004745C2">
      <w:pPr>
        <w:pStyle w:val="3-BodyText"/>
        <w:rPr>
          <w:iCs/>
        </w:rPr>
      </w:pPr>
      <w:r w:rsidRPr="004745C2">
        <w:rPr>
          <w:iCs/>
        </w:rPr>
        <w:t>The submission estimated the proportion of eligible patients for three different pathways.</w:t>
      </w:r>
    </w:p>
    <w:p w14:paraId="2B53A480" w14:textId="77777777" w:rsidR="00AD0866" w:rsidRDefault="00AD0866" w:rsidP="0083510F">
      <w:pPr>
        <w:pStyle w:val="ListParagraph"/>
        <w:numPr>
          <w:ilvl w:val="0"/>
          <w:numId w:val="17"/>
        </w:numPr>
        <w:snapToGrid w:val="0"/>
        <w:ind w:left="1092"/>
        <w:rPr>
          <w:lang w:eastAsia="en-US"/>
        </w:rPr>
      </w:pPr>
      <w:r>
        <w:rPr>
          <w:lang w:eastAsia="en-US"/>
        </w:rPr>
        <w:t>Eligible for avelumab and treated with avelumab (maintenance)</w:t>
      </w:r>
    </w:p>
    <w:p w14:paraId="42DA9D3D" w14:textId="77777777" w:rsidR="00AD0866" w:rsidRDefault="00AD0866" w:rsidP="0083510F">
      <w:pPr>
        <w:pStyle w:val="ListParagraph"/>
        <w:numPr>
          <w:ilvl w:val="0"/>
          <w:numId w:val="17"/>
        </w:numPr>
        <w:snapToGrid w:val="0"/>
        <w:ind w:left="1092"/>
        <w:rPr>
          <w:lang w:eastAsia="en-US"/>
        </w:rPr>
      </w:pPr>
      <w:r>
        <w:rPr>
          <w:lang w:eastAsia="en-US"/>
        </w:rPr>
        <w:t>Eligible for avelumab, not treated with avelumab and treated with pembrolizumab (after progression)</w:t>
      </w:r>
    </w:p>
    <w:p w14:paraId="57CF05B9" w14:textId="77777777" w:rsidR="00AD0866" w:rsidRDefault="00AD0866" w:rsidP="0083510F">
      <w:pPr>
        <w:pStyle w:val="ListParagraph"/>
        <w:numPr>
          <w:ilvl w:val="0"/>
          <w:numId w:val="17"/>
        </w:numPr>
        <w:snapToGrid w:val="0"/>
        <w:ind w:left="1092"/>
        <w:rPr>
          <w:lang w:eastAsia="en-US"/>
        </w:rPr>
      </w:pPr>
      <w:r>
        <w:rPr>
          <w:lang w:eastAsia="en-US"/>
        </w:rPr>
        <w:t>Not eligible for avelumab and treated with pembrolizumab</w:t>
      </w:r>
    </w:p>
    <w:p w14:paraId="3C1B7EDF" w14:textId="2F757F1F" w:rsidR="00AD0866" w:rsidRPr="00AD0866" w:rsidRDefault="00AD0866" w:rsidP="004745C2">
      <w:pPr>
        <w:pStyle w:val="3-BodyText"/>
        <w:rPr>
          <w:iCs/>
        </w:rPr>
      </w:pPr>
      <w:r w:rsidRPr="00AD0866">
        <w:rPr>
          <w:iCs/>
        </w:rPr>
        <w:t xml:space="preserve">The purpose for separating the population by pathway is that a different proportion of patients will receive </w:t>
      </w:r>
      <w:proofErr w:type="spellStart"/>
      <w:r w:rsidRPr="00AD0866">
        <w:rPr>
          <w:iCs/>
        </w:rPr>
        <w:t>enfortumab</w:t>
      </w:r>
      <w:proofErr w:type="spellEnd"/>
      <w:r w:rsidRPr="00AD0866">
        <w:rPr>
          <w:iCs/>
        </w:rPr>
        <w:t xml:space="preserve"> depending on the pathway. This approach is reasonable.</w:t>
      </w:r>
    </w:p>
    <w:p w14:paraId="05DF03BD" w14:textId="77777777" w:rsidR="00AD0866" w:rsidRPr="00AD0866" w:rsidRDefault="00AD0866" w:rsidP="004745C2">
      <w:pPr>
        <w:pStyle w:val="3-BodyText"/>
        <w:rPr>
          <w:iCs/>
        </w:rPr>
      </w:pPr>
      <w:r w:rsidRPr="00AD0866">
        <w:rPr>
          <w:iCs/>
        </w:rPr>
        <w:t xml:space="preserve">The submission anticipated that 90 patients would receive </w:t>
      </w:r>
      <w:proofErr w:type="spellStart"/>
      <w:r w:rsidRPr="00AD0866">
        <w:rPr>
          <w:iCs/>
        </w:rPr>
        <w:t>enfortumab</w:t>
      </w:r>
      <w:proofErr w:type="spellEnd"/>
      <w:r w:rsidRPr="00AD0866">
        <w:rPr>
          <w:iCs/>
        </w:rPr>
        <w:t xml:space="preserve"> </w:t>
      </w:r>
      <w:proofErr w:type="spellStart"/>
      <w:r w:rsidRPr="00AD0866">
        <w:rPr>
          <w:iCs/>
        </w:rPr>
        <w:t>vedotin</w:t>
      </w:r>
      <w:proofErr w:type="spellEnd"/>
      <w:r w:rsidRPr="00AD0866">
        <w:rPr>
          <w:iCs/>
        </w:rPr>
        <w:t xml:space="preserve"> via a grandfathering restriction for patients enrolled in an early access scheme. Grandfathered patients are assumed in the submission to receive the same duration of treatment as incident patients. This is unlikely to be accurate. As grandfathered patients make up only 30% of the estimated number of patients in year 1, and zero patients from year 2 onwards, the impact of this assumption is likely to be minimal.</w:t>
      </w:r>
    </w:p>
    <w:p w14:paraId="579F0B27" w14:textId="13E2E8BD" w:rsidR="00AD0866" w:rsidRPr="00AD0866" w:rsidRDefault="00AD0866" w:rsidP="004745C2">
      <w:pPr>
        <w:pStyle w:val="3-BodyText"/>
        <w:rPr>
          <w:iCs/>
        </w:rPr>
      </w:pPr>
      <w:r w:rsidRPr="004745C2">
        <w:rPr>
          <w:iCs/>
        </w:rPr>
        <w:t xml:space="preserve">The submission assumed that the </w:t>
      </w:r>
      <w:r w:rsidR="00790355">
        <w:rPr>
          <w:iCs/>
        </w:rPr>
        <w:t xml:space="preserve">treatment </w:t>
      </w:r>
      <w:r w:rsidRPr="004745C2">
        <w:rPr>
          <w:iCs/>
        </w:rPr>
        <w:t xml:space="preserve">uptake rate of </w:t>
      </w:r>
      <w:proofErr w:type="spellStart"/>
      <w:r w:rsidRPr="004745C2">
        <w:rPr>
          <w:iCs/>
        </w:rPr>
        <w:t>enfortumab</w:t>
      </w:r>
      <w:proofErr w:type="spellEnd"/>
      <w:r w:rsidRPr="004745C2">
        <w:rPr>
          <w:iCs/>
        </w:rPr>
        <w:t xml:space="preserve"> </w:t>
      </w:r>
      <w:proofErr w:type="spellStart"/>
      <w:r w:rsidRPr="004745C2">
        <w:rPr>
          <w:iCs/>
        </w:rPr>
        <w:t>vedotin</w:t>
      </w:r>
      <w:proofErr w:type="spellEnd"/>
      <w:r w:rsidRPr="004745C2">
        <w:rPr>
          <w:iCs/>
        </w:rPr>
        <w:t xml:space="preserve"> would double over the first three years. </w:t>
      </w:r>
      <w:r w:rsidRPr="00AD0866">
        <w:rPr>
          <w:iCs/>
        </w:rPr>
        <w:t xml:space="preserve">Given that there are no current market competitors for </w:t>
      </w:r>
      <w:proofErr w:type="spellStart"/>
      <w:r w:rsidRPr="00AD0866">
        <w:rPr>
          <w:iCs/>
        </w:rPr>
        <w:t>enfortumab</w:t>
      </w:r>
      <w:proofErr w:type="spellEnd"/>
      <w:r w:rsidRPr="00AD0866">
        <w:rPr>
          <w:iCs/>
        </w:rPr>
        <w:t xml:space="preserve"> </w:t>
      </w:r>
      <w:proofErr w:type="spellStart"/>
      <w:r w:rsidRPr="00AD0866">
        <w:rPr>
          <w:iCs/>
        </w:rPr>
        <w:t>vedotin</w:t>
      </w:r>
      <w:proofErr w:type="spellEnd"/>
      <w:r w:rsidRPr="00AD0866">
        <w:rPr>
          <w:iCs/>
        </w:rPr>
        <w:t xml:space="preserve">, the uptake rate may be more rapid than this. The submission further assumed that, once steady (from year 3 onwards), the uptake rate of </w:t>
      </w:r>
      <w:proofErr w:type="spellStart"/>
      <w:r w:rsidRPr="00AD0866">
        <w:rPr>
          <w:iCs/>
        </w:rPr>
        <w:t>enfortumab</w:t>
      </w:r>
      <w:proofErr w:type="spellEnd"/>
      <w:r w:rsidRPr="00AD0866">
        <w:rPr>
          <w:iCs/>
        </w:rPr>
        <w:t xml:space="preserve"> </w:t>
      </w:r>
      <w:proofErr w:type="spellStart"/>
      <w:r w:rsidRPr="00AD0866">
        <w:rPr>
          <w:iCs/>
        </w:rPr>
        <w:t>vedotin</w:t>
      </w:r>
      <w:proofErr w:type="spellEnd"/>
      <w:r w:rsidRPr="00AD0866">
        <w:rPr>
          <w:iCs/>
        </w:rPr>
        <w:t xml:space="preserve"> is estimated to be 80% following avelumab and 60% following pembrolizumab. It may be reasonable that the estimated uptake rate is lower when </w:t>
      </w:r>
      <w:proofErr w:type="spellStart"/>
      <w:r w:rsidRPr="00AD0866">
        <w:rPr>
          <w:iCs/>
        </w:rPr>
        <w:t>enfortumab</w:t>
      </w:r>
      <w:proofErr w:type="spellEnd"/>
      <w:r w:rsidRPr="00AD0866">
        <w:rPr>
          <w:iCs/>
        </w:rPr>
        <w:t xml:space="preserve"> </w:t>
      </w:r>
      <w:proofErr w:type="spellStart"/>
      <w:r w:rsidRPr="00AD0866">
        <w:rPr>
          <w:iCs/>
        </w:rPr>
        <w:t>vedotin</w:t>
      </w:r>
      <w:proofErr w:type="spellEnd"/>
      <w:r w:rsidRPr="00AD0866">
        <w:rPr>
          <w:iCs/>
        </w:rPr>
        <w:t xml:space="preserve"> is used in a third-line setting (post pembrolizumab) compared with a second-line setting (post avelumab).</w:t>
      </w:r>
    </w:p>
    <w:p w14:paraId="0B7BB86E" w14:textId="77777777" w:rsidR="00AD0866" w:rsidRPr="004745C2" w:rsidRDefault="00AD0866" w:rsidP="004745C2">
      <w:pPr>
        <w:pStyle w:val="3-BodyText"/>
        <w:rPr>
          <w:iCs/>
        </w:rPr>
      </w:pPr>
      <w:r w:rsidRPr="004745C2">
        <w:rPr>
          <w:iCs/>
        </w:rPr>
        <w:t xml:space="preserve">To estimate the number of scripts dispensed, the submission converted the number of treated patients to treated patient-years. This is done by multiplying incident patients by average duration of treatment (7.47 months). Treatment duration is derived from the economic model in which the observed </w:t>
      </w:r>
      <w:proofErr w:type="spellStart"/>
      <w:r w:rsidRPr="004745C2">
        <w:rPr>
          <w:iCs/>
        </w:rPr>
        <w:t>ToT</w:t>
      </w:r>
      <w:proofErr w:type="spellEnd"/>
      <w:r w:rsidRPr="004745C2">
        <w:rPr>
          <w:iCs/>
        </w:rPr>
        <w:t xml:space="preserve"> curve is fitted with a parametric function from 15 months </w:t>
      </w:r>
      <w:proofErr w:type="gramStart"/>
      <w:r w:rsidRPr="004745C2">
        <w:rPr>
          <w:iCs/>
        </w:rPr>
        <w:t>onwards, and</w:t>
      </w:r>
      <w:proofErr w:type="gramEnd"/>
      <w:r w:rsidRPr="004745C2">
        <w:rPr>
          <w:iCs/>
        </w:rPr>
        <w:t xml:space="preserve"> modelled over 10 years.</w:t>
      </w:r>
    </w:p>
    <w:p w14:paraId="245EFE99" w14:textId="7A267450" w:rsidR="00AD0866" w:rsidRPr="00AD0866" w:rsidRDefault="00AD0866" w:rsidP="004745C2">
      <w:pPr>
        <w:pStyle w:val="3-BodyText"/>
        <w:rPr>
          <w:iCs/>
        </w:rPr>
      </w:pPr>
      <w:r w:rsidRPr="004745C2">
        <w:rPr>
          <w:iCs/>
        </w:rPr>
        <w:t xml:space="preserve">The number of scripts dispensed was estimated by applying the relative dose intensity observed in EV-301 (79.35%). The reduced number of scripts is then applied to the number of vials dispensed based on efficient usage of vials for the 100% target dose. </w:t>
      </w:r>
      <w:r w:rsidRPr="00AD0866">
        <w:rPr>
          <w:iCs/>
        </w:rPr>
        <w:t xml:space="preserve">This approach is inappropriate. Reductions in relative dose intensity that are a consequence of dose reductions will not impact the number of </w:t>
      </w:r>
      <w:proofErr w:type="gramStart"/>
      <w:r w:rsidRPr="00AD0866">
        <w:rPr>
          <w:iCs/>
        </w:rPr>
        <w:t>scripts, but</w:t>
      </w:r>
      <w:proofErr w:type="gramEnd"/>
      <w:r w:rsidRPr="00AD0866">
        <w:rPr>
          <w:iCs/>
        </w:rPr>
        <w:t xml:space="preserve"> will reduce the number of vials. The sequence in which the relative dose intensity is applied markedly underestimates the number of scripts, and slightly underestimates the number of vials that will be dispensed. </w:t>
      </w:r>
      <w:r w:rsidR="00D563C8">
        <w:rPr>
          <w:iCs/>
        </w:rPr>
        <w:t>The pre-PBAC response agreed with DUSC that the approach taken may slightly underestimate the financial implications to the PBS/RPBS</w:t>
      </w:r>
      <w:r w:rsidR="004745C2">
        <w:rPr>
          <w:iCs/>
        </w:rPr>
        <w:t>.</w:t>
      </w:r>
    </w:p>
    <w:p w14:paraId="6B59F49E" w14:textId="77777777" w:rsidR="00AD0866" w:rsidRPr="004745C2" w:rsidRDefault="00AD0866" w:rsidP="004745C2">
      <w:pPr>
        <w:pStyle w:val="3-BodyText"/>
        <w:rPr>
          <w:iCs/>
        </w:rPr>
      </w:pPr>
      <w:r w:rsidRPr="004745C2">
        <w:rPr>
          <w:iCs/>
        </w:rPr>
        <w:t xml:space="preserve">No cost offsets were included in the submission. It is stated that there is a high likelihood that the listing of </w:t>
      </w:r>
      <w:proofErr w:type="spellStart"/>
      <w:r w:rsidRPr="004745C2">
        <w:rPr>
          <w:iCs/>
        </w:rPr>
        <w:t>enfortumab</w:t>
      </w:r>
      <w:proofErr w:type="spellEnd"/>
      <w:r w:rsidRPr="004745C2">
        <w:rPr>
          <w:iCs/>
        </w:rPr>
        <w:t xml:space="preserve"> </w:t>
      </w:r>
      <w:proofErr w:type="spellStart"/>
      <w:r w:rsidRPr="004745C2">
        <w:rPr>
          <w:iCs/>
        </w:rPr>
        <w:t>vedotin</w:t>
      </w:r>
      <w:proofErr w:type="spellEnd"/>
      <w:r w:rsidRPr="004745C2">
        <w:rPr>
          <w:iCs/>
        </w:rPr>
        <w:t xml:space="preserve"> will result in </w:t>
      </w:r>
      <w:proofErr w:type="spellStart"/>
      <w:r w:rsidRPr="004745C2">
        <w:rPr>
          <w:iCs/>
        </w:rPr>
        <w:t>taxanes</w:t>
      </w:r>
      <w:proofErr w:type="spellEnd"/>
      <w:r w:rsidRPr="004745C2">
        <w:rPr>
          <w:iCs/>
        </w:rPr>
        <w:t xml:space="preserve"> (docetaxel or paclitaxel) being displaced to a later line of therapy rather than replaced. The submission claims that this may be increasingly true where </w:t>
      </w:r>
      <w:proofErr w:type="spellStart"/>
      <w:r w:rsidRPr="004745C2">
        <w:rPr>
          <w:iCs/>
        </w:rPr>
        <w:t>enfortumab</w:t>
      </w:r>
      <w:proofErr w:type="spellEnd"/>
      <w:r w:rsidRPr="004745C2">
        <w:rPr>
          <w:iCs/>
        </w:rPr>
        <w:t xml:space="preserve"> </w:t>
      </w:r>
      <w:proofErr w:type="spellStart"/>
      <w:r w:rsidRPr="004745C2">
        <w:rPr>
          <w:iCs/>
        </w:rPr>
        <w:t>vedotin</w:t>
      </w:r>
      <w:proofErr w:type="spellEnd"/>
      <w:r w:rsidRPr="004745C2">
        <w:rPr>
          <w:iCs/>
        </w:rPr>
        <w:t xml:space="preserve"> becomes used in the </w:t>
      </w:r>
      <w:proofErr w:type="gramStart"/>
      <w:r w:rsidRPr="004745C2">
        <w:rPr>
          <w:iCs/>
        </w:rPr>
        <w:t>second-line</w:t>
      </w:r>
      <w:proofErr w:type="gramEnd"/>
      <w:r w:rsidRPr="004745C2">
        <w:rPr>
          <w:iCs/>
        </w:rPr>
        <w:t xml:space="preserve"> setting after avelumab.</w:t>
      </w:r>
    </w:p>
    <w:p w14:paraId="750A44B6" w14:textId="77777777" w:rsidR="00AD0866" w:rsidRPr="004745C2" w:rsidRDefault="00AD0866" w:rsidP="004745C2">
      <w:pPr>
        <w:pStyle w:val="3-BodyText"/>
        <w:rPr>
          <w:iCs/>
        </w:rPr>
      </w:pPr>
      <w:r w:rsidRPr="004745C2">
        <w:rPr>
          <w:iCs/>
        </w:rPr>
        <w:t xml:space="preserve">The estimated use and financial implications of </w:t>
      </w:r>
      <w:proofErr w:type="spellStart"/>
      <w:r w:rsidRPr="004745C2">
        <w:rPr>
          <w:iCs/>
        </w:rPr>
        <w:t>enfortumab</w:t>
      </w:r>
      <w:proofErr w:type="spellEnd"/>
      <w:r w:rsidRPr="004745C2">
        <w:rPr>
          <w:iCs/>
        </w:rPr>
        <w:t xml:space="preserve"> </w:t>
      </w:r>
      <w:proofErr w:type="spellStart"/>
      <w:r w:rsidRPr="004745C2">
        <w:rPr>
          <w:iCs/>
        </w:rPr>
        <w:t>vedotin</w:t>
      </w:r>
      <w:proofErr w:type="spellEnd"/>
      <w:r w:rsidRPr="004745C2">
        <w:rPr>
          <w:iCs/>
        </w:rPr>
        <w:t xml:space="preserve"> are summarised below.</w:t>
      </w:r>
    </w:p>
    <w:p w14:paraId="25FAE8F0" w14:textId="30491D4B" w:rsidR="00AD0866" w:rsidRPr="00EC7D63" w:rsidRDefault="00AD0866" w:rsidP="00AD0866">
      <w:pPr>
        <w:pStyle w:val="Caption"/>
        <w:rPr>
          <w:b w:val="0"/>
          <w:bCs w:val="0"/>
        </w:rPr>
      </w:pPr>
      <w:r w:rsidRPr="00EC7D63">
        <w:t xml:space="preserve">Table </w:t>
      </w:r>
      <w:r w:rsidR="00F06F14">
        <w:fldChar w:fldCharType="begin"/>
      </w:r>
      <w:r w:rsidR="00F06F14">
        <w:instrText xml:space="preserve"> SEQ Table \* ARABIC </w:instrText>
      </w:r>
      <w:r w:rsidR="00F06F14">
        <w:fldChar w:fldCharType="separate"/>
      </w:r>
      <w:r w:rsidRPr="00EC7D63">
        <w:rPr>
          <w:noProof/>
        </w:rPr>
        <w:t>14</w:t>
      </w:r>
      <w:r w:rsidR="00F06F14">
        <w:rPr>
          <w:noProof/>
        </w:rPr>
        <w:fldChar w:fldCharType="end"/>
      </w:r>
      <w:r w:rsidRPr="00EC7D63">
        <w:t>:</w:t>
      </w:r>
      <w:r w:rsidRPr="00EC7D63">
        <w:rPr>
          <w:b w:val="0"/>
          <w:bCs w:val="0"/>
        </w:rPr>
        <w:t xml:space="preserve"> </w:t>
      </w:r>
      <w:r w:rsidRPr="00EC7D63">
        <w:rPr>
          <w:rStyle w:val="CommentReference"/>
          <w:b/>
          <w:bCs w:val="0"/>
        </w:rPr>
        <w:t>Estimated use and financial implications (effective price)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effective price)"/>
      </w:tblPr>
      <w:tblGrid>
        <w:gridCol w:w="2406"/>
        <w:gridCol w:w="1107"/>
        <w:gridCol w:w="1105"/>
        <w:gridCol w:w="1105"/>
        <w:gridCol w:w="1105"/>
        <w:gridCol w:w="1105"/>
        <w:gridCol w:w="994"/>
      </w:tblGrid>
      <w:tr w:rsidR="00DB5681" w14:paraId="3F78CDE6" w14:textId="77777777" w:rsidTr="00DB5681">
        <w:trPr>
          <w:tblHeader/>
        </w:trPr>
        <w:tc>
          <w:tcPr>
            <w:tcW w:w="1347" w:type="pct"/>
            <w:tcBorders>
              <w:top w:val="single" w:sz="4" w:space="0" w:color="auto"/>
              <w:left w:val="single" w:sz="4" w:space="0" w:color="auto"/>
              <w:bottom w:val="single" w:sz="4" w:space="0" w:color="auto"/>
              <w:right w:val="single" w:sz="4" w:space="0" w:color="auto"/>
            </w:tcBorders>
            <w:vAlign w:val="center"/>
          </w:tcPr>
          <w:p w14:paraId="25C70B8B" w14:textId="77777777" w:rsidR="00AD0866" w:rsidRDefault="00AD0866">
            <w:pPr>
              <w:pStyle w:val="In-tableHeading"/>
              <w:jc w:val="center"/>
            </w:pPr>
          </w:p>
        </w:tc>
        <w:tc>
          <w:tcPr>
            <w:tcW w:w="620" w:type="pct"/>
            <w:tcBorders>
              <w:top w:val="single" w:sz="4" w:space="0" w:color="auto"/>
              <w:left w:val="single" w:sz="4" w:space="0" w:color="auto"/>
              <w:bottom w:val="single" w:sz="4" w:space="0" w:color="auto"/>
              <w:right w:val="single" w:sz="4" w:space="0" w:color="auto"/>
            </w:tcBorders>
            <w:vAlign w:val="center"/>
            <w:hideMark/>
          </w:tcPr>
          <w:p w14:paraId="60128A7E" w14:textId="77777777" w:rsidR="00AD0866" w:rsidRDefault="00AD0866">
            <w:pPr>
              <w:pStyle w:val="In-tableHeading"/>
              <w:jc w:val="center"/>
            </w:pPr>
            <w:r>
              <w:t>Year 1</w:t>
            </w:r>
          </w:p>
        </w:tc>
        <w:tc>
          <w:tcPr>
            <w:tcW w:w="619" w:type="pct"/>
            <w:tcBorders>
              <w:top w:val="single" w:sz="4" w:space="0" w:color="auto"/>
              <w:left w:val="single" w:sz="4" w:space="0" w:color="auto"/>
              <w:bottom w:val="single" w:sz="4" w:space="0" w:color="auto"/>
              <w:right w:val="single" w:sz="4" w:space="0" w:color="auto"/>
            </w:tcBorders>
            <w:vAlign w:val="center"/>
            <w:hideMark/>
          </w:tcPr>
          <w:p w14:paraId="4257EA0D" w14:textId="77777777" w:rsidR="00AD0866" w:rsidRDefault="00AD0866">
            <w:pPr>
              <w:pStyle w:val="In-tableHeading"/>
              <w:jc w:val="center"/>
            </w:pPr>
            <w:r>
              <w:t>Year 2</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BACC3D" w14:textId="77777777" w:rsidR="00AD0866" w:rsidRDefault="00AD0866">
            <w:pPr>
              <w:pStyle w:val="In-tableHeading"/>
              <w:jc w:val="center"/>
            </w:pPr>
            <w:r>
              <w:t>Year 3</w:t>
            </w:r>
          </w:p>
        </w:tc>
        <w:tc>
          <w:tcPr>
            <w:tcW w:w="619" w:type="pct"/>
            <w:tcBorders>
              <w:top w:val="single" w:sz="4" w:space="0" w:color="auto"/>
              <w:left w:val="single" w:sz="4" w:space="0" w:color="auto"/>
              <w:bottom w:val="single" w:sz="4" w:space="0" w:color="auto"/>
              <w:right w:val="single" w:sz="4" w:space="0" w:color="auto"/>
            </w:tcBorders>
            <w:vAlign w:val="center"/>
            <w:hideMark/>
          </w:tcPr>
          <w:p w14:paraId="363A1FFF" w14:textId="77777777" w:rsidR="00AD0866" w:rsidRDefault="00AD0866">
            <w:pPr>
              <w:pStyle w:val="In-tableHeading"/>
              <w:jc w:val="center"/>
            </w:pPr>
            <w:r>
              <w:t>Year 4</w:t>
            </w:r>
          </w:p>
        </w:tc>
        <w:tc>
          <w:tcPr>
            <w:tcW w:w="619" w:type="pct"/>
            <w:tcBorders>
              <w:top w:val="single" w:sz="4" w:space="0" w:color="auto"/>
              <w:left w:val="single" w:sz="4" w:space="0" w:color="auto"/>
              <w:bottom w:val="single" w:sz="4" w:space="0" w:color="auto"/>
              <w:right w:val="single" w:sz="4" w:space="0" w:color="auto"/>
            </w:tcBorders>
            <w:vAlign w:val="center"/>
            <w:hideMark/>
          </w:tcPr>
          <w:p w14:paraId="6EEA3953" w14:textId="77777777" w:rsidR="00AD0866" w:rsidRDefault="00AD0866">
            <w:pPr>
              <w:pStyle w:val="In-tableHeading"/>
              <w:jc w:val="center"/>
            </w:pPr>
            <w:r>
              <w:t>Year 5</w:t>
            </w:r>
          </w:p>
        </w:tc>
        <w:tc>
          <w:tcPr>
            <w:tcW w:w="557" w:type="pct"/>
            <w:tcBorders>
              <w:top w:val="single" w:sz="4" w:space="0" w:color="auto"/>
              <w:left w:val="single" w:sz="4" w:space="0" w:color="auto"/>
              <w:bottom w:val="single" w:sz="4" w:space="0" w:color="auto"/>
              <w:right w:val="single" w:sz="4" w:space="0" w:color="auto"/>
            </w:tcBorders>
            <w:hideMark/>
          </w:tcPr>
          <w:p w14:paraId="2AA60E21" w14:textId="77777777" w:rsidR="00AD0866" w:rsidRDefault="00AD0866">
            <w:pPr>
              <w:pStyle w:val="In-tableHeading"/>
              <w:jc w:val="center"/>
            </w:pPr>
            <w:r>
              <w:t>Year 6</w:t>
            </w:r>
          </w:p>
        </w:tc>
      </w:tr>
      <w:tr w:rsidR="00AD0866" w14:paraId="76795968" w14:textId="77777777" w:rsidTr="00DB5681">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87FB617" w14:textId="77777777" w:rsidR="00AD0866" w:rsidRDefault="00AD0866">
            <w:pPr>
              <w:pStyle w:val="In-tableHeading"/>
              <w:rPr>
                <w:bCs/>
                <w:color w:val="000000"/>
              </w:rPr>
            </w:pPr>
            <w:r>
              <w:rPr>
                <w:bCs/>
                <w:color w:val="000000"/>
              </w:rPr>
              <w:t>Estimated extent of use</w:t>
            </w:r>
          </w:p>
        </w:tc>
      </w:tr>
      <w:tr w:rsidR="00C828EC" w14:paraId="038F7BAC" w14:textId="77777777" w:rsidTr="00C828EC">
        <w:tc>
          <w:tcPr>
            <w:tcW w:w="1347" w:type="pct"/>
            <w:tcBorders>
              <w:top w:val="single" w:sz="4" w:space="0" w:color="auto"/>
              <w:left w:val="single" w:sz="4" w:space="0" w:color="auto"/>
              <w:bottom w:val="single" w:sz="4" w:space="0" w:color="auto"/>
              <w:right w:val="single" w:sz="4" w:space="0" w:color="auto"/>
            </w:tcBorders>
            <w:vAlign w:val="center"/>
            <w:hideMark/>
          </w:tcPr>
          <w:p w14:paraId="2867EECF" w14:textId="77777777" w:rsidR="00AD0866" w:rsidRDefault="00AD0866">
            <w:pPr>
              <w:pStyle w:val="TableText0"/>
              <w:rPr>
                <w:rFonts w:ascii="Times" w:hAnsi="Times"/>
              </w:rPr>
            </w:pPr>
            <w:r>
              <w:t>Number of patients treated</w:t>
            </w:r>
          </w:p>
        </w:tc>
        <w:tc>
          <w:tcPr>
            <w:tcW w:w="620"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364130C6" w14:textId="318432F2" w:rsidR="00AD0866" w:rsidRPr="00C828EC" w:rsidRDefault="00C828EC">
            <w:pPr>
              <w:pStyle w:val="TableText0"/>
              <w:jc w:val="center"/>
              <w:rPr>
                <w:color w:val="000000"/>
                <w:vertAlign w:val="superscript"/>
              </w:rPr>
            </w:pPr>
            <w:r w:rsidRPr="00C828EC">
              <w:rPr>
                <w:rFonts w:hint="eastAsia"/>
                <w:color w:val="000000"/>
                <w:w w:val="15"/>
                <w:fitText w:val="30" w:id="-1502409214"/>
                <w14:textFill>
                  <w14:solidFill>
                    <w14:srgbClr w14:val="000000">
                      <w14:alpha w14:val="100000"/>
                    </w14:srgbClr>
                  </w14:solidFill>
                </w14:textFill>
              </w:rPr>
              <w:t xml:space="preserve">　</w:t>
            </w:r>
            <w:r w:rsidRPr="00C828EC">
              <w:rPr>
                <w:color w:val="000000"/>
                <w:w w:val="15"/>
                <w:fitText w:val="30" w:id="-1502409214"/>
                <w14:textFill>
                  <w14:solidFill>
                    <w14:srgbClr w14:val="000000">
                      <w14:alpha w14:val="100000"/>
                    </w14:srgbClr>
                  </w14:solidFill>
                </w14:textFill>
              </w:rPr>
              <w:t>|</w:t>
            </w:r>
            <w:r w:rsidRPr="00C828EC">
              <w:rPr>
                <w:rFonts w:hint="eastAsia"/>
                <w:color w:val="000000"/>
                <w:spacing w:val="-35"/>
                <w:w w:val="15"/>
                <w:fitText w:val="30" w:id="-1502409214"/>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7DF8F0E5" w14:textId="72BA923A" w:rsidR="00AD0866" w:rsidRPr="00C828EC" w:rsidRDefault="00C828EC">
            <w:pPr>
              <w:pStyle w:val="TableText0"/>
              <w:jc w:val="center"/>
              <w:rPr>
                <w:color w:val="000000"/>
                <w:vertAlign w:val="superscript"/>
              </w:rPr>
            </w:pPr>
            <w:r w:rsidRPr="00C828EC">
              <w:rPr>
                <w:rFonts w:hint="eastAsia"/>
                <w:color w:val="000000"/>
                <w:w w:val="15"/>
                <w:fitText w:val="30" w:id="-1502409213"/>
                <w14:textFill>
                  <w14:solidFill>
                    <w14:srgbClr w14:val="000000">
                      <w14:alpha w14:val="100000"/>
                    </w14:srgbClr>
                  </w14:solidFill>
                </w14:textFill>
              </w:rPr>
              <w:t xml:space="preserve">　</w:t>
            </w:r>
            <w:r w:rsidRPr="00C828EC">
              <w:rPr>
                <w:color w:val="000000"/>
                <w:w w:val="15"/>
                <w:fitText w:val="30" w:id="-1502409213"/>
                <w14:textFill>
                  <w14:solidFill>
                    <w14:srgbClr w14:val="000000">
                      <w14:alpha w14:val="100000"/>
                    </w14:srgbClr>
                  </w14:solidFill>
                </w14:textFill>
              </w:rPr>
              <w:t>|</w:t>
            </w:r>
            <w:r w:rsidRPr="00C828EC">
              <w:rPr>
                <w:rFonts w:hint="eastAsia"/>
                <w:color w:val="000000"/>
                <w:spacing w:val="-35"/>
                <w:w w:val="15"/>
                <w:fitText w:val="30" w:id="-1502409213"/>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523E80A5" w14:textId="60F91BA8" w:rsidR="00AD0866" w:rsidRPr="00C828EC" w:rsidRDefault="00C828EC">
            <w:pPr>
              <w:pStyle w:val="TableText0"/>
              <w:jc w:val="center"/>
              <w:rPr>
                <w:color w:val="000000"/>
                <w:vertAlign w:val="superscript"/>
              </w:rPr>
            </w:pPr>
            <w:r w:rsidRPr="00C828EC">
              <w:rPr>
                <w:rFonts w:hint="eastAsia"/>
                <w:color w:val="000000"/>
                <w:w w:val="15"/>
                <w:fitText w:val="30" w:id="-1502409212"/>
                <w14:textFill>
                  <w14:solidFill>
                    <w14:srgbClr w14:val="000000">
                      <w14:alpha w14:val="100000"/>
                    </w14:srgbClr>
                  </w14:solidFill>
                </w14:textFill>
              </w:rPr>
              <w:t xml:space="preserve">　</w:t>
            </w:r>
            <w:r w:rsidRPr="00C828EC">
              <w:rPr>
                <w:color w:val="000000"/>
                <w:w w:val="15"/>
                <w:fitText w:val="30" w:id="-1502409212"/>
                <w14:textFill>
                  <w14:solidFill>
                    <w14:srgbClr w14:val="000000">
                      <w14:alpha w14:val="100000"/>
                    </w14:srgbClr>
                  </w14:solidFill>
                </w14:textFill>
              </w:rPr>
              <w:t>|</w:t>
            </w:r>
            <w:r w:rsidRPr="00C828EC">
              <w:rPr>
                <w:rFonts w:hint="eastAsia"/>
                <w:color w:val="000000"/>
                <w:spacing w:val="-35"/>
                <w:w w:val="15"/>
                <w:fitText w:val="30" w:id="-1502409212"/>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42DA12BB" w14:textId="7C5957DB" w:rsidR="00AD0866" w:rsidRPr="00C828EC" w:rsidRDefault="00C828EC">
            <w:pPr>
              <w:pStyle w:val="TableText0"/>
              <w:jc w:val="center"/>
              <w:rPr>
                <w:color w:val="000000"/>
                <w:vertAlign w:val="superscript"/>
              </w:rPr>
            </w:pPr>
            <w:r w:rsidRPr="00C828EC">
              <w:rPr>
                <w:rFonts w:hint="eastAsia"/>
                <w:color w:val="000000"/>
                <w:w w:val="15"/>
                <w:fitText w:val="30" w:id="-1502409211"/>
                <w14:textFill>
                  <w14:solidFill>
                    <w14:srgbClr w14:val="000000">
                      <w14:alpha w14:val="100000"/>
                    </w14:srgbClr>
                  </w14:solidFill>
                </w14:textFill>
              </w:rPr>
              <w:t xml:space="preserve">　</w:t>
            </w:r>
            <w:r w:rsidRPr="00C828EC">
              <w:rPr>
                <w:color w:val="000000"/>
                <w:w w:val="15"/>
                <w:fitText w:val="30" w:id="-1502409211"/>
                <w14:textFill>
                  <w14:solidFill>
                    <w14:srgbClr w14:val="000000">
                      <w14:alpha w14:val="100000"/>
                    </w14:srgbClr>
                  </w14:solidFill>
                </w14:textFill>
              </w:rPr>
              <w:t>|</w:t>
            </w:r>
            <w:r w:rsidRPr="00C828EC">
              <w:rPr>
                <w:rFonts w:hint="eastAsia"/>
                <w:color w:val="000000"/>
                <w:spacing w:val="-35"/>
                <w:w w:val="15"/>
                <w:fitText w:val="30" w:id="-1502409211"/>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430D7324" w14:textId="3201C151" w:rsidR="00AD0866" w:rsidRPr="00C828EC" w:rsidRDefault="00C828EC">
            <w:pPr>
              <w:pStyle w:val="TableText0"/>
              <w:jc w:val="center"/>
              <w:rPr>
                <w:color w:val="000000"/>
                <w:vertAlign w:val="superscript"/>
              </w:rPr>
            </w:pPr>
            <w:r w:rsidRPr="00C828EC">
              <w:rPr>
                <w:rFonts w:hint="eastAsia"/>
                <w:color w:val="000000"/>
                <w:w w:val="15"/>
                <w:fitText w:val="30" w:id="-1502409210"/>
                <w14:textFill>
                  <w14:solidFill>
                    <w14:srgbClr w14:val="000000">
                      <w14:alpha w14:val="100000"/>
                    </w14:srgbClr>
                  </w14:solidFill>
                </w14:textFill>
              </w:rPr>
              <w:t xml:space="preserve">　</w:t>
            </w:r>
            <w:r w:rsidRPr="00C828EC">
              <w:rPr>
                <w:color w:val="000000"/>
                <w:w w:val="15"/>
                <w:fitText w:val="30" w:id="-1502409210"/>
                <w14:textFill>
                  <w14:solidFill>
                    <w14:srgbClr w14:val="000000">
                      <w14:alpha w14:val="100000"/>
                    </w14:srgbClr>
                  </w14:solidFill>
                </w14:textFill>
              </w:rPr>
              <w:t>|</w:t>
            </w:r>
            <w:r w:rsidRPr="00C828EC">
              <w:rPr>
                <w:rFonts w:hint="eastAsia"/>
                <w:color w:val="000000"/>
                <w:spacing w:val="-35"/>
                <w:w w:val="15"/>
                <w:fitText w:val="30" w:id="-1502409210"/>
                <w14:textFill>
                  <w14:solidFill>
                    <w14:srgbClr w14:val="000000">
                      <w14:alpha w14:val="100000"/>
                    </w14:srgbClr>
                  </w14:solidFill>
                </w14:textFill>
              </w:rPr>
              <w:t xml:space="preserve">　</w:t>
            </w:r>
          </w:p>
        </w:tc>
        <w:tc>
          <w:tcPr>
            <w:tcW w:w="557"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7606F26F" w14:textId="6D266683" w:rsidR="00AD0866" w:rsidRPr="00C828EC" w:rsidRDefault="00C828EC">
            <w:pPr>
              <w:pStyle w:val="TableText0"/>
              <w:jc w:val="center"/>
              <w:rPr>
                <w:color w:val="000000"/>
                <w:vertAlign w:val="superscript"/>
              </w:rPr>
            </w:pPr>
            <w:r w:rsidRPr="00C828EC">
              <w:rPr>
                <w:rFonts w:hint="eastAsia"/>
                <w:color w:val="000000"/>
                <w:w w:val="16"/>
                <w:fitText w:val="75" w:id="-1502409209"/>
                <w14:textFill>
                  <w14:solidFill>
                    <w14:srgbClr w14:val="000000">
                      <w14:alpha w14:val="100000"/>
                    </w14:srgbClr>
                  </w14:solidFill>
                </w14:textFill>
              </w:rPr>
              <w:t xml:space="preserve">　</w:t>
            </w:r>
            <w:r w:rsidRPr="00C828EC">
              <w:rPr>
                <w:color w:val="000000"/>
                <w:w w:val="16"/>
                <w:fitText w:val="75" w:id="-1502409209"/>
                <w14:textFill>
                  <w14:solidFill>
                    <w14:srgbClr w14:val="000000">
                      <w14:alpha w14:val="100000"/>
                    </w14:srgbClr>
                  </w14:solidFill>
                </w14:textFill>
              </w:rPr>
              <w:t>|</w:t>
            </w:r>
            <w:r w:rsidRPr="00C828EC">
              <w:rPr>
                <w:rFonts w:hint="eastAsia"/>
                <w:color w:val="000000"/>
                <w:w w:val="16"/>
                <w:fitText w:val="75" w:id="-1502409209"/>
                <w14:textFill>
                  <w14:solidFill>
                    <w14:srgbClr w14:val="000000">
                      <w14:alpha w14:val="100000"/>
                    </w14:srgbClr>
                  </w14:solidFill>
                </w14:textFill>
              </w:rPr>
              <w:t xml:space="preserve">　</w:t>
            </w:r>
          </w:p>
        </w:tc>
      </w:tr>
      <w:tr w:rsidR="00DB5681" w14:paraId="1892D88E" w14:textId="77777777" w:rsidTr="00C828EC">
        <w:tc>
          <w:tcPr>
            <w:tcW w:w="1347" w:type="pct"/>
            <w:tcBorders>
              <w:top w:val="single" w:sz="4" w:space="0" w:color="auto"/>
              <w:left w:val="single" w:sz="4" w:space="0" w:color="auto"/>
              <w:bottom w:val="single" w:sz="4" w:space="0" w:color="auto"/>
              <w:right w:val="single" w:sz="4" w:space="0" w:color="auto"/>
            </w:tcBorders>
            <w:vAlign w:val="center"/>
            <w:hideMark/>
          </w:tcPr>
          <w:p w14:paraId="328825F7" w14:textId="77777777" w:rsidR="00AD0866" w:rsidRDefault="00AD0866">
            <w:pPr>
              <w:pStyle w:val="TableText0"/>
              <w:rPr>
                <w:rFonts w:ascii="Times" w:hAnsi="Times"/>
              </w:rPr>
            </w:pPr>
            <w:r>
              <w:t xml:space="preserve">Number of scripts </w:t>
            </w:r>
            <w:proofErr w:type="spellStart"/>
            <w:r>
              <w:t>dispensed</w:t>
            </w:r>
            <w:r>
              <w:rPr>
                <w:vertAlign w:val="superscript"/>
              </w:rPr>
              <w:t>a</w:t>
            </w:r>
            <w:proofErr w:type="spellEnd"/>
          </w:p>
        </w:tc>
        <w:tc>
          <w:tcPr>
            <w:tcW w:w="620"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2C253C37" w14:textId="2DCA6942" w:rsidR="00AD0866" w:rsidRPr="00C828EC" w:rsidRDefault="00C828EC">
            <w:pPr>
              <w:pStyle w:val="TableText0"/>
              <w:jc w:val="center"/>
              <w:rPr>
                <w:color w:val="000000"/>
                <w:vertAlign w:val="superscript"/>
              </w:rPr>
            </w:pPr>
            <w:r w:rsidRPr="00C828EC">
              <w:rPr>
                <w:rFonts w:hint="eastAsia"/>
                <w:color w:val="000000"/>
                <w:w w:val="15"/>
                <w:fitText w:val="30" w:id="-1502409208"/>
                <w14:textFill>
                  <w14:solidFill>
                    <w14:srgbClr w14:val="000000">
                      <w14:alpha w14:val="100000"/>
                    </w14:srgbClr>
                  </w14:solidFill>
                </w14:textFill>
              </w:rPr>
              <w:t xml:space="preserve">　</w:t>
            </w:r>
            <w:r w:rsidRPr="00C828EC">
              <w:rPr>
                <w:color w:val="000000"/>
                <w:w w:val="15"/>
                <w:fitText w:val="30" w:id="-1502409208"/>
                <w14:textFill>
                  <w14:solidFill>
                    <w14:srgbClr w14:val="000000">
                      <w14:alpha w14:val="100000"/>
                    </w14:srgbClr>
                  </w14:solidFill>
                </w14:textFill>
              </w:rPr>
              <w:t>|</w:t>
            </w:r>
            <w:r w:rsidRPr="00C828EC">
              <w:rPr>
                <w:rFonts w:hint="eastAsia"/>
                <w:color w:val="000000"/>
                <w:spacing w:val="-35"/>
                <w:w w:val="15"/>
                <w:fitText w:val="30" w:id="-1502409208"/>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2B83C866" w14:textId="690D93EB" w:rsidR="00AD0866" w:rsidRPr="00C828EC" w:rsidRDefault="00C828EC">
            <w:pPr>
              <w:pStyle w:val="TableText0"/>
              <w:jc w:val="center"/>
              <w:rPr>
                <w:color w:val="000000"/>
                <w:vertAlign w:val="superscript"/>
              </w:rPr>
            </w:pPr>
            <w:r w:rsidRPr="00C828EC">
              <w:rPr>
                <w:rFonts w:hint="eastAsia"/>
                <w:color w:val="000000"/>
                <w:w w:val="15"/>
                <w:fitText w:val="30" w:id="-1502409207"/>
                <w14:textFill>
                  <w14:solidFill>
                    <w14:srgbClr w14:val="000000">
                      <w14:alpha w14:val="100000"/>
                    </w14:srgbClr>
                  </w14:solidFill>
                </w14:textFill>
              </w:rPr>
              <w:t xml:space="preserve">　</w:t>
            </w:r>
            <w:r w:rsidRPr="00C828EC">
              <w:rPr>
                <w:color w:val="000000"/>
                <w:w w:val="15"/>
                <w:fitText w:val="30" w:id="-1502409207"/>
                <w14:textFill>
                  <w14:solidFill>
                    <w14:srgbClr w14:val="000000">
                      <w14:alpha w14:val="100000"/>
                    </w14:srgbClr>
                  </w14:solidFill>
                </w14:textFill>
              </w:rPr>
              <w:t>|</w:t>
            </w:r>
            <w:r w:rsidRPr="00C828EC">
              <w:rPr>
                <w:rFonts w:hint="eastAsia"/>
                <w:color w:val="000000"/>
                <w:spacing w:val="-35"/>
                <w:w w:val="15"/>
                <w:fitText w:val="30" w:id="-1502409207"/>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79ABB04A" w14:textId="362C398A" w:rsidR="00AD0866" w:rsidRPr="00C828EC" w:rsidRDefault="00C828EC">
            <w:pPr>
              <w:pStyle w:val="TableText0"/>
              <w:jc w:val="center"/>
              <w:rPr>
                <w:color w:val="000000"/>
                <w:vertAlign w:val="superscript"/>
              </w:rPr>
            </w:pPr>
            <w:r w:rsidRPr="00C828EC">
              <w:rPr>
                <w:rFonts w:hint="eastAsia"/>
                <w:color w:val="000000"/>
                <w:w w:val="15"/>
                <w:fitText w:val="30" w:id="-1502409206"/>
                <w14:textFill>
                  <w14:solidFill>
                    <w14:srgbClr w14:val="000000">
                      <w14:alpha w14:val="100000"/>
                    </w14:srgbClr>
                  </w14:solidFill>
                </w14:textFill>
              </w:rPr>
              <w:t xml:space="preserve">　</w:t>
            </w:r>
            <w:r w:rsidRPr="00C828EC">
              <w:rPr>
                <w:color w:val="000000"/>
                <w:w w:val="15"/>
                <w:fitText w:val="30" w:id="-1502409206"/>
                <w14:textFill>
                  <w14:solidFill>
                    <w14:srgbClr w14:val="000000">
                      <w14:alpha w14:val="100000"/>
                    </w14:srgbClr>
                  </w14:solidFill>
                </w14:textFill>
              </w:rPr>
              <w:t>|</w:t>
            </w:r>
            <w:r w:rsidRPr="00C828EC">
              <w:rPr>
                <w:rFonts w:hint="eastAsia"/>
                <w:color w:val="000000"/>
                <w:spacing w:val="-35"/>
                <w:w w:val="15"/>
                <w:fitText w:val="30" w:id="-1502409206"/>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4A9712C6" w14:textId="3085BCD4" w:rsidR="00AD0866" w:rsidRPr="00C828EC" w:rsidRDefault="00C828EC">
            <w:pPr>
              <w:pStyle w:val="TableText0"/>
              <w:jc w:val="center"/>
              <w:rPr>
                <w:color w:val="000000"/>
                <w:vertAlign w:val="superscript"/>
              </w:rPr>
            </w:pPr>
            <w:r w:rsidRPr="00C828EC">
              <w:rPr>
                <w:rFonts w:hint="eastAsia"/>
                <w:color w:val="000000"/>
                <w:w w:val="15"/>
                <w:fitText w:val="30" w:id="-1502409205"/>
                <w14:textFill>
                  <w14:solidFill>
                    <w14:srgbClr w14:val="000000">
                      <w14:alpha w14:val="100000"/>
                    </w14:srgbClr>
                  </w14:solidFill>
                </w14:textFill>
              </w:rPr>
              <w:t xml:space="preserve">　</w:t>
            </w:r>
            <w:r w:rsidRPr="00C828EC">
              <w:rPr>
                <w:color w:val="000000"/>
                <w:w w:val="15"/>
                <w:fitText w:val="30" w:id="-1502409205"/>
                <w14:textFill>
                  <w14:solidFill>
                    <w14:srgbClr w14:val="000000">
                      <w14:alpha w14:val="100000"/>
                    </w14:srgbClr>
                  </w14:solidFill>
                </w14:textFill>
              </w:rPr>
              <w:t>|</w:t>
            </w:r>
            <w:r w:rsidRPr="00C828EC">
              <w:rPr>
                <w:rFonts w:hint="eastAsia"/>
                <w:color w:val="000000"/>
                <w:spacing w:val="-35"/>
                <w:w w:val="15"/>
                <w:fitText w:val="30" w:id="-1502409205"/>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20B81491" w14:textId="41FDFA0E" w:rsidR="00AD0866" w:rsidRPr="00C828EC" w:rsidRDefault="00C828EC">
            <w:pPr>
              <w:pStyle w:val="TableText0"/>
              <w:jc w:val="center"/>
              <w:rPr>
                <w:color w:val="000000"/>
                <w:vertAlign w:val="superscript"/>
              </w:rPr>
            </w:pPr>
            <w:r w:rsidRPr="00C828EC">
              <w:rPr>
                <w:rFonts w:hint="eastAsia"/>
                <w:color w:val="000000"/>
                <w:w w:val="15"/>
                <w:fitText w:val="30" w:id="-1502409204"/>
                <w14:textFill>
                  <w14:solidFill>
                    <w14:srgbClr w14:val="000000">
                      <w14:alpha w14:val="100000"/>
                    </w14:srgbClr>
                  </w14:solidFill>
                </w14:textFill>
              </w:rPr>
              <w:t xml:space="preserve">　</w:t>
            </w:r>
            <w:r w:rsidRPr="00C828EC">
              <w:rPr>
                <w:color w:val="000000"/>
                <w:w w:val="15"/>
                <w:fitText w:val="30" w:id="-1502409204"/>
                <w14:textFill>
                  <w14:solidFill>
                    <w14:srgbClr w14:val="000000">
                      <w14:alpha w14:val="100000"/>
                    </w14:srgbClr>
                  </w14:solidFill>
                </w14:textFill>
              </w:rPr>
              <w:t>|</w:t>
            </w:r>
            <w:r w:rsidRPr="00C828EC">
              <w:rPr>
                <w:rFonts w:hint="eastAsia"/>
                <w:color w:val="000000"/>
                <w:spacing w:val="-35"/>
                <w:w w:val="15"/>
                <w:fitText w:val="30" w:id="-1502409204"/>
                <w14:textFill>
                  <w14:solidFill>
                    <w14:srgbClr w14:val="000000">
                      <w14:alpha w14:val="100000"/>
                    </w14:srgbClr>
                  </w14:solidFill>
                </w14:textFill>
              </w:rPr>
              <w:t xml:space="preserve">　</w:t>
            </w:r>
          </w:p>
        </w:tc>
        <w:tc>
          <w:tcPr>
            <w:tcW w:w="557"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50F9C1F6" w14:textId="3425D1D4" w:rsidR="00AD0866" w:rsidRPr="00C828EC" w:rsidRDefault="00C828EC">
            <w:pPr>
              <w:pStyle w:val="TableText0"/>
              <w:jc w:val="center"/>
              <w:rPr>
                <w:color w:val="000000"/>
                <w:vertAlign w:val="superscript"/>
              </w:rPr>
            </w:pPr>
            <w:r w:rsidRPr="00C828EC">
              <w:rPr>
                <w:rFonts w:hint="eastAsia"/>
                <w:color w:val="000000"/>
                <w:w w:val="16"/>
                <w:fitText w:val="75" w:id="-1502409203"/>
                <w14:textFill>
                  <w14:solidFill>
                    <w14:srgbClr w14:val="000000">
                      <w14:alpha w14:val="100000"/>
                    </w14:srgbClr>
                  </w14:solidFill>
                </w14:textFill>
              </w:rPr>
              <w:t xml:space="preserve">　</w:t>
            </w:r>
            <w:r w:rsidRPr="00C828EC">
              <w:rPr>
                <w:color w:val="000000"/>
                <w:w w:val="16"/>
                <w:fitText w:val="75" w:id="-1502409203"/>
                <w14:textFill>
                  <w14:solidFill>
                    <w14:srgbClr w14:val="000000">
                      <w14:alpha w14:val="100000"/>
                    </w14:srgbClr>
                  </w14:solidFill>
                </w14:textFill>
              </w:rPr>
              <w:t>|</w:t>
            </w:r>
            <w:r w:rsidRPr="00C828EC">
              <w:rPr>
                <w:rFonts w:hint="eastAsia"/>
                <w:color w:val="000000"/>
                <w:w w:val="16"/>
                <w:fitText w:val="75" w:id="-1502409203"/>
                <w14:textFill>
                  <w14:solidFill>
                    <w14:srgbClr w14:val="000000">
                      <w14:alpha w14:val="100000"/>
                    </w14:srgbClr>
                  </w14:solidFill>
                </w14:textFill>
              </w:rPr>
              <w:t xml:space="preserve">　</w:t>
            </w:r>
          </w:p>
        </w:tc>
      </w:tr>
      <w:tr w:rsidR="00AD0866" w14:paraId="60474925" w14:textId="77777777" w:rsidTr="00DB5681">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48A7F6D" w14:textId="77777777" w:rsidR="00AD0866" w:rsidRDefault="00AD0866">
            <w:pPr>
              <w:pStyle w:val="In-tableHeading"/>
            </w:pPr>
            <w:r>
              <w:t xml:space="preserve">Estimated financial implications of </w:t>
            </w:r>
            <w:proofErr w:type="spellStart"/>
            <w:r>
              <w:t>enfortumab</w:t>
            </w:r>
            <w:proofErr w:type="spellEnd"/>
            <w:r>
              <w:t xml:space="preserve"> </w:t>
            </w:r>
            <w:proofErr w:type="spellStart"/>
            <w:r>
              <w:t>vedotin</w:t>
            </w:r>
            <w:proofErr w:type="spellEnd"/>
          </w:p>
        </w:tc>
      </w:tr>
      <w:tr w:rsidR="00DB5681" w14:paraId="1464CDEF" w14:textId="77777777" w:rsidTr="00C828EC">
        <w:tc>
          <w:tcPr>
            <w:tcW w:w="1347" w:type="pct"/>
            <w:tcBorders>
              <w:top w:val="single" w:sz="4" w:space="0" w:color="auto"/>
              <w:left w:val="single" w:sz="4" w:space="0" w:color="auto"/>
              <w:bottom w:val="single" w:sz="4" w:space="0" w:color="auto"/>
              <w:right w:val="single" w:sz="4" w:space="0" w:color="auto"/>
            </w:tcBorders>
            <w:vAlign w:val="center"/>
            <w:hideMark/>
          </w:tcPr>
          <w:p w14:paraId="29CDF466" w14:textId="4498F566" w:rsidR="00AD0866" w:rsidRPr="0090285A" w:rsidRDefault="00AD0866">
            <w:pPr>
              <w:pStyle w:val="TableText0"/>
              <w:rPr>
                <w:i/>
                <w:iCs/>
                <w:sz w:val="19"/>
                <w:szCs w:val="19"/>
              </w:rPr>
            </w:pPr>
            <w:r>
              <w:rPr>
                <w:sz w:val="19"/>
                <w:szCs w:val="19"/>
              </w:rPr>
              <w:t xml:space="preserve">Cost to PBS/RPBS less </w:t>
            </w:r>
            <w:proofErr w:type="spellStart"/>
            <w:r>
              <w:rPr>
                <w:sz w:val="19"/>
                <w:szCs w:val="19"/>
              </w:rPr>
              <w:t>copayments</w:t>
            </w:r>
            <w:r w:rsidR="002035D2" w:rsidRPr="002035D2">
              <w:rPr>
                <w:sz w:val="19"/>
                <w:szCs w:val="19"/>
                <w:vertAlign w:val="superscript"/>
              </w:rPr>
              <w:t>b</w:t>
            </w:r>
            <w:proofErr w:type="spellEnd"/>
            <w:r w:rsidR="0090285A">
              <w:rPr>
                <w:sz w:val="19"/>
                <w:szCs w:val="19"/>
                <w:vertAlign w:val="superscript"/>
              </w:rPr>
              <w:t xml:space="preserve"> </w:t>
            </w:r>
            <w:r w:rsidR="0090285A">
              <w:rPr>
                <w:sz w:val="19"/>
                <w:szCs w:val="19"/>
              </w:rPr>
              <w:t>($)</w:t>
            </w:r>
          </w:p>
        </w:tc>
        <w:tc>
          <w:tcPr>
            <w:tcW w:w="620"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5D25AC5E" w14:textId="637DEF10" w:rsidR="00AD0866" w:rsidRPr="00C828EC" w:rsidRDefault="00C828EC" w:rsidP="00EC7D63">
            <w:pPr>
              <w:pStyle w:val="TableText0"/>
              <w:jc w:val="center"/>
              <w:rPr>
                <w:iCs/>
                <w:vertAlign w:val="superscript"/>
              </w:rPr>
            </w:pPr>
            <w:r w:rsidRPr="00C828EC">
              <w:rPr>
                <w:rFonts w:cs="Arial Narrow" w:hint="eastAsia"/>
                <w:iCs/>
                <w:color w:val="000000"/>
                <w:w w:val="15"/>
                <w:szCs w:val="20"/>
                <w:fitText w:val="30" w:id="-1502409202"/>
                <w14:textFill>
                  <w14:solidFill>
                    <w14:srgbClr w14:val="000000">
                      <w14:alpha w14:val="100000"/>
                    </w14:srgbClr>
                  </w14:solidFill>
                </w14:textFill>
              </w:rPr>
              <w:t xml:space="preserve">　</w:t>
            </w:r>
            <w:r w:rsidRPr="00C828EC">
              <w:rPr>
                <w:rFonts w:cs="Arial Narrow"/>
                <w:iCs/>
                <w:color w:val="000000"/>
                <w:w w:val="15"/>
                <w:szCs w:val="20"/>
                <w:fitText w:val="30" w:id="-1502409202"/>
                <w14:textFill>
                  <w14:solidFill>
                    <w14:srgbClr w14:val="000000">
                      <w14:alpha w14:val="100000"/>
                    </w14:srgbClr>
                  </w14:solidFill>
                </w14:textFill>
              </w:rPr>
              <w:t>|</w:t>
            </w:r>
            <w:r w:rsidRPr="00C828EC">
              <w:rPr>
                <w:rFonts w:cs="Arial Narrow" w:hint="eastAsia"/>
                <w:iCs/>
                <w:color w:val="000000"/>
                <w:spacing w:val="-35"/>
                <w:w w:val="15"/>
                <w:szCs w:val="20"/>
                <w:fitText w:val="30" w:id="-1502409202"/>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09527EA6" w14:textId="1DA41A14" w:rsidR="00AD0866" w:rsidRPr="00C828EC" w:rsidRDefault="00C828EC" w:rsidP="00EC7D63">
            <w:pPr>
              <w:pStyle w:val="TableText0"/>
              <w:jc w:val="center"/>
              <w:rPr>
                <w:iCs/>
                <w:vertAlign w:val="superscript"/>
              </w:rPr>
            </w:pPr>
            <w:r w:rsidRPr="00C828EC">
              <w:rPr>
                <w:rFonts w:cs="Arial Narrow" w:hint="eastAsia"/>
                <w:iCs/>
                <w:color w:val="000000"/>
                <w:w w:val="15"/>
                <w:szCs w:val="20"/>
                <w:fitText w:val="30" w:id="-1502409201"/>
                <w14:textFill>
                  <w14:solidFill>
                    <w14:srgbClr w14:val="000000">
                      <w14:alpha w14:val="100000"/>
                    </w14:srgbClr>
                  </w14:solidFill>
                </w14:textFill>
              </w:rPr>
              <w:t xml:space="preserve">　</w:t>
            </w:r>
            <w:r w:rsidRPr="00C828EC">
              <w:rPr>
                <w:rFonts w:cs="Arial Narrow"/>
                <w:iCs/>
                <w:color w:val="000000"/>
                <w:w w:val="15"/>
                <w:szCs w:val="20"/>
                <w:fitText w:val="30" w:id="-1502409201"/>
                <w14:textFill>
                  <w14:solidFill>
                    <w14:srgbClr w14:val="000000">
                      <w14:alpha w14:val="100000"/>
                    </w14:srgbClr>
                  </w14:solidFill>
                </w14:textFill>
              </w:rPr>
              <w:t>|</w:t>
            </w:r>
            <w:r w:rsidRPr="00C828EC">
              <w:rPr>
                <w:rFonts w:cs="Arial Narrow" w:hint="eastAsia"/>
                <w:iCs/>
                <w:color w:val="000000"/>
                <w:spacing w:val="-35"/>
                <w:w w:val="15"/>
                <w:szCs w:val="20"/>
                <w:fitText w:val="30" w:id="-1502409201"/>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3CD15A61" w14:textId="0167AB9D" w:rsidR="00AD0866" w:rsidRPr="00C828EC" w:rsidRDefault="00C828EC" w:rsidP="00EC7D63">
            <w:pPr>
              <w:pStyle w:val="TableText0"/>
              <w:jc w:val="center"/>
              <w:rPr>
                <w:iCs/>
                <w:vertAlign w:val="superscript"/>
              </w:rPr>
            </w:pPr>
            <w:r w:rsidRPr="00C828EC">
              <w:rPr>
                <w:rFonts w:cs="Arial Narrow" w:hint="eastAsia"/>
                <w:iCs/>
                <w:color w:val="000000"/>
                <w:w w:val="15"/>
                <w:szCs w:val="20"/>
                <w:fitText w:val="30" w:id="-1502409200"/>
                <w14:textFill>
                  <w14:solidFill>
                    <w14:srgbClr w14:val="000000">
                      <w14:alpha w14:val="100000"/>
                    </w14:srgbClr>
                  </w14:solidFill>
                </w14:textFill>
              </w:rPr>
              <w:t xml:space="preserve">　</w:t>
            </w:r>
            <w:r w:rsidRPr="00C828EC">
              <w:rPr>
                <w:rFonts w:cs="Arial Narrow"/>
                <w:iCs/>
                <w:color w:val="000000"/>
                <w:w w:val="15"/>
                <w:szCs w:val="20"/>
                <w:fitText w:val="30" w:id="-1502409200"/>
                <w14:textFill>
                  <w14:solidFill>
                    <w14:srgbClr w14:val="000000">
                      <w14:alpha w14:val="100000"/>
                    </w14:srgbClr>
                  </w14:solidFill>
                </w14:textFill>
              </w:rPr>
              <w:t>|</w:t>
            </w:r>
            <w:r w:rsidRPr="00C828EC">
              <w:rPr>
                <w:rFonts w:cs="Arial Narrow" w:hint="eastAsia"/>
                <w:iCs/>
                <w:color w:val="000000"/>
                <w:spacing w:val="-35"/>
                <w:w w:val="15"/>
                <w:szCs w:val="20"/>
                <w:fitText w:val="30" w:id="-1502409200"/>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46851E4B" w14:textId="3E79F709" w:rsidR="00AD0866" w:rsidRPr="00C828EC" w:rsidRDefault="00C828EC" w:rsidP="00EC7D63">
            <w:pPr>
              <w:pStyle w:val="TableText0"/>
              <w:jc w:val="center"/>
              <w:rPr>
                <w:iCs/>
                <w:vertAlign w:val="superscript"/>
              </w:rPr>
            </w:pPr>
            <w:r w:rsidRPr="00C828EC">
              <w:rPr>
                <w:rFonts w:cs="Arial Narrow" w:hint="eastAsia"/>
                <w:iCs/>
                <w:color w:val="000000"/>
                <w:w w:val="15"/>
                <w:szCs w:val="20"/>
                <w:fitText w:val="30" w:id="-1502409216"/>
                <w14:textFill>
                  <w14:solidFill>
                    <w14:srgbClr w14:val="000000">
                      <w14:alpha w14:val="100000"/>
                    </w14:srgbClr>
                  </w14:solidFill>
                </w14:textFill>
              </w:rPr>
              <w:t xml:space="preserve">　</w:t>
            </w:r>
            <w:r w:rsidRPr="00C828EC">
              <w:rPr>
                <w:rFonts w:cs="Arial Narrow"/>
                <w:iCs/>
                <w:color w:val="000000"/>
                <w:w w:val="15"/>
                <w:szCs w:val="20"/>
                <w:fitText w:val="30" w:id="-1502409216"/>
                <w14:textFill>
                  <w14:solidFill>
                    <w14:srgbClr w14:val="000000">
                      <w14:alpha w14:val="100000"/>
                    </w14:srgbClr>
                  </w14:solidFill>
                </w14:textFill>
              </w:rPr>
              <w:t>|</w:t>
            </w:r>
            <w:r w:rsidRPr="00C828EC">
              <w:rPr>
                <w:rFonts w:cs="Arial Narrow" w:hint="eastAsia"/>
                <w:iCs/>
                <w:color w:val="000000"/>
                <w:spacing w:val="-35"/>
                <w:w w:val="15"/>
                <w:szCs w:val="20"/>
                <w:fitText w:val="30" w:id="-1502409216"/>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7BE80207" w14:textId="1F0BD42A" w:rsidR="00AD0866" w:rsidRPr="00C828EC" w:rsidRDefault="00C828EC" w:rsidP="00EC7D63">
            <w:pPr>
              <w:pStyle w:val="TableText0"/>
              <w:jc w:val="center"/>
              <w:rPr>
                <w:iCs/>
                <w:vertAlign w:val="superscript"/>
              </w:rPr>
            </w:pPr>
            <w:r w:rsidRPr="00C828EC">
              <w:rPr>
                <w:rFonts w:cs="Arial Narrow" w:hint="eastAsia"/>
                <w:iCs/>
                <w:color w:val="000000"/>
                <w:w w:val="15"/>
                <w:szCs w:val="20"/>
                <w:fitText w:val="30" w:id="-1502409215"/>
                <w14:textFill>
                  <w14:solidFill>
                    <w14:srgbClr w14:val="000000">
                      <w14:alpha w14:val="100000"/>
                    </w14:srgbClr>
                  </w14:solidFill>
                </w14:textFill>
              </w:rPr>
              <w:t xml:space="preserve">　</w:t>
            </w:r>
            <w:r w:rsidRPr="00C828EC">
              <w:rPr>
                <w:rFonts w:cs="Arial Narrow"/>
                <w:iCs/>
                <w:color w:val="000000"/>
                <w:w w:val="15"/>
                <w:szCs w:val="20"/>
                <w:fitText w:val="30" w:id="-1502409215"/>
                <w14:textFill>
                  <w14:solidFill>
                    <w14:srgbClr w14:val="000000">
                      <w14:alpha w14:val="100000"/>
                    </w14:srgbClr>
                  </w14:solidFill>
                </w14:textFill>
              </w:rPr>
              <w:t>|</w:t>
            </w:r>
            <w:r w:rsidRPr="00C828EC">
              <w:rPr>
                <w:rFonts w:cs="Arial Narrow" w:hint="eastAsia"/>
                <w:iCs/>
                <w:color w:val="000000"/>
                <w:spacing w:val="-35"/>
                <w:w w:val="15"/>
                <w:szCs w:val="20"/>
                <w:fitText w:val="30" w:id="-1502409215"/>
                <w14:textFill>
                  <w14:solidFill>
                    <w14:srgbClr w14:val="000000">
                      <w14:alpha w14:val="100000"/>
                    </w14:srgbClr>
                  </w14:solidFill>
                </w14:textFill>
              </w:rPr>
              <w:t xml:space="preserve">　</w:t>
            </w:r>
          </w:p>
        </w:tc>
        <w:tc>
          <w:tcPr>
            <w:tcW w:w="557"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0EA2BE22" w14:textId="779AD686" w:rsidR="00AD0866" w:rsidRPr="00C828EC" w:rsidRDefault="00C828EC" w:rsidP="00EC7D63">
            <w:pPr>
              <w:pStyle w:val="TableText0"/>
              <w:jc w:val="center"/>
              <w:rPr>
                <w:iCs/>
                <w:vertAlign w:val="superscript"/>
              </w:rPr>
            </w:pPr>
            <w:r w:rsidRPr="00C828EC">
              <w:rPr>
                <w:rFonts w:cs="Arial Narrow" w:hint="eastAsia"/>
                <w:iCs/>
                <w:color w:val="000000"/>
                <w:w w:val="16"/>
                <w:szCs w:val="20"/>
                <w:fitText w:val="75" w:id="-1502409214"/>
                <w14:textFill>
                  <w14:solidFill>
                    <w14:srgbClr w14:val="000000">
                      <w14:alpha w14:val="100000"/>
                    </w14:srgbClr>
                  </w14:solidFill>
                </w14:textFill>
              </w:rPr>
              <w:t xml:space="preserve">　</w:t>
            </w:r>
            <w:r w:rsidRPr="00C828EC">
              <w:rPr>
                <w:rFonts w:cs="Arial Narrow"/>
                <w:iCs/>
                <w:color w:val="000000"/>
                <w:w w:val="16"/>
                <w:szCs w:val="20"/>
                <w:fitText w:val="75" w:id="-1502409214"/>
                <w14:textFill>
                  <w14:solidFill>
                    <w14:srgbClr w14:val="000000">
                      <w14:alpha w14:val="100000"/>
                    </w14:srgbClr>
                  </w14:solidFill>
                </w14:textFill>
              </w:rPr>
              <w:t>|</w:t>
            </w:r>
            <w:r w:rsidRPr="00C828EC">
              <w:rPr>
                <w:rFonts w:cs="Arial Narrow" w:hint="eastAsia"/>
                <w:iCs/>
                <w:color w:val="000000"/>
                <w:w w:val="16"/>
                <w:szCs w:val="20"/>
                <w:fitText w:val="75" w:id="-1502409214"/>
                <w14:textFill>
                  <w14:solidFill>
                    <w14:srgbClr w14:val="000000">
                      <w14:alpha w14:val="100000"/>
                    </w14:srgbClr>
                  </w14:solidFill>
                </w14:textFill>
              </w:rPr>
              <w:t xml:space="preserve">　</w:t>
            </w:r>
          </w:p>
        </w:tc>
      </w:tr>
      <w:tr w:rsidR="00AD0866" w14:paraId="12C54E04" w14:textId="77777777" w:rsidTr="00DB5681">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A3D0A69" w14:textId="77777777" w:rsidR="00AD0866" w:rsidRDefault="00AD0866">
            <w:pPr>
              <w:pStyle w:val="TableText0"/>
            </w:pPr>
            <w:r>
              <w:t>Estimated financial implications for other medicines</w:t>
            </w:r>
          </w:p>
        </w:tc>
      </w:tr>
      <w:tr w:rsidR="00DB5681" w14:paraId="5B7BADD8" w14:textId="77777777" w:rsidTr="00C828EC">
        <w:tc>
          <w:tcPr>
            <w:tcW w:w="1347" w:type="pct"/>
            <w:tcBorders>
              <w:top w:val="single" w:sz="4" w:space="0" w:color="auto"/>
              <w:left w:val="single" w:sz="4" w:space="0" w:color="auto"/>
              <w:bottom w:val="single" w:sz="4" w:space="0" w:color="auto"/>
              <w:right w:val="single" w:sz="4" w:space="0" w:color="auto"/>
            </w:tcBorders>
            <w:vAlign w:val="center"/>
            <w:hideMark/>
          </w:tcPr>
          <w:p w14:paraId="364EAA46" w14:textId="77777777" w:rsidR="00AD0866" w:rsidRDefault="00AD0866">
            <w:pPr>
              <w:pStyle w:val="TableText0"/>
              <w:rPr>
                <w:sz w:val="19"/>
                <w:szCs w:val="19"/>
              </w:rPr>
            </w:pPr>
            <w:r>
              <w:rPr>
                <w:sz w:val="19"/>
                <w:szCs w:val="19"/>
              </w:rPr>
              <w:t>Cost to PBS/RPBS less copayments</w:t>
            </w:r>
          </w:p>
        </w:tc>
        <w:tc>
          <w:tcPr>
            <w:tcW w:w="620"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02E70977" w14:textId="197B5040" w:rsidR="00AD0866" w:rsidRPr="00C828EC" w:rsidRDefault="00C828EC">
            <w:pPr>
              <w:pStyle w:val="TableText0"/>
              <w:jc w:val="center"/>
              <w:rPr>
                <w:vertAlign w:val="superscript"/>
              </w:rPr>
            </w:pPr>
            <w:r w:rsidRPr="00C828EC">
              <w:rPr>
                <w:rFonts w:hint="eastAsia"/>
                <w:color w:val="000000"/>
                <w:w w:val="15"/>
                <w:fitText w:val="30" w:id="-1502409213"/>
                <w14:textFill>
                  <w14:solidFill>
                    <w14:srgbClr w14:val="000000">
                      <w14:alpha w14:val="100000"/>
                    </w14:srgbClr>
                  </w14:solidFill>
                </w14:textFill>
              </w:rPr>
              <w:t xml:space="preserve">　</w:t>
            </w:r>
            <w:r w:rsidRPr="00C828EC">
              <w:rPr>
                <w:color w:val="000000"/>
                <w:w w:val="15"/>
                <w:fitText w:val="30" w:id="-1502409213"/>
                <w14:textFill>
                  <w14:solidFill>
                    <w14:srgbClr w14:val="000000">
                      <w14:alpha w14:val="100000"/>
                    </w14:srgbClr>
                  </w14:solidFill>
                </w14:textFill>
              </w:rPr>
              <w:t>|</w:t>
            </w:r>
            <w:r w:rsidRPr="00C828EC">
              <w:rPr>
                <w:rFonts w:hint="eastAsia"/>
                <w:color w:val="000000"/>
                <w:spacing w:val="-35"/>
                <w:w w:val="15"/>
                <w:fitText w:val="30" w:id="-1502409213"/>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7462B906" w14:textId="191D9B68" w:rsidR="00AD0866" w:rsidRPr="00C828EC" w:rsidRDefault="00C828EC">
            <w:pPr>
              <w:pStyle w:val="TableText0"/>
              <w:jc w:val="center"/>
              <w:rPr>
                <w:vertAlign w:val="superscript"/>
              </w:rPr>
            </w:pPr>
            <w:r w:rsidRPr="00C828EC">
              <w:rPr>
                <w:rFonts w:hint="eastAsia"/>
                <w:color w:val="000000"/>
                <w:w w:val="15"/>
                <w:fitText w:val="30" w:id="-1502409212"/>
                <w14:textFill>
                  <w14:solidFill>
                    <w14:srgbClr w14:val="000000">
                      <w14:alpha w14:val="100000"/>
                    </w14:srgbClr>
                  </w14:solidFill>
                </w14:textFill>
              </w:rPr>
              <w:t xml:space="preserve">　</w:t>
            </w:r>
            <w:r w:rsidRPr="00C828EC">
              <w:rPr>
                <w:color w:val="000000"/>
                <w:w w:val="15"/>
                <w:fitText w:val="30" w:id="-1502409212"/>
                <w14:textFill>
                  <w14:solidFill>
                    <w14:srgbClr w14:val="000000">
                      <w14:alpha w14:val="100000"/>
                    </w14:srgbClr>
                  </w14:solidFill>
                </w14:textFill>
              </w:rPr>
              <w:t>|</w:t>
            </w:r>
            <w:r w:rsidRPr="00C828EC">
              <w:rPr>
                <w:rFonts w:hint="eastAsia"/>
                <w:color w:val="000000"/>
                <w:spacing w:val="-35"/>
                <w:w w:val="15"/>
                <w:fitText w:val="30" w:id="-1502409212"/>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0A610E20" w14:textId="6FD65986" w:rsidR="00AD0866" w:rsidRPr="00C828EC" w:rsidRDefault="00C828EC">
            <w:pPr>
              <w:pStyle w:val="TableText0"/>
              <w:jc w:val="center"/>
              <w:rPr>
                <w:vertAlign w:val="superscript"/>
              </w:rPr>
            </w:pPr>
            <w:r w:rsidRPr="00C828EC">
              <w:rPr>
                <w:rFonts w:hint="eastAsia"/>
                <w:color w:val="000000"/>
                <w:w w:val="15"/>
                <w:fitText w:val="30" w:id="-1502409211"/>
                <w14:textFill>
                  <w14:solidFill>
                    <w14:srgbClr w14:val="000000">
                      <w14:alpha w14:val="100000"/>
                    </w14:srgbClr>
                  </w14:solidFill>
                </w14:textFill>
              </w:rPr>
              <w:t xml:space="preserve">　</w:t>
            </w:r>
            <w:r w:rsidRPr="00C828EC">
              <w:rPr>
                <w:color w:val="000000"/>
                <w:w w:val="15"/>
                <w:fitText w:val="30" w:id="-1502409211"/>
                <w14:textFill>
                  <w14:solidFill>
                    <w14:srgbClr w14:val="000000">
                      <w14:alpha w14:val="100000"/>
                    </w14:srgbClr>
                  </w14:solidFill>
                </w14:textFill>
              </w:rPr>
              <w:t>|</w:t>
            </w:r>
            <w:r w:rsidRPr="00C828EC">
              <w:rPr>
                <w:rFonts w:hint="eastAsia"/>
                <w:color w:val="000000"/>
                <w:spacing w:val="-35"/>
                <w:w w:val="15"/>
                <w:fitText w:val="30" w:id="-1502409211"/>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48679E3E" w14:textId="183D67DF" w:rsidR="00AD0866" w:rsidRPr="00C828EC" w:rsidRDefault="00C828EC">
            <w:pPr>
              <w:pStyle w:val="TableText0"/>
              <w:jc w:val="center"/>
              <w:rPr>
                <w:vertAlign w:val="superscript"/>
              </w:rPr>
            </w:pPr>
            <w:r w:rsidRPr="00C828EC">
              <w:rPr>
                <w:rFonts w:hint="eastAsia"/>
                <w:color w:val="000000"/>
                <w:w w:val="15"/>
                <w:fitText w:val="30" w:id="-1502409210"/>
                <w14:textFill>
                  <w14:solidFill>
                    <w14:srgbClr w14:val="000000">
                      <w14:alpha w14:val="100000"/>
                    </w14:srgbClr>
                  </w14:solidFill>
                </w14:textFill>
              </w:rPr>
              <w:t xml:space="preserve">　</w:t>
            </w:r>
            <w:r w:rsidRPr="00C828EC">
              <w:rPr>
                <w:color w:val="000000"/>
                <w:w w:val="15"/>
                <w:fitText w:val="30" w:id="-1502409210"/>
                <w14:textFill>
                  <w14:solidFill>
                    <w14:srgbClr w14:val="000000">
                      <w14:alpha w14:val="100000"/>
                    </w14:srgbClr>
                  </w14:solidFill>
                </w14:textFill>
              </w:rPr>
              <w:t>|</w:t>
            </w:r>
            <w:r w:rsidRPr="00C828EC">
              <w:rPr>
                <w:rFonts w:hint="eastAsia"/>
                <w:color w:val="000000"/>
                <w:spacing w:val="-35"/>
                <w:w w:val="15"/>
                <w:fitText w:val="30" w:id="-1502409210"/>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4A2E8857" w14:textId="408941F7" w:rsidR="00AD0866" w:rsidRPr="00C828EC" w:rsidRDefault="00C828EC">
            <w:pPr>
              <w:pStyle w:val="TableText0"/>
              <w:jc w:val="center"/>
              <w:rPr>
                <w:vertAlign w:val="superscript"/>
              </w:rPr>
            </w:pPr>
            <w:r w:rsidRPr="00C828EC">
              <w:rPr>
                <w:rFonts w:hint="eastAsia"/>
                <w:color w:val="000000"/>
                <w:w w:val="15"/>
                <w:fitText w:val="30" w:id="-1502409209"/>
                <w14:textFill>
                  <w14:solidFill>
                    <w14:srgbClr w14:val="000000">
                      <w14:alpha w14:val="100000"/>
                    </w14:srgbClr>
                  </w14:solidFill>
                </w14:textFill>
              </w:rPr>
              <w:t xml:space="preserve">　</w:t>
            </w:r>
            <w:r w:rsidRPr="00C828EC">
              <w:rPr>
                <w:color w:val="000000"/>
                <w:w w:val="15"/>
                <w:fitText w:val="30" w:id="-1502409209"/>
                <w14:textFill>
                  <w14:solidFill>
                    <w14:srgbClr w14:val="000000">
                      <w14:alpha w14:val="100000"/>
                    </w14:srgbClr>
                  </w14:solidFill>
                </w14:textFill>
              </w:rPr>
              <w:t>|</w:t>
            </w:r>
            <w:r w:rsidRPr="00C828EC">
              <w:rPr>
                <w:rFonts w:hint="eastAsia"/>
                <w:color w:val="000000"/>
                <w:spacing w:val="-35"/>
                <w:w w:val="15"/>
                <w:fitText w:val="30" w:id="-1502409209"/>
                <w14:textFill>
                  <w14:solidFill>
                    <w14:srgbClr w14:val="000000">
                      <w14:alpha w14:val="100000"/>
                    </w14:srgbClr>
                  </w14:solidFill>
                </w14:textFill>
              </w:rPr>
              <w:t xml:space="preserve">　</w:t>
            </w:r>
          </w:p>
        </w:tc>
        <w:tc>
          <w:tcPr>
            <w:tcW w:w="557"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763146F2" w14:textId="54D26ED9" w:rsidR="00AD0866" w:rsidRPr="00C828EC" w:rsidRDefault="00C828EC" w:rsidP="00E74E60">
            <w:pPr>
              <w:pStyle w:val="TableText0"/>
              <w:jc w:val="center"/>
              <w:rPr>
                <w:vertAlign w:val="superscript"/>
              </w:rPr>
            </w:pPr>
            <w:r w:rsidRPr="00C828EC">
              <w:rPr>
                <w:rFonts w:hint="eastAsia"/>
                <w:color w:val="000000"/>
                <w:w w:val="16"/>
                <w:fitText w:val="75" w:id="-1502409208"/>
                <w14:textFill>
                  <w14:solidFill>
                    <w14:srgbClr w14:val="000000">
                      <w14:alpha w14:val="100000"/>
                    </w14:srgbClr>
                  </w14:solidFill>
                </w14:textFill>
              </w:rPr>
              <w:t xml:space="preserve">　</w:t>
            </w:r>
            <w:r w:rsidRPr="00C828EC">
              <w:rPr>
                <w:color w:val="000000"/>
                <w:w w:val="16"/>
                <w:fitText w:val="75" w:id="-1502409208"/>
                <w14:textFill>
                  <w14:solidFill>
                    <w14:srgbClr w14:val="000000">
                      <w14:alpha w14:val="100000"/>
                    </w14:srgbClr>
                  </w14:solidFill>
                </w14:textFill>
              </w:rPr>
              <w:t>|</w:t>
            </w:r>
            <w:r w:rsidRPr="00C828EC">
              <w:rPr>
                <w:rFonts w:hint="eastAsia"/>
                <w:color w:val="000000"/>
                <w:w w:val="16"/>
                <w:fitText w:val="75" w:id="-1502409208"/>
                <w14:textFill>
                  <w14:solidFill>
                    <w14:srgbClr w14:val="000000">
                      <w14:alpha w14:val="100000"/>
                    </w14:srgbClr>
                  </w14:solidFill>
                </w14:textFill>
              </w:rPr>
              <w:t xml:space="preserve">　</w:t>
            </w:r>
          </w:p>
        </w:tc>
      </w:tr>
      <w:tr w:rsidR="00AD0866" w14:paraId="692DB866" w14:textId="77777777" w:rsidTr="00DB5681">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2C92218" w14:textId="77777777" w:rsidR="00AD0866" w:rsidRDefault="00AD0866">
            <w:pPr>
              <w:pStyle w:val="In-tableHeading"/>
            </w:pPr>
            <w:r>
              <w:t>Net financial implications</w:t>
            </w:r>
            <w:r>
              <w:rPr>
                <w:color w:val="4BACC6" w:themeColor="accent5"/>
              </w:rPr>
              <w:t xml:space="preserve"> </w:t>
            </w:r>
          </w:p>
        </w:tc>
      </w:tr>
      <w:tr w:rsidR="00C828EC" w14:paraId="4BFB972D" w14:textId="77777777" w:rsidTr="00C828EC">
        <w:tc>
          <w:tcPr>
            <w:tcW w:w="1347" w:type="pct"/>
            <w:tcBorders>
              <w:top w:val="single" w:sz="4" w:space="0" w:color="auto"/>
              <w:left w:val="single" w:sz="4" w:space="0" w:color="auto"/>
              <w:bottom w:val="single" w:sz="4" w:space="0" w:color="auto"/>
              <w:right w:val="single" w:sz="4" w:space="0" w:color="auto"/>
            </w:tcBorders>
            <w:vAlign w:val="center"/>
            <w:hideMark/>
          </w:tcPr>
          <w:p w14:paraId="1A081E6A" w14:textId="19A4D096" w:rsidR="00AD0866" w:rsidRPr="002035D2" w:rsidRDefault="00AD0866">
            <w:pPr>
              <w:pStyle w:val="TableText0"/>
              <w:rPr>
                <w:sz w:val="19"/>
                <w:szCs w:val="19"/>
                <w:vertAlign w:val="superscript"/>
              </w:rPr>
            </w:pPr>
            <w:r>
              <w:rPr>
                <w:sz w:val="19"/>
                <w:szCs w:val="19"/>
              </w:rPr>
              <w:t>Net cost to PBS/</w:t>
            </w:r>
            <w:proofErr w:type="spellStart"/>
            <w:r>
              <w:rPr>
                <w:sz w:val="19"/>
                <w:szCs w:val="19"/>
              </w:rPr>
              <w:t>RPBS</w:t>
            </w:r>
            <w:r w:rsidR="002035D2">
              <w:rPr>
                <w:sz w:val="19"/>
                <w:szCs w:val="19"/>
                <w:vertAlign w:val="superscript"/>
              </w:rPr>
              <w:t>b</w:t>
            </w:r>
            <w:proofErr w:type="spellEnd"/>
            <w:r w:rsidR="0090285A">
              <w:rPr>
                <w:sz w:val="19"/>
                <w:szCs w:val="19"/>
                <w:vertAlign w:val="superscript"/>
              </w:rPr>
              <w:t xml:space="preserve"> </w:t>
            </w:r>
            <w:r w:rsidR="0090285A">
              <w:rPr>
                <w:sz w:val="19"/>
                <w:szCs w:val="19"/>
              </w:rPr>
              <w:t>($)</w:t>
            </w:r>
          </w:p>
        </w:tc>
        <w:tc>
          <w:tcPr>
            <w:tcW w:w="620" w:type="pct"/>
            <w:tcBorders>
              <w:top w:val="single" w:sz="4" w:space="0" w:color="auto"/>
              <w:left w:val="single" w:sz="4" w:space="0" w:color="auto"/>
              <w:bottom w:val="single" w:sz="4" w:space="0" w:color="auto"/>
              <w:right w:val="single" w:sz="4" w:space="0" w:color="auto"/>
            </w:tcBorders>
            <w:shd w:val="solid" w:color="000000" w:fill="000000"/>
            <w:hideMark/>
          </w:tcPr>
          <w:p w14:paraId="44837790" w14:textId="0BBE4FD4" w:rsidR="00AD0866" w:rsidRPr="00C828EC" w:rsidRDefault="00C828EC">
            <w:pPr>
              <w:pStyle w:val="TableText0"/>
              <w:jc w:val="center"/>
              <w:rPr>
                <w:iCs/>
                <w:vertAlign w:val="superscript"/>
              </w:rPr>
            </w:pPr>
            <w:r w:rsidRPr="00C828EC">
              <w:rPr>
                <w:rFonts w:cs="Arial Narrow" w:hint="eastAsia"/>
                <w:iCs/>
                <w:color w:val="000000"/>
                <w:w w:val="15"/>
                <w:szCs w:val="20"/>
                <w:fitText w:val="30" w:id="-1502409207"/>
                <w14:textFill>
                  <w14:solidFill>
                    <w14:srgbClr w14:val="000000">
                      <w14:alpha w14:val="100000"/>
                    </w14:srgbClr>
                  </w14:solidFill>
                </w14:textFill>
              </w:rPr>
              <w:t xml:space="preserve">　</w:t>
            </w:r>
            <w:r w:rsidRPr="00C828EC">
              <w:rPr>
                <w:rFonts w:cs="Arial Narrow"/>
                <w:iCs/>
                <w:color w:val="000000"/>
                <w:w w:val="15"/>
                <w:szCs w:val="20"/>
                <w:fitText w:val="30" w:id="-1502409207"/>
                <w14:textFill>
                  <w14:solidFill>
                    <w14:srgbClr w14:val="000000">
                      <w14:alpha w14:val="100000"/>
                    </w14:srgbClr>
                  </w14:solidFill>
                </w14:textFill>
              </w:rPr>
              <w:t>|</w:t>
            </w:r>
            <w:r w:rsidRPr="00C828EC">
              <w:rPr>
                <w:rFonts w:cs="Arial Narrow" w:hint="eastAsia"/>
                <w:iCs/>
                <w:color w:val="000000"/>
                <w:spacing w:val="-35"/>
                <w:w w:val="15"/>
                <w:szCs w:val="20"/>
                <w:fitText w:val="30" w:id="-1502409207"/>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028EABDA" w14:textId="79279AAB" w:rsidR="00AD0866" w:rsidRPr="00C828EC" w:rsidRDefault="00C828EC">
            <w:pPr>
              <w:pStyle w:val="TableText0"/>
              <w:jc w:val="center"/>
              <w:rPr>
                <w:iCs/>
                <w:vertAlign w:val="superscript"/>
              </w:rPr>
            </w:pPr>
            <w:r w:rsidRPr="00C828EC">
              <w:rPr>
                <w:rFonts w:cs="Arial Narrow" w:hint="eastAsia"/>
                <w:iCs/>
                <w:color w:val="000000"/>
                <w:w w:val="15"/>
                <w:szCs w:val="20"/>
                <w:fitText w:val="30" w:id="-1502409206"/>
                <w14:textFill>
                  <w14:solidFill>
                    <w14:srgbClr w14:val="000000">
                      <w14:alpha w14:val="100000"/>
                    </w14:srgbClr>
                  </w14:solidFill>
                </w14:textFill>
              </w:rPr>
              <w:t xml:space="preserve">　</w:t>
            </w:r>
            <w:r w:rsidRPr="00C828EC">
              <w:rPr>
                <w:rFonts w:cs="Arial Narrow"/>
                <w:iCs/>
                <w:color w:val="000000"/>
                <w:w w:val="15"/>
                <w:szCs w:val="20"/>
                <w:fitText w:val="30" w:id="-1502409206"/>
                <w14:textFill>
                  <w14:solidFill>
                    <w14:srgbClr w14:val="000000">
                      <w14:alpha w14:val="100000"/>
                    </w14:srgbClr>
                  </w14:solidFill>
                </w14:textFill>
              </w:rPr>
              <w:t>|</w:t>
            </w:r>
            <w:r w:rsidRPr="00C828EC">
              <w:rPr>
                <w:rFonts w:cs="Arial Narrow" w:hint="eastAsia"/>
                <w:iCs/>
                <w:color w:val="000000"/>
                <w:spacing w:val="-35"/>
                <w:w w:val="15"/>
                <w:szCs w:val="20"/>
                <w:fitText w:val="30" w:id="-1502409206"/>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36638A2F" w14:textId="03B41DE2" w:rsidR="00AD0866" w:rsidRPr="00C828EC" w:rsidRDefault="00C828EC">
            <w:pPr>
              <w:pStyle w:val="TableText0"/>
              <w:jc w:val="center"/>
              <w:rPr>
                <w:iCs/>
                <w:vertAlign w:val="superscript"/>
              </w:rPr>
            </w:pPr>
            <w:r w:rsidRPr="00C828EC">
              <w:rPr>
                <w:rFonts w:cs="Arial Narrow" w:hint="eastAsia"/>
                <w:iCs/>
                <w:color w:val="000000"/>
                <w:w w:val="15"/>
                <w:szCs w:val="20"/>
                <w:fitText w:val="30" w:id="-1502409205"/>
                <w14:textFill>
                  <w14:solidFill>
                    <w14:srgbClr w14:val="000000">
                      <w14:alpha w14:val="100000"/>
                    </w14:srgbClr>
                  </w14:solidFill>
                </w14:textFill>
              </w:rPr>
              <w:t xml:space="preserve">　</w:t>
            </w:r>
            <w:r w:rsidRPr="00C828EC">
              <w:rPr>
                <w:rFonts w:cs="Arial Narrow"/>
                <w:iCs/>
                <w:color w:val="000000"/>
                <w:w w:val="15"/>
                <w:szCs w:val="20"/>
                <w:fitText w:val="30" w:id="-1502409205"/>
                <w14:textFill>
                  <w14:solidFill>
                    <w14:srgbClr w14:val="000000">
                      <w14:alpha w14:val="100000"/>
                    </w14:srgbClr>
                  </w14:solidFill>
                </w14:textFill>
              </w:rPr>
              <w:t>|</w:t>
            </w:r>
            <w:r w:rsidRPr="00C828EC">
              <w:rPr>
                <w:rFonts w:cs="Arial Narrow" w:hint="eastAsia"/>
                <w:iCs/>
                <w:color w:val="000000"/>
                <w:spacing w:val="-35"/>
                <w:w w:val="15"/>
                <w:szCs w:val="20"/>
                <w:fitText w:val="30" w:id="-1502409205"/>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23B90B90" w14:textId="58C9034D" w:rsidR="00AD0866" w:rsidRPr="00C828EC" w:rsidRDefault="00C828EC">
            <w:pPr>
              <w:pStyle w:val="TableText0"/>
              <w:jc w:val="center"/>
              <w:rPr>
                <w:iCs/>
                <w:vertAlign w:val="superscript"/>
              </w:rPr>
            </w:pPr>
            <w:r w:rsidRPr="00C828EC">
              <w:rPr>
                <w:rFonts w:cs="Arial Narrow" w:hint="eastAsia"/>
                <w:iCs/>
                <w:color w:val="000000"/>
                <w:w w:val="15"/>
                <w:szCs w:val="20"/>
                <w:fitText w:val="30" w:id="-1502409204"/>
                <w14:textFill>
                  <w14:solidFill>
                    <w14:srgbClr w14:val="000000">
                      <w14:alpha w14:val="100000"/>
                    </w14:srgbClr>
                  </w14:solidFill>
                </w14:textFill>
              </w:rPr>
              <w:t xml:space="preserve">　</w:t>
            </w:r>
            <w:r w:rsidRPr="00C828EC">
              <w:rPr>
                <w:rFonts w:cs="Arial Narrow"/>
                <w:iCs/>
                <w:color w:val="000000"/>
                <w:w w:val="15"/>
                <w:szCs w:val="20"/>
                <w:fitText w:val="30" w:id="-1502409204"/>
                <w14:textFill>
                  <w14:solidFill>
                    <w14:srgbClr w14:val="000000">
                      <w14:alpha w14:val="100000"/>
                    </w14:srgbClr>
                  </w14:solidFill>
                </w14:textFill>
              </w:rPr>
              <w:t>|</w:t>
            </w:r>
            <w:r w:rsidRPr="00C828EC">
              <w:rPr>
                <w:rFonts w:cs="Arial Narrow" w:hint="eastAsia"/>
                <w:iCs/>
                <w:color w:val="000000"/>
                <w:spacing w:val="-35"/>
                <w:w w:val="15"/>
                <w:szCs w:val="20"/>
                <w:fitText w:val="30" w:id="-1502409204"/>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0CFD5FAB" w14:textId="37507871" w:rsidR="00AD0866" w:rsidRPr="00C828EC" w:rsidRDefault="00C828EC">
            <w:pPr>
              <w:pStyle w:val="TableText0"/>
              <w:jc w:val="center"/>
              <w:rPr>
                <w:iCs/>
                <w:vertAlign w:val="superscript"/>
              </w:rPr>
            </w:pPr>
            <w:r w:rsidRPr="00C828EC">
              <w:rPr>
                <w:rFonts w:cs="Arial Narrow" w:hint="eastAsia"/>
                <w:iCs/>
                <w:color w:val="000000"/>
                <w:w w:val="15"/>
                <w:szCs w:val="20"/>
                <w:fitText w:val="30" w:id="-1502409203"/>
                <w14:textFill>
                  <w14:solidFill>
                    <w14:srgbClr w14:val="000000">
                      <w14:alpha w14:val="100000"/>
                    </w14:srgbClr>
                  </w14:solidFill>
                </w14:textFill>
              </w:rPr>
              <w:t xml:space="preserve">　</w:t>
            </w:r>
            <w:r w:rsidRPr="00C828EC">
              <w:rPr>
                <w:rFonts w:cs="Arial Narrow"/>
                <w:iCs/>
                <w:color w:val="000000"/>
                <w:w w:val="15"/>
                <w:szCs w:val="20"/>
                <w:fitText w:val="30" w:id="-1502409203"/>
                <w14:textFill>
                  <w14:solidFill>
                    <w14:srgbClr w14:val="000000">
                      <w14:alpha w14:val="100000"/>
                    </w14:srgbClr>
                  </w14:solidFill>
                </w14:textFill>
              </w:rPr>
              <w:t>|</w:t>
            </w:r>
            <w:r w:rsidRPr="00C828EC">
              <w:rPr>
                <w:rFonts w:cs="Arial Narrow" w:hint="eastAsia"/>
                <w:iCs/>
                <w:color w:val="000000"/>
                <w:spacing w:val="-35"/>
                <w:w w:val="15"/>
                <w:szCs w:val="20"/>
                <w:fitText w:val="30" w:id="-1502409203"/>
                <w14:textFill>
                  <w14:solidFill>
                    <w14:srgbClr w14:val="000000">
                      <w14:alpha w14:val="100000"/>
                    </w14:srgbClr>
                  </w14:solidFill>
                </w14:textFill>
              </w:rPr>
              <w:t xml:space="preserve">　</w:t>
            </w:r>
          </w:p>
        </w:tc>
        <w:tc>
          <w:tcPr>
            <w:tcW w:w="557" w:type="pct"/>
            <w:tcBorders>
              <w:top w:val="single" w:sz="4" w:space="0" w:color="auto"/>
              <w:left w:val="single" w:sz="4" w:space="0" w:color="auto"/>
              <w:bottom w:val="single" w:sz="4" w:space="0" w:color="auto"/>
              <w:right w:val="single" w:sz="4" w:space="0" w:color="auto"/>
            </w:tcBorders>
            <w:shd w:val="solid" w:color="000000" w:fill="000000"/>
            <w:hideMark/>
          </w:tcPr>
          <w:p w14:paraId="6F4BDA1E" w14:textId="248451E3" w:rsidR="00AD0866" w:rsidRPr="00C828EC" w:rsidRDefault="00C828EC">
            <w:pPr>
              <w:pStyle w:val="TableText0"/>
              <w:jc w:val="center"/>
              <w:rPr>
                <w:iCs/>
                <w:vertAlign w:val="superscript"/>
              </w:rPr>
            </w:pPr>
            <w:r w:rsidRPr="00C828EC">
              <w:rPr>
                <w:rFonts w:cs="Arial Narrow" w:hint="eastAsia"/>
                <w:iCs/>
                <w:color w:val="000000"/>
                <w:w w:val="16"/>
                <w:szCs w:val="20"/>
                <w:fitText w:val="75" w:id="-1502409202"/>
                <w14:textFill>
                  <w14:solidFill>
                    <w14:srgbClr w14:val="000000">
                      <w14:alpha w14:val="100000"/>
                    </w14:srgbClr>
                  </w14:solidFill>
                </w14:textFill>
              </w:rPr>
              <w:t xml:space="preserve">　</w:t>
            </w:r>
            <w:r w:rsidRPr="00C828EC">
              <w:rPr>
                <w:rFonts w:cs="Arial Narrow"/>
                <w:iCs/>
                <w:color w:val="000000"/>
                <w:w w:val="16"/>
                <w:szCs w:val="20"/>
                <w:fitText w:val="75" w:id="-1502409202"/>
                <w14:textFill>
                  <w14:solidFill>
                    <w14:srgbClr w14:val="000000">
                      <w14:alpha w14:val="100000"/>
                    </w14:srgbClr>
                  </w14:solidFill>
                </w14:textFill>
              </w:rPr>
              <w:t>|</w:t>
            </w:r>
            <w:r w:rsidRPr="00C828EC">
              <w:rPr>
                <w:rFonts w:cs="Arial Narrow" w:hint="eastAsia"/>
                <w:iCs/>
                <w:color w:val="000000"/>
                <w:w w:val="16"/>
                <w:szCs w:val="20"/>
                <w:fitText w:val="75" w:id="-1502409202"/>
                <w14:textFill>
                  <w14:solidFill>
                    <w14:srgbClr w14:val="000000">
                      <w14:alpha w14:val="100000"/>
                    </w14:srgbClr>
                  </w14:solidFill>
                </w14:textFill>
              </w:rPr>
              <w:t xml:space="preserve">　</w:t>
            </w:r>
          </w:p>
        </w:tc>
      </w:tr>
      <w:tr w:rsidR="00C828EC" w14:paraId="2A4E2CA7" w14:textId="77777777" w:rsidTr="00C828EC">
        <w:tc>
          <w:tcPr>
            <w:tcW w:w="1347" w:type="pct"/>
            <w:tcBorders>
              <w:top w:val="single" w:sz="4" w:space="0" w:color="auto"/>
              <w:left w:val="single" w:sz="4" w:space="0" w:color="auto"/>
              <w:bottom w:val="single" w:sz="4" w:space="0" w:color="auto"/>
              <w:right w:val="single" w:sz="4" w:space="0" w:color="auto"/>
            </w:tcBorders>
            <w:vAlign w:val="center"/>
            <w:hideMark/>
          </w:tcPr>
          <w:p w14:paraId="0DE370F1" w14:textId="5F782CA6" w:rsidR="00AD0866" w:rsidRDefault="00AD0866">
            <w:pPr>
              <w:pStyle w:val="TableText0"/>
              <w:rPr>
                <w:rFonts w:ascii="Times" w:hAnsi="Times"/>
              </w:rPr>
            </w:pPr>
            <w:r>
              <w:rPr>
                <w:sz w:val="19"/>
                <w:szCs w:val="19"/>
              </w:rPr>
              <w:t>Net cost to MBS</w:t>
            </w:r>
            <w:r w:rsidR="0090285A">
              <w:rPr>
                <w:sz w:val="19"/>
                <w:szCs w:val="19"/>
              </w:rPr>
              <w:t xml:space="preserve"> ($)</w:t>
            </w:r>
          </w:p>
        </w:tc>
        <w:tc>
          <w:tcPr>
            <w:tcW w:w="620" w:type="pct"/>
            <w:tcBorders>
              <w:top w:val="single" w:sz="4" w:space="0" w:color="auto"/>
              <w:left w:val="single" w:sz="4" w:space="0" w:color="auto"/>
              <w:bottom w:val="single" w:sz="4" w:space="0" w:color="auto"/>
              <w:right w:val="single" w:sz="4" w:space="0" w:color="auto"/>
            </w:tcBorders>
            <w:shd w:val="solid" w:color="000000" w:fill="000000"/>
            <w:hideMark/>
          </w:tcPr>
          <w:p w14:paraId="69708DFD" w14:textId="297FBC63" w:rsidR="00AD0866" w:rsidRPr="00C828EC" w:rsidRDefault="00C828EC">
            <w:pPr>
              <w:pStyle w:val="TableText0"/>
              <w:jc w:val="center"/>
              <w:rPr>
                <w:vertAlign w:val="superscript"/>
              </w:rPr>
            </w:pPr>
            <w:r w:rsidRPr="00C828EC">
              <w:rPr>
                <w:rFonts w:hint="eastAsia"/>
                <w:color w:val="000000"/>
                <w:w w:val="15"/>
                <w:fitText w:val="30" w:id="-1502409201"/>
                <w14:textFill>
                  <w14:solidFill>
                    <w14:srgbClr w14:val="000000">
                      <w14:alpha w14:val="100000"/>
                    </w14:srgbClr>
                  </w14:solidFill>
                </w14:textFill>
              </w:rPr>
              <w:t xml:space="preserve">　</w:t>
            </w:r>
            <w:r w:rsidRPr="00C828EC">
              <w:rPr>
                <w:color w:val="000000"/>
                <w:w w:val="15"/>
                <w:fitText w:val="30" w:id="-1502409201"/>
                <w14:textFill>
                  <w14:solidFill>
                    <w14:srgbClr w14:val="000000">
                      <w14:alpha w14:val="100000"/>
                    </w14:srgbClr>
                  </w14:solidFill>
                </w14:textFill>
              </w:rPr>
              <w:t>|</w:t>
            </w:r>
            <w:r w:rsidRPr="00C828EC">
              <w:rPr>
                <w:rFonts w:hint="eastAsia"/>
                <w:color w:val="000000"/>
                <w:spacing w:val="-35"/>
                <w:w w:val="15"/>
                <w:fitText w:val="30" w:id="-1502409201"/>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1E0404D8" w14:textId="209A6E13" w:rsidR="00AD0866" w:rsidRPr="00C828EC" w:rsidRDefault="00C828EC">
            <w:pPr>
              <w:pStyle w:val="TableText0"/>
              <w:jc w:val="center"/>
              <w:rPr>
                <w:vertAlign w:val="superscript"/>
              </w:rPr>
            </w:pPr>
            <w:r w:rsidRPr="00C828EC">
              <w:rPr>
                <w:rFonts w:hint="eastAsia"/>
                <w:color w:val="000000"/>
                <w:w w:val="15"/>
                <w:fitText w:val="30" w:id="-1502409200"/>
                <w14:textFill>
                  <w14:solidFill>
                    <w14:srgbClr w14:val="000000">
                      <w14:alpha w14:val="100000"/>
                    </w14:srgbClr>
                  </w14:solidFill>
                </w14:textFill>
              </w:rPr>
              <w:t xml:space="preserve">　</w:t>
            </w:r>
            <w:r w:rsidRPr="00C828EC">
              <w:rPr>
                <w:color w:val="000000"/>
                <w:w w:val="15"/>
                <w:fitText w:val="30" w:id="-1502409200"/>
                <w14:textFill>
                  <w14:solidFill>
                    <w14:srgbClr w14:val="000000">
                      <w14:alpha w14:val="100000"/>
                    </w14:srgbClr>
                  </w14:solidFill>
                </w14:textFill>
              </w:rPr>
              <w:t>|</w:t>
            </w:r>
            <w:r w:rsidRPr="00C828EC">
              <w:rPr>
                <w:rFonts w:hint="eastAsia"/>
                <w:color w:val="000000"/>
                <w:spacing w:val="-35"/>
                <w:w w:val="15"/>
                <w:fitText w:val="30" w:id="-1502409200"/>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1B3A9575" w14:textId="571D3C87" w:rsidR="00AD0866" w:rsidRPr="00C828EC" w:rsidRDefault="00C828EC">
            <w:pPr>
              <w:pStyle w:val="TableText0"/>
              <w:jc w:val="center"/>
              <w:rPr>
                <w:vertAlign w:val="superscript"/>
              </w:rPr>
            </w:pPr>
            <w:r w:rsidRPr="00C828EC">
              <w:rPr>
                <w:rFonts w:hint="eastAsia"/>
                <w:color w:val="000000"/>
                <w:w w:val="15"/>
                <w:fitText w:val="30" w:id="-1502409216"/>
                <w14:textFill>
                  <w14:solidFill>
                    <w14:srgbClr w14:val="000000">
                      <w14:alpha w14:val="100000"/>
                    </w14:srgbClr>
                  </w14:solidFill>
                </w14:textFill>
              </w:rPr>
              <w:t xml:space="preserve">　</w:t>
            </w:r>
            <w:r w:rsidRPr="00C828EC">
              <w:rPr>
                <w:color w:val="000000"/>
                <w:w w:val="15"/>
                <w:fitText w:val="30" w:id="-1502409216"/>
                <w14:textFill>
                  <w14:solidFill>
                    <w14:srgbClr w14:val="000000">
                      <w14:alpha w14:val="100000"/>
                    </w14:srgbClr>
                  </w14:solidFill>
                </w14:textFill>
              </w:rPr>
              <w:t>|</w:t>
            </w:r>
            <w:r w:rsidRPr="00C828EC">
              <w:rPr>
                <w:rFonts w:hint="eastAsia"/>
                <w:color w:val="000000"/>
                <w:spacing w:val="-35"/>
                <w:w w:val="15"/>
                <w:fitText w:val="30" w:id="-1502409216"/>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31846BD1" w14:textId="6EBD4257" w:rsidR="00AD0866" w:rsidRPr="00C828EC" w:rsidRDefault="00C828EC">
            <w:pPr>
              <w:pStyle w:val="TableText0"/>
              <w:jc w:val="center"/>
              <w:rPr>
                <w:vertAlign w:val="superscript"/>
              </w:rPr>
            </w:pPr>
            <w:r w:rsidRPr="00C828EC">
              <w:rPr>
                <w:rFonts w:hint="eastAsia"/>
                <w:color w:val="000000"/>
                <w:w w:val="15"/>
                <w:fitText w:val="30" w:id="-1502409215"/>
                <w14:textFill>
                  <w14:solidFill>
                    <w14:srgbClr w14:val="000000">
                      <w14:alpha w14:val="100000"/>
                    </w14:srgbClr>
                  </w14:solidFill>
                </w14:textFill>
              </w:rPr>
              <w:t xml:space="preserve">　</w:t>
            </w:r>
            <w:r w:rsidRPr="00C828EC">
              <w:rPr>
                <w:color w:val="000000"/>
                <w:w w:val="15"/>
                <w:fitText w:val="30" w:id="-1502409215"/>
                <w14:textFill>
                  <w14:solidFill>
                    <w14:srgbClr w14:val="000000">
                      <w14:alpha w14:val="100000"/>
                    </w14:srgbClr>
                  </w14:solidFill>
                </w14:textFill>
              </w:rPr>
              <w:t>|</w:t>
            </w:r>
            <w:r w:rsidRPr="00C828EC">
              <w:rPr>
                <w:rFonts w:hint="eastAsia"/>
                <w:color w:val="000000"/>
                <w:spacing w:val="-35"/>
                <w:w w:val="15"/>
                <w:fitText w:val="30" w:id="-1502409215"/>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40290140" w14:textId="310501E9" w:rsidR="00AD0866" w:rsidRPr="00C828EC" w:rsidRDefault="00C828EC">
            <w:pPr>
              <w:pStyle w:val="TableText0"/>
              <w:jc w:val="center"/>
              <w:rPr>
                <w:vertAlign w:val="superscript"/>
              </w:rPr>
            </w:pPr>
            <w:r w:rsidRPr="00C828EC">
              <w:rPr>
                <w:rFonts w:hint="eastAsia"/>
                <w:color w:val="000000"/>
                <w:w w:val="15"/>
                <w:fitText w:val="30" w:id="-1502409214"/>
                <w14:textFill>
                  <w14:solidFill>
                    <w14:srgbClr w14:val="000000">
                      <w14:alpha w14:val="100000"/>
                    </w14:srgbClr>
                  </w14:solidFill>
                </w14:textFill>
              </w:rPr>
              <w:t xml:space="preserve">　</w:t>
            </w:r>
            <w:r w:rsidRPr="00C828EC">
              <w:rPr>
                <w:color w:val="000000"/>
                <w:w w:val="15"/>
                <w:fitText w:val="30" w:id="-1502409214"/>
                <w14:textFill>
                  <w14:solidFill>
                    <w14:srgbClr w14:val="000000">
                      <w14:alpha w14:val="100000"/>
                    </w14:srgbClr>
                  </w14:solidFill>
                </w14:textFill>
              </w:rPr>
              <w:t>|</w:t>
            </w:r>
            <w:r w:rsidRPr="00C828EC">
              <w:rPr>
                <w:rFonts w:hint="eastAsia"/>
                <w:color w:val="000000"/>
                <w:spacing w:val="-35"/>
                <w:w w:val="15"/>
                <w:fitText w:val="30" w:id="-1502409214"/>
                <w14:textFill>
                  <w14:solidFill>
                    <w14:srgbClr w14:val="000000">
                      <w14:alpha w14:val="100000"/>
                    </w14:srgbClr>
                  </w14:solidFill>
                </w14:textFill>
              </w:rPr>
              <w:t xml:space="preserve">　</w:t>
            </w:r>
          </w:p>
        </w:tc>
        <w:tc>
          <w:tcPr>
            <w:tcW w:w="557" w:type="pct"/>
            <w:tcBorders>
              <w:top w:val="single" w:sz="4" w:space="0" w:color="auto"/>
              <w:left w:val="single" w:sz="4" w:space="0" w:color="auto"/>
              <w:bottom w:val="single" w:sz="4" w:space="0" w:color="auto"/>
              <w:right w:val="single" w:sz="4" w:space="0" w:color="auto"/>
            </w:tcBorders>
            <w:shd w:val="solid" w:color="000000" w:fill="000000"/>
            <w:hideMark/>
          </w:tcPr>
          <w:p w14:paraId="0021C34E" w14:textId="21EC8305" w:rsidR="00AD0866" w:rsidRPr="00C828EC" w:rsidRDefault="00C828EC">
            <w:pPr>
              <w:pStyle w:val="TableText0"/>
              <w:jc w:val="center"/>
              <w:rPr>
                <w:vertAlign w:val="superscript"/>
              </w:rPr>
            </w:pPr>
            <w:r w:rsidRPr="00C828EC">
              <w:rPr>
                <w:rFonts w:hint="eastAsia"/>
                <w:color w:val="000000"/>
                <w:w w:val="16"/>
                <w:fitText w:val="75" w:id="-1502409213"/>
                <w14:textFill>
                  <w14:solidFill>
                    <w14:srgbClr w14:val="000000">
                      <w14:alpha w14:val="100000"/>
                    </w14:srgbClr>
                  </w14:solidFill>
                </w14:textFill>
              </w:rPr>
              <w:t xml:space="preserve">　</w:t>
            </w:r>
            <w:r w:rsidRPr="00C828EC">
              <w:rPr>
                <w:color w:val="000000"/>
                <w:w w:val="16"/>
                <w:fitText w:val="75" w:id="-1502409213"/>
                <w14:textFill>
                  <w14:solidFill>
                    <w14:srgbClr w14:val="000000">
                      <w14:alpha w14:val="100000"/>
                    </w14:srgbClr>
                  </w14:solidFill>
                </w14:textFill>
              </w:rPr>
              <w:t>|</w:t>
            </w:r>
            <w:r w:rsidRPr="00C828EC">
              <w:rPr>
                <w:rFonts w:hint="eastAsia"/>
                <w:color w:val="000000"/>
                <w:w w:val="16"/>
                <w:fitText w:val="75" w:id="-1502409213"/>
                <w14:textFill>
                  <w14:solidFill>
                    <w14:srgbClr w14:val="000000">
                      <w14:alpha w14:val="100000"/>
                    </w14:srgbClr>
                  </w14:solidFill>
                </w14:textFill>
              </w:rPr>
              <w:t xml:space="preserve">　</w:t>
            </w:r>
          </w:p>
        </w:tc>
      </w:tr>
      <w:tr w:rsidR="00DB5681" w14:paraId="0027B71B" w14:textId="77777777" w:rsidTr="00C828EC">
        <w:tc>
          <w:tcPr>
            <w:tcW w:w="1347" w:type="pct"/>
            <w:tcBorders>
              <w:top w:val="single" w:sz="4" w:space="0" w:color="auto"/>
              <w:left w:val="single" w:sz="4" w:space="0" w:color="auto"/>
              <w:bottom w:val="single" w:sz="4" w:space="0" w:color="auto"/>
              <w:right w:val="single" w:sz="4" w:space="0" w:color="auto"/>
            </w:tcBorders>
            <w:vAlign w:val="center"/>
            <w:hideMark/>
          </w:tcPr>
          <w:p w14:paraId="1413C7AE" w14:textId="17FC4448" w:rsidR="00AD0866" w:rsidRPr="002035D2" w:rsidRDefault="00AD0866">
            <w:pPr>
              <w:pStyle w:val="TableText0"/>
              <w:rPr>
                <w:sz w:val="19"/>
                <w:szCs w:val="19"/>
                <w:vertAlign w:val="superscript"/>
              </w:rPr>
            </w:pPr>
            <w:r>
              <w:rPr>
                <w:sz w:val="19"/>
                <w:szCs w:val="19"/>
              </w:rPr>
              <w:t>Net cost to PBS/RPBS/</w:t>
            </w:r>
            <w:proofErr w:type="spellStart"/>
            <w:r>
              <w:rPr>
                <w:sz w:val="19"/>
                <w:szCs w:val="19"/>
              </w:rPr>
              <w:t>MBS</w:t>
            </w:r>
            <w:r w:rsidR="002035D2">
              <w:rPr>
                <w:sz w:val="19"/>
                <w:szCs w:val="19"/>
                <w:vertAlign w:val="superscript"/>
              </w:rPr>
              <w:t>b</w:t>
            </w:r>
            <w:proofErr w:type="spellEnd"/>
            <w:r w:rsidR="0090285A">
              <w:rPr>
                <w:sz w:val="19"/>
                <w:szCs w:val="19"/>
                <w:vertAlign w:val="superscript"/>
              </w:rPr>
              <w:t xml:space="preserve"> </w:t>
            </w:r>
            <w:r w:rsidR="0090285A">
              <w:rPr>
                <w:sz w:val="19"/>
                <w:szCs w:val="19"/>
              </w:rPr>
              <w:t>($)</w:t>
            </w:r>
          </w:p>
        </w:tc>
        <w:tc>
          <w:tcPr>
            <w:tcW w:w="620" w:type="pct"/>
            <w:tcBorders>
              <w:top w:val="single" w:sz="4" w:space="0" w:color="auto"/>
              <w:left w:val="single" w:sz="4" w:space="0" w:color="auto"/>
              <w:bottom w:val="single" w:sz="4" w:space="0" w:color="auto"/>
              <w:right w:val="single" w:sz="4" w:space="0" w:color="auto"/>
            </w:tcBorders>
            <w:shd w:val="solid" w:color="000000" w:fill="000000"/>
            <w:hideMark/>
          </w:tcPr>
          <w:p w14:paraId="55E02B3C" w14:textId="483983C3" w:rsidR="00AD0866" w:rsidRPr="00C828EC" w:rsidRDefault="00C828EC">
            <w:pPr>
              <w:pStyle w:val="TableText0"/>
              <w:jc w:val="center"/>
              <w:rPr>
                <w:iCs/>
                <w:vertAlign w:val="superscript"/>
              </w:rPr>
            </w:pPr>
            <w:r w:rsidRPr="00C828EC">
              <w:rPr>
                <w:rFonts w:hint="eastAsia"/>
                <w:iCs/>
                <w:color w:val="000000"/>
                <w:w w:val="15"/>
                <w:fitText w:val="30" w:id="-1502409212"/>
                <w14:textFill>
                  <w14:solidFill>
                    <w14:srgbClr w14:val="000000">
                      <w14:alpha w14:val="100000"/>
                    </w14:srgbClr>
                  </w14:solidFill>
                </w14:textFill>
              </w:rPr>
              <w:t xml:space="preserve">　</w:t>
            </w:r>
            <w:r w:rsidRPr="00C828EC">
              <w:rPr>
                <w:iCs/>
                <w:color w:val="000000"/>
                <w:w w:val="15"/>
                <w:fitText w:val="30" w:id="-1502409212"/>
                <w14:textFill>
                  <w14:solidFill>
                    <w14:srgbClr w14:val="000000">
                      <w14:alpha w14:val="100000"/>
                    </w14:srgbClr>
                  </w14:solidFill>
                </w14:textFill>
              </w:rPr>
              <w:t>|</w:t>
            </w:r>
            <w:r w:rsidRPr="00C828EC">
              <w:rPr>
                <w:rFonts w:hint="eastAsia"/>
                <w:iCs/>
                <w:color w:val="000000"/>
                <w:spacing w:val="-35"/>
                <w:w w:val="15"/>
                <w:fitText w:val="30" w:id="-1502409212"/>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13E79283" w14:textId="7FA193E9" w:rsidR="00AD0866" w:rsidRPr="00C828EC" w:rsidRDefault="00C828EC">
            <w:pPr>
              <w:pStyle w:val="TableText0"/>
              <w:jc w:val="center"/>
              <w:rPr>
                <w:iCs/>
                <w:vertAlign w:val="superscript"/>
              </w:rPr>
            </w:pPr>
            <w:r w:rsidRPr="00C828EC">
              <w:rPr>
                <w:rFonts w:hint="eastAsia"/>
                <w:iCs/>
                <w:color w:val="000000"/>
                <w:w w:val="15"/>
                <w:fitText w:val="30" w:id="-1502409211"/>
                <w14:textFill>
                  <w14:solidFill>
                    <w14:srgbClr w14:val="000000">
                      <w14:alpha w14:val="100000"/>
                    </w14:srgbClr>
                  </w14:solidFill>
                </w14:textFill>
              </w:rPr>
              <w:t xml:space="preserve">　</w:t>
            </w:r>
            <w:r w:rsidRPr="00C828EC">
              <w:rPr>
                <w:iCs/>
                <w:color w:val="000000"/>
                <w:w w:val="15"/>
                <w:fitText w:val="30" w:id="-1502409211"/>
                <w14:textFill>
                  <w14:solidFill>
                    <w14:srgbClr w14:val="000000">
                      <w14:alpha w14:val="100000"/>
                    </w14:srgbClr>
                  </w14:solidFill>
                </w14:textFill>
              </w:rPr>
              <w:t>|</w:t>
            </w:r>
            <w:r w:rsidRPr="00C828EC">
              <w:rPr>
                <w:rFonts w:hint="eastAsia"/>
                <w:iCs/>
                <w:color w:val="000000"/>
                <w:spacing w:val="-35"/>
                <w:w w:val="15"/>
                <w:fitText w:val="30" w:id="-1502409211"/>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35EC6CC7" w14:textId="65998057" w:rsidR="00AD0866" w:rsidRPr="00C828EC" w:rsidRDefault="00C828EC">
            <w:pPr>
              <w:pStyle w:val="TableText0"/>
              <w:jc w:val="center"/>
              <w:rPr>
                <w:iCs/>
                <w:vertAlign w:val="superscript"/>
              </w:rPr>
            </w:pPr>
            <w:r w:rsidRPr="00C828EC">
              <w:rPr>
                <w:rFonts w:hint="eastAsia"/>
                <w:iCs/>
                <w:color w:val="000000"/>
                <w:w w:val="15"/>
                <w:fitText w:val="30" w:id="-1502409210"/>
                <w14:textFill>
                  <w14:solidFill>
                    <w14:srgbClr w14:val="000000">
                      <w14:alpha w14:val="100000"/>
                    </w14:srgbClr>
                  </w14:solidFill>
                </w14:textFill>
              </w:rPr>
              <w:t xml:space="preserve">　</w:t>
            </w:r>
            <w:r w:rsidRPr="00C828EC">
              <w:rPr>
                <w:iCs/>
                <w:color w:val="000000"/>
                <w:w w:val="15"/>
                <w:fitText w:val="30" w:id="-1502409210"/>
                <w14:textFill>
                  <w14:solidFill>
                    <w14:srgbClr w14:val="000000">
                      <w14:alpha w14:val="100000"/>
                    </w14:srgbClr>
                  </w14:solidFill>
                </w14:textFill>
              </w:rPr>
              <w:t>|</w:t>
            </w:r>
            <w:r w:rsidRPr="00C828EC">
              <w:rPr>
                <w:rFonts w:hint="eastAsia"/>
                <w:iCs/>
                <w:color w:val="000000"/>
                <w:spacing w:val="-35"/>
                <w:w w:val="15"/>
                <w:fitText w:val="30" w:id="-1502409210"/>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4A15E92E" w14:textId="00957E3A" w:rsidR="00AD0866" w:rsidRPr="00C828EC" w:rsidRDefault="00C828EC">
            <w:pPr>
              <w:pStyle w:val="TableText0"/>
              <w:jc w:val="center"/>
              <w:rPr>
                <w:iCs/>
                <w:vertAlign w:val="superscript"/>
              </w:rPr>
            </w:pPr>
            <w:r w:rsidRPr="00C828EC">
              <w:rPr>
                <w:rFonts w:hint="eastAsia"/>
                <w:iCs/>
                <w:color w:val="000000"/>
                <w:w w:val="15"/>
                <w:fitText w:val="30" w:id="-1502409209"/>
                <w14:textFill>
                  <w14:solidFill>
                    <w14:srgbClr w14:val="000000">
                      <w14:alpha w14:val="100000"/>
                    </w14:srgbClr>
                  </w14:solidFill>
                </w14:textFill>
              </w:rPr>
              <w:t xml:space="preserve">　</w:t>
            </w:r>
            <w:r w:rsidRPr="00C828EC">
              <w:rPr>
                <w:iCs/>
                <w:color w:val="000000"/>
                <w:w w:val="15"/>
                <w:fitText w:val="30" w:id="-1502409209"/>
                <w14:textFill>
                  <w14:solidFill>
                    <w14:srgbClr w14:val="000000">
                      <w14:alpha w14:val="100000"/>
                    </w14:srgbClr>
                  </w14:solidFill>
                </w14:textFill>
              </w:rPr>
              <w:t>|</w:t>
            </w:r>
            <w:r w:rsidRPr="00C828EC">
              <w:rPr>
                <w:rFonts w:hint="eastAsia"/>
                <w:iCs/>
                <w:color w:val="000000"/>
                <w:spacing w:val="-35"/>
                <w:w w:val="15"/>
                <w:fitText w:val="30" w:id="-1502409209"/>
                <w14:textFill>
                  <w14:solidFill>
                    <w14:srgbClr w14:val="000000">
                      <w14:alpha w14:val="100000"/>
                    </w14:srgbClr>
                  </w14:solidFill>
                </w14:textFill>
              </w:rPr>
              <w:t xml:space="preserve">　</w:t>
            </w:r>
          </w:p>
        </w:tc>
        <w:tc>
          <w:tcPr>
            <w:tcW w:w="619" w:type="pct"/>
            <w:tcBorders>
              <w:top w:val="single" w:sz="4" w:space="0" w:color="auto"/>
              <w:left w:val="single" w:sz="4" w:space="0" w:color="auto"/>
              <w:bottom w:val="single" w:sz="4" w:space="0" w:color="auto"/>
              <w:right w:val="single" w:sz="4" w:space="0" w:color="auto"/>
            </w:tcBorders>
            <w:shd w:val="solid" w:color="000000" w:fill="000000"/>
            <w:hideMark/>
          </w:tcPr>
          <w:p w14:paraId="459F7036" w14:textId="2A0E0D09" w:rsidR="00AD0866" w:rsidRPr="00C828EC" w:rsidRDefault="00C828EC">
            <w:pPr>
              <w:pStyle w:val="TableText0"/>
              <w:jc w:val="center"/>
              <w:rPr>
                <w:iCs/>
                <w:vertAlign w:val="superscript"/>
              </w:rPr>
            </w:pPr>
            <w:r w:rsidRPr="00C828EC">
              <w:rPr>
                <w:rFonts w:hint="eastAsia"/>
                <w:iCs/>
                <w:color w:val="000000"/>
                <w:w w:val="15"/>
                <w:fitText w:val="30" w:id="-1502409208"/>
                <w14:textFill>
                  <w14:solidFill>
                    <w14:srgbClr w14:val="000000">
                      <w14:alpha w14:val="100000"/>
                    </w14:srgbClr>
                  </w14:solidFill>
                </w14:textFill>
              </w:rPr>
              <w:t xml:space="preserve">　</w:t>
            </w:r>
            <w:r w:rsidRPr="00C828EC">
              <w:rPr>
                <w:iCs/>
                <w:color w:val="000000"/>
                <w:w w:val="15"/>
                <w:fitText w:val="30" w:id="-1502409208"/>
                <w14:textFill>
                  <w14:solidFill>
                    <w14:srgbClr w14:val="000000">
                      <w14:alpha w14:val="100000"/>
                    </w14:srgbClr>
                  </w14:solidFill>
                </w14:textFill>
              </w:rPr>
              <w:t>|</w:t>
            </w:r>
            <w:r w:rsidRPr="00C828EC">
              <w:rPr>
                <w:rFonts w:hint="eastAsia"/>
                <w:iCs/>
                <w:color w:val="000000"/>
                <w:spacing w:val="-35"/>
                <w:w w:val="15"/>
                <w:fitText w:val="30" w:id="-1502409208"/>
                <w14:textFill>
                  <w14:solidFill>
                    <w14:srgbClr w14:val="000000">
                      <w14:alpha w14:val="100000"/>
                    </w14:srgbClr>
                  </w14:solidFill>
                </w14:textFill>
              </w:rPr>
              <w:t xml:space="preserve">　</w:t>
            </w:r>
          </w:p>
        </w:tc>
        <w:tc>
          <w:tcPr>
            <w:tcW w:w="557" w:type="pct"/>
            <w:tcBorders>
              <w:top w:val="single" w:sz="4" w:space="0" w:color="auto"/>
              <w:left w:val="single" w:sz="4" w:space="0" w:color="auto"/>
              <w:bottom w:val="single" w:sz="4" w:space="0" w:color="auto"/>
              <w:right w:val="single" w:sz="4" w:space="0" w:color="auto"/>
            </w:tcBorders>
            <w:shd w:val="solid" w:color="000000" w:fill="000000"/>
            <w:hideMark/>
          </w:tcPr>
          <w:p w14:paraId="10A0B40B" w14:textId="77E96726" w:rsidR="00AD0866" w:rsidRPr="00C828EC" w:rsidRDefault="00C828EC">
            <w:pPr>
              <w:pStyle w:val="TableText0"/>
              <w:jc w:val="center"/>
              <w:rPr>
                <w:iCs/>
                <w:vertAlign w:val="superscript"/>
              </w:rPr>
            </w:pPr>
            <w:r w:rsidRPr="00C828EC">
              <w:rPr>
                <w:rFonts w:hint="eastAsia"/>
                <w:iCs/>
                <w:color w:val="000000"/>
                <w:w w:val="16"/>
                <w:fitText w:val="75" w:id="-1502409207"/>
                <w14:textFill>
                  <w14:solidFill>
                    <w14:srgbClr w14:val="000000">
                      <w14:alpha w14:val="100000"/>
                    </w14:srgbClr>
                  </w14:solidFill>
                </w14:textFill>
              </w:rPr>
              <w:t xml:space="preserve">　</w:t>
            </w:r>
            <w:r w:rsidRPr="00C828EC">
              <w:rPr>
                <w:iCs/>
                <w:color w:val="000000"/>
                <w:w w:val="16"/>
                <w:fitText w:val="75" w:id="-1502409207"/>
                <w14:textFill>
                  <w14:solidFill>
                    <w14:srgbClr w14:val="000000">
                      <w14:alpha w14:val="100000"/>
                    </w14:srgbClr>
                  </w14:solidFill>
                </w14:textFill>
              </w:rPr>
              <w:t>|</w:t>
            </w:r>
            <w:r w:rsidRPr="00C828EC">
              <w:rPr>
                <w:rFonts w:hint="eastAsia"/>
                <w:iCs/>
                <w:color w:val="000000"/>
                <w:w w:val="16"/>
                <w:fitText w:val="75" w:id="-1502409207"/>
                <w14:textFill>
                  <w14:solidFill>
                    <w14:srgbClr w14:val="000000">
                      <w14:alpha w14:val="100000"/>
                    </w14:srgbClr>
                  </w14:solidFill>
                </w14:textFill>
              </w:rPr>
              <w:t xml:space="preserve">　</w:t>
            </w:r>
          </w:p>
        </w:tc>
      </w:tr>
    </w:tbl>
    <w:p w14:paraId="0EA847A0" w14:textId="7FF5A660" w:rsidR="00AD0866" w:rsidRDefault="00AD0866" w:rsidP="00AD0866">
      <w:pPr>
        <w:pStyle w:val="TableFigureFooter"/>
        <w:rPr>
          <w:rStyle w:val="CommentReference"/>
        </w:rPr>
      </w:pPr>
      <w:r>
        <w:t>Source: Table 4-6, p102, Table 4-8, p104 of the submission.</w:t>
      </w:r>
    </w:p>
    <w:p w14:paraId="68D07D2C" w14:textId="77777777" w:rsidR="00AD0866" w:rsidRDefault="00AD0866" w:rsidP="00AD0866">
      <w:pPr>
        <w:pStyle w:val="TableFigureFooter"/>
      </w:pPr>
      <w:proofErr w:type="spellStart"/>
      <w:proofErr w:type="gramStart"/>
      <w:r>
        <w:rPr>
          <w:vertAlign w:val="superscript"/>
        </w:rPr>
        <w:t>a</w:t>
      </w:r>
      <w:proofErr w:type="spellEnd"/>
      <w:proofErr w:type="gramEnd"/>
      <w:r>
        <w:t xml:space="preserve"> Average treatment duration per patient 7.47 months, 0.75 dose per week (Calculated as 3 doses per 4 weeks – day 1, 8 and 15 of a 28 day cycle), and 79.35% dose intensity (which has been applied to the number of scripts).</w:t>
      </w:r>
    </w:p>
    <w:p w14:paraId="4C57C30B" w14:textId="505038BA" w:rsidR="00952414" w:rsidRDefault="002035D2" w:rsidP="00AD0866">
      <w:pPr>
        <w:pStyle w:val="TableFigureFooter"/>
        <w:rPr>
          <w:iCs/>
        </w:rPr>
      </w:pPr>
      <w:proofErr w:type="spellStart"/>
      <w:r w:rsidRPr="002035D2">
        <w:rPr>
          <w:iCs/>
          <w:vertAlign w:val="superscript"/>
        </w:rPr>
        <w:t>b</w:t>
      </w:r>
      <w:r w:rsidR="00AD0866" w:rsidRPr="002035D2">
        <w:rPr>
          <w:iCs/>
        </w:rPr>
        <w:t>Figures</w:t>
      </w:r>
      <w:proofErr w:type="spellEnd"/>
      <w:r w:rsidR="00AD0866" w:rsidRPr="002035D2">
        <w:rPr>
          <w:iCs/>
        </w:rPr>
        <w:t xml:space="preserve"> have been corrected to reflect the cost of an average dose of 96.5mg (based on the dispensed efficient vial dose calculated using the distribution of patient weights in EV-301). The submission figures used the cost of 130mg (maximum dispensed amount).</w:t>
      </w:r>
    </w:p>
    <w:p w14:paraId="1516564B" w14:textId="77777777" w:rsidR="00952414" w:rsidRPr="00952414" w:rsidRDefault="00952414" w:rsidP="00952414">
      <w:pPr>
        <w:pStyle w:val="TableFigureFooter"/>
        <w:keepNext/>
        <w:spacing w:after="0"/>
        <w:contextualSpacing w:val="0"/>
        <w:rPr>
          <w:i/>
        </w:rPr>
      </w:pPr>
      <w:r w:rsidRPr="00952414">
        <w:rPr>
          <w:i/>
        </w:rPr>
        <w:t>The redacted values correspond to the following ranges:</w:t>
      </w:r>
    </w:p>
    <w:p w14:paraId="14F9377E" w14:textId="048EE99C" w:rsidR="00952414" w:rsidRPr="00952414" w:rsidRDefault="00952414" w:rsidP="00952414">
      <w:pPr>
        <w:pStyle w:val="TableFigureFooter"/>
        <w:keepNext/>
        <w:spacing w:after="0"/>
        <w:contextualSpacing w:val="0"/>
      </w:pPr>
      <w:r w:rsidRPr="00952414">
        <w:rPr>
          <w:i/>
          <w:szCs w:val="18"/>
          <w:vertAlign w:val="superscript"/>
        </w:rPr>
        <w:t>1</w:t>
      </w:r>
      <w:r w:rsidRPr="00952414">
        <w:rPr>
          <w:i/>
          <w:szCs w:val="18"/>
        </w:rPr>
        <w:t xml:space="preserve"> &lt;500</w:t>
      </w:r>
    </w:p>
    <w:p w14:paraId="089F8F2F" w14:textId="77777777" w:rsidR="00952414" w:rsidRDefault="00952414" w:rsidP="00952414">
      <w:pPr>
        <w:rPr>
          <w:rFonts w:ascii="Arial Narrow" w:hAnsi="Arial Narrow"/>
          <w:i/>
          <w:sz w:val="18"/>
          <w:szCs w:val="18"/>
        </w:rPr>
      </w:pPr>
      <w:r w:rsidRPr="00952414">
        <w:rPr>
          <w:rFonts w:ascii="Arial Narrow" w:hAnsi="Arial Narrow"/>
          <w:i/>
          <w:sz w:val="18"/>
          <w:szCs w:val="18"/>
          <w:vertAlign w:val="superscript"/>
        </w:rPr>
        <w:t>2</w:t>
      </w:r>
      <w:r w:rsidRPr="00952414">
        <w:rPr>
          <w:rFonts w:ascii="Arial Narrow" w:hAnsi="Arial Narrow"/>
          <w:i/>
          <w:sz w:val="18"/>
          <w:szCs w:val="18"/>
        </w:rPr>
        <w:t xml:space="preserve"> 5,000 to &lt; 10,000</w:t>
      </w:r>
    </w:p>
    <w:p w14:paraId="6B1262B4" w14:textId="77777777" w:rsidR="00952414" w:rsidRDefault="00952414" w:rsidP="00952414">
      <w:pPr>
        <w:rPr>
          <w:rFonts w:ascii="Arial Narrow" w:hAnsi="Arial Narrow"/>
          <w:i/>
          <w:sz w:val="18"/>
          <w:szCs w:val="18"/>
        </w:rPr>
      </w:pPr>
      <w:r w:rsidRPr="00952414">
        <w:rPr>
          <w:rFonts w:ascii="Arial Narrow" w:hAnsi="Arial Narrow"/>
          <w:i/>
          <w:sz w:val="18"/>
          <w:szCs w:val="18"/>
          <w:vertAlign w:val="superscript"/>
        </w:rPr>
        <w:t xml:space="preserve">3 </w:t>
      </w:r>
      <w:r w:rsidRPr="00952414">
        <w:rPr>
          <w:rFonts w:ascii="Arial Narrow" w:hAnsi="Arial Narrow"/>
          <w:i/>
          <w:sz w:val="18"/>
          <w:szCs w:val="18"/>
        </w:rPr>
        <w:t xml:space="preserve">$10 million to &lt;$20 million </w:t>
      </w:r>
    </w:p>
    <w:p w14:paraId="1BE754F1" w14:textId="5B0FCF7B" w:rsidR="00952414" w:rsidRPr="00952414" w:rsidRDefault="00952414" w:rsidP="00952414">
      <w:pPr>
        <w:rPr>
          <w:rFonts w:ascii="Arial Narrow" w:hAnsi="Arial Narrow"/>
          <w:i/>
          <w:sz w:val="18"/>
          <w:szCs w:val="18"/>
        </w:rPr>
      </w:pPr>
      <w:r w:rsidRPr="00952414">
        <w:rPr>
          <w:rFonts w:ascii="Arial Narrow" w:hAnsi="Arial Narrow"/>
          <w:i/>
          <w:sz w:val="18"/>
          <w:szCs w:val="18"/>
          <w:vertAlign w:val="superscript"/>
        </w:rPr>
        <w:t xml:space="preserve">4 </w:t>
      </w:r>
      <w:r w:rsidR="005853D4" w:rsidRPr="00952414">
        <w:rPr>
          <w:rFonts w:ascii="Arial Narrow" w:hAnsi="Arial Narrow"/>
          <w:i/>
          <w:sz w:val="18"/>
          <w:szCs w:val="18"/>
        </w:rPr>
        <w:t xml:space="preserve">$0 to &lt;$10 million </w:t>
      </w:r>
    </w:p>
    <w:p w14:paraId="14B250E9" w14:textId="0E2121B6" w:rsidR="00952414" w:rsidRPr="00952414" w:rsidRDefault="00952414" w:rsidP="00952414">
      <w:pPr>
        <w:rPr>
          <w:rFonts w:ascii="Arial Narrow" w:hAnsi="Arial Narrow"/>
          <w:i/>
          <w:sz w:val="18"/>
          <w:szCs w:val="18"/>
        </w:rPr>
      </w:pPr>
      <w:r w:rsidRPr="00952414">
        <w:rPr>
          <w:rFonts w:ascii="Arial Narrow" w:hAnsi="Arial Narrow"/>
          <w:i/>
          <w:sz w:val="18"/>
          <w:szCs w:val="18"/>
          <w:vertAlign w:val="superscript"/>
        </w:rPr>
        <w:t>5</w:t>
      </w:r>
      <w:r w:rsidRPr="00952414">
        <w:rPr>
          <w:rFonts w:ascii="Arial Narrow" w:hAnsi="Arial Narrow"/>
          <w:i/>
          <w:sz w:val="18"/>
          <w:szCs w:val="18"/>
        </w:rPr>
        <w:t xml:space="preserve"> </w:t>
      </w:r>
      <w:r w:rsidR="005853D4" w:rsidRPr="00952414">
        <w:rPr>
          <w:rFonts w:ascii="Arial Narrow" w:hAnsi="Arial Narrow"/>
          <w:i/>
          <w:sz w:val="18"/>
          <w:szCs w:val="18"/>
        </w:rPr>
        <w:t xml:space="preserve">500 </w:t>
      </w:r>
      <w:r w:rsidR="005853D4">
        <w:rPr>
          <w:rFonts w:ascii="Arial Narrow" w:hAnsi="Arial Narrow"/>
          <w:i/>
          <w:sz w:val="18"/>
          <w:szCs w:val="18"/>
        </w:rPr>
        <w:t xml:space="preserve">to </w:t>
      </w:r>
      <w:r w:rsidR="005853D4" w:rsidRPr="00952414">
        <w:rPr>
          <w:rFonts w:ascii="Arial Narrow" w:hAnsi="Arial Narrow"/>
          <w:i/>
          <w:sz w:val="18"/>
          <w:szCs w:val="18"/>
        </w:rPr>
        <w:t>&lt;5,000</w:t>
      </w:r>
    </w:p>
    <w:p w14:paraId="49E9D0BA" w14:textId="77777777" w:rsidR="005853D4" w:rsidRDefault="00952414" w:rsidP="00952414">
      <w:pPr>
        <w:rPr>
          <w:rFonts w:ascii="Arial Narrow" w:hAnsi="Arial Narrow"/>
          <w:i/>
          <w:sz w:val="18"/>
          <w:szCs w:val="18"/>
        </w:rPr>
      </w:pPr>
      <w:r w:rsidRPr="00952414">
        <w:rPr>
          <w:rFonts w:ascii="Arial Narrow" w:hAnsi="Arial Narrow"/>
          <w:i/>
          <w:sz w:val="18"/>
          <w:szCs w:val="18"/>
          <w:vertAlign w:val="superscript"/>
        </w:rPr>
        <w:t xml:space="preserve">6 </w:t>
      </w:r>
      <w:r w:rsidR="005853D4" w:rsidRPr="00952414">
        <w:rPr>
          <w:rFonts w:ascii="Arial Narrow" w:hAnsi="Arial Narrow"/>
          <w:i/>
          <w:sz w:val="18"/>
          <w:szCs w:val="18"/>
        </w:rPr>
        <w:t>10,000 to &lt;20,000</w:t>
      </w:r>
    </w:p>
    <w:p w14:paraId="309D1408" w14:textId="7969BCBC" w:rsidR="00952414" w:rsidRPr="005853D4" w:rsidRDefault="00952414" w:rsidP="005853D4">
      <w:pPr>
        <w:spacing w:after="120"/>
        <w:rPr>
          <w:rFonts w:ascii="Arial Narrow" w:hAnsi="Arial Narrow"/>
          <w:i/>
          <w:sz w:val="18"/>
          <w:szCs w:val="18"/>
          <w:vertAlign w:val="superscript"/>
        </w:rPr>
      </w:pPr>
      <w:r w:rsidRPr="00952414">
        <w:rPr>
          <w:rFonts w:ascii="Arial Narrow" w:hAnsi="Arial Narrow"/>
          <w:i/>
          <w:sz w:val="18"/>
          <w:szCs w:val="18"/>
          <w:vertAlign w:val="superscript"/>
        </w:rPr>
        <w:t xml:space="preserve">7 </w:t>
      </w:r>
      <w:r w:rsidR="005853D4" w:rsidRPr="00952414">
        <w:rPr>
          <w:rFonts w:ascii="Arial Narrow" w:hAnsi="Arial Narrow"/>
          <w:i/>
          <w:sz w:val="18"/>
          <w:szCs w:val="18"/>
        </w:rPr>
        <w:t xml:space="preserve">$20 million to &lt;$30 million </w:t>
      </w:r>
    </w:p>
    <w:p w14:paraId="41D38B7B" w14:textId="12585970" w:rsidR="00AD0866" w:rsidRPr="006A1F4C" w:rsidRDefault="00AD0866" w:rsidP="006A1F4C">
      <w:pPr>
        <w:pStyle w:val="3-BodyText"/>
        <w:rPr>
          <w:iCs/>
        </w:rPr>
      </w:pPr>
      <w:r w:rsidRPr="004745C2">
        <w:rPr>
          <w:iCs/>
        </w:rPr>
        <w:t xml:space="preserve">The total cost to the PBS/RPBS of listing </w:t>
      </w:r>
      <w:proofErr w:type="spellStart"/>
      <w:r w:rsidRPr="004745C2">
        <w:rPr>
          <w:iCs/>
        </w:rPr>
        <w:t>enfortumab</w:t>
      </w:r>
      <w:proofErr w:type="spellEnd"/>
      <w:r w:rsidRPr="004745C2">
        <w:rPr>
          <w:iCs/>
        </w:rPr>
        <w:t xml:space="preserve"> </w:t>
      </w:r>
      <w:proofErr w:type="spellStart"/>
      <w:r w:rsidRPr="004745C2">
        <w:rPr>
          <w:iCs/>
        </w:rPr>
        <w:t>vedotin</w:t>
      </w:r>
      <w:proofErr w:type="spellEnd"/>
      <w:r w:rsidRPr="004745C2">
        <w:rPr>
          <w:iCs/>
        </w:rPr>
        <w:t xml:space="preserve"> was estimated to be</w:t>
      </w:r>
      <w:r w:rsidR="006A1F4C">
        <w:rPr>
          <w:iCs/>
        </w:rPr>
        <w:t xml:space="preserve"> </w:t>
      </w:r>
      <w:r w:rsidR="006A1F4C" w:rsidRPr="006A1F4C">
        <w:rPr>
          <w:iCs/>
        </w:rPr>
        <w:t>$</w:t>
      </w:r>
      <w:r w:rsidR="008E060D">
        <w:rPr>
          <w:iCs/>
        </w:rPr>
        <w:t>2</w:t>
      </w:r>
      <w:r w:rsidR="006A1F4C" w:rsidRPr="006A1F4C">
        <w:rPr>
          <w:iCs/>
        </w:rPr>
        <w:t>0 million to &lt; $</w:t>
      </w:r>
      <w:r w:rsidR="008E060D">
        <w:rPr>
          <w:iCs/>
        </w:rPr>
        <w:t>3</w:t>
      </w:r>
      <w:r w:rsidR="006A1F4C" w:rsidRPr="006A1F4C">
        <w:rPr>
          <w:iCs/>
        </w:rPr>
        <w:t>0 </w:t>
      </w:r>
      <w:proofErr w:type="gramStart"/>
      <w:r w:rsidR="006A1F4C" w:rsidRPr="006A1F4C">
        <w:rPr>
          <w:iCs/>
        </w:rPr>
        <w:t>million</w:t>
      </w:r>
      <w:r w:rsidR="006A1F4C" w:rsidRPr="006A1F4C" w:rsidDel="00DB5681">
        <w:rPr>
          <w:iCs/>
        </w:rPr>
        <w:t xml:space="preserve"> </w:t>
      </w:r>
      <w:r w:rsidRPr="006A1F4C">
        <w:rPr>
          <w:iCs/>
        </w:rPr>
        <w:t xml:space="preserve"> in</w:t>
      </w:r>
      <w:proofErr w:type="gramEnd"/>
      <w:r w:rsidRPr="006A1F4C">
        <w:rPr>
          <w:iCs/>
        </w:rPr>
        <w:t xml:space="preserve"> Year 6, and a total of </w:t>
      </w:r>
      <w:r w:rsidR="006A1F4C" w:rsidRPr="006A1F4C">
        <w:rPr>
          <w:iCs/>
        </w:rPr>
        <w:t>$100 million to &lt; $200 million</w:t>
      </w:r>
      <w:r w:rsidR="006A1F4C" w:rsidRPr="006A1F4C" w:rsidDel="00DB5681">
        <w:rPr>
          <w:iCs/>
        </w:rPr>
        <w:t xml:space="preserve"> </w:t>
      </w:r>
      <w:r w:rsidRPr="006A1F4C">
        <w:rPr>
          <w:iCs/>
        </w:rPr>
        <w:t xml:space="preserve">in the first 6 years of listing. </w:t>
      </w:r>
    </w:p>
    <w:p w14:paraId="2AAC7E59" w14:textId="77777777" w:rsidR="0083510F" w:rsidRPr="0083510F" w:rsidRDefault="0083510F" w:rsidP="004745C2">
      <w:pPr>
        <w:pStyle w:val="3-BodyText"/>
      </w:pPr>
      <w:bookmarkStart w:id="30" w:name="_Ref100229858"/>
      <w:r w:rsidRPr="004745C2">
        <w:rPr>
          <w:iCs/>
        </w:rPr>
        <w:t xml:space="preserve">DUSC considered that </w:t>
      </w:r>
      <w:proofErr w:type="gramStart"/>
      <w:r w:rsidRPr="004745C2">
        <w:rPr>
          <w:iCs/>
        </w:rPr>
        <w:t>overall</w:t>
      </w:r>
      <w:proofErr w:type="gramEnd"/>
      <w:r w:rsidRPr="004745C2">
        <w:rPr>
          <w:iCs/>
        </w:rPr>
        <w:t xml:space="preserve"> the financial estimates presented in the submission are reasonable. The</w:t>
      </w:r>
      <w:r w:rsidRPr="0083510F">
        <w:t xml:space="preserve"> main issues are:</w:t>
      </w:r>
      <w:bookmarkEnd w:id="30"/>
    </w:p>
    <w:p w14:paraId="25F5DFD1" w14:textId="6060461B" w:rsidR="00D563C8" w:rsidRPr="00D563C8" w:rsidRDefault="0083510F" w:rsidP="004F66EB">
      <w:pPr>
        <w:pStyle w:val="ListParagraph"/>
        <w:numPr>
          <w:ilvl w:val="0"/>
          <w:numId w:val="17"/>
        </w:numPr>
        <w:snapToGrid w:val="0"/>
        <w:ind w:left="1092"/>
        <w:rPr>
          <w:lang w:eastAsia="en-US"/>
        </w:rPr>
      </w:pPr>
      <w:r w:rsidRPr="00257291">
        <w:rPr>
          <w:lang w:eastAsia="en-US"/>
        </w:rPr>
        <w:t>The submission has applied relative dose intensity to the financial model at a step that reduces the number of scripts rather than applying it to the dose dispensed. This underestimates the number of scripts (unless dose intensity is entirely driven by delays in treatment). It may slightly underestimate the financial implications to the R/PBS because the average dispensed amount per patient (adjusted for efficient usage of vials) is slightly lower than had dose intensity been applied directly to the dose dispensed for each patient prior to the calculation of efficient usage of vials.</w:t>
      </w:r>
      <w:r w:rsidR="00D563C8">
        <w:rPr>
          <w:lang w:eastAsia="en-US"/>
        </w:rPr>
        <w:t xml:space="preserve"> DUSC </w:t>
      </w:r>
      <w:r w:rsidR="004F66EB">
        <w:rPr>
          <w:lang w:eastAsia="en-US"/>
        </w:rPr>
        <w:t xml:space="preserve">agreed with the evaluation that the 5% underestimate in costs may be larger if dose intensity is primarily a result of dose reductions rather than dose delays. The pre-PBAC response noted 34.1% of patients treated with </w:t>
      </w:r>
      <w:proofErr w:type="spellStart"/>
      <w:r w:rsidR="004F66EB">
        <w:rPr>
          <w:lang w:eastAsia="en-US"/>
        </w:rPr>
        <w:t>enfortumab</w:t>
      </w:r>
      <w:proofErr w:type="spellEnd"/>
      <w:r w:rsidR="004F66EB">
        <w:rPr>
          <w:lang w:eastAsia="en-US"/>
        </w:rPr>
        <w:t xml:space="preserve"> </w:t>
      </w:r>
      <w:proofErr w:type="spellStart"/>
      <w:r w:rsidR="004F66EB">
        <w:rPr>
          <w:lang w:eastAsia="en-US"/>
        </w:rPr>
        <w:t>vedotin</w:t>
      </w:r>
      <w:proofErr w:type="spellEnd"/>
      <w:r w:rsidR="004F66EB">
        <w:rPr>
          <w:lang w:eastAsia="en-US"/>
        </w:rPr>
        <w:t xml:space="preserve"> had TEAEs resulting in a dose reduction and 60.8% of patients had TEAEs resulting in dose interruptions. As such, the pre-PBAC response) argued that the financial estimates will only have been slightly underestimated. </w:t>
      </w:r>
    </w:p>
    <w:p w14:paraId="2E1B61FC" w14:textId="686E5C90" w:rsidR="0083510F" w:rsidRPr="00257291" w:rsidRDefault="0083510F" w:rsidP="0083510F">
      <w:pPr>
        <w:pStyle w:val="ListParagraph"/>
        <w:numPr>
          <w:ilvl w:val="0"/>
          <w:numId w:val="17"/>
        </w:numPr>
        <w:snapToGrid w:val="0"/>
        <w:ind w:left="1092"/>
        <w:rPr>
          <w:lang w:eastAsia="en-US"/>
        </w:rPr>
      </w:pPr>
      <w:r w:rsidRPr="0083510F">
        <w:rPr>
          <w:lang w:eastAsia="en-US"/>
        </w:rPr>
        <w:t xml:space="preserve">DUSC noted an uncited UpToDate article was used to establish the proportion of urothelial cancer patients with locally advanced or metastatic cancer which was not appropriate and may lead to an underestimated eligible pool. </w:t>
      </w:r>
      <w:r w:rsidR="004F66EB">
        <w:rPr>
          <w:lang w:eastAsia="en-US"/>
        </w:rPr>
        <w:t xml:space="preserve">The pre-PBAC response accepted that there is uncertainty in relation to the proportion of patients with urothelial cancer who develop locally advanced or metastatic disease but noted that there do not appear to be better estimates of this proportion. </w:t>
      </w:r>
    </w:p>
    <w:p w14:paraId="6B8AC4BB" w14:textId="31CB0133" w:rsidR="0083510F" w:rsidRPr="00257291" w:rsidRDefault="0083510F" w:rsidP="0083510F">
      <w:pPr>
        <w:pStyle w:val="ListParagraph"/>
        <w:numPr>
          <w:ilvl w:val="0"/>
          <w:numId w:val="17"/>
        </w:numPr>
        <w:snapToGrid w:val="0"/>
        <w:ind w:left="1092"/>
        <w:rPr>
          <w:lang w:eastAsia="en-US"/>
        </w:rPr>
      </w:pPr>
      <w:r w:rsidRPr="0083510F">
        <w:rPr>
          <w:lang w:eastAsia="en-US"/>
        </w:rPr>
        <w:t xml:space="preserve">DUSC noted that the estimated current number of patients using pembrolizumab per month using PBS statistics was </w:t>
      </w:r>
      <w:proofErr w:type="gramStart"/>
      <w:r w:rsidRPr="0083510F">
        <w:rPr>
          <w:lang w:eastAsia="en-US"/>
        </w:rPr>
        <w:t>similar to</w:t>
      </w:r>
      <w:proofErr w:type="gramEnd"/>
      <w:r w:rsidRPr="0083510F">
        <w:rPr>
          <w:lang w:eastAsia="en-US"/>
        </w:rPr>
        <w:t xml:space="preserve"> the number of patients proposed in the submission. DUSC noted, however that the number of patients who would use avelumab increase the total number of locally advanced and metastatic patients by </w:t>
      </w:r>
      <w:r w:rsidR="006A1F4C" w:rsidRPr="006A1F4C">
        <w:rPr>
          <w:lang w:eastAsia="en-US"/>
        </w:rPr>
        <w:t>&lt; 500</w:t>
      </w:r>
      <w:r w:rsidRPr="0083510F">
        <w:rPr>
          <w:lang w:eastAsia="en-US"/>
        </w:rPr>
        <w:t xml:space="preserve"> in the first year. DUSC considered this an area of uncertainty as the number of patients treated with avelumab could not be verified. DUSC considered sales and compassionate data from the sponsor of avelumab may help inform the estimates. </w:t>
      </w:r>
      <w:r w:rsidR="004F66EB">
        <w:rPr>
          <w:lang w:eastAsia="en-US"/>
        </w:rPr>
        <w:t xml:space="preserve">The pre-PBAC response stated that the sponsor has no further intelligence on the use of avelumab. </w:t>
      </w:r>
    </w:p>
    <w:p w14:paraId="377A58E5" w14:textId="4A71DCD4" w:rsidR="0083510F" w:rsidRPr="0083510F" w:rsidRDefault="0083510F" w:rsidP="0083510F">
      <w:pPr>
        <w:pStyle w:val="ListParagraph"/>
        <w:numPr>
          <w:ilvl w:val="0"/>
          <w:numId w:val="17"/>
        </w:numPr>
        <w:snapToGrid w:val="0"/>
        <w:ind w:left="1092"/>
        <w:rPr>
          <w:lang w:eastAsia="en-US"/>
        </w:rPr>
      </w:pPr>
      <w:r w:rsidRPr="0083510F">
        <w:rPr>
          <w:lang w:eastAsia="en-US"/>
        </w:rPr>
        <w:t>DUSC considered that early termination of the trial EV-301 would likely result in a shorter duration of therapy than would occur in practice.</w:t>
      </w:r>
    </w:p>
    <w:p w14:paraId="4B52856B" w14:textId="77777777" w:rsidR="007A57F4" w:rsidRPr="00C9624D" w:rsidRDefault="007A57F4" w:rsidP="007A57F4">
      <w:pPr>
        <w:pStyle w:val="4-SubsectionHeading"/>
      </w:pPr>
      <w:r w:rsidRPr="00C9624D">
        <w:t>Quality Use of Medicines</w:t>
      </w:r>
      <w:bookmarkEnd w:id="29"/>
    </w:p>
    <w:p w14:paraId="52D71C93" w14:textId="19B64296" w:rsidR="0083510F" w:rsidRDefault="007F7FF4" w:rsidP="007F7FF4">
      <w:pPr>
        <w:pStyle w:val="ListParagraph"/>
        <w:numPr>
          <w:ilvl w:val="1"/>
          <w:numId w:val="1"/>
        </w:numPr>
      </w:pPr>
      <w:r w:rsidRPr="007F7FF4">
        <w:t xml:space="preserve">The sponsor </w:t>
      </w:r>
      <w:r w:rsidR="007560D5">
        <w:t>did</w:t>
      </w:r>
      <w:r w:rsidRPr="007F7FF4">
        <w:t xml:space="preserve"> not identif</w:t>
      </w:r>
      <w:r w:rsidR="007560D5">
        <w:t>y</w:t>
      </w:r>
      <w:r w:rsidRPr="007F7FF4">
        <w:t xml:space="preserve"> any quality of use medicines issues.</w:t>
      </w:r>
    </w:p>
    <w:p w14:paraId="37D53E20" w14:textId="68799532" w:rsidR="007A57F4" w:rsidRPr="007F7FF4" w:rsidRDefault="0083510F" w:rsidP="0083510F">
      <w:pPr>
        <w:pStyle w:val="ListParagraph"/>
        <w:numPr>
          <w:ilvl w:val="1"/>
          <w:numId w:val="1"/>
        </w:numPr>
      </w:pPr>
      <w:r w:rsidRPr="004F66EB">
        <w:t xml:space="preserve">DUSC considered planned education </w:t>
      </w:r>
      <w:r w:rsidR="004C1E3E">
        <w:t xml:space="preserve">for prescribers would be </w:t>
      </w:r>
      <w:r w:rsidRPr="004F66EB">
        <w:t>important</w:t>
      </w:r>
      <w:r w:rsidR="004C1E3E">
        <w:t>,</w:t>
      </w:r>
      <w:r w:rsidRPr="004F66EB">
        <w:t xml:space="preserve"> noting that the FDA currently has a black box warning for </w:t>
      </w:r>
      <w:proofErr w:type="spellStart"/>
      <w:r w:rsidRPr="004F66EB">
        <w:t>enfortumab</w:t>
      </w:r>
      <w:proofErr w:type="spellEnd"/>
      <w:r w:rsidRPr="004F66EB">
        <w:t xml:space="preserve"> </w:t>
      </w:r>
      <w:proofErr w:type="spellStart"/>
      <w:r w:rsidRPr="004F66EB">
        <w:t>vedotin</w:t>
      </w:r>
      <w:proofErr w:type="spellEnd"/>
      <w:r w:rsidRPr="004F66EB">
        <w:t xml:space="preserve"> due to the incidence of Stevens-Johnson syndrome/ toxic epidermal necrolysis. </w:t>
      </w:r>
    </w:p>
    <w:p w14:paraId="0ABD2CD1" w14:textId="77777777" w:rsidR="007A57F4" w:rsidRPr="00C9624D" w:rsidRDefault="007A57F4" w:rsidP="007A57F4">
      <w:pPr>
        <w:pStyle w:val="4-SubsectionHeading"/>
      </w:pPr>
      <w:bookmarkStart w:id="31" w:name="_Toc93491268"/>
      <w:r w:rsidRPr="00C9624D">
        <w:t>Financial Management – Risk Sharing Arrangements</w:t>
      </w:r>
      <w:bookmarkEnd w:id="31"/>
    </w:p>
    <w:p w14:paraId="166D0394" w14:textId="45A18E65" w:rsidR="007A57F4" w:rsidRDefault="00A938BE" w:rsidP="007A57F4">
      <w:pPr>
        <w:pStyle w:val="ListParagraph"/>
        <w:numPr>
          <w:ilvl w:val="1"/>
          <w:numId w:val="1"/>
        </w:numPr>
      </w:pPr>
      <w:r w:rsidRPr="007F7FF4">
        <w:t xml:space="preserve">The </w:t>
      </w:r>
      <w:r w:rsidR="00DB5CFB">
        <w:t>submission did</w:t>
      </w:r>
      <w:r w:rsidRPr="007F7FF4">
        <w:t xml:space="preserve"> not propose a risk sharing arrangement but </w:t>
      </w:r>
      <w:r w:rsidR="00DB5CFB">
        <w:t xml:space="preserve">expressed a </w:t>
      </w:r>
      <w:r w:rsidRPr="007F7FF4">
        <w:t>willing</w:t>
      </w:r>
      <w:r w:rsidR="00DB5CFB">
        <w:t>ness</w:t>
      </w:r>
      <w:r w:rsidRPr="007F7FF4">
        <w:t xml:space="preserve"> to </w:t>
      </w:r>
      <w:proofErr w:type="gramStart"/>
      <w:r w:rsidR="00DB5CFB">
        <w:t>enter into</w:t>
      </w:r>
      <w:proofErr w:type="gramEnd"/>
      <w:r w:rsidR="00DB5CFB">
        <w:t xml:space="preserve"> such an arrangement</w:t>
      </w:r>
      <w:r w:rsidRPr="007F7FF4">
        <w:t xml:space="preserve"> should</w:t>
      </w:r>
      <w:r w:rsidR="007F7FF4" w:rsidRPr="007F7FF4">
        <w:t xml:space="preserve"> the PBAC consider this necessary to provide the Government with greater financial certainty.</w:t>
      </w:r>
    </w:p>
    <w:p w14:paraId="398D2777" w14:textId="77777777" w:rsidR="00AD0866" w:rsidRPr="00AD0866" w:rsidRDefault="00AD0866" w:rsidP="00AD0866">
      <w:pPr>
        <w:pStyle w:val="3-BodyText"/>
        <w:numPr>
          <w:ilvl w:val="0"/>
          <w:numId w:val="0"/>
        </w:numPr>
        <w:ind w:left="720"/>
        <w:rPr>
          <w:i/>
        </w:rPr>
      </w:pPr>
      <w:r w:rsidRPr="00AD0866">
        <w:rPr>
          <w:i/>
        </w:rPr>
        <w:t>For more detail on PBAC’s view, see section 7 PBAC outcome.</w:t>
      </w:r>
    </w:p>
    <w:p w14:paraId="0B8250F0" w14:textId="77777777" w:rsidR="0083510F" w:rsidRPr="0090150D" w:rsidRDefault="0083510F" w:rsidP="00CE46CD">
      <w:pPr>
        <w:pStyle w:val="2-SectionHeading"/>
      </w:pPr>
      <w:bookmarkStart w:id="32" w:name="_Hlk76381249"/>
      <w:bookmarkStart w:id="33" w:name="_Hlk76377955"/>
      <w:r w:rsidRPr="0090150D">
        <w:t>PBAC Outcome</w:t>
      </w:r>
    </w:p>
    <w:p w14:paraId="2167C06F" w14:textId="4EE0445A" w:rsidR="0083510F" w:rsidRPr="007407A1" w:rsidRDefault="0083510F" w:rsidP="0083510F">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w:t>
      </w:r>
      <w:r w:rsidR="001F4089">
        <w:rPr>
          <w:rFonts w:asciiTheme="minorHAnsi" w:hAnsiTheme="minorHAnsi"/>
          <w:snapToGrid w:val="0"/>
          <w:lang w:val="en-GB"/>
        </w:rPr>
        <w:t xml:space="preserve">d </w:t>
      </w:r>
      <w:proofErr w:type="spellStart"/>
      <w:r w:rsidR="001F4089">
        <w:t>enfortumab</w:t>
      </w:r>
      <w:proofErr w:type="spellEnd"/>
      <w:r w:rsidR="001F4089">
        <w:t xml:space="preserve"> </w:t>
      </w:r>
      <w:proofErr w:type="spellStart"/>
      <w:r w:rsidR="001F4089">
        <w:t>vedotin</w:t>
      </w:r>
      <w:proofErr w:type="spellEnd"/>
      <w:r w:rsidR="001F4089" w:rsidRPr="004E18E9">
        <w:t xml:space="preserve"> for the treatment of </w:t>
      </w:r>
      <w:r w:rsidR="001F4089">
        <w:t>p</w:t>
      </w:r>
      <w:r w:rsidR="001F4089" w:rsidRPr="00471115">
        <w:t>atients with locally advanced (Stage III) or metastatic (Stage IV) urothelial cancer who have progressed on or after a platinum-containing chemotherapy regimen and either a programmed cell death-1 (PD-1) inhibitor or a programmed cell death ligand-1 (PD-L1) inhibitor</w:t>
      </w:r>
      <w:r w:rsidR="001F4089">
        <w:t xml:space="preserve">. </w:t>
      </w:r>
      <w:r w:rsidR="001F4089" w:rsidRPr="001F4089">
        <w:rPr>
          <w:iCs/>
        </w:rPr>
        <w:t xml:space="preserve">The </w:t>
      </w:r>
      <w:r w:rsidR="001F4089">
        <w:rPr>
          <w:iCs/>
        </w:rPr>
        <w:t xml:space="preserve">PBAC considered data </w:t>
      </w:r>
      <w:r w:rsidR="00C2525C">
        <w:rPr>
          <w:iCs/>
        </w:rPr>
        <w:t xml:space="preserve">from the key trial EV-301 </w:t>
      </w:r>
      <w:r w:rsidR="001F4089">
        <w:rPr>
          <w:iCs/>
        </w:rPr>
        <w:t xml:space="preserve">supported a moderate </w:t>
      </w:r>
      <w:r w:rsidR="001F4089" w:rsidRPr="001F4089">
        <w:rPr>
          <w:iCs/>
        </w:rPr>
        <w:t>overall survival (OS) benefit.</w:t>
      </w:r>
      <w:r w:rsidR="00C2525C">
        <w:rPr>
          <w:iCs/>
        </w:rPr>
        <w:t xml:space="preserve"> </w:t>
      </w:r>
      <w:r w:rsidR="007407A1">
        <w:rPr>
          <w:iCs/>
        </w:rPr>
        <w:t xml:space="preserve">In addition, the PBAC considered the evidence presented suggested that </w:t>
      </w:r>
      <w:proofErr w:type="spellStart"/>
      <w:r w:rsidR="007407A1">
        <w:rPr>
          <w:iCs/>
        </w:rPr>
        <w:t>enfortumab</w:t>
      </w:r>
      <w:proofErr w:type="spellEnd"/>
      <w:r w:rsidR="007407A1">
        <w:rPr>
          <w:iCs/>
        </w:rPr>
        <w:t xml:space="preserve"> </w:t>
      </w:r>
      <w:proofErr w:type="spellStart"/>
      <w:r w:rsidR="007407A1">
        <w:rPr>
          <w:iCs/>
        </w:rPr>
        <w:t>vedotin</w:t>
      </w:r>
      <w:proofErr w:type="spellEnd"/>
      <w:r w:rsidR="007407A1">
        <w:rPr>
          <w:iCs/>
        </w:rPr>
        <w:t xml:space="preserve"> had </w:t>
      </w:r>
      <w:r w:rsidR="0090454A">
        <w:rPr>
          <w:iCs/>
        </w:rPr>
        <w:t xml:space="preserve">significant potential adverse events but overall </w:t>
      </w:r>
      <w:r w:rsidR="007407A1">
        <w:rPr>
          <w:iCs/>
        </w:rPr>
        <w:t xml:space="preserve">an acceptable safety profile. However, the PBAC considered the incremental cost-effectiveness ratio (ICER) </w:t>
      </w:r>
      <w:r w:rsidR="006805CD" w:rsidRPr="005B7733">
        <w:rPr>
          <w:lang w:val="en-GB"/>
        </w:rPr>
        <w:t>proposed in the submission</w:t>
      </w:r>
      <w:r w:rsidR="006805CD">
        <w:rPr>
          <w:lang w:val="en-GB"/>
        </w:rPr>
        <w:t xml:space="preserve"> was uncertain and the respecified ICERs were high</w:t>
      </w:r>
      <w:r w:rsidR="006805CD">
        <w:rPr>
          <w:iCs/>
        </w:rPr>
        <w:t xml:space="preserve"> a</w:t>
      </w:r>
      <w:r w:rsidR="007407A1">
        <w:rPr>
          <w:iCs/>
        </w:rPr>
        <w:t xml:space="preserve">t the proposed price. </w:t>
      </w:r>
    </w:p>
    <w:p w14:paraId="1998BBEE" w14:textId="06AA52C2" w:rsidR="007407A1" w:rsidRPr="005D6326" w:rsidRDefault="007407A1" w:rsidP="0083510F">
      <w:pPr>
        <w:widowControl w:val="0"/>
        <w:numPr>
          <w:ilvl w:val="1"/>
          <w:numId w:val="1"/>
        </w:numPr>
        <w:spacing w:after="120"/>
        <w:rPr>
          <w:rFonts w:asciiTheme="minorHAnsi" w:hAnsiTheme="minorHAnsi"/>
          <w:snapToGrid w:val="0"/>
          <w:lang w:val="en-GB"/>
        </w:rPr>
      </w:pPr>
      <w:r>
        <w:rPr>
          <w:iCs/>
        </w:rPr>
        <w:t xml:space="preserve">The PBAC noted the input from an individual and organisations </w:t>
      </w:r>
      <w:r w:rsidR="005D6326">
        <w:rPr>
          <w:iCs/>
        </w:rPr>
        <w:t xml:space="preserve">which highlighted the clinical need for treatment options for patients with this indication. In addition, the PBAC noted the Medical Oncology Group of Australia’s strong support for the submission. </w:t>
      </w:r>
      <w:r w:rsidR="00AC561E">
        <w:rPr>
          <w:iCs/>
        </w:rPr>
        <w:t xml:space="preserve">The PBAC considered there was a moderate clinical need for more effective therapies for metastatic urothelial cancer as current PBS listed therapies were moderately effective. </w:t>
      </w:r>
    </w:p>
    <w:p w14:paraId="60AC52A4" w14:textId="61E098E6" w:rsidR="005D6326" w:rsidRPr="00AC561E" w:rsidRDefault="005D6326" w:rsidP="0083510F">
      <w:pPr>
        <w:widowControl w:val="0"/>
        <w:numPr>
          <w:ilvl w:val="1"/>
          <w:numId w:val="1"/>
        </w:numPr>
        <w:spacing w:after="120"/>
        <w:rPr>
          <w:rFonts w:asciiTheme="minorHAnsi" w:hAnsiTheme="minorHAnsi"/>
          <w:snapToGrid w:val="0"/>
          <w:lang w:val="en-GB"/>
        </w:rPr>
      </w:pPr>
      <w:r>
        <w:rPr>
          <w:iCs/>
        </w:rPr>
        <w:t xml:space="preserve">The PBAC considered </w:t>
      </w:r>
      <w:r w:rsidR="0004712C">
        <w:rPr>
          <w:iCs/>
        </w:rPr>
        <w:t xml:space="preserve">the nominated comparators of </w:t>
      </w:r>
      <w:r w:rsidR="00AC561E">
        <w:rPr>
          <w:iCs/>
        </w:rPr>
        <w:t xml:space="preserve">docetaxel or paclitaxel, administered as single agents, to be appropriate. </w:t>
      </w:r>
    </w:p>
    <w:p w14:paraId="6364FF31" w14:textId="44E525A8" w:rsidR="003B591D" w:rsidRPr="007D7A2D" w:rsidRDefault="00AC561E" w:rsidP="007D7A2D">
      <w:pPr>
        <w:pStyle w:val="3-BodyText"/>
      </w:pPr>
      <w:r w:rsidRPr="00AC561E">
        <w:t xml:space="preserve">The </w:t>
      </w:r>
      <w:r>
        <w:t>PBAC noted that the c</w:t>
      </w:r>
      <w:r w:rsidR="007D7A2D">
        <w:t xml:space="preserve">linical claim </w:t>
      </w:r>
      <w:r>
        <w:t xml:space="preserve">was based on data from the key trial EV-301. </w:t>
      </w:r>
      <w:r w:rsidRPr="00AC561E">
        <w:t xml:space="preserve">The </w:t>
      </w:r>
      <w:r>
        <w:t>PBAC</w:t>
      </w:r>
      <w:r w:rsidRPr="00AC561E">
        <w:t xml:space="preserve"> noted</w:t>
      </w:r>
      <w:r w:rsidR="003B591D">
        <w:t xml:space="preserve"> that at the interim data cut-off</w:t>
      </w:r>
      <w:r w:rsidR="007D7A2D">
        <w:t>,</w:t>
      </w:r>
      <w:r w:rsidRPr="00AC561E">
        <w:t xml:space="preserve"> treatment with </w:t>
      </w:r>
      <w:proofErr w:type="spellStart"/>
      <w:r w:rsidRPr="00AC561E">
        <w:t>enfortumab</w:t>
      </w:r>
      <w:proofErr w:type="spellEnd"/>
      <w:r w:rsidRPr="00AC561E">
        <w:t xml:space="preserve"> </w:t>
      </w:r>
      <w:proofErr w:type="spellStart"/>
      <w:r w:rsidRPr="00AC561E">
        <w:t>vedotin</w:t>
      </w:r>
      <w:proofErr w:type="spellEnd"/>
      <w:r w:rsidRPr="00AC561E">
        <w:t xml:space="preserve"> reduced the risk of death (</w:t>
      </w:r>
      <w:r w:rsidR="00015D6C">
        <w:t>hazard ratio (</w:t>
      </w:r>
      <w:r w:rsidRPr="00AC561E">
        <w:t>HR</w:t>
      </w:r>
      <w:r w:rsidR="00015D6C">
        <w:t>)</w:t>
      </w:r>
      <w:r w:rsidRPr="00AC561E">
        <w:t xml:space="preserve"> 0.70, 95% CI [0.5</w:t>
      </w:r>
      <w:r w:rsidR="003B591D">
        <w:t>6</w:t>
      </w:r>
      <w:r w:rsidRPr="00AC561E">
        <w:t>, 0.8</w:t>
      </w:r>
      <w:r w:rsidR="003B591D">
        <w:t>9</w:t>
      </w:r>
      <w:r w:rsidRPr="00AC561E">
        <w:t>]) compared with chemotherapy</w:t>
      </w:r>
      <w:r w:rsidR="0090454A">
        <w:t>,</w:t>
      </w:r>
      <w:r w:rsidRPr="00AC561E">
        <w:t xml:space="preserve"> and median OS was extended by </w:t>
      </w:r>
      <w:r w:rsidR="0004712C">
        <w:t>approximately</w:t>
      </w:r>
      <w:r w:rsidR="0004712C" w:rsidRPr="00AC561E">
        <w:t xml:space="preserve"> </w:t>
      </w:r>
      <w:r w:rsidRPr="00AC561E">
        <w:t xml:space="preserve">4 months. </w:t>
      </w:r>
      <w:r w:rsidR="003B591D">
        <w:t xml:space="preserve">The PBAC agreed with the ESC that </w:t>
      </w:r>
      <w:r w:rsidRPr="00AC561E">
        <w:t>while the OS data</w:t>
      </w:r>
      <w:r w:rsidR="0004712C">
        <w:t xml:space="preserve"> presented in the submission</w:t>
      </w:r>
      <w:r w:rsidRPr="00AC561E">
        <w:t xml:space="preserve"> were immature</w:t>
      </w:r>
      <w:r w:rsidR="0004712C">
        <w:t>,</w:t>
      </w:r>
      <w:r w:rsidRPr="00AC561E">
        <w:t xml:space="preserve"> the updated OS data </w:t>
      </w:r>
      <w:r w:rsidR="007D7A2D">
        <w:t xml:space="preserve">provided in the </w:t>
      </w:r>
      <w:r w:rsidR="007D7A2D" w:rsidRPr="00AC561E">
        <w:t xml:space="preserve">Pre-Sub-Committee Response </w:t>
      </w:r>
      <w:r w:rsidR="0022456C">
        <w:t xml:space="preserve">(PSCR) </w:t>
      </w:r>
      <w:r w:rsidR="003B591D">
        <w:t xml:space="preserve">suggested the treatment effect in the original submission was accurate and reduced the uncertainty associated with the initial data presented. </w:t>
      </w:r>
      <w:r w:rsidR="002E7EE8">
        <w:t>At the interim data cut-off, the PBAC noted that t</w:t>
      </w:r>
      <w:r w:rsidR="00386BA2" w:rsidRPr="00327ACF">
        <w:t xml:space="preserve">reatment with </w:t>
      </w:r>
      <w:proofErr w:type="spellStart"/>
      <w:r w:rsidR="00386BA2">
        <w:t>enfortumab</w:t>
      </w:r>
      <w:proofErr w:type="spellEnd"/>
      <w:r w:rsidR="00386BA2">
        <w:t xml:space="preserve"> </w:t>
      </w:r>
      <w:proofErr w:type="spellStart"/>
      <w:r w:rsidR="00386BA2">
        <w:t>vedotin</w:t>
      </w:r>
      <w:proofErr w:type="spellEnd"/>
      <w:r w:rsidR="00386BA2" w:rsidRPr="00327ACF">
        <w:t xml:space="preserve"> reduced the risk of </w:t>
      </w:r>
      <w:r w:rsidR="00386BA2">
        <w:t xml:space="preserve">progression or </w:t>
      </w:r>
      <w:r w:rsidR="00386BA2" w:rsidRPr="00327ACF">
        <w:t>death</w:t>
      </w:r>
      <w:r w:rsidR="00386BA2">
        <w:t xml:space="preserve"> (HR </w:t>
      </w:r>
      <w:r w:rsidR="00386BA2" w:rsidRPr="00327ACF">
        <w:t>0.6</w:t>
      </w:r>
      <w:r w:rsidR="00386BA2">
        <w:t>2</w:t>
      </w:r>
      <w:r w:rsidR="00386BA2" w:rsidRPr="00327ACF">
        <w:t xml:space="preserve"> </w:t>
      </w:r>
      <w:r w:rsidR="00386BA2">
        <w:t>95% CI [</w:t>
      </w:r>
      <w:r w:rsidR="00386BA2" w:rsidRPr="00327ACF">
        <w:t>0.5</w:t>
      </w:r>
      <w:r w:rsidR="00386BA2">
        <w:t>1</w:t>
      </w:r>
      <w:r w:rsidR="00386BA2" w:rsidRPr="00327ACF">
        <w:t>, 0.7</w:t>
      </w:r>
      <w:r w:rsidR="00386BA2">
        <w:t>5]</w:t>
      </w:r>
      <w:r w:rsidR="00386BA2" w:rsidRPr="00327ACF">
        <w:t>)</w:t>
      </w:r>
      <w:r w:rsidR="00386BA2">
        <w:t xml:space="preserve"> </w:t>
      </w:r>
      <w:r w:rsidR="002E7EE8">
        <w:t xml:space="preserve">and increased the overall response rate (40.6% vs 17.9%) compared to chemotherapy. Although there was a trend favouring </w:t>
      </w:r>
      <w:proofErr w:type="spellStart"/>
      <w:r w:rsidR="002E7EE8">
        <w:t>enfortumab</w:t>
      </w:r>
      <w:proofErr w:type="spellEnd"/>
      <w:r w:rsidR="002E7EE8">
        <w:t xml:space="preserve"> </w:t>
      </w:r>
      <w:proofErr w:type="spellStart"/>
      <w:r w:rsidR="002E7EE8">
        <w:t>vedotin</w:t>
      </w:r>
      <w:proofErr w:type="spellEnd"/>
      <w:r w:rsidR="002E7EE8">
        <w:t>, the PBAC noted that n</w:t>
      </w:r>
      <w:r w:rsidR="002E7EE8" w:rsidRPr="00327ACF">
        <w:t xml:space="preserve">o statistically significant differences in </w:t>
      </w:r>
      <w:r w:rsidR="002E7EE8" w:rsidRPr="00785CDB">
        <w:t>EORTC QLQ-C30</w:t>
      </w:r>
      <w:r w:rsidR="002E7EE8">
        <w:t xml:space="preserve"> </w:t>
      </w:r>
      <w:r w:rsidR="0004712C">
        <w:t xml:space="preserve">scores </w:t>
      </w:r>
      <w:r w:rsidR="002E7EE8">
        <w:t xml:space="preserve">between </w:t>
      </w:r>
      <w:proofErr w:type="spellStart"/>
      <w:r w:rsidR="002E7EE8">
        <w:t>enfortumab</w:t>
      </w:r>
      <w:proofErr w:type="spellEnd"/>
      <w:r w:rsidR="002E7EE8">
        <w:t xml:space="preserve"> </w:t>
      </w:r>
      <w:proofErr w:type="spellStart"/>
      <w:r w:rsidR="002E7EE8">
        <w:t>vedotin</w:t>
      </w:r>
      <w:proofErr w:type="spellEnd"/>
      <w:r w:rsidR="002E7EE8">
        <w:t xml:space="preserve"> and chemotherapy arms were identified (see paragraph </w:t>
      </w:r>
      <w:r w:rsidR="002E7EE8">
        <w:fldChar w:fldCharType="begin"/>
      </w:r>
      <w:r w:rsidR="002E7EE8">
        <w:instrText xml:space="preserve"> REF _Ref95664135 \r \h </w:instrText>
      </w:r>
      <w:r w:rsidR="002E7EE8">
        <w:fldChar w:fldCharType="separate"/>
      </w:r>
      <w:r w:rsidR="005955E6">
        <w:t>6.13</w:t>
      </w:r>
      <w:r w:rsidR="002E7EE8">
        <w:fldChar w:fldCharType="end"/>
      </w:r>
      <w:r w:rsidR="002E7EE8">
        <w:t>).</w:t>
      </w:r>
      <w:r w:rsidR="007D7A2D">
        <w:t xml:space="preserve"> </w:t>
      </w:r>
      <w:r w:rsidR="00B071CB" w:rsidRPr="007D7A2D">
        <w:rPr>
          <w:iCs/>
        </w:rPr>
        <w:t xml:space="preserve">The PBAC considered the claim of superior comparative effectiveness was reasonable with a moderate OS benefit observed. </w:t>
      </w:r>
    </w:p>
    <w:p w14:paraId="4CD9F9BB" w14:textId="6D8DD987" w:rsidR="00146E12" w:rsidRPr="00210B94" w:rsidRDefault="00521231" w:rsidP="00210B9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w:t>
      </w:r>
      <w:r w:rsidR="00A06CDF">
        <w:rPr>
          <w:rFonts w:asciiTheme="minorHAnsi" w:hAnsiTheme="minorHAnsi"/>
          <w:snapToGrid w:val="0"/>
          <w:lang w:val="en-GB"/>
        </w:rPr>
        <w:t xml:space="preserve">although </w:t>
      </w:r>
      <w:r w:rsidR="00A06CDF" w:rsidRPr="00521231">
        <w:rPr>
          <w:iCs/>
        </w:rPr>
        <w:t xml:space="preserve">treatment emergent adverse events (TEAEs) </w:t>
      </w:r>
      <w:r w:rsidR="00A06CDF">
        <w:rPr>
          <w:iCs/>
        </w:rPr>
        <w:t xml:space="preserve">were generally similar between arms, </w:t>
      </w:r>
      <w:proofErr w:type="spellStart"/>
      <w:r>
        <w:t>enfortumab</w:t>
      </w:r>
      <w:proofErr w:type="spellEnd"/>
      <w:r>
        <w:t xml:space="preserve"> </w:t>
      </w:r>
      <w:proofErr w:type="spellStart"/>
      <w:r>
        <w:t>vedotin</w:t>
      </w:r>
      <w:proofErr w:type="spellEnd"/>
      <w:r>
        <w:t xml:space="preserve"> was associated with</w:t>
      </w:r>
      <w:r w:rsidRPr="00521231">
        <w:rPr>
          <w:iCs/>
        </w:rPr>
        <w:t xml:space="preserve"> numerically more Grade ≥ 3 </w:t>
      </w:r>
      <w:r w:rsidR="00A06CDF">
        <w:rPr>
          <w:iCs/>
        </w:rPr>
        <w:t xml:space="preserve">TEAEs </w:t>
      </w:r>
      <w:r w:rsidRPr="00521231">
        <w:rPr>
          <w:iCs/>
        </w:rPr>
        <w:t xml:space="preserve">and serious TEAEs than chemotherapy. </w:t>
      </w:r>
      <w:r w:rsidR="008279C0">
        <w:rPr>
          <w:iCs/>
        </w:rPr>
        <w:t xml:space="preserve">There were also more treatment-related deaths associated with </w:t>
      </w:r>
      <w:proofErr w:type="spellStart"/>
      <w:r w:rsidR="008279C0">
        <w:rPr>
          <w:iCs/>
        </w:rPr>
        <w:t>enfortumab</w:t>
      </w:r>
      <w:proofErr w:type="spellEnd"/>
      <w:r w:rsidR="008279C0">
        <w:rPr>
          <w:iCs/>
        </w:rPr>
        <w:t xml:space="preserve"> </w:t>
      </w:r>
      <w:proofErr w:type="spellStart"/>
      <w:r w:rsidR="008279C0">
        <w:rPr>
          <w:iCs/>
        </w:rPr>
        <w:t>vedotin</w:t>
      </w:r>
      <w:proofErr w:type="spellEnd"/>
      <w:r w:rsidR="008279C0">
        <w:rPr>
          <w:iCs/>
        </w:rPr>
        <w:t xml:space="preserve"> compared with the chemotherapy arm (7/296, 2.4% vs 3/291, 1% respectively). In addition, the PBAC noted the </w:t>
      </w:r>
      <w:r w:rsidR="00146E12">
        <w:rPr>
          <w:iCs/>
        </w:rPr>
        <w:t xml:space="preserve">adverse events of special interest which occurred more frequently in the </w:t>
      </w:r>
      <w:proofErr w:type="spellStart"/>
      <w:r w:rsidR="00146E12">
        <w:rPr>
          <w:iCs/>
        </w:rPr>
        <w:t>enfortumab</w:t>
      </w:r>
      <w:proofErr w:type="spellEnd"/>
      <w:r w:rsidR="00146E12">
        <w:rPr>
          <w:iCs/>
        </w:rPr>
        <w:t xml:space="preserve"> </w:t>
      </w:r>
      <w:proofErr w:type="spellStart"/>
      <w:r w:rsidR="00146E12">
        <w:rPr>
          <w:iCs/>
        </w:rPr>
        <w:t>vedotin</w:t>
      </w:r>
      <w:proofErr w:type="spellEnd"/>
      <w:r w:rsidR="00146E12">
        <w:rPr>
          <w:iCs/>
        </w:rPr>
        <w:t xml:space="preserve"> arm compared to chemotherapy </w:t>
      </w:r>
      <w:r w:rsidR="008279C0">
        <w:rPr>
          <w:iCs/>
        </w:rPr>
        <w:t>including Stevens</w:t>
      </w:r>
      <w:r w:rsidR="00146E12">
        <w:rPr>
          <w:iCs/>
        </w:rPr>
        <w:t>-</w:t>
      </w:r>
      <w:r w:rsidR="008279C0">
        <w:rPr>
          <w:iCs/>
        </w:rPr>
        <w:t>Johnson syndrome and Severe Cutaneous Adverse Reactions (26%</w:t>
      </w:r>
      <w:r w:rsidR="00146E12">
        <w:rPr>
          <w:iCs/>
        </w:rPr>
        <w:t xml:space="preserve"> </w:t>
      </w:r>
      <w:r w:rsidR="008279C0">
        <w:rPr>
          <w:iCs/>
        </w:rPr>
        <w:t>vs 9.3%) a</w:t>
      </w:r>
      <w:r w:rsidR="00210B94">
        <w:rPr>
          <w:iCs/>
        </w:rPr>
        <w:t>long with</w:t>
      </w:r>
      <w:r w:rsidR="008279C0">
        <w:rPr>
          <w:iCs/>
        </w:rPr>
        <w:t xml:space="preserve"> peripheral neuropathy (50.3% vs 34.4%). The Committee noted the </w:t>
      </w:r>
      <w:r w:rsidR="00516925">
        <w:rPr>
          <w:iCs/>
        </w:rPr>
        <w:t xml:space="preserve">ACM suggested a boxed warning </w:t>
      </w:r>
      <w:r w:rsidR="008279C0">
        <w:rPr>
          <w:iCs/>
        </w:rPr>
        <w:t xml:space="preserve">for severe </w:t>
      </w:r>
      <w:r w:rsidR="00516925">
        <w:rPr>
          <w:iCs/>
        </w:rPr>
        <w:t>skin toxicities that included fatalities</w:t>
      </w:r>
      <w:r w:rsidR="008279C0">
        <w:rPr>
          <w:iCs/>
        </w:rPr>
        <w:t xml:space="preserve">. </w:t>
      </w:r>
      <w:r w:rsidR="00A06CDF">
        <w:rPr>
          <w:iCs/>
        </w:rPr>
        <w:t>Acknowledging the differences in the adverse event profiles of the EV-301 treatment arms, t</w:t>
      </w:r>
      <w:r w:rsidR="00146E12" w:rsidRPr="00B742FC">
        <w:rPr>
          <w:snapToGrid w:val="0"/>
        </w:rPr>
        <w:t xml:space="preserve">he PBAC considered that the claim of non-inferior comparative safety was not </w:t>
      </w:r>
      <w:r w:rsidR="00146E12">
        <w:rPr>
          <w:snapToGrid w:val="0"/>
        </w:rPr>
        <w:t>well</w:t>
      </w:r>
      <w:r w:rsidR="00146E12" w:rsidRPr="00B742FC">
        <w:rPr>
          <w:snapToGrid w:val="0"/>
        </w:rPr>
        <w:t xml:space="preserve"> supported by the data</w:t>
      </w:r>
      <w:r w:rsidR="00210B94">
        <w:rPr>
          <w:snapToGrid w:val="0"/>
        </w:rPr>
        <w:t xml:space="preserve"> presented in the submission. However, the PBAC </w:t>
      </w:r>
      <w:r w:rsidR="00146E12">
        <w:rPr>
          <w:snapToGrid w:val="0"/>
        </w:rPr>
        <w:t xml:space="preserve">agreed with the ESC that </w:t>
      </w:r>
      <w:proofErr w:type="spellStart"/>
      <w:r w:rsidR="00146E12">
        <w:rPr>
          <w:snapToGrid w:val="0"/>
        </w:rPr>
        <w:t>enfortumab</w:t>
      </w:r>
      <w:proofErr w:type="spellEnd"/>
      <w:r w:rsidR="00146E12">
        <w:rPr>
          <w:snapToGrid w:val="0"/>
        </w:rPr>
        <w:t xml:space="preserve"> </w:t>
      </w:r>
      <w:proofErr w:type="spellStart"/>
      <w:r w:rsidR="00146E12">
        <w:rPr>
          <w:snapToGrid w:val="0"/>
        </w:rPr>
        <w:t>vedotin</w:t>
      </w:r>
      <w:proofErr w:type="spellEnd"/>
      <w:r w:rsidR="00146E12">
        <w:rPr>
          <w:snapToGrid w:val="0"/>
        </w:rPr>
        <w:t xml:space="preserve"> had </w:t>
      </w:r>
      <w:r w:rsidR="0090454A">
        <w:rPr>
          <w:iCs/>
        </w:rPr>
        <w:t xml:space="preserve">significant potential adverse events but overall </w:t>
      </w:r>
      <w:r w:rsidR="00146E12">
        <w:rPr>
          <w:snapToGrid w:val="0"/>
        </w:rPr>
        <w:t>an acceptable safety profile</w:t>
      </w:r>
      <w:r w:rsidR="00146E12" w:rsidRPr="00B742FC">
        <w:rPr>
          <w:snapToGrid w:val="0"/>
        </w:rPr>
        <w:t>.</w:t>
      </w:r>
    </w:p>
    <w:p w14:paraId="4C846503" w14:textId="5FDFFCF7" w:rsidR="00CF45BC" w:rsidRPr="006A1F4C" w:rsidRDefault="00015D6C" w:rsidP="006A1F4C">
      <w:pPr>
        <w:pStyle w:val="3-BodyText"/>
      </w:pPr>
      <w:r>
        <w:rPr>
          <w:lang w:val="en-GB"/>
        </w:rPr>
        <w:t xml:space="preserve">The submission presented a cost-utility analysis with a </w:t>
      </w:r>
      <w:proofErr w:type="gramStart"/>
      <w:r>
        <w:rPr>
          <w:lang w:val="en-GB"/>
        </w:rPr>
        <w:t>10 year</w:t>
      </w:r>
      <w:proofErr w:type="gramEnd"/>
      <w:r>
        <w:rPr>
          <w:lang w:val="en-GB"/>
        </w:rPr>
        <w:t xml:space="preserve"> time horizon and a resulting base-case ICER of </w:t>
      </w:r>
      <w:r w:rsidR="006A1F4C" w:rsidRPr="006A1F4C">
        <w:t xml:space="preserve">$95,000 to &lt; $115,000 </w:t>
      </w:r>
      <w:r w:rsidRPr="006A1F4C">
        <w:rPr>
          <w:lang w:val="en-GB"/>
        </w:rPr>
        <w:t>/</w:t>
      </w:r>
      <w:r w:rsidR="001C576F" w:rsidRPr="006A1F4C">
        <w:rPr>
          <w:lang w:val="en-GB"/>
        </w:rPr>
        <w:t>quality-adjusted life year (</w:t>
      </w:r>
      <w:r w:rsidRPr="006A1F4C">
        <w:rPr>
          <w:lang w:val="en-GB"/>
        </w:rPr>
        <w:t>QALY</w:t>
      </w:r>
      <w:r w:rsidR="001C576F" w:rsidRPr="006A1F4C">
        <w:rPr>
          <w:lang w:val="en-GB"/>
        </w:rPr>
        <w:t>)</w:t>
      </w:r>
      <w:r w:rsidRPr="006A1F4C">
        <w:rPr>
          <w:lang w:val="en-GB"/>
        </w:rPr>
        <w:t xml:space="preserve">. </w:t>
      </w:r>
      <w:r w:rsidR="00B17FA5" w:rsidRPr="006A1F4C">
        <w:rPr>
          <w:lang w:val="en-GB"/>
        </w:rPr>
        <w:t>The PBAC agreed with the ESC that for clinical plausibility the model time horizon should be reduced to 5 years</w:t>
      </w:r>
      <w:r w:rsidR="005B7733" w:rsidRPr="006A1F4C">
        <w:rPr>
          <w:lang w:val="en-GB"/>
        </w:rPr>
        <w:t xml:space="preserve"> and noted this had a minimal impact on the ICER (increased to </w:t>
      </w:r>
      <w:r w:rsidR="006A1F4C" w:rsidRPr="006A1F4C">
        <w:t>$115,000 to &lt; $135,000</w:t>
      </w:r>
      <w:r w:rsidR="005B7733" w:rsidRPr="006A1F4C">
        <w:rPr>
          <w:lang w:val="en-GB"/>
        </w:rPr>
        <w:t>/QALY)</w:t>
      </w:r>
      <w:r w:rsidR="00B17FA5" w:rsidRPr="006A1F4C">
        <w:rPr>
          <w:lang w:val="en-GB"/>
        </w:rPr>
        <w:t xml:space="preserve">. The PBAC considered that applying </w:t>
      </w:r>
      <w:r w:rsidR="000D5626" w:rsidRPr="006A1F4C">
        <w:rPr>
          <w:lang w:val="en-GB"/>
        </w:rPr>
        <w:t>the</w:t>
      </w:r>
      <w:r w:rsidR="00B17FA5" w:rsidRPr="006A1F4C">
        <w:rPr>
          <w:lang w:val="en-GB"/>
        </w:rPr>
        <w:t xml:space="preserve"> HR observed from </w:t>
      </w:r>
      <w:r w:rsidR="000D5626" w:rsidRPr="006A1F4C">
        <w:rPr>
          <w:lang w:val="en-GB"/>
        </w:rPr>
        <w:t>the</w:t>
      </w:r>
      <w:r w:rsidR="007D6877" w:rsidRPr="006A1F4C">
        <w:rPr>
          <w:lang w:val="en-GB"/>
        </w:rPr>
        <w:t xml:space="preserve"> </w:t>
      </w:r>
      <w:r w:rsidR="00B17FA5" w:rsidRPr="006A1F4C">
        <w:rPr>
          <w:lang w:val="en-GB"/>
        </w:rPr>
        <w:t xml:space="preserve">subgroup analysis (as had been undertaken in the submission) was associated with a high level of uncertainty. The PBAC agreed with the ESC that exclusion of vinflunine data to create the </w:t>
      </w:r>
      <w:proofErr w:type="spellStart"/>
      <w:r w:rsidR="00B17FA5" w:rsidRPr="006A1F4C">
        <w:rPr>
          <w:lang w:val="en-GB"/>
        </w:rPr>
        <w:t>taxane</w:t>
      </w:r>
      <w:proofErr w:type="spellEnd"/>
      <w:r w:rsidR="00B17FA5" w:rsidRPr="006A1F4C">
        <w:rPr>
          <w:lang w:val="en-GB"/>
        </w:rPr>
        <w:t xml:space="preserve"> subgroup used in the </w:t>
      </w:r>
      <w:r w:rsidR="0087088A" w:rsidRPr="006A1F4C">
        <w:rPr>
          <w:lang w:val="en-GB"/>
        </w:rPr>
        <w:t>model</w:t>
      </w:r>
      <w:r w:rsidR="00B17FA5" w:rsidRPr="006A1F4C">
        <w:rPr>
          <w:lang w:val="en-GB"/>
        </w:rPr>
        <w:t xml:space="preserve"> may impact the validity of the estimate of the</w:t>
      </w:r>
      <w:r w:rsidR="0087088A" w:rsidRPr="006A1F4C">
        <w:rPr>
          <w:lang w:val="en-GB"/>
        </w:rPr>
        <w:t xml:space="preserve"> HR </w:t>
      </w:r>
      <w:r w:rsidR="00B17FA5" w:rsidRPr="006A1F4C">
        <w:rPr>
          <w:lang w:val="en-GB"/>
        </w:rPr>
        <w:t xml:space="preserve">and hence considered the use of </w:t>
      </w:r>
      <w:r w:rsidR="00CF45BC" w:rsidRPr="006A1F4C">
        <w:rPr>
          <w:lang w:val="en-GB"/>
        </w:rPr>
        <w:t xml:space="preserve">intention-to-treat (ITT) </w:t>
      </w:r>
      <w:r w:rsidR="00B17FA5" w:rsidRPr="006A1F4C">
        <w:rPr>
          <w:lang w:val="en-GB"/>
        </w:rPr>
        <w:t xml:space="preserve">HR results in the model more appropriate. </w:t>
      </w:r>
      <w:r w:rsidR="005B7733" w:rsidRPr="006A1F4C">
        <w:rPr>
          <w:lang w:val="en-GB"/>
        </w:rPr>
        <w:t xml:space="preserve">The PBAC noted that </w:t>
      </w:r>
      <w:r w:rsidR="005B7733" w:rsidRPr="006A1F4C">
        <w:rPr>
          <w:iCs/>
          <w:lang w:val="en-US"/>
        </w:rPr>
        <w:t xml:space="preserve">use of ITT data for OS and PFS (along with time on treatment) increased the base-case ICER to </w:t>
      </w:r>
      <w:r w:rsidR="006A1F4C" w:rsidRPr="006A1F4C">
        <w:t>$115,000 to &lt; $135,000</w:t>
      </w:r>
      <w:r w:rsidR="005B7733" w:rsidRPr="006A1F4C">
        <w:rPr>
          <w:iCs/>
          <w:lang w:val="en-US"/>
        </w:rPr>
        <w:t xml:space="preserve">/QALY gained. </w:t>
      </w:r>
      <w:r w:rsidR="00B17FA5" w:rsidRPr="006A1F4C">
        <w:rPr>
          <w:lang w:val="en-GB"/>
        </w:rPr>
        <w:t xml:space="preserve">The PBAC </w:t>
      </w:r>
      <w:r w:rsidR="0087088A" w:rsidRPr="006A1F4C">
        <w:rPr>
          <w:lang w:val="en-GB"/>
        </w:rPr>
        <w:t xml:space="preserve">also </w:t>
      </w:r>
      <w:r w:rsidR="00B17FA5" w:rsidRPr="006A1F4C">
        <w:rPr>
          <w:lang w:val="en-GB"/>
        </w:rPr>
        <w:t>noted the pre-PBAC response accepted</w:t>
      </w:r>
      <w:r w:rsidR="0087088A" w:rsidRPr="006A1F4C">
        <w:rPr>
          <w:lang w:val="en-GB"/>
        </w:rPr>
        <w:t xml:space="preserve"> that</w:t>
      </w:r>
      <w:r w:rsidR="00B17FA5" w:rsidRPr="006A1F4C">
        <w:rPr>
          <w:lang w:val="en-GB"/>
        </w:rPr>
        <w:t xml:space="preserve"> the use of </w:t>
      </w:r>
      <w:bookmarkStart w:id="34" w:name="_Hlk100738115"/>
      <w:r w:rsidR="00B17FA5" w:rsidRPr="006A1F4C">
        <w:rPr>
          <w:iCs/>
        </w:rPr>
        <w:t>non-treatment specific utilities for patients in equivalent health states regardless of treatment arm</w:t>
      </w:r>
      <w:r w:rsidR="0087088A" w:rsidRPr="006A1F4C">
        <w:rPr>
          <w:iCs/>
        </w:rPr>
        <w:t xml:space="preserve"> may be appropriate</w:t>
      </w:r>
      <w:r w:rsidR="00CF45BC" w:rsidRPr="006A1F4C">
        <w:rPr>
          <w:iCs/>
        </w:rPr>
        <w:t xml:space="preserve">. </w:t>
      </w:r>
      <w:bookmarkEnd w:id="34"/>
      <w:r w:rsidR="00CF45BC" w:rsidRPr="006A1F4C">
        <w:rPr>
          <w:lang w:val="en-GB"/>
        </w:rPr>
        <w:t xml:space="preserve">The PBAC noted the ESC proposed a respecified base-case that incorporated a </w:t>
      </w:r>
      <w:proofErr w:type="gramStart"/>
      <w:r w:rsidR="00CF45BC" w:rsidRPr="006A1F4C">
        <w:rPr>
          <w:lang w:val="en-GB"/>
        </w:rPr>
        <w:t>5 year</w:t>
      </w:r>
      <w:proofErr w:type="gramEnd"/>
      <w:r w:rsidR="00CF45BC" w:rsidRPr="006A1F4C">
        <w:rPr>
          <w:lang w:val="en-GB"/>
        </w:rPr>
        <w:t xml:space="preserve"> time horizon, ITT HR</w:t>
      </w:r>
      <w:r w:rsidR="004E0233" w:rsidRPr="006A1F4C">
        <w:rPr>
          <w:lang w:val="en-GB"/>
        </w:rPr>
        <w:t>s</w:t>
      </w:r>
      <w:r w:rsidR="00CF45BC" w:rsidRPr="006A1F4C">
        <w:rPr>
          <w:lang w:val="en-GB"/>
        </w:rPr>
        <w:t xml:space="preserve"> data for OS and PFS (along with time on treatment), non-treatment specific utilities for both the progression free and progressed health states and applied a Weibull extrapolation</w:t>
      </w:r>
      <w:r w:rsidR="00516925" w:rsidRPr="006A1F4C">
        <w:rPr>
          <w:lang w:val="en-GB"/>
        </w:rPr>
        <w:t xml:space="preserve"> for OS</w:t>
      </w:r>
      <w:r w:rsidR="00CF45BC" w:rsidRPr="006A1F4C">
        <w:rPr>
          <w:lang w:val="en-GB"/>
        </w:rPr>
        <w:t xml:space="preserve">. The PBAC noted this increased the ICER to </w:t>
      </w:r>
      <w:r w:rsidR="006A1F4C" w:rsidRPr="006A1F4C">
        <w:t>$155,000 to &lt; $255,000</w:t>
      </w:r>
      <w:r w:rsidR="00CF45BC" w:rsidRPr="006A1F4C">
        <w:rPr>
          <w:lang w:val="en-GB"/>
        </w:rPr>
        <w:t xml:space="preserve">/QALY. </w:t>
      </w:r>
      <w:r w:rsidR="002326D9" w:rsidRPr="006A1F4C">
        <w:rPr>
          <w:lang w:val="en-GB"/>
        </w:rPr>
        <w:t>T</w:t>
      </w:r>
      <w:r w:rsidR="00CF45BC" w:rsidRPr="006A1F4C">
        <w:rPr>
          <w:lang w:val="en-GB"/>
        </w:rPr>
        <w:t>he PBAC considered the ICER proposed in the submission</w:t>
      </w:r>
      <w:r w:rsidR="00516925" w:rsidRPr="006A1F4C">
        <w:rPr>
          <w:lang w:val="en-GB"/>
        </w:rPr>
        <w:t xml:space="preserve"> was uncertain and the respecified ICERs were high </w:t>
      </w:r>
      <w:r w:rsidR="00CF45BC" w:rsidRPr="006A1F4C">
        <w:rPr>
          <w:lang w:val="en-GB"/>
        </w:rPr>
        <w:t xml:space="preserve">at the proposed price. </w:t>
      </w:r>
    </w:p>
    <w:p w14:paraId="5452E16B" w14:textId="0F24279B" w:rsidR="00B17FA5" w:rsidRPr="006A1F4C" w:rsidRDefault="002326D9" w:rsidP="006A1F4C">
      <w:pPr>
        <w:widowControl w:val="0"/>
        <w:numPr>
          <w:ilvl w:val="1"/>
          <w:numId w:val="1"/>
        </w:numPr>
        <w:spacing w:after="120"/>
        <w:rPr>
          <w:rFonts w:asciiTheme="minorHAnsi" w:hAnsiTheme="minorHAnsi"/>
          <w:snapToGrid w:val="0"/>
        </w:rPr>
      </w:pPr>
      <w:r>
        <w:rPr>
          <w:rFonts w:asciiTheme="minorHAnsi" w:hAnsiTheme="minorHAnsi"/>
          <w:snapToGrid w:val="0"/>
          <w:lang w:val="en-GB"/>
        </w:rPr>
        <w:t xml:space="preserve">The PBAC noted the PSCR </w:t>
      </w:r>
      <w:r w:rsidR="00302B15">
        <w:rPr>
          <w:rFonts w:asciiTheme="minorHAnsi" w:hAnsiTheme="minorHAnsi"/>
          <w:snapToGrid w:val="0"/>
          <w:lang w:val="en-GB"/>
        </w:rPr>
        <w:t xml:space="preserve">and pre-PBAC response arguments that the exponential distribution provided a </w:t>
      </w:r>
      <w:r w:rsidR="00B15D5A">
        <w:rPr>
          <w:rFonts w:asciiTheme="minorHAnsi" w:hAnsiTheme="minorHAnsi"/>
          <w:snapToGrid w:val="0"/>
          <w:lang w:val="en-GB"/>
        </w:rPr>
        <w:t>better</w:t>
      </w:r>
      <w:r w:rsidR="00302B15">
        <w:rPr>
          <w:rFonts w:asciiTheme="minorHAnsi" w:hAnsiTheme="minorHAnsi"/>
          <w:snapToGrid w:val="0"/>
          <w:lang w:val="en-GB"/>
        </w:rPr>
        <w:t xml:space="preserve"> fit to the EV-301 longer-term </w:t>
      </w:r>
      <w:r w:rsidR="006805CD">
        <w:rPr>
          <w:rFonts w:asciiTheme="minorHAnsi" w:hAnsiTheme="minorHAnsi"/>
          <w:snapToGrid w:val="0"/>
          <w:lang w:val="en-GB"/>
        </w:rPr>
        <w:t xml:space="preserve">OS </w:t>
      </w:r>
      <w:r w:rsidR="00302B15">
        <w:rPr>
          <w:rFonts w:asciiTheme="minorHAnsi" w:hAnsiTheme="minorHAnsi"/>
          <w:snapToGrid w:val="0"/>
          <w:lang w:val="en-GB"/>
        </w:rPr>
        <w:t xml:space="preserve">data for the </w:t>
      </w:r>
      <w:proofErr w:type="spellStart"/>
      <w:r w:rsidR="00302B15">
        <w:rPr>
          <w:rFonts w:asciiTheme="minorHAnsi" w:hAnsiTheme="minorHAnsi"/>
          <w:snapToGrid w:val="0"/>
          <w:lang w:val="en-GB"/>
        </w:rPr>
        <w:t>enfortumab</w:t>
      </w:r>
      <w:proofErr w:type="spellEnd"/>
      <w:r w:rsidR="00302B15">
        <w:rPr>
          <w:rFonts w:asciiTheme="minorHAnsi" w:hAnsiTheme="minorHAnsi"/>
          <w:snapToGrid w:val="0"/>
          <w:lang w:val="en-GB"/>
        </w:rPr>
        <w:t xml:space="preserve"> </w:t>
      </w:r>
      <w:proofErr w:type="spellStart"/>
      <w:r w:rsidR="00302B15">
        <w:rPr>
          <w:rFonts w:asciiTheme="minorHAnsi" w:hAnsiTheme="minorHAnsi"/>
          <w:snapToGrid w:val="0"/>
          <w:lang w:val="en-GB"/>
        </w:rPr>
        <w:t>vedotin</w:t>
      </w:r>
      <w:proofErr w:type="spellEnd"/>
      <w:r w:rsidR="00302B15">
        <w:rPr>
          <w:rFonts w:asciiTheme="minorHAnsi" w:hAnsiTheme="minorHAnsi"/>
          <w:snapToGrid w:val="0"/>
          <w:lang w:val="en-GB"/>
        </w:rPr>
        <w:t xml:space="preserve"> arm compared to the use of the Weibull extrapolation. The PBAC considered that this remained an area of uncertainty </w:t>
      </w:r>
      <w:r w:rsidR="00F80EAB">
        <w:rPr>
          <w:rFonts w:asciiTheme="minorHAnsi" w:hAnsiTheme="minorHAnsi"/>
          <w:snapToGrid w:val="0"/>
          <w:lang w:val="en-GB"/>
        </w:rPr>
        <w:t>and</w:t>
      </w:r>
      <w:r w:rsidR="00302B15">
        <w:rPr>
          <w:rFonts w:asciiTheme="minorHAnsi" w:hAnsiTheme="minorHAnsi"/>
          <w:snapToGrid w:val="0"/>
          <w:lang w:val="en-GB"/>
        </w:rPr>
        <w:t xml:space="preserve"> advised that</w:t>
      </w:r>
      <w:r w:rsidR="00504E5F">
        <w:rPr>
          <w:rFonts w:asciiTheme="minorHAnsi" w:hAnsiTheme="minorHAnsi"/>
          <w:snapToGrid w:val="0"/>
          <w:lang w:val="en-GB"/>
        </w:rPr>
        <w:t xml:space="preserve"> it would be appropriate in a resubmission for (</w:t>
      </w:r>
      <w:proofErr w:type="spellStart"/>
      <w:r w:rsidR="00504E5F">
        <w:rPr>
          <w:rFonts w:asciiTheme="minorHAnsi" w:hAnsiTheme="minorHAnsi"/>
          <w:snapToGrid w:val="0"/>
          <w:lang w:val="en-GB"/>
        </w:rPr>
        <w:t>i</w:t>
      </w:r>
      <w:proofErr w:type="spellEnd"/>
      <w:r w:rsidR="00504E5F">
        <w:rPr>
          <w:rFonts w:asciiTheme="minorHAnsi" w:hAnsiTheme="minorHAnsi"/>
          <w:snapToGrid w:val="0"/>
          <w:lang w:val="en-GB"/>
        </w:rPr>
        <w:t xml:space="preserve">) changes as per the ESC respecified base-case scenario </w:t>
      </w:r>
      <w:r w:rsidR="00F80EAB">
        <w:rPr>
          <w:rFonts w:asciiTheme="minorHAnsi" w:hAnsiTheme="minorHAnsi"/>
          <w:snapToGrid w:val="0"/>
          <w:lang w:val="en-GB"/>
        </w:rPr>
        <w:t xml:space="preserve">including use of the Weibull function for OS extrapolation unless the use of an exponential distribution can be adequately justified, which may include provision of additional information, including the </w:t>
      </w:r>
      <w:r w:rsidR="00F71FDF">
        <w:rPr>
          <w:rFonts w:asciiTheme="minorHAnsi" w:hAnsiTheme="minorHAnsi"/>
          <w:snapToGrid w:val="0"/>
          <w:lang w:val="en-GB"/>
        </w:rPr>
        <w:t>Clinical Study Report</w:t>
      </w:r>
      <w:r w:rsidR="00F80EAB">
        <w:rPr>
          <w:rFonts w:asciiTheme="minorHAnsi" w:hAnsiTheme="minorHAnsi"/>
          <w:snapToGrid w:val="0"/>
          <w:lang w:val="en-GB"/>
        </w:rPr>
        <w:t>, for the</w:t>
      </w:r>
      <w:r w:rsidR="00F71FDF">
        <w:rPr>
          <w:rFonts w:asciiTheme="minorHAnsi" w:hAnsiTheme="minorHAnsi"/>
          <w:snapToGrid w:val="0"/>
          <w:lang w:val="en-GB"/>
        </w:rPr>
        <w:t xml:space="preserve"> analysis </w:t>
      </w:r>
      <w:r w:rsidR="00F80EAB">
        <w:rPr>
          <w:rFonts w:asciiTheme="minorHAnsi" w:hAnsiTheme="minorHAnsi"/>
          <w:snapToGrid w:val="0"/>
          <w:lang w:val="en-GB"/>
        </w:rPr>
        <w:t xml:space="preserve">using the </w:t>
      </w:r>
      <w:r w:rsidR="00F71FDF">
        <w:rPr>
          <w:rFonts w:asciiTheme="minorHAnsi" w:hAnsiTheme="minorHAnsi"/>
          <w:snapToGrid w:val="0"/>
          <w:lang w:val="en-GB"/>
        </w:rPr>
        <w:t>July 2021</w:t>
      </w:r>
      <w:r w:rsidR="00A66B05">
        <w:rPr>
          <w:rFonts w:asciiTheme="minorHAnsi" w:hAnsiTheme="minorHAnsi"/>
          <w:snapToGrid w:val="0"/>
          <w:lang w:val="en-GB"/>
        </w:rPr>
        <w:t xml:space="preserve"> </w:t>
      </w:r>
      <w:r w:rsidR="00F80EAB">
        <w:rPr>
          <w:rFonts w:asciiTheme="minorHAnsi" w:hAnsiTheme="minorHAnsi"/>
          <w:snapToGrid w:val="0"/>
          <w:lang w:val="en-GB"/>
        </w:rPr>
        <w:t xml:space="preserve">data cut-off </w:t>
      </w:r>
      <w:r w:rsidR="00A66B05">
        <w:rPr>
          <w:rFonts w:asciiTheme="minorHAnsi" w:hAnsiTheme="minorHAnsi"/>
          <w:snapToGrid w:val="0"/>
          <w:lang w:val="en-GB"/>
        </w:rPr>
        <w:t>for the EV-301 trial</w:t>
      </w:r>
      <w:r w:rsidR="00930E0F">
        <w:rPr>
          <w:rFonts w:asciiTheme="minorHAnsi" w:hAnsiTheme="minorHAnsi"/>
          <w:snapToGrid w:val="0"/>
          <w:lang w:val="en-GB"/>
        </w:rPr>
        <w:t xml:space="preserve">, </w:t>
      </w:r>
      <w:r w:rsidR="00302B15">
        <w:rPr>
          <w:rFonts w:asciiTheme="minorHAnsi" w:hAnsiTheme="minorHAnsi"/>
          <w:snapToGrid w:val="0"/>
          <w:lang w:val="en-GB"/>
        </w:rPr>
        <w:t xml:space="preserve">and (ii) </w:t>
      </w:r>
      <w:r w:rsidR="005955E6">
        <w:rPr>
          <w:rFonts w:asciiTheme="minorHAnsi" w:hAnsiTheme="minorHAnsi"/>
          <w:snapToGrid w:val="0"/>
          <w:lang w:val="en-GB"/>
        </w:rPr>
        <w:t xml:space="preserve">if </w:t>
      </w:r>
      <w:r w:rsidR="00B464DE">
        <w:rPr>
          <w:rFonts w:asciiTheme="minorHAnsi" w:hAnsiTheme="minorHAnsi"/>
          <w:snapToGrid w:val="0"/>
          <w:lang w:val="en-GB"/>
        </w:rPr>
        <w:t xml:space="preserve">the ICER was in the order of </w:t>
      </w:r>
      <w:r w:rsidR="006A1F4C" w:rsidRPr="006A1F4C">
        <w:rPr>
          <w:rFonts w:asciiTheme="minorHAnsi" w:hAnsiTheme="minorHAnsi"/>
          <w:snapToGrid w:val="0"/>
        </w:rPr>
        <w:t>$55,000 to &lt; $75,000</w:t>
      </w:r>
      <w:r w:rsidR="00B464DE" w:rsidRPr="006A1F4C">
        <w:rPr>
          <w:rFonts w:asciiTheme="minorHAnsi" w:hAnsiTheme="minorHAnsi"/>
          <w:snapToGrid w:val="0"/>
          <w:lang w:val="en-GB"/>
        </w:rPr>
        <w:t xml:space="preserve">/QALY. </w:t>
      </w:r>
    </w:p>
    <w:p w14:paraId="60905661" w14:textId="791019D5" w:rsidR="004C1E3E" w:rsidRDefault="004C1E3E" w:rsidP="00B17FA5">
      <w:pPr>
        <w:widowControl w:val="0"/>
        <w:numPr>
          <w:ilvl w:val="1"/>
          <w:numId w:val="1"/>
        </w:numPr>
        <w:spacing w:after="120"/>
        <w:rPr>
          <w:rFonts w:asciiTheme="minorHAnsi" w:hAnsiTheme="minorHAnsi"/>
          <w:snapToGrid w:val="0"/>
          <w:lang w:val="en-GB"/>
        </w:rPr>
      </w:pPr>
      <w:bookmarkStart w:id="35" w:name="_Hlk100337948"/>
      <w:r>
        <w:rPr>
          <w:rFonts w:asciiTheme="minorHAnsi" w:hAnsiTheme="minorHAnsi"/>
          <w:snapToGrid w:val="0"/>
          <w:lang w:val="en-GB"/>
        </w:rPr>
        <w:t xml:space="preserve">The PBAC noted the advice from DUSC that </w:t>
      </w:r>
      <w:r w:rsidR="00834F8D">
        <w:rPr>
          <w:rFonts w:asciiTheme="minorHAnsi" w:hAnsiTheme="minorHAnsi"/>
          <w:snapToGrid w:val="0"/>
          <w:lang w:val="en-GB"/>
        </w:rPr>
        <w:t xml:space="preserve">the approach taken to the application of relative dosing intensity in the financial estimates likely underestimated costs by around 5%. The PBAC considered that this should be corrected in any resubmission. In addition, the PBAC noted DUSC advice that, while the estimated number of patients </w:t>
      </w:r>
      <w:r w:rsidR="00AA37B2">
        <w:rPr>
          <w:rFonts w:asciiTheme="minorHAnsi" w:hAnsiTheme="minorHAnsi"/>
          <w:snapToGrid w:val="0"/>
          <w:lang w:val="en-GB"/>
        </w:rPr>
        <w:t xml:space="preserve">predicted to use </w:t>
      </w:r>
      <w:r w:rsidR="00834F8D">
        <w:rPr>
          <w:rFonts w:asciiTheme="minorHAnsi" w:hAnsiTheme="minorHAnsi"/>
          <w:snapToGrid w:val="0"/>
          <w:lang w:val="en-GB"/>
        </w:rPr>
        <w:t xml:space="preserve">pembrolizumab was consistent with current utilisation data, the </w:t>
      </w:r>
      <w:r w:rsidR="00AA37B2">
        <w:rPr>
          <w:rFonts w:asciiTheme="minorHAnsi" w:hAnsiTheme="minorHAnsi"/>
          <w:snapToGrid w:val="0"/>
          <w:lang w:val="en-GB"/>
        </w:rPr>
        <w:t xml:space="preserve">predicted </w:t>
      </w:r>
      <w:r w:rsidR="00834F8D">
        <w:rPr>
          <w:rFonts w:asciiTheme="minorHAnsi" w:hAnsiTheme="minorHAnsi"/>
          <w:snapToGrid w:val="0"/>
          <w:lang w:val="en-GB"/>
        </w:rPr>
        <w:t xml:space="preserve">number of patients treated with avelumab was a source of uncertainty. Despite this uncertainty, DUSC considered that </w:t>
      </w:r>
      <w:proofErr w:type="gramStart"/>
      <w:r w:rsidR="00834F8D">
        <w:rPr>
          <w:rFonts w:asciiTheme="minorHAnsi" w:hAnsiTheme="minorHAnsi"/>
          <w:snapToGrid w:val="0"/>
          <w:lang w:val="en-GB"/>
        </w:rPr>
        <w:t>overall</w:t>
      </w:r>
      <w:proofErr w:type="gramEnd"/>
      <w:r w:rsidR="00834F8D">
        <w:rPr>
          <w:rFonts w:asciiTheme="minorHAnsi" w:hAnsiTheme="minorHAnsi"/>
          <w:snapToGrid w:val="0"/>
          <w:lang w:val="en-GB"/>
        </w:rPr>
        <w:t xml:space="preserve"> the financial estimates presented in the submission were reasonable. The PBAC considered </w:t>
      </w:r>
      <w:r w:rsidR="00FA6539">
        <w:rPr>
          <w:rFonts w:asciiTheme="minorHAnsi" w:hAnsiTheme="minorHAnsi"/>
          <w:snapToGrid w:val="0"/>
          <w:lang w:val="en-GB"/>
        </w:rPr>
        <w:t xml:space="preserve">it would be appropriate for a resubmission to address any residual uncertainty regarding the number of patients treated with </w:t>
      </w:r>
      <w:proofErr w:type="spellStart"/>
      <w:r w:rsidR="00FA6539">
        <w:rPr>
          <w:rFonts w:asciiTheme="minorHAnsi" w:hAnsiTheme="minorHAnsi"/>
          <w:snapToGrid w:val="0"/>
          <w:lang w:val="en-GB"/>
        </w:rPr>
        <w:t>enfortumab</w:t>
      </w:r>
      <w:proofErr w:type="spellEnd"/>
      <w:r w:rsidR="00FA6539">
        <w:rPr>
          <w:rFonts w:asciiTheme="minorHAnsi" w:hAnsiTheme="minorHAnsi"/>
          <w:snapToGrid w:val="0"/>
          <w:lang w:val="en-GB"/>
        </w:rPr>
        <w:t xml:space="preserve"> </w:t>
      </w:r>
      <w:proofErr w:type="spellStart"/>
      <w:r w:rsidR="00FA6539">
        <w:rPr>
          <w:rFonts w:asciiTheme="minorHAnsi" w:hAnsiTheme="minorHAnsi"/>
          <w:snapToGrid w:val="0"/>
          <w:lang w:val="en-GB"/>
        </w:rPr>
        <w:t>vedotin</w:t>
      </w:r>
      <w:proofErr w:type="spellEnd"/>
      <w:r w:rsidR="002A4A7E">
        <w:rPr>
          <w:rFonts w:asciiTheme="minorHAnsi" w:hAnsiTheme="minorHAnsi"/>
          <w:snapToGrid w:val="0"/>
          <w:lang w:val="en-GB"/>
        </w:rPr>
        <w:t xml:space="preserve"> </w:t>
      </w:r>
      <w:r w:rsidR="00FA6539">
        <w:rPr>
          <w:rFonts w:asciiTheme="minorHAnsi" w:hAnsiTheme="minorHAnsi"/>
          <w:snapToGrid w:val="0"/>
          <w:lang w:val="en-GB"/>
        </w:rPr>
        <w:t xml:space="preserve">by data triangulation. The PBAC considered this would involve verifying </w:t>
      </w:r>
      <w:r w:rsidR="00E849B2">
        <w:rPr>
          <w:rFonts w:asciiTheme="minorHAnsi" w:hAnsiTheme="minorHAnsi"/>
          <w:snapToGrid w:val="0"/>
          <w:lang w:val="en-GB"/>
        </w:rPr>
        <w:t xml:space="preserve">the </w:t>
      </w:r>
      <w:r w:rsidR="00B15D5A">
        <w:rPr>
          <w:rFonts w:asciiTheme="minorHAnsi" w:hAnsiTheme="minorHAnsi"/>
          <w:snapToGrid w:val="0"/>
          <w:lang w:val="en-GB"/>
        </w:rPr>
        <w:t>submission</w:t>
      </w:r>
      <w:r w:rsidR="00E849B2">
        <w:rPr>
          <w:rFonts w:asciiTheme="minorHAnsi" w:hAnsiTheme="minorHAnsi"/>
          <w:snapToGrid w:val="0"/>
          <w:lang w:val="en-GB"/>
        </w:rPr>
        <w:t>’s estimate of</w:t>
      </w:r>
      <w:r w:rsidR="00FA6539">
        <w:rPr>
          <w:rFonts w:asciiTheme="minorHAnsi" w:hAnsiTheme="minorHAnsi"/>
          <w:snapToGrid w:val="0"/>
          <w:lang w:val="en-GB"/>
        </w:rPr>
        <w:t xml:space="preserve"> </w:t>
      </w:r>
      <w:r w:rsidR="002A4A7E">
        <w:rPr>
          <w:rFonts w:asciiTheme="minorHAnsi" w:hAnsiTheme="minorHAnsi"/>
          <w:snapToGrid w:val="0"/>
          <w:lang w:val="en-GB"/>
        </w:rPr>
        <w:t>pa</w:t>
      </w:r>
      <w:r w:rsidR="00FA6539">
        <w:rPr>
          <w:rFonts w:asciiTheme="minorHAnsi" w:hAnsiTheme="minorHAnsi"/>
          <w:snapToGrid w:val="0"/>
          <w:lang w:val="en-GB"/>
        </w:rPr>
        <w:t xml:space="preserve">tient numbers against those derived from using current pembrolizumab utilisation data </w:t>
      </w:r>
      <w:r w:rsidR="002A4A7E">
        <w:rPr>
          <w:rFonts w:asciiTheme="minorHAnsi" w:hAnsiTheme="minorHAnsi"/>
          <w:snapToGrid w:val="0"/>
          <w:lang w:val="en-GB"/>
        </w:rPr>
        <w:t xml:space="preserve">for this indication </w:t>
      </w:r>
      <w:r w:rsidR="00FA6539">
        <w:rPr>
          <w:rFonts w:asciiTheme="minorHAnsi" w:hAnsiTheme="minorHAnsi"/>
          <w:snapToGrid w:val="0"/>
          <w:lang w:val="en-GB"/>
        </w:rPr>
        <w:t xml:space="preserve">and an assumption that 80% of such patients would subsequently receive </w:t>
      </w:r>
      <w:proofErr w:type="spellStart"/>
      <w:r w:rsidR="00FA6539">
        <w:rPr>
          <w:rFonts w:asciiTheme="minorHAnsi" w:hAnsiTheme="minorHAnsi"/>
          <w:snapToGrid w:val="0"/>
          <w:lang w:val="en-GB"/>
        </w:rPr>
        <w:t>enfortumab</w:t>
      </w:r>
      <w:proofErr w:type="spellEnd"/>
      <w:r w:rsidR="00FA6539">
        <w:rPr>
          <w:rFonts w:asciiTheme="minorHAnsi" w:hAnsiTheme="minorHAnsi"/>
          <w:snapToGrid w:val="0"/>
          <w:lang w:val="en-GB"/>
        </w:rPr>
        <w:t xml:space="preserve"> </w:t>
      </w:r>
      <w:proofErr w:type="spellStart"/>
      <w:r w:rsidR="00FA6539">
        <w:rPr>
          <w:rFonts w:asciiTheme="minorHAnsi" w:hAnsiTheme="minorHAnsi"/>
          <w:snapToGrid w:val="0"/>
          <w:lang w:val="en-GB"/>
        </w:rPr>
        <w:t>vedotin</w:t>
      </w:r>
      <w:proofErr w:type="spellEnd"/>
      <w:r w:rsidR="00FA6539">
        <w:rPr>
          <w:rFonts w:asciiTheme="minorHAnsi" w:hAnsiTheme="minorHAnsi"/>
          <w:snapToGrid w:val="0"/>
          <w:lang w:val="en-GB"/>
        </w:rPr>
        <w:t xml:space="preserve">. </w:t>
      </w:r>
    </w:p>
    <w:bookmarkEnd w:id="35"/>
    <w:p w14:paraId="6AFBE875" w14:textId="79BBE6E1" w:rsidR="002A4A7E" w:rsidRDefault="005C425E" w:rsidP="00B17FA5">
      <w:pPr>
        <w:widowControl w:val="0"/>
        <w:numPr>
          <w:ilvl w:val="1"/>
          <w:numId w:val="1"/>
        </w:numPr>
        <w:spacing w:after="120"/>
        <w:rPr>
          <w:rFonts w:asciiTheme="minorHAnsi" w:hAnsiTheme="minorHAnsi"/>
          <w:snapToGrid w:val="0"/>
          <w:lang w:val="en-GB"/>
        </w:rPr>
      </w:pPr>
      <w:r>
        <w:t>The PBAC considered a risk sharing arrangement would not be required as the</w:t>
      </w:r>
      <w:r w:rsidR="00B0334D">
        <w:t xml:space="preserve"> Committee considered the</w:t>
      </w:r>
      <w:r>
        <w:t xml:space="preserve"> risk of use outside of the proposed population was low</w:t>
      </w:r>
      <w:r w:rsidR="00B0334D">
        <w:t>.</w:t>
      </w:r>
      <w:r>
        <w:t xml:space="preserve"> </w:t>
      </w:r>
    </w:p>
    <w:p w14:paraId="3AA0E301" w14:textId="34C3EF61" w:rsidR="0083510F" w:rsidRPr="002A4A7E" w:rsidRDefault="0083510F" w:rsidP="002A4A7E">
      <w:pPr>
        <w:widowControl w:val="0"/>
        <w:numPr>
          <w:ilvl w:val="1"/>
          <w:numId w:val="1"/>
        </w:numPr>
        <w:spacing w:after="120"/>
        <w:rPr>
          <w:rFonts w:asciiTheme="minorHAnsi" w:hAnsiTheme="minorHAnsi"/>
          <w:snapToGrid w:val="0"/>
          <w:u w:val="single"/>
          <w:lang w:val="en-GB"/>
        </w:rPr>
      </w:pPr>
      <w:r w:rsidRPr="002A4A7E">
        <w:rPr>
          <w:rFonts w:asciiTheme="minorHAnsi" w:hAnsiTheme="minorHAnsi"/>
          <w:snapToGrid w:val="0"/>
          <w:lang w:val="en-GB"/>
        </w:rPr>
        <w:t xml:space="preserve">The PBAC considered the outstanding issues could be resolved in a simple resubmission for </w:t>
      </w:r>
      <w:proofErr w:type="spellStart"/>
      <w:r w:rsidR="002A4A7E">
        <w:rPr>
          <w:rFonts w:asciiTheme="minorHAnsi" w:hAnsiTheme="minorHAnsi"/>
          <w:snapToGrid w:val="0"/>
          <w:lang w:val="en-GB"/>
        </w:rPr>
        <w:t>enfortumab</w:t>
      </w:r>
      <w:proofErr w:type="spellEnd"/>
      <w:r w:rsidR="002A4A7E">
        <w:rPr>
          <w:rFonts w:asciiTheme="minorHAnsi" w:hAnsiTheme="minorHAnsi"/>
          <w:snapToGrid w:val="0"/>
          <w:lang w:val="en-GB"/>
        </w:rPr>
        <w:t xml:space="preserve"> </w:t>
      </w:r>
      <w:proofErr w:type="spellStart"/>
      <w:r w:rsidR="002A4A7E">
        <w:rPr>
          <w:rFonts w:asciiTheme="minorHAnsi" w:hAnsiTheme="minorHAnsi"/>
          <w:snapToGrid w:val="0"/>
          <w:lang w:val="en-GB"/>
        </w:rPr>
        <w:t>vedotin</w:t>
      </w:r>
      <w:proofErr w:type="spellEnd"/>
      <w:r w:rsidRPr="002A4A7E">
        <w:rPr>
          <w:rFonts w:asciiTheme="minorHAnsi" w:hAnsiTheme="minorHAnsi"/>
          <w:snapToGrid w:val="0"/>
          <w:lang w:val="en-GB"/>
        </w:rPr>
        <w:t xml:space="preserve"> using the early re-entry pathway. If the sponsor accepts this pathway, the following changes may address these outstanding issues without requiring further re-evaluation</w:t>
      </w:r>
      <w:r w:rsidR="002A4A7E">
        <w:rPr>
          <w:rFonts w:asciiTheme="minorHAnsi" w:hAnsiTheme="minorHAnsi"/>
          <w:snapToGrid w:val="0"/>
          <w:lang w:val="en-GB"/>
        </w:rPr>
        <w:t>:</w:t>
      </w:r>
    </w:p>
    <w:p w14:paraId="5CB5777B" w14:textId="544955AB" w:rsidR="00D30A88" w:rsidRDefault="00D30A88" w:rsidP="002A4A7E">
      <w:pPr>
        <w:pStyle w:val="ListParagraph"/>
        <w:numPr>
          <w:ilvl w:val="0"/>
          <w:numId w:val="17"/>
        </w:numPr>
        <w:snapToGrid w:val="0"/>
        <w:ind w:left="1092"/>
        <w:rPr>
          <w:lang w:val="en-GB"/>
        </w:rPr>
      </w:pPr>
      <w:r>
        <w:rPr>
          <w:lang w:val="en-GB"/>
        </w:rPr>
        <w:t xml:space="preserve">If available, provision of the Clinical Study Report regarding the updated analysis with data cut-off of July 2021 for the EV-301 trial. </w:t>
      </w:r>
    </w:p>
    <w:p w14:paraId="44A8487F" w14:textId="20216E75" w:rsidR="002A4A7E" w:rsidRDefault="002A4A7E" w:rsidP="002A4A7E">
      <w:pPr>
        <w:pStyle w:val="ListParagraph"/>
        <w:numPr>
          <w:ilvl w:val="0"/>
          <w:numId w:val="17"/>
        </w:numPr>
        <w:snapToGrid w:val="0"/>
        <w:ind w:left="1092"/>
        <w:rPr>
          <w:lang w:val="en-GB"/>
        </w:rPr>
      </w:pPr>
      <w:r>
        <w:rPr>
          <w:lang w:val="en-GB"/>
        </w:rPr>
        <w:t>Use of the ESC respecified base-case as outlined in paragraph 7.7.</w:t>
      </w:r>
    </w:p>
    <w:p w14:paraId="0792F346" w14:textId="7F290907" w:rsidR="00D30A88" w:rsidRPr="00D30A88" w:rsidRDefault="002A4A7E" w:rsidP="00D30A88">
      <w:pPr>
        <w:pStyle w:val="ListParagraph"/>
        <w:numPr>
          <w:ilvl w:val="0"/>
          <w:numId w:val="17"/>
        </w:numPr>
        <w:snapToGrid w:val="0"/>
        <w:ind w:left="1092"/>
        <w:rPr>
          <w:lang w:val="en-GB"/>
        </w:rPr>
      </w:pPr>
      <w:r>
        <w:rPr>
          <w:lang w:val="en-GB"/>
        </w:rPr>
        <w:t xml:space="preserve">Revision of the financial estimates as outlined in paragraph 7.8 and recalculation of the financial implications using the revised </w:t>
      </w:r>
      <w:proofErr w:type="spellStart"/>
      <w:r>
        <w:rPr>
          <w:lang w:val="en-GB"/>
        </w:rPr>
        <w:t>enfortumab</w:t>
      </w:r>
      <w:proofErr w:type="spellEnd"/>
      <w:r>
        <w:rPr>
          <w:lang w:val="en-GB"/>
        </w:rPr>
        <w:t xml:space="preserve"> </w:t>
      </w:r>
      <w:proofErr w:type="spellStart"/>
      <w:r>
        <w:rPr>
          <w:lang w:val="en-GB"/>
        </w:rPr>
        <w:t>vedotin</w:t>
      </w:r>
      <w:proofErr w:type="spellEnd"/>
      <w:r>
        <w:rPr>
          <w:lang w:val="en-GB"/>
        </w:rPr>
        <w:t xml:space="preserve"> price. </w:t>
      </w:r>
    </w:p>
    <w:p w14:paraId="7D993D80" w14:textId="25179BF8" w:rsidR="002A4A7E" w:rsidRPr="002A4A7E" w:rsidRDefault="0083510F" w:rsidP="002A4A7E">
      <w:pPr>
        <w:widowControl w:val="0"/>
        <w:numPr>
          <w:ilvl w:val="1"/>
          <w:numId w:val="1"/>
        </w:numPr>
        <w:spacing w:after="120"/>
        <w:rPr>
          <w:rFonts w:asciiTheme="minorHAnsi" w:hAnsiTheme="minorHAnsi"/>
          <w:snapToGrid w:val="0"/>
          <w:lang w:val="en-GB"/>
        </w:rPr>
      </w:pPr>
      <w:r w:rsidRPr="00783D74">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0362BA7F" w14:textId="121D877E" w:rsidR="002A4A7E" w:rsidRDefault="002A4A7E" w:rsidP="002A4A7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this submission is eligible for an Independent Review. </w:t>
      </w:r>
    </w:p>
    <w:p w14:paraId="266651EE" w14:textId="77777777" w:rsidR="0083510F" w:rsidRPr="00525B39" w:rsidRDefault="0083510F" w:rsidP="0083510F">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F7D266B" w14:textId="7970B39E" w:rsidR="005C425E" w:rsidRPr="00DB5681" w:rsidRDefault="0083510F" w:rsidP="00DB5681">
      <w:pPr>
        <w:rPr>
          <w:rFonts w:asciiTheme="minorHAnsi" w:hAnsiTheme="minorHAnsi"/>
          <w:bCs/>
          <w:snapToGrid w:val="0"/>
          <w:lang w:val="en-GB"/>
        </w:rPr>
      </w:pPr>
      <w:r>
        <w:rPr>
          <w:rFonts w:asciiTheme="minorHAnsi" w:hAnsiTheme="minorHAnsi"/>
          <w:bCs/>
          <w:snapToGrid w:val="0"/>
          <w:lang w:val="en-GB"/>
        </w:rPr>
        <w:t>Not recommended</w:t>
      </w:r>
      <w:bookmarkEnd w:id="32"/>
      <w:bookmarkEnd w:id="33"/>
    </w:p>
    <w:p w14:paraId="10B8A141" w14:textId="6EA60A36" w:rsidR="00617F8E" w:rsidRPr="00617F8E" w:rsidRDefault="00617F8E" w:rsidP="00617F8E">
      <w:pPr>
        <w:pStyle w:val="2-SectionHeading"/>
      </w:pPr>
      <w:r w:rsidRPr="00C07617">
        <w:t>Context for Decision</w:t>
      </w:r>
    </w:p>
    <w:p w14:paraId="160EED91" w14:textId="77777777" w:rsidR="00617F8E" w:rsidRPr="00617F8E" w:rsidRDefault="00617F8E" w:rsidP="00617F8E">
      <w:pPr>
        <w:widowControl w:val="0"/>
        <w:spacing w:after="120"/>
        <w:ind w:left="720"/>
        <w:rPr>
          <w:rFonts w:asciiTheme="minorHAnsi" w:hAnsiTheme="minorHAnsi"/>
          <w:snapToGrid w:val="0"/>
          <w:lang w:val="en-GB"/>
        </w:rPr>
      </w:pPr>
      <w:r w:rsidRPr="00617F8E">
        <w:rPr>
          <w:rFonts w:asciiTheme="minorHAnsi" w:hAnsiTheme="minorHAnsi"/>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5BC9AEE" w14:textId="6577E566" w:rsidR="00617F8E" w:rsidRPr="00617F8E" w:rsidRDefault="00617F8E" w:rsidP="00617F8E">
      <w:pPr>
        <w:pStyle w:val="2-SectionHeading"/>
      </w:pPr>
      <w:r>
        <w:t>Sponsor’s Comment</w:t>
      </w:r>
    </w:p>
    <w:p w14:paraId="1BF6BE01" w14:textId="161C43AB" w:rsidR="00617F8E" w:rsidRPr="00617F8E" w:rsidRDefault="00EB48E5" w:rsidP="00EB48E5">
      <w:pPr>
        <w:widowControl w:val="0"/>
        <w:spacing w:after="120"/>
        <w:ind w:left="720"/>
        <w:rPr>
          <w:rFonts w:asciiTheme="minorHAnsi" w:hAnsiTheme="minorHAnsi"/>
          <w:snapToGrid w:val="0"/>
          <w:lang w:val="en-GB"/>
        </w:rPr>
      </w:pPr>
      <w:r w:rsidRPr="00EB48E5">
        <w:rPr>
          <w:rFonts w:asciiTheme="minorHAnsi" w:hAnsiTheme="minorHAnsi"/>
          <w:snapToGrid w:val="0"/>
          <w:lang w:val="en-GB"/>
        </w:rPr>
        <w:t xml:space="preserve">Astellas Pharma Australia thanks the PBAC for </w:t>
      </w:r>
      <w:proofErr w:type="spellStart"/>
      <w:proofErr w:type="gramStart"/>
      <w:r w:rsidRPr="00EB48E5">
        <w:rPr>
          <w:rFonts w:asciiTheme="minorHAnsi" w:hAnsiTheme="minorHAnsi"/>
          <w:snapToGrid w:val="0"/>
          <w:lang w:val="en-GB"/>
        </w:rPr>
        <w:t>it's</w:t>
      </w:r>
      <w:proofErr w:type="spellEnd"/>
      <w:proofErr w:type="gramEnd"/>
      <w:r w:rsidRPr="00EB48E5">
        <w:rPr>
          <w:rFonts w:asciiTheme="minorHAnsi" w:hAnsiTheme="minorHAnsi"/>
          <w:snapToGrid w:val="0"/>
          <w:lang w:val="en-GB"/>
        </w:rPr>
        <w:t xml:space="preserve"> assessment of ENFORTUMAB VEDOTIN (</w:t>
      </w:r>
      <w:proofErr w:type="spellStart"/>
      <w:r w:rsidRPr="00EB48E5">
        <w:rPr>
          <w:rFonts w:asciiTheme="minorHAnsi" w:hAnsiTheme="minorHAnsi"/>
          <w:snapToGrid w:val="0"/>
          <w:lang w:val="en-GB"/>
        </w:rPr>
        <w:t>Padcev</w:t>
      </w:r>
      <w:proofErr w:type="spellEnd"/>
      <w:r w:rsidRPr="00EB48E5">
        <w:rPr>
          <w:rFonts w:asciiTheme="minorHAnsi" w:hAnsiTheme="minorHAnsi"/>
          <w:snapToGrid w:val="0"/>
          <w:lang w:val="en-GB"/>
        </w:rPr>
        <w:t xml:space="preserve">®). We will work with the PBAC on an accelerated pathway for a </w:t>
      </w:r>
      <w:proofErr w:type="spellStart"/>
      <w:r w:rsidRPr="00EB48E5">
        <w:rPr>
          <w:rFonts w:asciiTheme="minorHAnsi" w:hAnsiTheme="minorHAnsi"/>
          <w:snapToGrid w:val="0"/>
          <w:lang w:val="en-GB"/>
        </w:rPr>
        <w:t>Padcev</w:t>
      </w:r>
      <w:proofErr w:type="spellEnd"/>
      <w:r w:rsidRPr="00EB48E5">
        <w:rPr>
          <w:rFonts w:asciiTheme="minorHAnsi" w:hAnsiTheme="minorHAnsi"/>
          <w:snapToGrid w:val="0"/>
          <w:lang w:val="en-GB"/>
        </w:rPr>
        <w:t>® PBS listing for patients with locally advanced (Stage III) or metastatic (Stage IV) urothelial cancer, who meet the criteria's outlined in our submission</w:t>
      </w:r>
      <w:r>
        <w:rPr>
          <w:rFonts w:asciiTheme="minorHAnsi" w:hAnsiTheme="minorHAnsi"/>
          <w:snapToGrid w:val="0"/>
          <w:lang w:val="en-GB"/>
        </w:rPr>
        <w:t xml:space="preserve">. </w:t>
      </w:r>
    </w:p>
    <w:sectPr w:rsidR="00617F8E" w:rsidRPr="00617F8E" w:rsidSect="00251006">
      <w:headerReference w:type="default" r:id="rId16"/>
      <w:footerReference w:type="defaul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A44BF" w14:textId="77777777" w:rsidR="007A5C73" w:rsidRDefault="007A5C73" w:rsidP="00124A51">
      <w:r>
        <w:separator/>
      </w:r>
    </w:p>
    <w:p w14:paraId="243BF69B" w14:textId="77777777" w:rsidR="007A5C73" w:rsidRDefault="007A5C73"/>
  </w:endnote>
  <w:endnote w:type="continuationSeparator" w:id="0">
    <w:p w14:paraId="103A571F" w14:textId="77777777" w:rsidR="007A5C73" w:rsidRDefault="007A5C73" w:rsidP="00124A51">
      <w:r>
        <w:continuationSeparator/>
      </w:r>
    </w:p>
    <w:p w14:paraId="292D09EB" w14:textId="77777777" w:rsidR="007A5C73" w:rsidRDefault="007A5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0F1EB" w14:textId="77777777" w:rsidR="007A5C73" w:rsidRDefault="007A5C73">
    <w:pPr>
      <w:pStyle w:val="Footer"/>
      <w:jc w:val="center"/>
    </w:pPr>
  </w:p>
  <w:sdt>
    <w:sdtPr>
      <w:id w:val="274147631"/>
      <w:docPartObj>
        <w:docPartGallery w:val="Page Numbers (Bottom of Page)"/>
        <w:docPartUnique/>
      </w:docPartObj>
    </w:sdtPr>
    <w:sdtEndPr>
      <w:rPr>
        <w:b/>
        <w:bCs/>
        <w:noProof/>
      </w:rPr>
    </w:sdtEndPr>
    <w:sdtContent>
      <w:p w14:paraId="1E09DAB4" w14:textId="64E0D5CD" w:rsidR="007A5C73" w:rsidRPr="00AD0866" w:rsidRDefault="007A5C73" w:rsidP="00AD0866">
        <w:pPr>
          <w:pStyle w:val="Footer"/>
          <w:jc w:val="center"/>
          <w:rPr>
            <w:b/>
            <w:bCs/>
          </w:rPr>
        </w:pPr>
        <w:r w:rsidRPr="00AD0866">
          <w:rPr>
            <w:b/>
            <w:bCs/>
          </w:rPr>
          <w:fldChar w:fldCharType="begin"/>
        </w:r>
        <w:r w:rsidRPr="00AD0866">
          <w:rPr>
            <w:b/>
            <w:bCs/>
          </w:rPr>
          <w:instrText xml:space="preserve"> PAGE   \* MERGEFORMAT </w:instrText>
        </w:r>
        <w:r w:rsidRPr="00AD0866">
          <w:rPr>
            <w:b/>
            <w:bCs/>
          </w:rPr>
          <w:fldChar w:fldCharType="separate"/>
        </w:r>
        <w:r w:rsidRPr="00AD0866">
          <w:rPr>
            <w:b/>
            <w:bCs/>
            <w:noProof/>
          </w:rPr>
          <w:t>2</w:t>
        </w:r>
        <w:r w:rsidRPr="00AD0866">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4027B" w14:textId="77777777" w:rsidR="007A5C73" w:rsidRDefault="007A5C73" w:rsidP="00124A51">
      <w:r>
        <w:separator/>
      </w:r>
    </w:p>
    <w:p w14:paraId="63B0213E" w14:textId="77777777" w:rsidR="007A5C73" w:rsidRDefault="007A5C73"/>
  </w:footnote>
  <w:footnote w:type="continuationSeparator" w:id="0">
    <w:p w14:paraId="29A30D42" w14:textId="77777777" w:rsidR="007A5C73" w:rsidRDefault="007A5C73" w:rsidP="00124A51">
      <w:r>
        <w:continuationSeparator/>
      </w:r>
    </w:p>
    <w:p w14:paraId="6F406B6D" w14:textId="77777777" w:rsidR="007A5C73" w:rsidRDefault="007A5C73"/>
  </w:footnote>
  <w:footnote w:id="1">
    <w:p w14:paraId="205A4F74" w14:textId="2D021B9F" w:rsidR="007A5C73" w:rsidRPr="004A5D50" w:rsidRDefault="007A5C73">
      <w:pPr>
        <w:pStyle w:val="FootnoteText"/>
        <w:rPr>
          <w:lang w:val="en-US"/>
        </w:rPr>
      </w:pPr>
      <w:r>
        <w:rPr>
          <w:rStyle w:val="FootnoteReference"/>
        </w:rPr>
        <w:footnoteRef/>
      </w:r>
      <w:r>
        <w:t xml:space="preserve"> </w:t>
      </w:r>
      <w:r w:rsidRPr="004A5D50">
        <w:t xml:space="preserve">Powles T, </w:t>
      </w:r>
      <w:r>
        <w:t>e</w:t>
      </w:r>
      <w:r w:rsidRPr="004A5D50">
        <w:t xml:space="preserve">t al. Avelumab Maintenance Therapy for Advanced or Metastatic Urothelial Carcinoma. </w:t>
      </w:r>
      <w:r w:rsidRPr="004A5D50">
        <w:rPr>
          <w:i/>
        </w:rPr>
        <w:t>New England Journal of Medicine.</w:t>
      </w:r>
      <w:r w:rsidRPr="004A5D50">
        <w:t xml:space="preserve"> 2020;383(13):1218-30.</w:t>
      </w:r>
    </w:p>
  </w:footnote>
  <w:footnote w:id="2">
    <w:p w14:paraId="575B6407" w14:textId="555CC798" w:rsidR="007A5C73" w:rsidRPr="00B350FE" w:rsidRDefault="007A5C73">
      <w:pPr>
        <w:pStyle w:val="FootnoteText"/>
        <w:rPr>
          <w:lang w:val="en-US"/>
        </w:rPr>
      </w:pPr>
      <w:r>
        <w:rPr>
          <w:rStyle w:val="FootnoteReference"/>
        </w:rPr>
        <w:footnoteRef/>
      </w:r>
      <w:r>
        <w:t xml:space="preserve"> </w:t>
      </w:r>
      <w:proofErr w:type="spellStart"/>
      <w:r w:rsidRPr="00B350FE">
        <w:t>Bellmunt</w:t>
      </w:r>
      <w:proofErr w:type="spellEnd"/>
      <w:r w:rsidRPr="00B350FE">
        <w:t xml:space="preserve"> J, et al. Pembrolizumab (</w:t>
      </w:r>
      <w:proofErr w:type="spellStart"/>
      <w:r w:rsidRPr="00B350FE">
        <w:t>pembro</w:t>
      </w:r>
      <w:proofErr w:type="spellEnd"/>
      <w:r w:rsidRPr="00B350FE">
        <w:t xml:space="preserve">) versus investigator’s choice of paclitaxel, docetaxel, or vinflunine in recurrent, advanced urothelial cancer (UC): 5-year follow-up from the phase 3 KEYNOTE-045 trial. </w:t>
      </w:r>
      <w:r w:rsidRPr="00B350FE">
        <w:rPr>
          <w:i/>
        </w:rPr>
        <w:t>Journal of Clinical Oncology.</w:t>
      </w:r>
      <w:r w:rsidRPr="00B350FE">
        <w:t xml:space="preserve"> 2021;39(15_suppl):4532-.</w:t>
      </w:r>
    </w:p>
  </w:footnote>
  <w:footnote w:id="3">
    <w:p w14:paraId="409C6CE1" w14:textId="77777777" w:rsidR="007A5C73" w:rsidRDefault="007A5C73" w:rsidP="004F371E">
      <w:pPr>
        <w:pStyle w:val="FootnoteText"/>
      </w:pPr>
      <w:r>
        <w:rPr>
          <w:rStyle w:val="FootnoteReference"/>
        </w:rPr>
        <w:footnoteRef/>
      </w:r>
      <w:r>
        <w:t xml:space="preserve"> </w:t>
      </w:r>
      <w:proofErr w:type="spellStart"/>
      <w:r w:rsidRPr="00FC4AE0">
        <w:rPr>
          <w:rFonts w:asciiTheme="minorHAnsi" w:hAnsiTheme="minorHAnsi"/>
          <w:bCs/>
          <w:snapToGrid w:val="0"/>
        </w:rPr>
        <w:t>Cherny</w:t>
      </w:r>
      <w:proofErr w:type="spellEnd"/>
      <w:r w:rsidRPr="00FC4AE0">
        <w:rPr>
          <w:rFonts w:asciiTheme="minorHAnsi" w:hAnsiTheme="minorHAnsi"/>
          <w:bCs/>
          <w:snapToGrid w:val="0"/>
        </w:rPr>
        <w:t xml:space="preserve"> NI, Dafni U, Bogaerts J, et al: ESMO-Magnitude of Clinical Benefit Scale version 1.1. Annals of Oncology 28:2340-2366, 2017]</w:t>
      </w:r>
    </w:p>
  </w:footnote>
  <w:footnote w:id="4">
    <w:p w14:paraId="11D8418B" w14:textId="77777777" w:rsidR="007A5C73" w:rsidRDefault="007A5C73" w:rsidP="006F37DD">
      <w:pPr>
        <w:pStyle w:val="FootnoteText"/>
      </w:pPr>
      <w:r>
        <w:rPr>
          <w:rStyle w:val="FootnoteReference"/>
        </w:rPr>
        <w:footnoteRef/>
      </w:r>
      <w:r>
        <w:t xml:space="preserve"> </w:t>
      </w:r>
      <w:hyperlink r:id="rId1" w:history="1">
        <w:r>
          <w:rPr>
            <w:rStyle w:val="Hyperlink"/>
          </w:rPr>
          <w:t>label (fda.gov)</w:t>
        </w:r>
      </w:hyperlink>
    </w:p>
  </w:footnote>
  <w:footnote w:id="5">
    <w:p w14:paraId="09C6621B" w14:textId="30D52C1A" w:rsidR="007A5C73" w:rsidRDefault="007A5C73">
      <w:pPr>
        <w:pStyle w:val="FootnoteText"/>
      </w:pPr>
      <w:r>
        <w:rPr>
          <w:rStyle w:val="FootnoteReference"/>
        </w:rPr>
        <w:footnoteRef/>
      </w:r>
      <w:r>
        <w:t xml:space="preserve"> Astellas, </w:t>
      </w:r>
      <w:proofErr w:type="spellStart"/>
      <w:r>
        <w:t>Seagen</w:t>
      </w:r>
      <w:proofErr w:type="spellEnd"/>
      <w:r>
        <w:t xml:space="preserve">. </w:t>
      </w:r>
      <w:r w:rsidRPr="00691E6A">
        <w:rPr>
          <w:rFonts w:asciiTheme="minorHAnsi" w:hAnsiTheme="minorHAnsi" w:cstheme="minorHAnsi"/>
        </w:rPr>
        <w:t>Sponsor Notification to Health Authorities (</w:t>
      </w:r>
      <w:proofErr w:type="spellStart"/>
      <w:r w:rsidRPr="00691E6A">
        <w:rPr>
          <w:rFonts w:asciiTheme="minorHAnsi" w:hAnsiTheme="minorHAnsi" w:cstheme="minorHAnsi"/>
        </w:rPr>
        <w:t>enfortumab</w:t>
      </w:r>
      <w:proofErr w:type="spellEnd"/>
      <w:r w:rsidRPr="00691E6A">
        <w:rPr>
          <w:rFonts w:asciiTheme="minorHAnsi" w:hAnsiTheme="minorHAnsi" w:cstheme="minorHAnsi"/>
        </w:rPr>
        <w:t xml:space="preserve"> </w:t>
      </w:r>
      <w:proofErr w:type="spellStart"/>
      <w:r w:rsidRPr="00691E6A">
        <w:rPr>
          <w:rFonts w:asciiTheme="minorHAnsi" w:hAnsiTheme="minorHAnsi" w:cstheme="minorHAnsi"/>
        </w:rPr>
        <w:t>vedotin</w:t>
      </w:r>
      <w:proofErr w:type="spellEnd"/>
      <w:r w:rsidRPr="00691E6A">
        <w:rPr>
          <w:rFonts w:asciiTheme="minorHAnsi" w:hAnsiTheme="minorHAnsi" w:cstheme="minorHAnsi"/>
        </w:rPr>
        <w:t>)</w:t>
      </w:r>
      <w:r>
        <w:rPr>
          <w:rFonts w:asciiTheme="minorHAnsi" w:hAnsiTheme="minorHAnsi" w:cstheme="minorHAnsi"/>
        </w:rPr>
        <w:t>. 28 January 2022.</w:t>
      </w:r>
    </w:p>
  </w:footnote>
  <w:footnote w:id="6">
    <w:p w14:paraId="7CB20D0A" w14:textId="74C636A2" w:rsidR="007A5C73" w:rsidRPr="0023200C" w:rsidRDefault="007A5C73">
      <w:pPr>
        <w:pStyle w:val="FootnoteText"/>
        <w:rPr>
          <w:rFonts w:asciiTheme="minorHAnsi" w:hAnsiTheme="minorHAnsi" w:cstheme="minorHAnsi"/>
        </w:rPr>
      </w:pPr>
      <w:r>
        <w:rPr>
          <w:rStyle w:val="FootnoteReference"/>
        </w:rPr>
        <w:footnoteRef/>
      </w:r>
      <w:r>
        <w:t xml:space="preserve"> </w:t>
      </w:r>
      <w:proofErr w:type="spellStart"/>
      <w:r w:rsidRPr="0023200C">
        <w:rPr>
          <w:rFonts w:asciiTheme="minorHAnsi" w:hAnsiTheme="minorHAnsi" w:cstheme="minorHAnsi"/>
          <w:color w:val="2A2A2A"/>
          <w:shd w:val="clear" w:color="auto" w:fill="FFFFFF"/>
        </w:rPr>
        <w:t>Lacouture</w:t>
      </w:r>
      <w:proofErr w:type="spellEnd"/>
      <w:r w:rsidRPr="0023200C">
        <w:rPr>
          <w:rFonts w:asciiTheme="minorHAnsi" w:hAnsiTheme="minorHAnsi" w:cstheme="minorHAnsi"/>
          <w:color w:val="2A2A2A"/>
          <w:shd w:val="clear" w:color="auto" w:fill="FFFFFF"/>
        </w:rPr>
        <w:t xml:space="preserve"> ME, Patel AB, Rosenberg JE &amp; O’Donnell PH. Management of </w:t>
      </w:r>
      <w:r>
        <w:rPr>
          <w:rFonts w:asciiTheme="minorHAnsi" w:hAnsiTheme="minorHAnsi" w:cstheme="minorHAnsi"/>
          <w:color w:val="2A2A2A"/>
          <w:shd w:val="clear" w:color="auto" w:fill="FFFFFF"/>
        </w:rPr>
        <w:t>d</w:t>
      </w:r>
      <w:r w:rsidRPr="0023200C">
        <w:rPr>
          <w:rFonts w:asciiTheme="minorHAnsi" w:hAnsiTheme="minorHAnsi" w:cstheme="minorHAnsi"/>
          <w:color w:val="2A2A2A"/>
          <w:shd w:val="clear" w:color="auto" w:fill="FFFFFF"/>
        </w:rPr>
        <w:t xml:space="preserve">ermatologic </w:t>
      </w:r>
      <w:r>
        <w:rPr>
          <w:rFonts w:asciiTheme="minorHAnsi" w:hAnsiTheme="minorHAnsi" w:cstheme="minorHAnsi"/>
          <w:color w:val="2A2A2A"/>
          <w:shd w:val="clear" w:color="auto" w:fill="FFFFFF"/>
        </w:rPr>
        <w:t>e</w:t>
      </w:r>
      <w:r w:rsidRPr="0023200C">
        <w:rPr>
          <w:rFonts w:asciiTheme="minorHAnsi" w:hAnsiTheme="minorHAnsi" w:cstheme="minorHAnsi"/>
          <w:color w:val="2A2A2A"/>
          <w:shd w:val="clear" w:color="auto" w:fill="FFFFFF"/>
        </w:rPr>
        <w:t xml:space="preserve">vents </w:t>
      </w:r>
      <w:r>
        <w:rPr>
          <w:rFonts w:asciiTheme="minorHAnsi" w:hAnsiTheme="minorHAnsi" w:cstheme="minorHAnsi"/>
          <w:color w:val="2A2A2A"/>
          <w:shd w:val="clear" w:color="auto" w:fill="FFFFFF"/>
        </w:rPr>
        <w:t>a</w:t>
      </w:r>
      <w:r w:rsidRPr="0023200C">
        <w:rPr>
          <w:rFonts w:asciiTheme="minorHAnsi" w:hAnsiTheme="minorHAnsi" w:cstheme="minorHAnsi"/>
          <w:color w:val="2A2A2A"/>
          <w:shd w:val="clear" w:color="auto" w:fill="FFFFFF"/>
        </w:rPr>
        <w:t xml:space="preserve">ssociated </w:t>
      </w:r>
      <w:r>
        <w:rPr>
          <w:rFonts w:asciiTheme="minorHAnsi" w:hAnsiTheme="minorHAnsi" w:cstheme="minorHAnsi"/>
          <w:color w:val="2A2A2A"/>
          <w:shd w:val="clear" w:color="auto" w:fill="FFFFFF"/>
        </w:rPr>
        <w:t>w</w:t>
      </w:r>
      <w:r w:rsidRPr="0023200C">
        <w:rPr>
          <w:rFonts w:asciiTheme="minorHAnsi" w:hAnsiTheme="minorHAnsi" w:cstheme="minorHAnsi"/>
          <w:color w:val="2A2A2A"/>
          <w:shd w:val="clear" w:color="auto" w:fill="FFFFFF"/>
        </w:rPr>
        <w:t xml:space="preserve">ith the </w:t>
      </w:r>
      <w:r>
        <w:rPr>
          <w:rFonts w:asciiTheme="minorHAnsi" w:hAnsiTheme="minorHAnsi" w:cstheme="minorHAnsi"/>
          <w:color w:val="2A2A2A"/>
          <w:shd w:val="clear" w:color="auto" w:fill="FFFFFF"/>
        </w:rPr>
        <w:t>n</w:t>
      </w:r>
      <w:r w:rsidRPr="0023200C">
        <w:rPr>
          <w:rFonts w:asciiTheme="minorHAnsi" w:hAnsiTheme="minorHAnsi" w:cstheme="minorHAnsi"/>
          <w:color w:val="2A2A2A"/>
          <w:shd w:val="clear" w:color="auto" w:fill="FFFFFF"/>
        </w:rPr>
        <w:t xml:space="preserve">ectin-4-directed </w:t>
      </w:r>
      <w:r>
        <w:rPr>
          <w:rFonts w:asciiTheme="minorHAnsi" w:hAnsiTheme="minorHAnsi" w:cstheme="minorHAnsi"/>
          <w:color w:val="2A2A2A"/>
          <w:shd w:val="clear" w:color="auto" w:fill="FFFFFF"/>
        </w:rPr>
        <w:t>a</w:t>
      </w:r>
      <w:r w:rsidRPr="0023200C">
        <w:rPr>
          <w:rFonts w:asciiTheme="minorHAnsi" w:hAnsiTheme="minorHAnsi" w:cstheme="minorHAnsi"/>
          <w:color w:val="2A2A2A"/>
          <w:shd w:val="clear" w:color="auto" w:fill="FFFFFF"/>
        </w:rPr>
        <w:t>ntibody-</w:t>
      </w:r>
      <w:r>
        <w:rPr>
          <w:rFonts w:asciiTheme="minorHAnsi" w:hAnsiTheme="minorHAnsi" w:cstheme="minorHAnsi"/>
          <w:color w:val="2A2A2A"/>
          <w:shd w:val="clear" w:color="auto" w:fill="FFFFFF"/>
        </w:rPr>
        <w:t>d</w:t>
      </w:r>
      <w:r w:rsidRPr="0023200C">
        <w:rPr>
          <w:rFonts w:asciiTheme="minorHAnsi" w:hAnsiTheme="minorHAnsi" w:cstheme="minorHAnsi"/>
          <w:color w:val="2A2A2A"/>
          <w:shd w:val="clear" w:color="auto" w:fill="FFFFFF"/>
        </w:rPr>
        <w:t xml:space="preserve">rug </w:t>
      </w:r>
      <w:r>
        <w:rPr>
          <w:rFonts w:asciiTheme="minorHAnsi" w:hAnsiTheme="minorHAnsi" w:cstheme="minorHAnsi"/>
          <w:color w:val="2A2A2A"/>
          <w:shd w:val="clear" w:color="auto" w:fill="FFFFFF"/>
        </w:rPr>
        <w:t>c</w:t>
      </w:r>
      <w:r w:rsidRPr="0023200C">
        <w:rPr>
          <w:rFonts w:asciiTheme="minorHAnsi" w:hAnsiTheme="minorHAnsi" w:cstheme="minorHAnsi"/>
          <w:color w:val="2A2A2A"/>
          <w:shd w:val="clear" w:color="auto" w:fill="FFFFFF"/>
        </w:rPr>
        <w:t xml:space="preserve">onjugate </w:t>
      </w:r>
      <w:proofErr w:type="spellStart"/>
      <w:r>
        <w:rPr>
          <w:rFonts w:asciiTheme="minorHAnsi" w:hAnsiTheme="minorHAnsi" w:cstheme="minorHAnsi"/>
          <w:color w:val="2A2A2A"/>
          <w:shd w:val="clear" w:color="auto" w:fill="FFFFFF"/>
        </w:rPr>
        <w:t>e</w:t>
      </w:r>
      <w:r w:rsidRPr="0023200C">
        <w:rPr>
          <w:rFonts w:asciiTheme="minorHAnsi" w:hAnsiTheme="minorHAnsi" w:cstheme="minorHAnsi"/>
          <w:color w:val="2A2A2A"/>
          <w:shd w:val="clear" w:color="auto" w:fill="FFFFFF"/>
        </w:rPr>
        <w:t>nfortumab</w:t>
      </w:r>
      <w:proofErr w:type="spellEnd"/>
      <w:r w:rsidRPr="0023200C">
        <w:rPr>
          <w:rFonts w:asciiTheme="minorHAnsi" w:hAnsiTheme="minorHAnsi" w:cstheme="minorHAnsi"/>
          <w:color w:val="2A2A2A"/>
          <w:shd w:val="clear" w:color="auto" w:fill="FFFFFF"/>
        </w:rPr>
        <w:t xml:space="preserve"> </w:t>
      </w:r>
      <w:proofErr w:type="spellStart"/>
      <w:r>
        <w:rPr>
          <w:rFonts w:asciiTheme="minorHAnsi" w:hAnsiTheme="minorHAnsi" w:cstheme="minorHAnsi"/>
          <w:color w:val="2A2A2A"/>
          <w:shd w:val="clear" w:color="auto" w:fill="FFFFFF"/>
        </w:rPr>
        <w:t>v</w:t>
      </w:r>
      <w:r w:rsidRPr="0023200C">
        <w:rPr>
          <w:rFonts w:asciiTheme="minorHAnsi" w:hAnsiTheme="minorHAnsi" w:cstheme="minorHAnsi"/>
          <w:color w:val="2A2A2A"/>
          <w:shd w:val="clear" w:color="auto" w:fill="FFFFFF"/>
        </w:rPr>
        <w:t>edotin</w:t>
      </w:r>
      <w:proofErr w:type="spellEnd"/>
      <w:r>
        <w:rPr>
          <w:rFonts w:asciiTheme="minorHAnsi" w:hAnsiTheme="minorHAnsi" w:cstheme="minorHAnsi"/>
          <w:color w:val="2A2A2A"/>
          <w:shd w:val="clear" w:color="auto" w:fill="FFFFFF"/>
        </w:rPr>
        <w:t>.</w:t>
      </w:r>
      <w:r w:rsidRPr="0023200C">
        <w:rPr>
          <w:rFonts w:asciiTheme="minorHAnsi" w:hAnsiTheme="minorHAnsi" w:cstheme="minorHAnsi"/>
          <w:color w:val="2A2A2A"/>
          <w:shd w:val="clear" w:color="auto" w:fill="FFFFFF"/>
        </w:rPr>
        <w:t> </w:t>
      </w:r>
      <w:r w:rsidRPr="0023200C">
        <w:rPr>
          <w:rFonts w:asciiTheme="minorHAnsi" w:hAnsiTheme="minorHAnsi" w:cstheme="minorHAnsi"/>
        </w:rPr>
        <w:t>Oncologist</w:t>
      </w:r>
      <w:r>
        <w:rPr>
          <w:rFonts w:asciiTheme="minorHAnsi" w:hAnsiTheme="minorHAnsi" w:cstheme="minorHAnsi"/>
        </w:rPr>
        <w:t xml:space="preserve"> 2022;27:</w:t>
      </w:r>
      <w:r w:rsidRPr="0023200C">
        <w:rPr>
          <w:rFonts w:asciiTheme="minorHAnsi" w:hAnsiTheme="minorHAnsi" w:cstheme="minorHAnsi"/>
          <w:color w:val="2A2A2A"/>
          <w:shd w:val="clear" w:color="auto" w:fill="FFFFFF"/>
        </w:rPr>
        <w:t>e223–e232,</w:t>
      </w:r>
      <w:r>
        <w:rPr>
          <w:rFonts w:asciiTheme="minorHAnsi" w:hAnsiTheme="minorHAnsi" w:cstheme="minorHAnsi"/>
          <w:color w:val="2A2A2A"/>
          <w:shd w:val="clear" w:color="auto" w:fill="FFFFFF"/>
        </w:rPr>
        <w:t xml:space="preserve"> </w:t>
      </w:r>
      <w:hyperlink r:id="rId2" w:history="1">
        <w:r w:rsidRPr="0023200C">
          <w:rPr>
            <w:rStyle w:val="Hyperlink"/>
          </w:rPr>
          <w:t>https://academic.oup.com/oncolo/advance-article/doi/10.1093/oncolo/oyac001/6537593</w:t>
        </w:r>
      </w:hyperlink>
    </w:p>
  </w:footnote>
  <w:footnote w:id="7">
    <w:p w14:paraId="3A355406" w14:textId="77777777" w:rsidR="007A5C73" w:rsidRDefault="007A5C73" w:rsidP="00FB6628">
      <w:pPr>
        <w:pStyle w:val="FootnoteText"/>
      </w:pPr>
      <w:r>
        <w:rPr>
          <w:rStyle w:val="FootnoteReference"/>
        </w:rPr>
        <w:footnoteRef/>
      </w:r>
      <w:r>
        <w:t xml:space="preserve"> </w:t>
      </w:r>
      <w:proofErr w:type="spellStart"/>
      <w:r>
        <w:rPr>
          <w:rFonts w:ascii="Segoe UI" w:hAnsi="Segoe UI" w:cs="Segoe UI"/>
          <w:sz w:val="18"/>
          <w:szCs w:val="18"/>
        </w:rPr>
        <w:t>Viney</w:t>
      </w:r>
      <w:proofErr w:type="spellEnd"/>
      <w:r>
        <w:rPr>
          <w:rFonts w:ascii="Segoe UI" w:hAnsi="Segoe UI" w:cs="Segoe UI"/>
          <w:sz w:val="18"/>
          <w:szCs w:val="18"/>
        </w:rPr>
        <w:t xml:space="preserve"> R, Norman R, King MT, Cronin P, Street DJ, Knox S, et al. Time trade-off derived EQ-5D weights for Australia. Value Health. 2011;14(6):928-36.</w:t>
      </w:r>
    </w:p>
  </w:footnote>
  <w:footnote w:id="8">
    <w:p w14:paraId="02A2D443" w14:textId="085C529F" w:rsidR="007A5C73" w:rsidRDefault="007A5C73">
      <w:pPr>
        <w:pStyle w:val="FootnoteText"/>
      </w:pPr>
      <w:r>
        <w:rPr>
          <w:rStyle w:val="FootnoteReference"/>
        </w:rPr>
        <w:footnoteRef/>
      </w:r>
      <w:r>
        <w:t xml:space="preserve"> </w:t>
      </w:r>
      <w:r>
        <w:rPr>
          <w:rFonts w:ascii="Segoe UI" w:hAnsi="Segoe UI" w:cs="Segoe UI"/>
          <w:sz w:val="18"/>
          <w:szCs w:val="18"/>
        </w:rPr>
        <w:t xml:space="preserve">Parmar A, Richardson M, </w:t>
      </w:r>
      <w:proofErr w:type="spellStart"/>
      <w:r>
        <w:rPr>
          <w:rFonts w:ascii="Segoe UI" w:hAnsi="Segoe UI" w:cs="Segoe UI"/>
          <w:sz w:val="18"/>
          <w:szCs w:val="18"/>
        </w:rPr>
        <w:t>Coyte</w:t>
      </w:r>
      <w:proofErr w:type="spellEnd"/>
      <w:r>
        <w:rPr>
          <w:rFonts w:ascii="Segoe UI" w:hAnsi="Segoe UI" w:cs="Segoe UI"/>
          <w:sz w:val="18"/>
          <w:szCs w:val="18"/>
        </w:rPr>
        <w:t xml:space="preserve"> PC, Cheng S, Sander B, Chan KKW. A cost-utility analysis of atezolizumab in the second-line treatment of patients with metastatic bladder cancer. </w:t>
      </w:r>
      <w:proofErr w:type="spellStart"/>
      <w:r>
        <w:rPr>
          <w:rFonts w:ascii="Segoe UI" w:hAnsi="Segoe UI" w:cs="Segoe UI"/>
          <w:sz w:val="18"/>
          <w:szCs w:val="18"/>
        </w:rPr>
        <w:t>Curr</w:t>
      </w:r>
      <w:proofErr w:type="spellEnd"/>
      <w:r>
        <w:rPr>
          <w:rFonts w:ascii="Segoe UI" w:hAnsi="Segoe UI" w:cs="Segoe UI"/>
          <w:sz w:val="18"/>
          <w:szCs w:val="18"/>
        </w:rPr>
        <w:t xml:space="preserve"> Oncol. 2020;27(4):e386-e94.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F7254" w14:textId="5B7D0145" w:rsidR="007A5C73" w:rsidRDefault="007A5C73" w:rsidP="00617F8E">
    <w:pPr>
      <w:pStyle w:val="Header"/>
      <w:jc w:val="both"/>
      <w:rPr>
        <w:rFonts w:asciiTheme="minorHAnsi" w:hAnsiTheme="minorHAnsi"/>
        <w:i/>
        <w:color w:val="808080"/>
      </w:rPr>
    </w:pPr>
    <w:bookmarkStart w:id="36" w:name="_Hlk76375146"/>
    <w:r>
      <w:rPr>
        <w:rFonts w:asciiTheme="minorHAnsi" w:hAnsiTheme="minorHAnsi"/>
        <w:i/>
        <w:color w:val="808080"/>
      </w:rPr>
      <w:tab/>
      <w:t xml:space="preserve">Public Summary Document </w:t>
    </w:r>
    <w:r w:rsidRPr="00056684">
      <w:rPr>
        <w:rFonts w:asciiTheme="minorHAnsi" w:hAnsiTheme="minorHAnsi"/>
        <w:i/>
        <w:color w:val="808080"/>
      </w:rPr>
      <w:t xml:space="preserve">– </w:t>
    </w:r>
    <w:r>
      <w:rPr>
        <w:rFonts w:asciiTheme="minorHAnsi" w:hAnsiTheme="minorHAnsi"/>
        <w:i/>
        <w:color w:val="808080"/>
      </w:rPr>
      <w:t>March 2022</w:t>
    </w:r>
    <w:r w:rsidRPr="00056684">
      <w:rPr>
        <w:rFonts w:asciiTheme="minorHAnsi" w:hAnsiTheme="minorHAnsi"/>
        <w:i/>
        <w:color w:val="808080"/>
      </w:rPr>
      <w:t xml:space="preserve"> PBAC Meeting</w:t>
    </w:r>
  </w:p>
  <w:bookmarkEnd w:id="36"/>
  <w:p w14:paraId="5E83BD6D" w14:textId="77777777" w:rsidR="007A5C73" w:rsidRDefault="007A5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C1078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486BD3"/>
    <w:multiLevelType w:val="hybridMultilevel"/>
    <w:tmpl w:val="205011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FFF556F"/>
    <w:multiLevelType w:val="hybridMultilevel"/>
    <w:tmpl w:val="9FCE316A"/>
    <w:lvl w:ilvl="0" w:tplc="03A66600">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70557EC"/>
    <w:multiLevelType w:val="hybridMultilevel"/>
    <w:tmpl w:val="E34A2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2724BA"/>
    <w:multiLevelType w:val="hybridMultilevel"/>
    <w:tmpl w:val="147E883E"/>
    <w:lvl w:ilvl="0" w:tplc="4B6A8E50">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FF7271"/>
    <w:multiLevelType w:val="hybridMultilevel"/>
    <w:tmpl w:val="619610F0"/>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B041A"/>
    <w:multiLevelType w:val="multilevel"/>
    <w:tmpl w:val="26D88A42"/>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4D033C"/>
    <w:multiLevelType w:val="multilevel"/>
    <w:tmpl w:val="98B25CA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2"/>
  </w:num>
  <w:num w:numId="2">
    <w:abstractNumId w:val="12"/>
  </w:num>
  <w:num w:numId="3">
    <w:abstractNumId w:val="13"/>
  </w:num>
  <w:num w:numId="4">
    <w:abstractNumId w:val="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8"/>
  </w:num>
  <w:num w:numId="8">
    <w:abstractNumId w:val="8"/>
  </w:num>
  <w:num w:numId="9">
    <w:abstractNumId w:val="5"/>
  </w:num>
  <w:num w:numId="10">
    <w:abstractNumId w:val="16"/>
  </w:num>
  <w:num w:numId="11">
    <w:abstractNumId w:val="7"/>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4"/>
  </w:num>
  <w:num w:numId="19">
    <w:abstractNumId w:val="15"/>
  </w:num>
  <w:num w:numId="20">
    <w:abstractNumId w:val="3"/>
  </w:num>
  <w:num w:numId="21">
    <w:abstractNumId w:val="1"/>
  </w:num>
  <w:num w:numId="22">
    <w:abstractNumId w:val="10"/>
  </w:num>
  <w:num w:numId="23">
    <w:abstractNumId w:val="11"/>
  </w:num>
  <w:num w:numId="24">
    <w:abstractNumId w:val="9"/>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3"/>
  </w:num>
  <w:num w:numId="28">
    <w:abstractNumId w:val="22"/>
  </w:num>
  <w:num w:numId="29">
    <w:abstractNumId w:val="22"/>
  </w:num>
  <w:num w:numId="30">
    <w:abstractNumId w:val="4"/>
  </w:num>
  <w:num w:numId="31">
    <w:abstractNumId w:val="22"/>
  </w:num>
  <w:num w:numId="32">
    <w:abstractNumId w:val="22"/>
  </w:num>
  <w:num w:numId="33">
    <w:abstractNumId w:val="22"/>
  </w:num>
  <w:num w:numId="34">
    <w:abstractNumId w:val="22"/>
  </w:num>
  <w:num w:numId="35">
    <w:abstractNumId w:val="13"/>
  </w:num>
  <w:num w:numId="36">
    <w:abstractNumId w:val="13"/>
  </w:num>
  <w:num w:numId="37">
    <w:abstractNumId w:val="22"/>
  </w:num>
  <w:num w:numId="38">
    <w:abstractNumId w:val="13"/>
  </w:num>
  <w:num w:numId="39">
    <w:abstractNumId w:val="22"/>
  </w:num>
  <w:num w:numId="40">
    <w:abstractNumId w:val="22"/>
  </w:num>
  <w:num w:numId="41">
    <w:abstractNumId w:val="22"/>
  </w:num>
  <w:num w:numId="42">
    <w:abstractNumId w:val="6"/>
  </w:num>
  <w:num w:numId="43">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ws2902npsd51erstn52w0wf2eetee9xs5s&quot;&gt;EV_DT&lt;record-ids&gt;&lt;item&gt;1&lt;/item&gt;&lt;item&gt;2&lt;/item&gt;&lt;item&gt;3&lt;/item&gt;&lt;item&gt;4&lt;/item&gt;&lt;item&gt;5&lt;/item&gt;&lt;item&gt;6&lt;/item&gt;&lt;item&gt;7&lt;/item&gt;&lt;item&gt;8&lt;/item&gt;&lt;item&gt;9&lt;/item&gt;&lt;item&gt;10&lt;/item&gt;&lt;item&gt;11&lt;/item&gt;&lt;item&gt;12&lt;/item&gt;&lt;item&gt;14&lt;/item&gt;&lt;/record-ids&gt;&lt;/item&gt;&lt;item db-id=&quot;r0fe9deacr5vt4edvr25v5rdwpavxptvdsp2&quot;&gt;Enfortumab Vedotin&lt;record-ids&gt;&lt;item&gt;1&lt;/item&gt;&lt;item&gt;2&lt;/item&gt;&lt;item&gt;3&lt;/item&gt;&lt;item&gt;4&lt;/item&gt;&lt;item&gt;5&lt;/item&gt;&lt;item&gt;6&lt;/item&gt;&lt;item&gt;7&lt;/item&gt;&lt;/record-ids&gt;&lt;/item&gt;&lt;/Libraries&gt;"/>
  </w:docVars>
  <w:rsids>
    <w:rsidRoot w:val="00E65E79"/>
    <w:rsid w:val="00000790"/>
    <w:rsid w:val="0000110B"/>
    <w:rsid w:val="00002299"/>
    <w:rsid w:val="00003499"/>
    <w:rsid w:val="000039B7"/>
    <w:rsid w:val="00004748"/>
    <w:rsid w:val="00004793"/>
    <w:rsid w:val="0000639A"/>
    <w:rsid w:val="00006737"/>
    <w:rsid w:val="00011B5A"/>
    <w:rsid w:val="00013247"/>
    <w:rsid w:val="0001544A"/>
    <w:rsid w:val="00015886"/>
    <w:rsid w:val="00015D6C"/>
    <w:rsid w:val="000162EF"/>
    <w:rsid w:val="000207C9"/>
    <w:rsid w:val="0002225F"/>
    <w:rsid w:val="00022772"/>
    <w:rsid w:val="00023763"/>
    <w:rsid w:val="00025536"/>
    <w:rsid w:val="000274B8"/>
    <w:rsid w:val="00033863"/>
    <w:rsid w:val="00035DC0"/>
    <w:rsid w:val="00036829"/>
    <w:rsid w:val="00036BA6"/>
    <w:rsid w:val="00040895"/>
    <w:rsid w:val="0004127C"/>
    <w:rsid w:val="000435EE"/>
    <w:rsid w:val="00043C37"/>
    <w:rsid w:val="00045017"/>
    <w:rsid w:val="00045A2B"/>
    <w:rsid w:val="0004670F"/>
    <w:rsid w:val="0004698F"/>
    <w:rsid w:val="0004712C"/>
    <w:rsid w:val="00047434"/>
    <w:rsid w:val="000539D0"/>
    <w:rsid w:val="00054621"/>
    <w:rsid w:val="000546D7"/>
    <w:rsid w:val="00056ECF"/>
    <w:rsid w:val="00057029"/>
    <w:rsid w:val="000604DF"/>
    <w:rsid w:val="000614F3"/>
    <w:rsid w:val="00064E74"/>
    <w:rsid w:val="000653B5"/>
    <w:rsid w:val="00066179"/>
    <w:rsid w:val="00066360"/>
    <w:rsid w:val="00066AF8"/>
    <w:rsid w:val="00066EE1"/>
    <w:rsid w:val="00071248"/>
    <w:rsid w:val="000720B9"/>
    <w:rsid w:val="00072129"/>
    <w:rsid w:val="000737F7"/>
    <w:rsid w:val="00075454"/>
    <w:rsid w:val="0007672F"/>
    <w:rsid w:val="00076B54"/>
    <w:rsid w:val="000774F0"/>
    <w:rsid w:val="00080909"/>
    <w:rsid w:val="000812CA"/>
    <w:rsid w:val="000814E1"/>
    <w:rsid w:val="00081E63"/>
    <w:rsid w:val="00082292"/>
    <w:rsid w:val="0008258D"/>
    <w:rsid w:val="00083E99"/>
    <w:rsid w:val="00084162"/>
    <w:rsid w:val="00084FA8"/>
    <w:rsid w:val="000856C5"/>
    <w:rsid w:val="00085C31"/>
    <w:rsid w:val="00085E61"/>
    <w:rsid w:val="00086FD9"/>
    <w:rsid w:val="000902D9"/>
    <w:rsid w:val="00090C7E"/>
    <w:rsid w:val="00092600"/>
    <w:rsid w:val="0009262B"/>
    <w:rsid w:val="00092B2D"/>
    <w:rsid w:val="00093310"/>
    <w:rsid w:val="0009445C"/>
    <w:rsid w:val="000946D1"/>
    <w:rsid w:val="00095200"/>
    <w:rsid w:val="00095FE5"/>
    <w:rsid w:val="00096284"/>
    <w:rsid w:val="000A1624"/>
    <w:rsid w:val="000A1BC0"/>
    <w:rsid w:val="000A2830"/>
    <w:rsid w:val="000A2FCB"/>
    <w:rsid w:val="000A3E89"/>
    <w:rsid w:val="000A444B"/>
    <w:rsid w:val="000A590D"/>
    <w:rsid w:val="000A6039"/>
    <w:rsid w:val="000A7453"/>
    <w:rsid w:val="000A7C6B"/>
    <w:rsid w:val="000A7D08"/>
    <w:rsid w:val="000B0121"/>
    <w:rsid w:val="000B0670"/>
    <w:rsid w:val="000B0E75"/>
    <w:rsid w:val="000B2DCB"/>
    <w:rsid w:val="000B598C"/>
    <w:rsid w:val="000B5CE0"/>
    <w:rsid w:val="000B68CE"/>
    <w:rsid w:val="000B6CAC"/>
    <w:rsid w:val="000B7612"/>
    <w:rsid w:val="000B78AE"/>
    <w:rsid w:val="000B7B58"/>
    <w:rsid w:val="000C1334"/>
    <w:rsid w:val="000C1CED"/>
    <w:rsid w:val="000C26CC"/>
    <w:rsid w:val="000C30EA"/>
    <w:rsid w:val="000C35E3"/>
    <w:rsid w:val="000C3DF9"/>
    <w:rsid w:val="000C3F01"/>
    <w:rsid w:val="000C4B89"/>
    <w:rsid w:val="000C4D1C"/>
    <w:rsid w:val="000C6620"/>
    <w:rsid w:val="000C6713"/>
    <w:rsid w:val="000C7166"/>
    <w:rsid w:val="000D1BFC"/>
    <w:rsid w:val="000D1D5D"/>
    <w:rsid w:val="000D1FCC"/>
    <w:rsid w:val="000D20EF"/>
    <w:rsid w:val="000D281A"/>
    <w:rsid w:val="000D2848"/>
    <w:rsid w:val="000D326A"/>
    <w:rsid w:val="000D4939"/>
    <w:rsid w:val="000D4B11"/>
    <w:rsid w:val="000D51FB"/>
    <w:rsid w:val="000D5626"/>
    <w:rsid w:val="000E0640"/>
    <w:rsid w:val="000E135D"/>
    <w:rsid w:val="000E180E"/>
    <w:rsid w:val="000E3F4E"/>
    <w:rsid w:val="000E4851"/>
    <w:rsid w:val="000E5143"/>
    <w:rsid w:val="000E588F"/>
    <w:rsid w:val="000E60F8"/>
    <w:rsid w:val="000E7331"/>
    <w:rsid w:val="000F00BA"/>
    <w:rsid w:val="000F2257"/>
    <w:rsid w:val="000F2C45"/>
    <w:rsid w:val="000F316A"/>
    <w:rsid w:val="000F335D"/>
    <w:rsid w:val="000F3C74"/>
    <w:rsid w:val="000F4224"/>
    <w:rsid w:val="000F4BB8"/>
    <w:rsid w:val="000F4E32"/>
    <w:rsid w:val="000F4FA9"/>
    <w:rsid w:val="000F53FB"/>
    <w:rsid w:val="000F7127"/>
    <w:rsid w:val="000F7B54"/>
    <w:rsid w:val="00100F8A"/>
    <w:rsid w:val="00101336"/>
    <w:rsid w:val="001016E2"/>
    <w:rsid w:val="0010452E"/>
    <w:rsid w:val="00105294"/>
    <w:rsid w:val="00105AE2"/>
    <w:rsid w:val="001060C6"/>
    <w:rsid w:val="00106B80"/>
    <w:rsid w:val="00107CC7"/>
    <w:rsid w:val="0011032E"/>
    <w:rsid w:val="001104B9"/>
    <w:rsid w:val="0011089E"/>
    <w:rsid w:val="0011348B"/>
    <w:rsid w:val="0011518F"/>
    <w:rsid w:val="00115982"/>
    <w:rsid w:val="00116C53"/>
    <w:rsid w:val="0012070C"/>
    <w:rsid w:val="0012136E"/>
    <w:rsid w:val="00121799"/>
    <w:rsid w:val="001222FC"/>
    <w:rsid w:val="001223C7"/>
    <w:rsid w:val="00123902"/>
    <w:rsid w:val="00123C1E"/>
    <w:rsid w:val="00124A51"/>
    <w:rsid w:val="00125618"/>
    <w:rsid w:val="00126621"/>
    <w:rsid w:val="00126B1D"/>
    <w:rsid w:val="001276F8"/>
    <w:rsid w:val="001301E9"/>
    <w:rsid w:val="00131911"/>
    <w:rsid w:val="00131D82"/>
    <w:rsid w:val="00132B22"/>
    <w:rsid w:val="00133D36"/>
    <w:rsid w:val="00137645"/>
    <w:rsid w:val="0014015A"/>
    <w:rsid w:val="001403CF"/>
    <w:rsid w:val="00140A02"/>
    <w:rsid w:val="00140E99"/>
    <w:rsid w:val="00143F67"/>
    <w:rsid w:val="00145540"/>
    <w:rsid w:val="001456B0"/>
    <w:rsid w:val="00146E12"/>
    <w:rsid w:val="0014731F"/>
    <w:rsid w:val="00153830"/>
    <w:rsid w:val="00153D2E"/>
    <w:rsid w:val="0015480E"/>
    <w:rsid w:val="00154FC2"/>
    <w:rsid w:val="00156F8F"/>
    <w:rsid w:val="00157130"/>
    <w:rsid w:val="001576B1"/>
    <w:rsid w:val="0016047B"/>
    <w:rsid w:val="00160A4C"/>
    <w:rsid w:val="00162381"/>
    <w:rsid w:val="00162913"/>
    <w:rsid w:val="00162D2B"/>
    <w:rsid w:val="00163EFF"/>
    <w:rsid w:val="00163F66"/>
    <w:rsid w:val="00164238"/>
    <w:rsid w:val="00164A5E"/>
    <w:rsid w:val="001660E6"/>
    <w:rsid w:val="001661FB"/>
    <w:rsid w:val="001671A0"/>
    <w:rsid w:val="0016767F"/>
    <w:rsid w:val="001678A8"/>
    <w:rsid w:val="00167C19"/>
    <w:rsid w:val="001732E7"/>
    <w:rsid w:val="00173565"/>
    <w:rsid w:val="00173B07"/>
    <w:rsid w:val="00173E8D"/>
    <w:rsid w:val="001751FA"/>
    <w:rsid w:val="00180DA4"/>
    <w:rsid w:val="00181D9C"/>
    <w:rsid w:val="00184B0E"/>
    <w:rsid w:val="0018533A"/>
    <w:rsid w:val="00186A7E"/>
    <w:rsid w:val="0018752F"/>
    <w:rsid w:val="00187558"/>
    <w:rsid w:val="00190F03"/>
    <w:rsid w:val="00191E36"/>
    <w:rsid w:val="001933E2"/>
    <w:rsid w:val="00193838"/>
    <w:rsid w:val="00194AD8"/>
    <w:rsid w:val="00195222"/>
    <w:rsid w:val="00195278"/>
    <w:rsid w:val="001966B0"/>
    <w:rsid w:val="001975D8"/>
    <w:rsid w:val="001A178E"/>
    <w:rsid w:val="001A1BAD"/>
    <w:rsid w:val="001A43FA"/>
    <w:rsid w:val="001A4782"/>
    <w:rsid w:val="001A47C5"/>
    <w:rsid w:val="001A59FB"/>
    <w:rsid w:val="001A5E9E"/>
    <w:rsid w:val="001A6354"/>
    <w:rsid w:val="001A6366"/>
    <w:rsid w:val="001A7AE8"/>
    <w:rsid w:val="001B0FD9"/>
    <w:rsid w:val="001B1F91"/>
    <w:rsid w:val="001B204E"/>
    <w:rsid w:val="001B2372"/>
    <w:rsid w:val="001B3443"/>
    <w:rsid w:val="001B4D20"/>
    <w:rsid w:val="001B509A"/>
    <w:rsid w:val="001B7614"/>
    <w:rsid w:val="001C07DD"/>
    <w:rsid w:val="001C10A4"/>
    <w:rsid w:val="001C2A9B"/>
    <w:rsid w:val="001C4299"/>
    <w:rsid w:val="001C4874"/>
    <w:rsid w:val="001C576F"/>
    <w:rsid w:val="001C5F94"/>
    <w:rsid w:val="001C6E66"/>
    <w:rsid w:val="001C7ACB"/>
    <w:rsid w:val="001D0342"/>
    <w:rsid w:val="001D1100"/>
    <w:rsid w:val="001D1391"/>
    <w:rsid w:val="001D1EED"/>
    <w:rsid w:val="001D25D7"/>
    <w:rsid w:val="001D4846"/>
    <w:rsid w:val="001D50B2"/>
    <w:rsid w:val="001D611D"/>
    <w:rsid w:val="001D6CE6"/>
    <w:rsid w:val="001D7645"/>
    <w:rsid w:val="001E04CA"/>
    <w:rsid w:val="001E1E86"/>
    <w:rsid w:val="001E238E"/>
    <w:rsid w:val="001E2483"/>
    <w:rsid w:val="001E2B1E"/>
    <w:rsid w:val="001E2CFF"/>
    <w:rsid w:val="001E2EF7"/>
    <w:rsid w:val="001E2F24"/>
    <w:rsid w:val="001E30D4"/>
    <w:rsid w:val="001E34DF"/>
    <w:rsid w:val="001E36FE"/>
    <w:rsid w:val="001E52EB"/>
    <w:rsid w:val="001E61D2"/>
    <w:rsid w:val="001E6D76"/>
    <w:rsid w:val="001E740C"/>
    <w:rsid w:val="001F1235"/>
    <w:rsid w:val="001F1CB3"/>
    <w:rsid w:val="001F38B5"/>
    <w:rsid w:val="001F3AA9"/>
    <w:rsid w:val="001F4081"/>
    <w:rsid w:val="001F4089"/>
    <w:rsid w:val="001F429B"/>
    <w:rsid w:val="001F45B8"/>
    <w:rsid w:val="001F7361"/>
    <w:rsid w:val="002011B0"/>
    <w:rsid w:val="00203181"/>
    <w:rsid w:val="002035D2"/>
    <w:rsid w:val="00203783"/>
    <w:rsid w:val="0020385F"/>
    <w:rsid w:val="002053CC"/>
    <w:rsid w:val="002054B0"/>
    <w:rsid w:val="002068A0"/>
    <w:rsid w:val="00207021"/>
    <w:rsid w:val="00207296"/>
    <w:rsid w:val="0020732F"/>
    <w:rsid w:val="00207D00"/>
    <w:rsid w:val="002105C1"/>
    <w:rsid w:val="00210B94"/>
    <w:rsid w:val="00210F6D"/>
    <w:rsid w:val="00213EF5"/>
    <w:rsid w:val="00216711"/>
    <w:rsid w:val="00216BF5"/>
    <w:rsid w:val="00220AF1"/>
    <w:rsid w:val="00221899"/>
    <w:rsid w:val="00221F1D"/>
    <w:rsid w:val="00223B49"/>
    <w:rsid w:val="00223D5A"/>
    <w:rsid w:val="0022456C"/>
    <w:rsid w:val="00224DD4"/>
    <w:rsid w:val="002252B8"/>
    <w:rsid w:val="002278A0"/>
    <w:rsid w:val="00227E1F"/>
    <w:rsid w:val="002309CC"/>
    <w:rsid w:val="00231596"/>
    <w:rsid w:val="00231823"/>
    <w:rsid w:val="0023200C"/>
    <w:rsid w:val="0023209F"/>
    <w:rsid w:val="0023226D"/>
    <w:rsid w:val="002326D9"/>
    <w:rsid w:val="00233950"/>
    <w:rsid w:val="00233B46"/>
    <w:rsid w:val="00233C01"/>
    <w:rsid w:val="0023413C"/>
    <w:rsid w:val="002346F0"/>
    <w:rsid w:val="00234F7B"/>
    <w:rsid w:val="00235D63"/>
    <w:rsid w:val="0023629D"/>
    <w:rsid w:val="00237255"/>
    <w:rsid w:val="00240704"/>
    <w:rsid w:val="002424AF"/>
    <w:rsid w:val="002439DC"/>
    <w:rsid w:val="002441D2"/>
    <w:rsid w:val="00244DC8"/>
    <w:rsid w:val="00245478"/>
    <w:rsid w:val="002458BA"/>
    <w:rsid w:val="00245CE9"/>
    <w:rsid w:val="0024636C"/>
    <w:rsid w:val="00247925"/>
    <w:rsid w:val="00251006"/>
    <w:rsid w:val="002524D5"/>
    <w:rsid w:val="00253B1D"/>
    <w:rsid w:val="00254DCF"/>
    <w:rsid w:val="0025534B"/>
    <w:rsid w:val="00255401"/>
    <w:rsid w:val="00255BB7"/>
    <w:rsid w:val="0025735B"/>
    <w:rsid w:val="00257541"/>
    <w:rsid w:val="00257598"/>
    <w:rsid w:val="00257A39"/>
    <w:rsid w:val="00257AC4"/>
    <w:rsid w:val="00261EEF"/>
    <w:rsid w:val="00262A1A"/>
    <w:rsid w:val="00262A87"/>
    <w:rsid w:val="00263489"/>
    <w:rsid w:val="00263515"/>
    <w:rsid w:val="00264D26"/>
    <w:rsid w:val="00266208"/>
    <w:rsid w:val="00267642"/>
    <w:rsid w:val="00267AEA"/>
    <w:rsid w:val="002700E6"/>
    <w:rsid w:val="00271AB4"/>
    <w:rsid w:val="00271D5E"/>
    <w:rsid w:val="002723D0"/>
    <w:rsid w:val="0027294B"/>
    <w:rsid w:val="00273EB4"/>
    <w:rsid w:val="00274682"/>
    <w:rsid w:val="00275C27"/>
    <w:rsid w:val="00275C5A"/>
    <w:rsid w:val="00276B5D"/>
    <w:rsid w:val="00281014"/>
    <w:rsid w:val="0028375F"/>
    <w:rsid w:val="0028665D"/>
    <w:rsid w:val="00290B29"/>
    <w:rsid w:val="00291205"/>
    <w:rsid w:val="00291A57"/>
    <w:rsid w:val="00297017"/>
    <w:rsid w:val="002A0BE7"/>
    <w:rsid w:val="002A14AB"/>
    <w:rsid w:val="002A1CEF"/>
    <w:rsid w:val="002A2ADE"/>
    <w:rsid w:val="002A2F50"/>
    <w:rsid w:val="002A4A7E"/>
    <w:rsid w:val="002A55EB"/>
    <w:rsid w:val="002B05A1"/>
    <w:rsid w:val="002B09A4"/>
    <w:rsid w:val="002B1C1F"/>
    <w:rsid w:val="002B432F"/>
    <w:rsid w:val="002B62B3"/>
    <w:rsid w:val="002B6754"/>
    <w:rsid w:val="002B6CCE"/>
    <w:rsid w:val="002C2369"/>
    <w:rsid w:val="002C2510"/>
    <w:rsid w:val="002C25CB"/>
    <w:rsid w:val="002C2775"/>
    <w:rsid w:val="002C27B0"/>
    <w:rsid w:val="002C27C1"/>
    <w:rsid w:val="002C5099"/>
    <w:rsid w:val="002C5889"/>
    <w:rsid w:val="002C5D0D"/>
    <w:rsid w:val="002C6535"/>
    <w:rsid w:val="002C71CE"/>
    <w:rsid w:val="002D01EF"/>
    <w:rsid w:val="002D08F8"/>
    <w:rsid w:val="002D2535"/>
    <w:rsid w:val="002D2F44"/>
    <w:rsid w:val="002D336F"/>
    <w:rsid w:val="002D577C"/>
    <w:rsid w:val="002D5AFA"/>
    <w:rsid w:val="002E0593"/>
    <w:rsid w:val="002E0EA6"/>
    <w:rsid w:val="002E1071"/>
    <w:rsid w:val="002E1234"/>
    <w:rsid w:val="002E15B9"/>
    <w:rsid w:val="002E2158"/>
    <w:rsid w:val="002E4A87"/>
    <w:rsid w:val="002E4F02"/>
    <w:rsid w:val="002E7722"/>
    <w:rsid w:val="002E7C55"/>
    <w:rsid w:val="002E7EE8"/>
    <w:rsid w:val="002F07BA"/>
    <w:rsid w:val="002F0DA9"/>
    <w:rsid w:val="002F1014"/>
    <w:rsid w:val="002F1C06"/>
    <w:rsid w:val="002F458E"/>
    <w:rsid w:val="002F643C"/>
    <w:rsid w:val="002F6ACC"/>
    <w:rsid w:val="002F71C0"/>
    <w:rsid w:val="002F74F1"/>
    <w:rsid w:val="00301017"/>
    <w:rsid w:val="0030155F"/>
    <w:rsid w:val="003020DE"/>
    <w:rsid w:val="00302B15"/>
    <w:rsid w:val="0030587B"/>
    <w:rsid w:val="003069D1"/>
    <w:rsid w:val="00306D98"/>
    <w:rsid w:val="0030786C"/>
    <w:rsid w:val="0031031A"/>
    <w:rsid w:val="00310981"/>
    <w:rsid w:val="0031202C"/>
    <w:rsid w:val="003124D9"/>
    <w:rsid w:val="00312594"/>
    <w:rsid w:val="00313D63"/>
    <w:rsid w:val="00315498"/>
    <w:rsid w:val="00316474"/>
    <w:rsid w:val="0031660C"/>
    <w:rsid w:val="003218EA"/>
    <w:rsid w:val="00322107"/>
    <w:rsid w:val="00322355"/>
    <w:rsid w:val="00322846"/>
    <w:rsid w:val="00323882"/>
    <w:rsid w:val="0032506E"/>
    <w:rsid w:val="00326DA7"/>
    <w:rsid w:val="003270E4"/>
    <w:rsid w:val="00330DAA"/>
    <w:rsid w:val="00330F5C"/>
    <w:rsid w:val="003320A2"/>
    <w:rsid w:val="00335E7B"/>
    <w:rsid w:val="003366C9"/>
    <w:rsid w:val="003371B0"/>
    <w:rsid w:val="0034022E"/>
    <w:rsid w:val="00340DF1"/>
    <w:rsid w:val="003438CB"/>
    <w:rsid w:val="0034440B"/>
    <w:rsid w:val="00344C2E"/>
    <w:rsid w:val="00344D3F"/>
    <w:rsid w:val="0034564C"/>
    <w:rsid w:val="003467DB"/>
    <w:rsid w:val="00346F26"/>
    <w:rsid w:val="00347D59"/>
    <w:rsid w:val="003517F9"/>
    <w:rsid w:val="00351BA9"/>
    <w:rsid w:val="00352A2A"/>
    <w:rsid w:val="003541F6"/>
    <w:rsid w:val="00354F64"/>
    <w:rsid w:val="00355BB6"/>
    <w:rsid w:val="0035620E"/>
    <w:rsid w:val="00360345"/>
    <w:rsid w:val="00361A05"/>
    <w:rsid w:val="00362050"/>
    <w:rsid w:val="003624C4"/>
    <w:rsid w:val="00363B00"/>
    <w:rsid w:val="003651CF"/>
    <w:rsid w:val="003652DC"/>
    <w:rsid w:val="003654AC"/>
    <w:rsid w:val="00365D17"/>
    <w:rsid w:val="003710CF"/>
    <w:rsid w:val="0037358A"/>
    <w:rsid w:val="003750F6"/>
    <w:rsid w:val="00376029"/>
    <w:rsid w:val="003760FC"/>
    <w:rsid w:val="0038365C"/>
    <w:rsid w:val="0038369B"/>
    <w:rsid w:val="00383A28"/>
    <w:rsid w:val="00383B78"/>
    <w:rsid w:val="00383D5B"/>
    <w:rsid w:val="00384DA3"/>
    <w:rsid w:val="00385A9D"/>
    <w:rsid w:val="00386B9F"/>
    <w:rsid w:val="00386BA2"/>
    <w:rsid w:val="00387415"/>
    <w:rsid w:val="003902B1"/>
    <w:rsid w:val="0039179C"/>
    <w:rsid w:val="00394C88"/>
    <w:rsid w:val="00395270"/>
    <w:rsid w:val="00396896"/>
    <w:rsid w:val="00396CD0"/>
    <w:rsid w:val="00396FD0"/>
    <w:rsid w:val="003A0804"/>
    <w:rsid w:val="003A1A7A"/>
    <w:rsid w:val="003A2392"/>
    <w:rsid w:val="003A2831"/>
    <w:rsid w:val="003A2BAF"/>
    <w:rsid w:val="003A346E"/>
    <w:rsid w:val="003A3CB6"/>
    <w:rsid w:val="003A3ED1"/>
    <w:rsid w:val="003A44DB"/>
    <w:rsid w:val="003A46E4"/>
    <w:rsid w:val="003A5A4B"/>
    <w:rsid w:val="003A74B1"/>
    <w:rsid w:val="003A7DE6"/>
    <w:rsid w:val="003B0707"/>
    <w:rsid w:val="003B3971"/>
    <w:rsid w:val="003B4CAE"/>
    <w:rsid w:val="003B55D1"/>
    <w:rsid w:val="003B591D"/>
    <w:rsid w:val="003B5B61"/>
    <w:rsid w:val="003C064C"/>
    <w:rsid w:val="003C1654"/>
    <w:rsid w:val="003C3E69"/>
    <w:rsid w:val="003C49AD"/>
    <w:rsid w:val="003C5542"/>
    <w:rsid w:val="003C56A5"/>
    <w:rsid w:val="003C5E6C"/>
    <w:rsid w:val="003C7D19"/>
    <w:rsid w:val="003C7D2F"/>
    <w:rsid w:val="003D04EB"/>
    <w:rsid w:val="003D1574"/>
    <w:rsid w:val="003D1828"/>
    <w:rsid w:val="003D1DE4"/>
    <w:rsid w:val="003D1E9A"/>
    <w:rsid w:val="003D2422"/>
    <w:rsid w:val="003D2B1F"/>
    <w:rsid w:val="003D39A1"/>
    <w:rsid w:val="003D3DDE"/>
    <w:rsid w:val="003D3E8A"/>
    <w:rsid w:val="003D3FBF"/>
    <w:rsid w:val="003D4A30"/>
    <w:rsid w:val="003D7452"/>
    <w:rsid w:val="003D79BB"/>
    <w:rsid w:val="003D7A6F"/>
    <w:rsid w:val="003D7C98"/>
    <w:rsid w:val="003D7CAC"/>
    <w:rsid w:val="003D7D9D"/>
    <w:rsid w:val="003E0543"/>
    <w:rsid w:val="003E5868"/>
    <w:rsid w:val="003E749E"/>
    <w:rsid w:val="003F4156"/>
    <w:rsid w:val="003F5ADF"/>
    <w:rsid w:val="003F723C"/>
    <w:rsid w:val="003F77CE"/>
    <w:rsid w:val="00400B29"/>
    <w:rsid w:val="00401571"/>
    <w:rsid w:val="00402E4A"/>
    <w:rsid w:val="004039C1"/>
    <w:rsid w:val="0040504B"/>
    <w:rsid w:val="004059F4"/>
    <w:rsid w:val="00407A8A"/>
    <w:rsid w:val="00407FE5"/>
    <w:rsid w:val="004101B0"/>
    <w:rsid w:val="00410326"/>
    <w:rsid w:val="00410708"/>
    <w:rsid w:val="00410EC7"/>
    <w:rsid w:val="00411B39"/>
    <w:rsid w:val="004127A7"/>
    <w:rsid w:val="00413093"/>
    <w:rsid w:val="00413A1E"/>
    <w:rsid w:val="00414476"/>
    <w:rsid w:val="004146B9"/>
    <w:rsid w:val="00414C2E"/>
    <w:rsid w:val="004151CF"/>
    <w:rsid w:val="00415230"/>
    <w:rsid w:val="00416364"/>
    <w:rsid w:val="00416811"/>
    <w:rsid w:val="00416C33"/>
    <w:rsid w:val="0042047F"/>
    <w:rsid w:val="004208C1"/>
    <w:rsid w:val="00420AA6"/>
    <w:rsid w:val="00420B9F"/>
    <w:rsid w:val="0042192C"/>
    <w:rsid w:val="004220CB"/>
    <w:rsid w:val="00422260"/>
    <w:rsid w:val="0042413F"/>
    <w:rsid w:val="00425C2E"/>
    <w:rsid w:val="004260E2"/>
    <w:rsid w:val="004278EE"/>
    <w:rsid w:val="004319F8"/>
    <w:rsid w:val="00431E55"/>
    <w:rsid w:val="004321F6"/>
    <w:rsid w:val="00433044"/>
    <w:rsid w:val="00434088"/>
    <w:rsid w:val="00436DE8"/>
    <w:rsid w:val="004375B9"/>
    <w:rsid w:val="004428D0"/>
    <w:rsid w:val="00444185"/>
    <w:rsid w:val="004443A7"/>
    <w:rsid w:val="0044442C"/>
    <w:rsid w:val="00445941"/>
    <w:rsid w:val="00445FFE"/>
    <w:rsid w:val="004464EB"/>
    <w:rsid w:val="00446E97"/>
    <w:rsid w:val="00447D26"/>
    <w:rsid w:val="00447DFC"/>
    <w:rsid w:val="0045002C"/>
    <w:rsid w:val="00453AA6"/>
    <w:rsid w:val="00455A2A"/>
    <w:rsid w:val="00455D45"/>
    <w:rsid w:val="00456A29"/>
    <w:rsid w:val="00461CE1"/>
    <w:rsid w:val="00461D29"/>
    <w:rsid w:val="00461FD0"/>
    <w:rsid w:val="00464595"/>
    <w:rsid w:val="004657BE"/>
    <w:rsid w:val="004658B5"/>
    <w:rsid w:val="004663CD"/>
    <w:rsid w:val="00466706"/>
    <w:rsid w:val="0047148E"/>
    <w:rsid w:val="00471991"/>
    <w:rsid w:val="00471EA5"/>
    <w:rsid w:val="00471FD8"/>
    <w:rsid w:val="00472A79"/>
    <w:rsid w:val="00473F19"/>
    <w:rsid w:val="004745C2"/>
    <w:rsid w:val="00475E22"/>
    <w:rsid w:val="00480217"/>
    <w:rsid w:val="0048088E"/>
    <w:rsid w:val="00480F2B"/>
    <w:rsid w:val="00482720"/>
    <w:rsid w:val="0048292E"/>
    <w:rsid w:val="004835E7"/>
    <w:rsid w:val="0048469B"/>
    <w:rsid w:val="0048614E"/>
    <w:rsid w:val="004867E2"/>
    <w:rsid w:val="00490B17"/>
    <w:rsid w:val="00491056"/>
    <w:rsid w:val="00491B3A"/>
    <w:rsid w:val="00492CFD"/>
    <w:rsid w:val="004930D1"/>
    <w:rsid w:val="00493618"/>
    <w:rsid w:val="00494207"/>
    <w:rsid w:val="004948D8"/>
    <w:rsid w:val="00494DD5"/>
    <w:rsid w:val="0049534D"/>
    <w:rsid w:val="0049583F"/>
    <w:rsid w:val="004962D2"/>
    <w:rsid w:val="004A0DA1"/>
    <w:rsid w:val="004A13D6"/>
    <w:rsid w:val="004A1EF0"/>
    <w:rsid w:val="004A2D04"/>
    <w:rsid w:val="004A416F"/>
    <w:rsid w:val="004A472F"/>
    <w:rsid w:val="004A4FA5"/>
    <w:rsid w:val="004A52E9"/>
    <w:rsid w:val="004A5D50"/>
    <w:rsid w:val="004A6040"/>
    <w:rsid w:val="004A6165"/>
    <w:rsid w:val="004A6597"/>
    <w:rsid w:val="004A73FE"/>
    <w:rsid w:val="004A7848"/>
    <w:rsid w:val="004B0879"/>
    <w:rsid w:val="004B1CB4"/>
    <w:rsid w:val="004B2F18"/>
    <w:rsid w:val="004B3DDB"/>
    <w:rsid w:val="004B44D5"/>
    <w:rsid w:val="004B44FD"/>
    <w:rsid w:val="004B5CFC"/>
    <w:rsid w:val="004B62B8"/>
    <w:rsid w:val="004B6F79"/>
    <w:rsid w:val="004B774D"/>
    <w:rsid w:val="004C0171"/>
    <w:rsid w:val="004C0E3E"/>
    <w:rsid w:val="004C1E3E"/>
    <w:rsid w:val="004C345B"/>
    <w:rsid w:val="004C4AED"/>
    <w:rsid w:val="004C56FB"/>
    <w:rsid w:val="004C690B"/>
    <w:rsid w:val="004C7BE7"/>
    <w:rsid w:val="004D1FAF"/>
    <w:rsid w:val="004D2C2D"/>
    <w:rsid w:val="004D6333"/>
    <w:rsid w:val="004D67BF"/>
    <w:rsid w:val="004D69B5"/>
    <w:rsid w:val="004D7227"/>
    <w:rsid w:val="004D7AE9"/>
    <w:rsid w:val="004E0233"/>
    <w:rsid w:val="004E0E7F"/>
    <w:rsid w:val="004E0EB8"/>
    <w:rsid w:val="004E18E9"/>
    <w:rsid w:val="004E2ADC"/>
    <w:rsid w:val="004E43B2"/>
    <w:rsid w:val="004E7D47"/>
    <w:rsid w:val="004F09D7"/>
    <w:rsid w:val="004F19DE"/>
    <w:rsid w:val="004F1D02"/>
    <w:rsid w:val="004F2679"/>
    <w:rsid w:val="004F2F21"/>
    <w:rsid w:val="004F371E"/>
    <w:rsid w:val="004F38EC"/>
    <w:rsid w:val="004F3DE5"/>
    <w:rsid w:val="004F66EB"/>
    <w:rsid w:val="004F6913"/>
    <w:rsid w:val="004F7865"/>
    <w:rsid w:val="0050174E"/>
    <w:rsid w:val="00501854"/>
    <w:rsid w:val="00502123"/>
    <w:rsid w:val="0050219B"/>
    <w:rsid w:val="00503F17"/>
    <w:rsid w:val="00504A9A"/>
    <w:rsid w:val="00504E5F"/>
    <w:rsid w:val="00506106"/>
    <w:rsid w:val="00506928"/>
    <w:rsid w:val="005077EF"/>
    <w:rsid w:val="00511AD5"/>
    <w:rsid w:val="00511DC7"/>
    <w:rsid w:val="005125AA"/>
    <w:rsid w:val="00514181"/>
    <w:rsid w:val="005142C5"/>
    <w:rsid w:val="0051501B"/>
    <w:rsid w:val="005152B5"/>
    <w:rsid w:val="005161DB"/>
    <w:rsid w:val="00516925"/>
    <w:rsid w:val="00517049"/>
    <w:rsid w:val="005172A7"/>
    <w:rsid w:val="00521231"/>
    <w:rsid w:val="0052123C"/>
    <w:rsid w:val="00521319"/>
    <w:rsid w:val="005219DF"/>
    <w:rsid w:val="00522A84"/>
    <w:rsid w:val="00522BC8"/>
    <w:rsid w:val="00522D74"/>
    <w:rsid w:val="00522E32"/>
    <w:rsid w:val="00522FF3"/>
    <w:rsid w:val="00523C28"/>
    <w:rsid w:val="00524537"/>
    <w:rsid w:val="0052544E"/>
    <w:rsid w:val="00525964"/>
    <w:rsid w:val="0052623E"/>
    <w:rsid w:val="005278B5"/>
    <w:rsid w:val="00527AF1"/>
    <w:rsid w:val="00531246"/>
    <w:rsid w:val="0053176B"/>
    <w:rsid w:val="00531911"/>
    <w:rsid w:val="00532B56"/>
    <w:rsid w:val="00534B39"/>
    <w:rsid w:val="00534D33"/>
    <w:rsid w:val="00535341"/>
    <w:rsid w:val="00536F42"/>
    <w:rsid w:val="00537182"/>
    <w:rsid w:val="005371F5"/>
    <w:rsid w:val="0054128C"/>
    <w:rsid w:val="00541EDD"/>
    <w:rsid w:val="00542743"/>
    <w:rsid w:val="00542C2D"/>
    <w:rsid w:val="00542C9F"/>
    <w:rsid w:val="0054353A"/>
    <w:rsid w:val="00546474"/>
    <w:rsid w:val="005478BD"/>
    <w:rsid w:val="005479E3"/>
    <w:rsid w:val="00551985"/>
    <w:rsid w:val="00552BD3"/>
    <w:rsid w:val="005532A0"/>
    <w:rsid w:val="00553D4E"/>
    <w:rsid w:val="00555109"/>
    <w:rsid w:val="00555225"/>
    <w:rsid w:val="00555317"/>
    <w:rsid w:val="005561CC"/>
    <w:rsid w:val="005565D8"/>
    <w:rsid w:val="00556B35"/>
    <w:rsid w:val="0055741A"/>
    <w:rsid w:val="005611B7"/>
    <w:rsid w:val="005618D4"/>
    <w:rsid w:val="00563BD3"/>
    <w:rsid w:val="00564939"/>
    <w:rsid w:val="00565DF0"/>
    <w:rsid w:val="0056696F"/>
    <w:rsid w:val="00572114"/>
    <w:rsid w:val="00572269"/>
    <w:rsid w:val="0057244A"/>
    <w:rsid w:val="00572F26"/>
    <w:rsid w:val="00574057"/>
    <w:rsid w:val="005750C5"/>
    <w:rsid w:val="005752DE"/>
    <w:rsid w:val="00575D8D"/>
    <w:rsid w:val="00576588"/>
    <w:rsid w:val="00576972"/>
    <w:rsid w:val="0057710F"/>
    <w:rsid w:val="00582676"/>
    <w:rsid w:val="005827C2"/>
    <w:rsid w:val="0058292E"/>
    <w:rsid w:val="00582AB0"/>
    <w:rsid w:val="005833F2"/>
    <w:rsid w:val="00583699"/>
    <w:rsid w:val="005853D4"/>
    <w:rsid w:val="00585CDD"/>
    <w:rsid w:val="00587058"/>
    <w:rsid w:val="00591799"/>
    <w:rsid w:val="00591957"/>
    <w:rsid w:val="00594CAA"/>
    <w:rsid w:val="005955E6"/>
    <w:rsid w:val="00597BF9"/>
    <w:rsid w:val="005A075B"/>
    <w:rsid w:val="005A0DFE"/>
    <w:rsid w:val="005A3059"/>
    <w:rsid w:val="005A309A"/>
    <w:rsid w:val="005A373D"/>
    <w:rsid w:val="005A4FF0"/>
    <w:rsid w:val="005A6857"/>
    <w:rsid w:val="005A7DBE"/>
    <w:rsid w:val="005B0B58"/>
    <w:rsid w:val="005B3250"/>
    <w:rsid w:val="005B4E53"/>
    <w:rsid w:val="005B5857"/>
    <w:rsid w:val="005B5D6A"/>
    <w:rsid w:val="005B70ED"/>
    <w:rsid w:val="005B7733"/>
    <w:rsid w:val="005C0530"/>
    <w:rsid w:val="005C1B83"/>
    <w:rsid w:val="005C25FF"/>
    <w:rsid w:val="005C2D55"/>
    <w:rsid w:val="005C346B"/>
    <w:rsid w:val="005C425E"/>
    <w:rsid w:val="005C69BF"/>
    <w:rsid w:val="005D044D"/>
    <w:rsid w:val="005D0ABD"/>
    <w:rsid w:val="005D18AD"/>
    <w:rsid w:val="005D26B4"/>
    <w:rsid w:val="005D2ABB"/>
    <w:rsid w:val="005D335C"/>
    <w:rsid w:val="005D359A"/>
    <w:rsid w:val="005D4BAB"/>
    <w:rsid w:val="005D62C2"/>
    <w:rsid w:val="005D6326"/>
    <w:rsid w:val="005D6D78"/>
    <w:rsid w:val="005E0BAF"/>
    <w:rsid w:val="005E4E16"/>
    <w:rsid w:val="005E6CBC"/>
    <w:rsid w:val="005E72FF"/>
    <w:rsid w:val="005E73C0"/>
    <w:rsid w:val="005E762B"/>
    <w:rsid w:val="005F2706"/>
    <w:rsid w:val="005F5D02"/>
    <w:rsid w:val="005F5F4E"/>
    <w:rsid w:val="005F6A8F"/>
    <w:rsid w:val="005F6BB7"/>
    <w:rsid w:val="005F7588"/>
    <w:rsid w:val="006006A4"/>
    <w:rsid w:val="00603DB9"/>
    <w:rsid w:val="00606FBA"/>
    <w:rsid w:val="00607669"/>
    <w:rsid w:val="006076F4"/>
    <w:rsid w:val="00607AFD"/>
    <w:rsid w:val="00607DFD"/>
    <w:rsid w:val="0061073F"/>
    <w:rsid w:val="00612A06"/>
    <w:rsid w:val="00612F97"/>
    <w:rsid w:val="0061345D"/>
    <w:rsid w:val="006142C6"/>
    <w:rsid w:val="00614BB6"/>
    <w:rsid w:val="0061549B"/>
    <w:rsid w:val="00615BB5"/>
    <w:rsid w:val="00616802"/>
    <w:rsid w:val="00617E12"/>
    <w:rsid w:val="00617F8E"/>
    <w:rsid w:val="00620C25"/>
    <w:rsid w:val="00621477"/>
    <w:rsid w:val="006214C8"/>
    <w:rsid w:val="00621ADA"/>
    <w:rsid w:val="00623F7B"/>
    <w:rsid w:val="006255D6"/>
    <w:rsid w:val="00626141"/>
    <w:rsid w:val="00627251"/>
    <w:rsid w:val="0063158F"/>
    <w:rsid w:val="00631D6B"/>
    <w:rsid w:val="00632183"/>
    <w:rsid w:val="006330A1"/>
    <w:rsid w:val="00633EFC"/>
    <w:rsid w:val="0063479F"/>
    <w:rsid w:val="006353F0"/>
    <w:rsid w:val="00635561"/>
    <w:rsid w:val="006357B5"/>
    <w:rsid w:val="006364A1"/>
    <w:rsid w:val="0063678E"/>
    <w:rsid w:val="00636BDB"/>
    <w:rsid w:val="00636D0C"/>
    <w:rsid w:val="006370C9"/>
    <w:rsid w:val="00637BFD"/>
    <w:rsid w:val="0064144C"/>
    <w:rsid w:val="00641C4E"/>
    <w:rsid w:val="00641FB3"/>
    <w:rsid w:val="00643D2D"/>
    <w:rsid w:val="0064434C"/>
    <w:rsid w:val="006471CC"/>
    <w:rsid w:val="00647A29"/>
    <w:rsid w:val="0065079F"/>
    <w:rsid w:val="00652A28"/>
    <w:rsid w:val="0065333B"/>
    <w:rsid w:val="006534BB"/>
    <w:rsid w:val="0065379F"/>
    <w:rsid w:val="006539DB"/>
    <w:rsid w:val="00656188"/>
    <w:rsid w:val="0065715A"/>
    <w:rsid w:val="00657163"/>
    <w:rsid w:val="006610F1"/>
    <w:rsid w:val="0066158C"/>
    <w:rsid w:val="00661C6B"/>
    <w:rsid w:val="00662605"/>
    <w:rsid w:val="006648F8"/>
    <w:rsid w:val="006672AB"/>
    <w:rsid w:val="006701A4"/>
    <w:rsid w:val="00671004"/>
    <w:rsid w:val="00672646"/>
    <w:rsid w:val="00673E6E"/>
    <w:rsid w:val="00674E42"/>
    <w:rsid w:val="0067570F"/>
    <w:rsid w:val="006805CD"/>
    <w:rsid w:val="006813F8"/>
    <w:rsid w:val="00682112"/>
    <w:rsid w:val="006823FD"/>
    <w:rsid w:val="00682BA6"/>
    <w:rsid w:val="00683361"/>
    <w:rsid w:val="00686957"/>
    <w:rsid w:val="006872BA"/>
    <w:rsid w:val="00687EC3"/>
    <w:rsid w:val="00690795"/>
    <w:rsid w:val="00691022"/>
    <w:rsid w:val="00691648"/>
    <w:rsid w:val="006917D7"/>
    <w:rsid w:val="00691E6A"/>
    <w:rsid w:val="006921C1"/>
    <w:rsid w:val="00692827"/>
    <w:rsid w:val="0069434C"/>
    <w:rsid w:val="0069453A"/>
    <w:rsid w:val="00694F44"/>
    <w:rsid w:val="00696F51"/>
    <w:rsid w:val="0069713C"/>
    <w:rsid w:val="006979A5"/>
    <w:rsid w:val="006A0152"/>
    <w:rsid w:val="006A1F4C"/>
    <w:rsid w:val="006A2382"/>
    <w:rsid w:val="006A6325"/>
    <w:rsid w:val="006A665D"/>
    <w:rsid w:val="006A6B99"/>
    <w:rsid w:val="006A7E5F"/>
    <w:rsid w:val="006B00D3"/>
    <w:rsid w:val="006B1383"/>
    <w:rsid w:val="006B261B"/>
    <w:rsid w:val="006B2C90"/>
    <w:rsid w:val="006B32FD"/>
    <w:rsid w:val="006B354B"/>
    <w:rsid w:val="006B35E6"/>
    <w:rsid w:val="006B465A"/>
    <w:rsid w:val="006B4F90"/>
    <w:rsid w:val="006B6DD0"/>
    <w:rsid w:val="006C0399"/>
    <w:rsid w:val="006C1DFA"/>
    <w:rsid w:val="006C2A8E"/>
    <w:rsid w:val="006C3255"/>
    <w:rsid w:val="006C3F26"/>
    <w:rsid w:val="006C420C"/>
    <w:rsid w:val="006C4CB6"/>
    <w:rsid w:val="006C4EFE"/>
    <w:rsid w:val="006D01F4"/>
    <w:rsid w:val="006D0D17"/>
    <w:rsid w:val="006D3C7D"/>
    <w:rsid w:val="006D4659"/>
    <w:rsid w:val="006D4CCD"/>
    <w:rsid w:val="006D5AF8"/>
    <w:rsid w:val="006D5C43"/>
    <w:rsid w:val="006D5D5F"/>
    <w:rsid w:val="006D68FB"/>
    <w:rsid w:val="006D6C62"/>
    <w:rsid w:val="006D7ED5"/>
    <w:rsid w:val="006E0F31"/>
    <w:rsid w:val="006E0FA3"/>
    <w:rsid w:val="006E2868"/>
    <w:rsid w:val="006F306C"/>
    <w:rsid w:val="006F37DD"/>
    <w:rsid w:val="006F63A5"/>
    <w:rsid w:val="00700E28"/>
    <w:rsid w:val="0070142B"/>
    <w:rsid w:val="0070260D"/>
    <w:rsid w:val="0070276E"/>
    <w:rsid w:val="00702F8F"/>
    <w:rsid w:val="007079FC"/>
    <w:rsid w:val="00711A36"/>
    <w:rsid w:val="00714C26"/>
    <w:rsid w:val="0071529C"/>
    <w:rsid w:val="0071648B"/>
    <w:rsid w:val="007170DA"/>
    <w:rsid w:val="007172A1"/>
    <w:rsid w:val="007172AD"/>
    <w:rsid w:val="007203F7"/>
    <w:rsid w:val="00720541"/>
    <w:rsid w:val="00720801"/>
    <w:rsid w:val="00722B1B"/>
    <w:rsid w:val="00723DE6"/>
    <w:rsid w:val="0072416F"/>
    <w:rsid w:val="00724DC3"/>
    <w:rsid w:val="0072526F"/>
    <w:rsid w:val="00725562"/>
    <w:rsid w:val="00725DEE"/>
    <w:rsid w:val="00727C37"/>
    <w:rsid w:val="00727C94"/>
    <w:rsid w:val="007318D7"/>
    <w:rsid w:val="00731B0A"/>
    <w:rsid w:val="00731EAE"/>
    <w:rsid w:val="00733073"/>
    <w:rsid w:val="007332E4"/>
    <w:rsid w:val="00735033"/>
    <w:rsid w:val="00735328"/>
    <w:rsid w:val="00735875"/>
    <w:rsid w:val="0073685B"/>
    <w:rsid w:val="007379DE"/>
    <w:rsid w:val="007407A1"/>
    <w:rsid w:val="0074155D"/>
    <w:rsid w:val="00741ED3"/>
    <w:rsid w:val="007438F5"/>
    <w:rsid w:val="007449BF"/>
    <w:rsid w:val="00746BC0"/>
    <w:rsid w:val="007510B4"/>
    <w:rsid w:val="00752142"/>
    <w:rsid w:val="007523F9"/>
    <w:rsid w:val="0075357E"/>
    <w:rsid w:val="007560D5"/>
    <w:rsid w:val="007573E8"/>
    <w:rsid w:val="007576C9"/>
    <w:rsid w:val="007579FE"/>
    <w:rsid w:val="00760B15"/>
    <w:rsid w:val="00760C4E"/>
    <w:rsid w:val="00760F9E"/>
    <w:rsid w:val="0076146C"/>
    <w:rsid w:val="007627BE"/>
    <w:rsid w:val="00764C2C"/>
    <w:rsid w:val="00764F03"/>
    <w:rsid w:val="00765B1A"/>
    <w:rsid w:val="007679F6"/>
    <w:rsid w:val="00772341"/>
    <w:rsid w:val="00772567"/>
    <w:rsid w:val="00772A92"/>
    <w:rsid w:val="00772BCD"/>
    <w:rsid w:val="00773168"/>
    <w:rsid w:val="00775F37"/>
    <w:rsid w:val="00777335"/>
    <w:rsid w:val="007814F8"/>
    <w:rsid w:val="00783139"/>
    <w:rsid w:val="00783789"/>
    <w:rsid w:val="007843F2"/>
    <w:rsid w:val="00784D8E"/>
    <w:rsid w:val="00785A9F"/>
    <w:rsid w:val="00786432"/>
    <w:rsid w:val="00786768"/>
    <w:rsid w:val="00790355"/>
    <w:rsid w:val="00790972"/>
    <w:rsid w:val="007925DF"/>
    <w:rsid w:val="007951D9"/>
    <w:rsid w:val="00796829"/>
    <w:rsid w:val="00797AB8"/>
    <w:rsid w:val="00797FED"/>
    <w:rsid w:val="007A08AA"/>
    <w:rsid w:val="007A0A12"/>
    <w:rsid w:val="007A132D"/>
    <w:rsid w:val="007A1345"/>
    <w:rsid w:val="007A2DDB"/>
    <w:rsid w:val="007A3A03"/>
    <w:rsid w:val="007A57F4"/>
    <w:rsid w:val="007A5C73"/>
    <w:rsid w:val="007A70BA"/>
    <w:rsid w:val="007A72A6"/>
    <w:rsid w:val="007B0D68"/>
    <w:rsid w:val="007B0DE5"/>
    <w:rsid w:val="007B251D"/>
    <w:rsid w:val="007B2A9D"/>
    <w:rsid w:val="007B2B72"/>
    <w:rsid w:val="007B3279"/>
    <w:rsid w:val="007B381B"/>
    <w:rsid w:val="007B38D0"/>
    <w:rsid w:val="007B3B37"/>
    <w:rsid w:val="007B4482"/>
    <w:rsid w:val="007B4D7E"/>
    <w:rsid w:val="007B4F58"/>
    <w:rsid w:val="007B528D"/>
    <w:rsid w:val="007B63CA"/>
    <w:rsid w:val="007B77D1"/>
    <w:rsid w:val="007C07C7"/>
    <w:rsid w:val="007C1170"/>
    <w:rsid w:val="007C1CD9"/>
    <w:rsid w:val="007C32EF"/>
    <w:rsid w:val="007C361D"/>
    <w:rsid w:val="007C4B84"/>
    <w:rsid w:val="007C62D9"/>
    <w:rsid w:val="007C70FF"/>
    <w:rsid w:val="007C7C25"/>
    <w:rsid w:val="007D004F"/>
    <w:rsid w:val="007D0476"/>
    <w:rsid w:val="007D0B38"/>
    <w:rsid w:val="007D1467"/>
    <w:rsid w:val="007D2374"/>
    <w:rsid w:val="007D40B8"/>
    <w:rsid w:val="007D5440"/>
    <w:rsid w:val="007D6877"/>
    <w:rsid w:val="007D69EB"/>
    <w:rsid w:val="007D7A2D"/>
    <w:rsid w:val="007E00EE"/>
    <w:rsid w:val="007E0442"/>
    <w:rsid w:val="007E128F"/>
    <w:rsid w:val="007E3324"/>
    <w:rsid w:val="007E5037"/>
    <w:rsid w:val="007E6FE0"/>
    <w:rsid w:val="007F1017"/>
    <w:rsid w:val="007F27D0"/>
    <w:rsid w:val="007F4A3F"/>
    <w:rsid w:val="007F4A61"/>
    <w:rsid w:val="007F5255"/>
    <w:rsid w:val="007F56CC"/>
    <w:rsid w:val="007F59B6"/>
    <w:rsid w:val="007F5C5C"/>
    <w:rsid w:val="007F61C2"/>
    <w:rsid w:val="007F65FC"/>
    <w:rsid w:val="007F7FF4"/>
    <w:rsid w:val="0080105B"/>
    <w:rsid w:val="00803936"/>
    <w:rsid w:val="00804A07"/>
    <w:rsid w:val="00805142"/>
    <w:rsid w:val="00805FCE"/>
    <w:rsid w:val="00807A8B"/>
    <w:rsid w:val="00811383"/>
    <w:rsid w:val="00812149"/>
    <w:rsid w:val="00812CAC"/>
    <w:rsid w:val="00816361"/>
    <w:rsid w:val="008166EF"/>
    <w:rsid w:val="00816FEF"/>
    <w:rsid w:val="00817C31"/>
    <w:rsid w:val="008209B9"/>
    <w:rsid w:val="00820A8C"/>
    <w:rsid w:val="00820DFA"/>
    <w:rsid w:val="008215FB"/>
    <w:rsid w:val="008218D5"/>
    <w:rsid w:val="00821980"/>
    <w:rsid w:val="008223A2"/>
    <w:rsid w:val="00823174"/>
    <w:rsid w:val="00825751"/>
    <w:rsid w:val="00825A30"/>
    <w:rsid w:val="008264EB"/>
    <w:rsid w:val="008279C0"/>
    <w:rsid w:val="008330A7"/>
    <w:rsid w:val="00833B05"/>
    <w:rsid w:val="00834F8D"/>
    <w:rsid w:val="0083510F"/>
    <w:rsid w:val="008362B4"/>
    <w:rsid w:val="008377EC"/>
    <w:rsid w:val="00840CA2"/>
    <w:rsid w:val="00841CA3"/>
    <w:rsid w:val="0084374F"/>
    <w:rsid w:val="00844A22"/>
    <w:rsid w:val="00847703"/>
    <w:rsid w:val="00847DF5"/>
    <w:rsid w:val="00851480"/>
    <w:rsid w:val="0085309D"/>
    <w:rsid w:val="00853FF1"/>
    <w:rsid w:val="0085405D"/>
    <w:rsid w:val="00856873"/>
    <w:rsid w:val="00856897"/>
    <w:rsid w:val="00856E9A"/>
    <w:rsid w:val="0086075D"/>
    <w:rsid w:val="00860BE0"/>
    <w:rsid w:val="00862502"/>
    <w:rsid w:val="00862CC1"/>
    <w:rsid w:val="00864D38"/>
    <w:rsid w:val="008660D4"/>
    <w:rsid w:val="0087088A"/>
    <w:rsid w:val="00870B53"/>
    <w:rsid w:val="00871FA9"/>
    <w:rsid w:val="008728E9"/>
    <w:rsid w:val="00873E36"/>
    <w:rsid w:val="0087671A"/>
    <w:rsid w:val="00877358"/>
    <w:rsid w:val="00882874"/>
    <w:rsid w:val="00882E3C"/>
    <w:rsid w:val="00883787"/>
    <w:rsid w:val="008855E4"/>
    <w:rsid w:val="00886012"/>
    <w:rsid w:val="00886CD2"/>
    <w:rsid w:val="00887102"/>
    <w:rsid w:val="00890454"/>
    <w:rsid w:val="00890D6C"/>
    <w:rsid w:val="00890F76"/>
    <w:rsid w:val="00891E6F"/>
    <w:rsid w:val="00892265"/>
    <w:rsid w:val="0089275D"/>
    <w:rsid w:val="00892A36"/>
    <w:rsid w:val="00893239"/>
    <w:rsid w:val="008942B4"/>
    <w:rsid w:val="00894489"/>
    <w:rsid w:val="00895E37"/>
    <w:rsid w:val="008963A5"/>
    <w:rsid w:val="00896D5D"/>
    <w:rsid w:val="0089748E"/>
    <w:rsid w:val="008A3363"/>
    <w:rsid w:val="008A3371"/>
    <w:rsid w:val="008A3C3E"/>
    <w:rsid w:val="008A738D"/>
    <w:rsid w:val="008A79DE"/>
    <w:rsid w:val="008B0903"/>
    <w:rsid w:val="008B1035"/>
    <w:rsid w:val="008B1757"/>
    <w:rsid w:val="008B274D"/>
    <w:rsid w:val="008B318E"/>
    <w:rsid w:val="008B5254"/>
    <w:rsid w:val="008B7992"/>
    <w:rsid w:val="008B7D7E"/>
    <w:rsid w:val="008C107B"/>
    <w:rsid w:val="008C17EC"/>
    <w:rsid w:val="008C5610"/>
    <w:rsid w:val="008C5739"/>
    <w:rsid w:val="008C6A6C"/>
    <w:rsid w:val="008C7ECB"/>
    <w:rsid w:val="008D03A2"/>
    <w:rsid w:val="008D36AD"/>
    <w:rsid w:val="008D3B86"/>
    <w:rsid w:val="008D451C"/>
    <w:rsid w:val="008D4755"/>
    <w:rsid w:val="008D4C3D"/>
    <w:rsid w:val="008D743C"/>
    <w:rsid w:val="008E060D"/>
    <w:rsid w:val="008E0D3C"/>
    <w:rsid w:val="008E103F"/>
    <w:rsid w:val="008E1493"/>
    <w:rsid w:val="008E1B9E"/>
    <w:rsid w:val="008E20E4"/>
    <w:rsid w:val="008E438A"/>
    <w:rsid w:val="008E55AB"/>
    <w:rsid w:val="008F120A"/>
    <w:rsid w:val="008F211A"/>
    <w:rsid w:val="008F27E0"/>
    <w:rsid w:val="008F48EB"/>
    <w:rsid w:val="008F4EB2"/>
    <w:rsid w:val="008F4F0B"/>
    <w:rsid w:val="009016E9"/>
    <w:rsid w:val="0090285A"/>
    <w:rsid w:val="0090454A"/>
    <w:rsid w:val="009046C4"/>
    <w:rsid w:val="00904AE6"/>
    <w:rsid w:val="009062A5"/>
    <w:rsid w:val="0090684E"/>
    <w:rsid w:val="00910D50"/>
    <w:rsid w:val="00910FA7"/>
    <w:rsid w:val="00911272"/>
    <w:rsid w:val="00911D89"/>
    <w:rsid w:val="009122C3"/>
    <w:rsid w:val="009135D6"/>
    <w:rsid w:val="00914C77"/>
    <w:rsid w:val="009157D6"/>
    <w:rsid w:val="00917D64"/>
    <w:rsid w:val="00921ACB"/>
    <w:rsid w:val="009226CB"/>
    <w:rsid w:val="0092369B"/>
    <w:rsid w:val="00923B78"/>
    <w:rsid w:val="009253E3"/>
    <w:rsid w:val="00927442"/>
    <w:rsid w:val="009308AF"/>
    <w:rsid w:val="00930E0F"/>
    <w:rsid w:val="00933A01"/>
    <w:rsid w:val="00934988"/>
    <w:rsid w:val="00937089"/>
    <w:rsid w:val="00942378"/>
    <w:rsid w:val="009425F2"/>
    <w:rsid w:val="00942E83"/>
    <w:rsid w:val="00943387"/>
    <w:rsid w:val="00943DFB"/>
    <w:rsid w:val="009449A8"/>
    <w:rsid w:val="00944F8A"/>
    <w:rsid w:val="00946EF5"/>
    <w:rsid w:val="00947923"/>
    <w:rsid w:val="00947B50"/>
    <w:rsid w:val="00947BA9"/>
    <w:rsid w:val="009510A2"/>
    <w:rsid w:val="00952414"/>
    <w:rsid w:val="00953257"/>
    <w:rsid w:val="0095474C"/>
    <w:rsid w:val="00956F73"/>
    <w:rsid w:val="009625BC"/>
    <w:rsid w:val="00962CB9"/>
    <w:rsid w:val="00964312"/>
    <w:rsid w:val="00965340"/>
    <w:rsid w:val="00965B8A"/>
    <w:rsid w:val="0096617E"/>
    <w:rsid w:val="009666B0"/>
    <w:rsid w:val="0097071F"/>
    <w:rsid w:val="009717AC"/>
    <w:rsid w:val="009747B6"/>
    <w:rsid w:val="009751C1"/>
    <w:rsid w:val="00975C9E"/>
    <w:rsid w:val="009811F1"/>
    <w:rsid w:val="00983E57"/>
    <w:rsid w:val="00985DE2"/>
    <w:rsid w:val="009862A8"/>
    <w:rsid w:val="0098675D"/>
    <w:rsid w:val="00986B77"/>
    <w:rsid w:val="00990863"/>
    <w:rsid w:val="00992662"/>
    <w:rsid w:val="009926E0"/>
    <w:rsid w:val="0099451E"/>
    <w:rsid w:val="009960B1"/>
    <w:rsid w:val="00996B1A"/>
    <w:rsid w:val="00996F2B"/>
    <w:rsid w:val="009A0855"/>
    <w:rsid w:val="009A1939"/>
    <w:rsid w:val="009A2CAF"/>
    <w:rsid w:val="009A2DCC"/>
    <w:rsid w:val="009A520C"/>
    <w:rsid w:val="009A5ABC"/>
    <w:rsid w:val="009A7F10"/>
    <w:rsid w:val="009B24B4"/>
    <w:rsid w:val="009B3D41"/>
    <w:rsid w:val="009B3E26"/>
    <w:rsid w:val="009B55B2"/>
    <w:rsid w:val="009B5980"/>
    <w:rsid w:val="009C3706"/>
    <w:rsid w:val="009C3A3A"/>
    <w:rsid w:val="009C3ADD"/>
    <w:rsid w:val="009C678A"/>
    <w:rsid w:val="009C6CEA"/>
    <w:rsid w:val="009C7B85"/>
    <w:rsid w:val="009D0254"/>
    <w:rsid w:val="009D1A64"/>
    <w:rsid w:val="009D2131"/>
    <w:rsid w:val="009D219B"/>
    <w:rsid w:val="009D2854"/>
    <w:rsid w:val="009D50D5"/>
    <w:rsid w:val="009D5B91"/>
    <w:rsid w:val="009D7773"/>
    <w:rsid w:val="009D792E"/>
    <w:rsid w:val="009E0DFE"/>
    <w:rsid w:val="009E2C69"/>
    <w:rsid w:val="009E31F6"/>
    <w:rsid w:val="009E37BD"/>
    <w:rsid w:val="009E3C49"/>
    <w:rsid w:val="009E3CB0"/>
    <w:rsid w:val="009E4C07"/>
    <w:rsid w:val="009E6A54"/>
    <w:rsid w:val="009F0795"/>
    <w:rsid w:val="009F15CB"/>
    <w:rsid w:val="009F4961"/>
    <w:rsid w:val="009F4AAE"/>
    <w:rsid w:val="009F7316"/>
    <w:rsid w:val="00A01184"/>
    <w:rsid w:val="00A02DC8"/>
    <w:rsid w:val="00A0378D"/>
    <w:rsid w:val="00A037C2"/>
    <w:rsid w:val="00A03D43"/>
    <w:rsid w:val="00A04380"/>
    <w:rsid w:val="00A05472"/>
    <w:rsid w:val="00A05C32"/>
    <w:rsid w:val="00A05D1A"/>
    <w:rsid w:val="00A05EF2"/>
    <w:rsid w:val="00A0653F"/>
    <w:rsid w:val="00A06CDF"/>
    <w:rsid w:val="00A102AB"/>
    <w:rsid w:val="00A1131E"/>
    <w:rsid w:val="00A11CD0"/>
    <w:rsid w:val="00A12221"/>
    <w:rsid w:val="00A12C68"/>
    <w:rsid w:val="00A13948"/>
    <w:rsid w:val="00A1555B"/>
    <w:rsid w:val="00A155C5"/>
    <w:rsid w:val="00A16AD8"/>
    <w:rsid w:val="00A2108C"/>
    <w:rsid w:val="00A21C95"/>
    <w:rsid w:val="00A21CF3"/>
    <w:rsid w:val="00A2223E"/>
    <w:rsid w:val="00A236B0"/>
    <w:rsid w:val="00A24813"/>
    <w:rsid w:val="00A25413"/>
    <w:rsid w:val="00A25DCB"/>
    <w:rsid w:val="00A27AEC"/>
    <w:rsid w:val="00A27CC5"/>
    <w:rsid w:val="00A320DB"/>
    <w:rsid w:val="00A32A62"/>
    <w:rsid w:val="00A35135"/>
    <w:rsid w:val="00A35D16"/>
    <w:rsid w:val="00A372FD"/>
    <w:rsid w:val="00A37BCD"/>
    <w:rsid w:val="00A37FB1"/>
    <w:rsid w:val="00A4028C"/>
    <w:rsid w:val="00A40D8D"/>
    <w:rsid w:val="00A4166A"/>
    <w:rsid w:val="00A41689"/>
    <w:rsid w:val="00A42592"/>
    <w:rsid w:val="00A42F2E"/>
    <w:rsid w:val="00A43C59"/>
    <w:rsid w:val="00A44719"/>
    <w:rsid w:val="00A47F27"/>
    <w:rsid w:val="00A50ECD"/>
    <w:rsid w:val="00A518F3"/>
    <w:rsid w:val="00A51A28"/>
    <w:rsid w:val="00A5262B"/>
    <w:rsid w:val="00A52729"/>
    <w:rsid w:val="00A52C5B"/>
    <w:rsid w:val="00A53675"/>
    <w:rsid w:val="00A564D7"/>
    <w:rsid w:val="00A56B6A"/>
    <w:rsid w:val="00A578DC"/>
    <w:rsid w:val="00A61BAA"/>
    <w:rsid w:val="00A62184"/>
    <w:rsid w:val="00A640E2"/>
    <w:rsid w:val="00A64D65"/>
    <w:rsid w:val="00A66B05"/>
    <w:rsid w:val="00A6725B"/>
    <w:rsid w:val="00A70605"/>
    <w:rsid w:val="00A715CC"/>
    <w:rsid w:val="00A73134"/>
    <w:rsid w:val="00A7323A"/>
    <w:rsid w:val="00A758DD"/>
    <w:rsid w:val="00A76001"/>
    <w:rsid w:val="00A7639C"/>
    <w:rsid w:val="00A777B2"/>
    <w:rsid w:val="00A825D4"/>
    <w:rsid w:val="00A828F6"/>
    <w:rsid w:val="00A82B73"/>
    <w:rsid w:val="00A844F1"/>
    <w:rsid w:val="00A8543A"/>
    <w:rsid w:val="00A8598E"/>
    <w:rsid w:val="00A86E8B"/>
    <w:rsid w:val="00A87164"/>
    <w:rsid w:val="00A915A5"/>
    <w:rsid w:val="00A93072"/>
    <w:rsid w:val="00A938BD"/>
    <w:rsid w:val="00A938BE"/>
    <w:rsid w:val="00A93953"/>
    <w:rsid w:val="00A959D8"/>
    <w:rsid w:val="00A97113"/>
    <w:rsid w:val="00AA113D"/>
    <w:rsid w:val="00AA2904"/>
    <w:rsid w:val="00AA37B2"/>
    <w:rsid w:val="00AA6BD5"/>
    <w:rsid w:val="00AA6BD8"/>
    <w:rsid w:val="00AA6C7D"/>
    <w:rsid w:val="00AA7FD6"/>
    <w:rsid w:val="00AB0384"/>
    <w:rsid w:val="00AB042A"/>
    <w:rsid w:val="00AB19EF"/>
    <w:rsid w:val="00AB1D70"/>
    <w:rsid w:val="00AB2D34"/>
    <w:rsid w:val="00AB3430"/>
    <w:rsid w:val="00AB34EA"/>
    <w:rsid w:val="00AB37B9"/>
    <w:rsid w:val="00AB4AD1"/>
    <w:rsid w:val="00AB53E1"/>
    <w:rsid w:val="00AB5D30"/>
    <w:rsid w:val="00AB5E07"/>
    <w:rsid w:val="00AB7CFA"/>
    <w:rsid w:val="00AC166E"/>
    <w:rsid w:val="00AC561E"/>
    <w:rsid w:val="00AC5B48"/>
    <w:rsid w:val="00AC7927"/>
    <w:rsid w:val="00AD0866"/>
    <w:rsid w:val="00AD1450"/>
    <w:rsid w:val="00AD259E"/>
    <w:rsid w:val="00AD3714"/>
    <w:rsid w:val="00AD56D6"/>
    <w:rsid w:val="00AD6065"/>
    <w:rsid w:val="00AD6502"/>
    <w:rsid w:val="00AD6A41"/>
    <w:rsid w:val="00AD7EFA"/>
    <w:rsid w:val="00AE0695"/>
    <w:rsid w:val="00AE36F0"/>
    <w:rsid w:val="00AE3E7E"/>
    <w:rsid w:val="00AE3F7A"/>
    <w:rsid w:val="00AE4E90"/>
    <w:rsid w:val="00AE6DC2"/>
    <w:rsid w:val="00AE7B63"/>
    <w:rsid w:val="00AF1315"/>
    <w:rsid w:val="00AF19BF"/>
    <w:rsid w:val="00AF2DC3"/>
    <w:rsid w:val="00AF378F"/>
    <w:rsid w:val="00AF7425"/>
    <w:rsid w:val="00B00220"/>
    <w:rsid w:val="00B00733"/>
    <w:rsid w:val="00B01C3A"/>
    <w:rsid w:val="00B02923"/>
    <w:rsid w:val="00B0334D"/>
    <w:rsid w:val="00B033E5"/>
    <w:rsid w:val="00B03A63"/>
    <w:rsid w:val="00B0523C"/>
    <w:rsid w:val="00B0701C"/>
    <w:rsid w:val="00B071CB"/>
    <w:rsid w:val="00B10312"/>
    <w:rsid w:val="00B1335D"/>
    <w:rsid w:val="00B14B78"/>
    <w:rsid w:val="00B14F39"/>
    <w:rsid w:val="00B15C4E"/>
    <w:rsid w:val="00B15D5A"/>
    <w:rsid w:val="00B164E5"/>
    <w:rsid w:val="00B17E67"/>
    <w:rsid w:val="00B17FA5"/>
    <w:rsid w:val="00B201A4"/>
    <w:rsid w:val="00B201D1"/>
    <w:rsid w:val="00B213A6"/>
    <w:rsid w:val="00B235B0"/>
    <w:rsid w:val="00B24DF6"/>
    <w:rsid w:val="00B308AC"/>
    <w:rsid w:val="00B31224"/>
    <w:rsid w:val="00B3395D"/>
    <w:rsid w:val="00B34FE2"/>
    <w:rsid w:val="00B350FE"/>
    <w:rsid w:val="00B35166"/>
    <w:rsid w:val="00B355E9"/>
    <w:rsid w:val="00B357D8"/>
    <w:rsid w:val="00B360F4"/>
    <w:rsid w:val="00B36A00"/>
    <w:rsid w:val="00B36A6F"/>
    <w:rsid w:val="00B37446"/>
    <w:rsid w:val="00B37BFC"/>
    <w:rsid w:val="00B40358"/>
    <w:rsid w:val="00B41614"/>
    <w:rsid w:val="00B422FB"/>
    <w:rsid w:val="00B42851"/>
    <w:rsid w:val="00B42F80"/>
    <w:rsid w:val="00B435CB"/>
    <w:rsid w:val="00B464DE"/>
    <w:rsid w:val="00B46F92"/>
    <w:rsid w:val="00B505C8"/>
    <w:rsid w:val="00B50DB8"/>
    <w:rsid w:val="00B53654"/>
    <w:rsid w:val="00B53905"/>
    <w:rsid w:val="00B539C3"/>
    <w:rsid w:val="00B54530"/>
    <w:rsid w:val="00B54B5B"/>
    <w:rsid w:val="00B5562E"/>
    <w:rsid w:val="00B55D65"/>
    <w:rsid w:val="00B57000"/>
    <w:rsid w:val="00B60939"/>
    <w:rsid w:val="00B60AFD"/>
    <w:rsid w:val="00B62715"/>
    <w:rsid w:val="00B644F7"/>
    <w:rsid w:val="00B65611"/>
    <w:rsid w:val="00B6680D"/>
    <w:rsid w:val="00B67596"/>
    <w:rsid w:val="00B67650"/>
    <w:rsid w:val="00B70E8E"/>
    <w:rsid w:val="00B71152"/>
    <w:rsid w:val="00B742FC"/>
    <w:rsid w:val="00B74CE6"/>
    <w:rsid w:val="00B76C92"/>
    <w:rsid w:val="00B8008C"/>
    <w:rsid w:val="00B818A4"/>
    <w:rsid w:val="00B83294"/>
    <w:rsid w:val="00B8345A"/>
    <w:rsid w:val="00B84117"/>
    <w:rsid w:val="00B84EBC"/>
    <w:rsid w:val="00B858F0"/>
    <w:rsid w:val="00B85AA2"/>
    <w:rsid w:val="00B8649C"/>
    <w:rsid w:val="00B8695D"/>
    <w:rsid w:val="00B87078"/>
    <w:rsid w:val="00B87F0A"/>
    <w:rsid w:val="00B91C6D"/>
    <w:rsid w:val="00B92D0B"/>
    <w:rsid w:val="00B94945"/>
    <w:rsid w:val="00B94DD6"/>
    <w:rsid w:val="00B9546F"/>
    <w:rsid w:val="00B96E5C"/>
    <w:rsid w:val="00B97F55"/>
    <w:rsid w:val="00BA0141"/>
    <w:rsid w:val="00BA1170"/>
    <w:rsid w:val="00BA322D"/>
    <w:rsid w:val="00BA36B1"/>
    <w:rsid w:val="00BA5A8F"/>
    <w:rsid w:val="00BA5FF8"/>
    <w:rsid w:val="00BA63FA"/>
    <w:rsid w:val="00BB00B3"/>
    <w:rsid w:val="00BB0BDD"/>
    <w:rsid w:val="00BB153F"/>
    <w:rsid w:val="00BB176C"/>
    <w:rsid w:val="00BB2A73"/>
    <w:rsid w:val="00BB3A45"/>
    <w:rsid w:val="00BB4ACC"/>
    <w:rsid w:val="00BB6378"/>
    <w:rsid w:val="00BB703E"/>
    <w:rsid w:val="00BB732D"/>
    <w:rsid w:val="00BB7405"/>
    <w:rsid w:val="00BC3631"/>
    <w:rsid w:val="00BC591F"/>
    <w:rsid w:val="00BC77AB"/>
    <w:rsid w:val="00BC7CD3"/>
    <w:rsid w:val="00BC7D6D"/>
    <w:rsid w:val="00BD2108"/>
    <w:rsid w:val="00BD537E"/>
    <w:rsid w:val="00BD612C"/>
    <w:rsid w:val="00BD68A3"/>
    <w:rsid w:val="00BD6938"/>
    <w:rsid w:val="00BD6CF3"/>
    <w:rsid w:val="00BE0ECA"/>
    <w:rsid w:val="00BE2180"/>
    <w:rsid w:val="00BE21F2"/>
    <w:rsid w:val="00BE34C1"/>
    <w:rsid w:val="00BE4275"/>
    <w:rsid w:val="00BE4860"/>
    <w:rsid w:val="00BE4F2E"/>
    <w:rsid w:val="00BE5130"/>
    <w:rsid w:val="00BE533C"/>
    <w:rsid w:val="00BE5F5C"/>
    <w:rsid w:val="00BF06AE"/>
    <w:rsid w:val="00BF0F95"/>
    <w:rsid w:val="00BF2433"/>
    <w:rsid w:val="00BF2B5C"/>
    <w:rsid w:val="00BF61C9"/>
    <w:rsid w:val="00BF67F8"/>
    <w:rsid w:val="00BF6C94"/>
    <w:rsid w:val="00BF7DF4"/>
    <w:rsid w:val="00C00424"/>
    <w:rsid w:val="00C01E39"/>
    <w:rsid w:val="00C03E4E"/>
    <w:rsid w:val="00C04244"/>
    <w:rsid w:val="00C11494"/>
    <w:rsid w:val="00C1179F"/>
    <w:rsid w:val="00C125C5"/>
    <w:rsid w:val="00C12C14"/>
    <w:rsid w:val="00C13985"/>
    <w:rsid w:val="00C1460F"/>
    <w:rsid w:val="00C149EF"/>
    <w:rsid w:val="00C15973"/>
    <w:rsid w:val="00C15F04"/>
    <w:rsid w:val="00C16C33"/>
    <w:rsid w:val="00C16F25"/>
    <w:rsid w:val="00C178FA"/>
    <w:rsid w:val="00C17965"/>
    <w:rsid w:val="00C179B3"/>
    <w:rsid w:val="00C17BF1"/>
    <w:rsid w:val="00C17E3F"/>
    <w:rsid w:val="00C17F28"/>
    <w:rsid w:val="00C200AA"/>
    <w:rsid w:val="00C237ED"/>
    <w:rsid w:val="00C24632"/>
    <w:rsid w:val="00C2525C"/>
    <w:rsid w:val="00C25418"/>
    <w:rsid w:val="00C25D9C"/>
    <w:rsid w:val="00C266CC"/>
    <w:rsid w:val="00C2778B"/>
    <w:rsid w:val="00C303CF"/>
    <w:rsid w:val="00C31649"/>
    <w:rsid w:val="00C31AB3"/>
    <w:rsid w:val="00C3434C"/>
    <w:rsid w:val="00C3766D"/>
    <w:rsid w:val="00C37777"/>
    <w:rsid w:val="00C40385"/>
    <w:rsid w:val="00C41768"/>
    <w:rsid w:val="00C46A95"/>
    <w:rsid w:val="00C475AA"/>
    <w:rsid w:val="00C475F1"/>
    <w:rsid w:val="00C5184D"/>
    <w:rsid w:val="00C51921"/>
    <w:rsid w:val="00C53C98"/>
    <w:rsid w:val="00C541A9"/>
    <w:rsid w:val="00C54FB3"/>
    <w:rsid w:val="00C54FE2"/>
    <w:rsid w:val="00C56FCF"/>
    <w:rsid w:val="00C57B6C"/>
    <w:rsid w:val="00C628A6"/>
    <w:rsid w:val="00C63EBD"/>
    <w:rsid w:val="00C64344"/>
    <w:rsid w:val="00C65108"/>
    <w:rsid w:val="00C65576"/>
    <w:rsid w:val="00C66165"/>
    <w:rsid w:val="00C66A62"/>
    <w:rsid w:val="00C7060A"/>
    <w:rsid w:val="00C7151A"/>
    <w:rsid w:val="00C717E3"/>
    <w:rsid w:val="00C71F60"/>
    <w:rsid w:val="00C72241"/>
    <w:rsid w:val="00C72BBD"/>
    <w:rsid w:val="00C750C8"/>
    <w:rsid w:val="00C7560F"/>
    <w:rsid w:val="00C76FD6"/>
    <w:rsid w:val="00C80352"/>
    <w:rsid w:val="00C80A0E"/>
    <w:rsid w:val="00C8185F"/>
    <w:rsid w:val="00C81C42"/>
    <w:rsid w:val="00C8213F"/>
    <w:rsid w:val="00C828EC"/>
    <w:rsid w:val="00C82A1D"/>
    <w:rsid w:val="00C85154"/>
    <w:rsid w:val="00C870E9"/>
    <w:rsid w:val="00C87342"/>
    <w:rsid w:val="00C87621"/>
    <w:rsid w:val="00C8797A"/>
    <w:rsid w:val="00C900B8"/>
    <w:rsid w:val="00C90C71"/>
    <w:rsid w:val="00C91FD1"/>
    <w:rsid w:val="00C92012"/>
    <w:rsid w:val="00C931CF"/>
    <w:rsid w:val="00C938CF"/>
    <w:rsid w:val="00C9390E"/>
    <w:rsid w:val="00C94053"/>
    <w:rsid w:val="00C95EBA"/>
    <w:rsid w:val="00C9624D"/>
    <w:rsid w:val="00C969DA"/>
    <w:rsid w:val="00C97891"/>
    <w:rsid w:val="00CA046A"/>
    <w:rsid w:val="00CA2C77"/>
    <w:rsid w:val="00CA444F"/>
    <w:rsid w:val="00CA457F"/>
    <w:rsid w:val="00CA47A6"/>
    <w:rsid w:val="00CA4A62"/>
    <w:rsid w:val="00CA5245"/>
    <w:rsid w:val="00CA659A"/>
    <w:rsid w:val="00CA6990"/>
    <w:rsid w:val="00CA71F4"/>
    <w:rsid w:val="00CA7B09"/>
    <w:rsid w:val="00CB12A5"/>
    <w:rsid w:val="00CB1CAC"/>
    <w:rsid w:val="00CB2F2A"/>
    <w:rsid w:val="00CB4009"/>
    <w:rsid w:val="00CB4BAE"/>
    <w:rsid w:val="00CB5B1A"/>
    <w:rsid w:val="00CB5EA9"/>
    <w:rsid w:val="00CB6B22"/>
    <w:rsid w:val="00CB7F5F"/>
    <w:rsid w:val="00CC0105"/>
    <w:rsid w:val="00CC1B39"/>
    <w:rsid w:val="00CC2F81"/>
    <w:rsid w:val="00CC35EA"/>
    <w:rsid w:val="00CC3848"/>
    <w:rsid w:val="00CC7226"/>
    <w:rsid w:val="00CD319E"/>
    <w:rsid w:val="00CD3F77"/>
    <w:rsid w:val="00CD463F"/>
    <w:rsid w:val="00CD4ECF"/>
    <w:rsid w:val="00CD6ADC"/>
    <w:rsid w:val="00CD7193"/>
    <w:rsid w:val="00CE057A"/>
    <w:rsid w:val="00CE30E6"/>
    <w:rsid w:val="00CE38C8"/>
    <w:rsid w:val="00CE4544"/>
    <w:rsid w:val="00CE46CD"/>
    <w:rsid w:val="00CE6274"/>
    <w:rsid w:val="00CE77B6"/>
    <w:rsid w:val="00CE7F26"/>
    <w:rsid w:val="00CF072A"/>
    <w:rsid w:val="00CF0F5E"/>
    <w:rsid w:val="00CF2B8D"/>
    <w:rsid w:val="00CF456B"/>
    <w:rsid w:val="00CF45BC"/>
    <w:rsid w:val="00CF5A22"/>
    <w:rsid w:val="00CF7EC4"/>
    <w:rsid w:val="00D0183B"/>
    <w:rsid w:val="00D0262E"/>
    <w:rsid w:val="00D039A1"/>
    <w:rsid w:val="00D05E3D"/>
    <w:rsid w:val="00D06139"/>
    <w:rsid w:val="00D110BD"/>
    <w:rsid w:val="00D11376"/>
    <w:rsid w:val="00D13144"/>
    <w:rsid w:val="00D13675"/>
    <w:rsid w:val="00D141E1"/>
    <w:rsid w:val="00D15314"/>
    <w:rsid w:val="00D1769D"/>
    <w:rsid w:val="00D17D6C"/>
    <w:rsid w:val="00D2083E"/>
    <w:rsid w:val="00D2155B"/>
    <w:rsid w:val="00D224D9"/>
    <w:rsid w:val="00D23B77"/>
    <w:rsid w:val="00D23D11"/>
    <w:rsid w:val="00D244B6"/>
    <w:rsid w:val="00D26531"/>
    <w:rsid w:val="00D27290"/>
    <w:rsid w:val="00D2754D"/>
    <w:rsid w:val="00D27B27"/>
    <w:rsid w:val="00D30A88"/>
    <w:rsid w:val="00D33BE9"/>
    <w:rsid w:val="00D33F93"/>
    <w:rsid w:val="00D34741"/>
    <w:rsid w:val="00D34A61"/>
    <w:rsid w:val="00D356EF"/>
    <w:rsid w:val="00D357FF"/>
    <w:rsid w:val="00D36DEA"/>
    <w:rsid w:val="00D410E0"/>
    <w:rsid w:val="00D424C7"/>
    <w:rsid w:val="00D43B2A"/>
    <w:rsid w:val="00D43D83"/>
    <w:rsid w:val="00D45040"/>
    <w:rsid w:val="00D455DB"/>
    <w:rsid w:val="00D47575"/>
    <w:rsid w:val="00D50B97"/>
    <w:rsid w:val="00D5243B"/>
    <w:rsid w:val="00D533EC"/>
    <w:rsid w:val="00D563C8"/>
    <w:rsid w:val="00D56A95"/>
    <w:rsid w:val="00D56E5D"/>
    <w:rsid w:val="00D67223"/>
    <w:rsid w:val="00D70AAD"/>
    <w:rsid w:val="00D70F16"/>
    <w:rsid w:val="00D72F57"/>
    <w:rsid w:val="00D73730"/>
    <w:rsid w:val="00D76A44"/>
    <w:rsid w:val="00D80112"/>
    <w:rsid w:val="00D815EF"/>
    <w:rsid w:val="00D81F26"/>
    <w:rsid w:val="00D83360"/>
    <w:rsid w:val="00D85A1C"/>
    <w:rsid w:val="00D86231"/>
    <w:rsid w:val="00D91923"/>
    <w:rsid w:val="00D93074"/>
    <w:rsid w:val="00D93753"/>
    <w:rsid w:val="00D94065"/>
    <w:rsid w:val="00D94117"/>
    <w:rsid w:val="00DA1395"/>
    <w:rsid w:val="00DA3167"/>
    <w:rsid w:val="00DA39EA"/>
    <w:rsid w:val="00DA4DC3"/>
    <w:rsid w:val="00DA5964"/>
    <w:rsid w:val="00DA77A5"/>
    <w:rsid w:val="00DB01C2"/>
    <w:rsid w:val="00DB02FF"/>
    <w:rsid w:val="00DB1D64"/>
    <w:rsid w:val="00DB3DBF"/>
    <w:rsid w:val="00DB484F"/>
    <w:rsid w:val="00DB5681"/>
    <w:rsid w:val="00DB5CFB"/>
    <w:rsid w:val="00DB7235"/>
    <w:rsid w:val="00DB76DB"/>
    <w:rsid w:val="00DC04F6"/>
    <w:rsid w:val="00DC0690"/>
    <w:rsid w:val="00DC1D65"/>
    <w:rsid w:val="00DC3C57"/>
    <w:rsid w:val="00DC505E"/>
    <w:rsid w:val="00DC5501"/>
    <w:rsid w:val="00DC7154"/>
    <w:rsid w:val="00DC7D8C"/>
    <w:rsid w:val="00DC7E8A"/>
    <w:rsid w:val="00DD029E"/>
    <w:rsid w:val="00DD0F78"/>
    <w:rsid w:val="00DD273C"/>
    <w:rsid w:val="00DD3F28"/>
    <w:rsid w:val="00DD4537"/>
    <w:rsid w:val="00DD4E15"/>
    <w:rsid w:val="00DD53FF"/>
    <w:rsid w:val="00DD59C9"/>
    <w:rsid w:val="00DE03AC"/>
    <w:rsid w:val="00DE0D1A"/>
    <w:rsid w:val="00DE2304"/>
    <w:rsid w:val="00DE253B"/>
    <w:rsid w:val="00DE3138"/>
    <w:rsid w:val="00DE37F8"/>
    <w:rsid w:val="00DE4404"/>
    <w:rsid w:val="00DE4FCB"/>
    <w:rsid w:val="00DE5722"/>
    <w:rsid w:val="00DE5A8F"/>
    <w:rsid w:val="00DE5D07"/>
    <w:rsid w:val="00DE6D2D"/>
    <w:rsid w:val="00DE72A7"/>
    <w:rsid w:val="00DE7832"/>
    <w:rsid w:val="00DE7D0E"/>
    <w:rsid w:val="00DF18FC"/>
    <w:rsid w:val="00DF4EDC"/>
    <w:rsid w:val="00DF5D2B"/>
    <w:rsid w:val="00DF6EAC"/>
    <w:rsid w:val="00E005D7"/>
    <w:rsid w:val="00E00739"/>
    <w:rsid w:val="00E00E8E"/>
    <w:rsid w:val="00E011CA"/>
    <w:rsid w:val="00E048EB"/>
    <w:rsid w:val="00E05630"/>
    <w:rsid w:val="00E06DBB"/>
    <w:rsid w:val="00E07624"/>
    <w:rsid w:val="00E077B8"/>
    <w:rsid w:val="00E10149"/>
    <w:rsid w:val="00E11340"/>
    <w:rsid w:val="00E122A1"/>
    <w:rsid w:val="00E12B78"/>
    <w:rsid w:val="00E12ECB"/>
    <w:rsid w:val="00E132E7"/>
    <w:rsid w:val="00E13328"/>
    <w:rsid w:val="00E13C93"/>
    <w:rsid w:val="00E14CD8"/>
    <w:rsid w:val="00E15A36"/>
    <w:rsid w:val="00E16372"/>
    <w:rsid w:val="00E20E4D"/>
    <w:rsid w:val="00E20ED6"/>
    <w:rsid w:val="00E21358"/>
    <w:rsid w:val="00E2249B"/>
    <w:rsid w:val="00E22A0D"/>
    <w:rsid w:val="00E23E8B"/>
    <w:rsid w:val="00E244F6"/>
    <w:rsid w:val="00E2771E"/>
    <w:rsid w:val="00E311EF"/>
    <w:rsid w:val="00E32180"/>
    <w:rsid w:val="00E325E6"/>
    <w:rsid w:val="00E330A7"/>
    <w:rsid w:val="00E34556"/>
    <w:rsid w:val="00E34948"/>
    <w:rsid w:val="00E353AF"/>
    <w:rsid w:val="00E37569"/>
    <w:rsid w:val="00E401B2"/>
    <w:rsid w:val="00E41E30"/>
    <w:rsid w:val="00E422F1"/>
    <w:rsid w:val="00E42F73"/>
    <w:rsid w:val="00E432F5"/>
    <w:rsid w:val="00E43D70"/>
    <w:rsid w:val="00E447E3"/>
    <w:rsid w:val="00E46256"/>
    <w:rsid w:val="00E466F3"/>
    <w:rsid w:val="00E46E37"/>
    <w:rsid w:val="00E47B2C"/>
    <w:rsid w:val="00E51560"/>
    <w:rsid w:val="00E51B53"/>
    <w:rsid w:val="00E52798"/>
    <w:rsid w:val="00E53A34"/>
    <w:rsid w:val="00E53FC8"/>
    <w:rsid w:val="00E54347"/>
    <w:rsid w:val="00E544CF"/>
    <w:rsid w:val="00E552D7"/>
    <w:rsid w:val="00E55424"/>
    <w:rsid w:val="00E55915"/>
    <w:rsid w:val="00E55BB5"/>
    <w:rsid w:val="00E56637"/>
    <w:rsid w:val="00E56757"/>
    <w:rsid w:val="00E614B5"/>
    <w:rsid w:val="00E65D46"/>
    <w:rsid w:val="00E65E79"/>
    <w:rsid w:val="00E66BA2"/>
    <w:rsid w:val="00E67416"/>
    <w:rsid w:val="00E70D19"/>
    <w:rsid w:val="00E718B6"/>
    <w:rsid w:val="00E7207C"/>
    <w:rsid w:val="00E723BA"/>
    <w:rsid w:val="00E73581"/>
    <w:rsid w:val="00E74E60"/>
    <w:rsid w:val="00E754B1"/>
    <w:rsid w:val="00E818F1"/>
    <w:rsid w:val="00E821C5"/>
    <w:rsid w:val="00E833F7"/>
    <w:rsid w:val="00E83764"/>
    <w:rsid w:val="00E83BDF"/>
    <w:rsid w:val="00E849B2"/>
    <w:rsid w:val="00E84A1F"/>
    <w:rsid w:val="00E84FDE"/>
    <w:rsid w:val="00E8542D"/>
    <w:rsid w:val="00E87A1D"/>
    <w:rsid w:val="00E9094A"/>
    <w:rsid w:val="00E91D35"/>
    <w:rsid w:val="00E926A5"/>
    <w:rsid w:val="00E93CF4"/>
    <w:rsid w:val="00E941CB"/>
    <w:rsid w:val="00E962E4"/>
    <w:rsid w:val="00E97F77"/>
    <w:rsid w:val="00EA033B"/>
    <w:rsid w:val="00EA0C90"/>
    <w:rsid w:val="00EA17C3"/>
    <w:rsid w:val="00EA2CAA"/>
    <w:rsid w:val="00EA3531"/>
    <w:rsid w:val="00EA3864"/>
    <w:rsid w:val="00EA7F1C"/>
    <w:rsid w:val="00EB15B6"/>
    <w:rsid w:val="00EB34DE"/>
    <w:rsid w:val="00EB3855"/>
    <w:rsid w:val="00EB3D06"/>
    <w:rsid w:val="00EB4480"/>
    <w:rsid w:val="00EB48E5"/>
    <w:rsid w:val="00EB4916"/>
    <w:rsid w:val="00EB53AC"/>
    <w:rsid w:val="00EB5826"/>
    <w:rsid w:val="00EB6777"/>
    <w:rsid w:val="00EB73CA"/>
    <w:rsid w:val="00EC00C9"/>
    <w:rsid w:val="00EC0573"/>
    <w:rsid w:val="00EC0C59"/>
    <w:rsid w:val="00EC0DD9"/>
    <w:rsid w:val="00EC2649"/>
    <w:rsid w:val="00EC31ED"/>
    <w:rsid w:val="00EC391E"/>
    <w:rsid w:val="00EC4FF3"/>
    <w:rsid w:val="00EC5836"/>
    <w:rsid w:val="00EC688C"/>
    <w:rsid w:val="00EC7105"/>
    <w:rsid w:val="00EC7D63"/>
    <w:rsid w:val="00ED398D"/>
    <w:rsid w:val="00ED52CB"/>
    <w:rsid w:val="00ED57EA"/>
    <w:rsid w:val="00ED5BD4"/>
    <w:rsid w:val="00ED689C"/>
    <w:rsid w:val="00ED7DB4"/>
    <w:rsid w:val="00EE07D3"/>
    <w:rsid w:val="00EE0D7E"/>
    <w:rsid w:val="00EE1996"/>
    <w:rsid w:val="00EE1C01"/>
    <w:rsid w:val="00EE22AF"/>
    <w:rsid w:val="00EE31C1"/>
    <w:rsid w:val="00EE48D2"/>
    <w:rsid w:val="00EF0171"/>
    <w:rsid w:val="00EF020D"/>
    <w:rsid w:val="00EF063E"/>
    <w:rsid w:val="00EF1AF5"/>
    <w:rsid w:val="00EF1B25"/>
    <w:rsid w:val="00EF1C9C"/>
    <w:rsid w:val="00EF1DA0"/>
    <w:rsid w:val="00EF4747"/>
    <w:rsid w:val="00EF4BF8"/>
    <w:rsid w:val="00EF64E2"/>
    <w:rsid w:val="00F00F3C"/>
    <w:rsid w:val="00F02253"/>
    <w:rsid w:val="00F03591"/>
    <w:rsid w:val="00F038BD"/>
    <w:rsid w:val="00F03C2E"/>
    <w:rsid w:val="00F04A66"/>
    <w:rsid w:val="00F04B4B"/>
    <w:rsid w:val="00F0516C"/>
    <w:rsid w:val="00F067A2"/>
    <w:rsid w:val="00F06F14"/>
    <w:rsid w:val="00F07B9E"/>
    <w:rsid w:val="00F1116F"/>
    <w:rsid w:val="00F1263A"/>
    <w:rsid w:val="00F12E87"/>
    <w:rsid w:val="00F143B2"/>
    <w:rsid w:val="00F15B77"/>
    <w:rsid w:val="00F20E8A"/>
    <w:rsid w:val="00F24640"/>
    <w:rsid w:val="00F24837"/>
    <w:rsid w:val="00F24FE5"/>
    <w:rsid w:val="00F2575F"/>
    <w:rsid w:val="00F26280"/>
    <w:rsid w:val="00F27565"/>
    <w:rsid w:val="00F30B8E"/>
    <w:rsid w:val="00F310D4"/>
    <w:rsid w:val="00F31D5A"/>
    <w:rsid w:val="00F33975"/>
    <w:rsid w:val="00F33DE9"/>
    <w:rsid w:val="00F34E6F"/>
    <w:rsid w:val="00F35437"/>
    <w:rsid w:val="00F35E6D"/>
    <w:rsid w:val="00F3619A"/>
    <w:rsid w:val="00F3686D"/>
    <w:rsid w:val="00F40AAA"/>
    <w:rsid w:val="00F40BA7"/>
    <w:rsid w:val="00F40F9D"/>
    <w:rsid w:val="00F41ACD"/>
    <w:rsid w:val="00F42B3C"/>
    <w:rsid w:val="00F44DE0"/>
    <w:rsid w:val="00F454DD"/>
    <w:rsid w:val="00F46CB6"/>
    <w:rsid w:val="00F4756D"/>
    <w:rsid w:val="00F47DE8"/>
    <w:rsid w:val="00F51CF7"/>
    <w:rsid w:val="00F51FBD"/>
    <w:rsid w:val="00F52513"/>
    <w:rsid w:val="00F53DB9"/>
    <w:rsid w:val="00F542C1"/>
    <w:rsid w:val="00F54CDF"/>
    <w:rsid w:val="00F55E73"/>
    <w:rsid w:val="00F55EDA"/>
    <w:rsid w:val="00F56784"/>
    <w:rsid w:val="00F56C80"/>
    <w:rsid w:val="00F57418"/>
    <w:rsid w:val="00F60092"/>
    <w:rsid w:val="00F61C18"/>
    <w:rsid w:val="00F65F4B"/>
    <w:rsid w:val="00F66492"/>
    <w:rsid w:val="00F66B36"/>
    <w:rsid w:val="00F67A69"/>
    <w:rsid w:val="00F70BFF"/>
    <w:rsid w:val="00F70C9D"/>
    <w:rsid w:val="00F71A2D"/>
    <w:rsid w:val="00F71FDF"/>
    <w:rsid w:val="00F74CC6"/>
    <w:rsid w:val="00F74CD9"/>
    <w:rsid w:val="00F7567D"/>
    <w:rsid w:val="00F80A7B"/>
    <w:rsid w:val="00F80E5D"/>
    <w:rsid w:val="00F80E62"/>
    <w:rsid w:val="00F80EAB"/>
    <w:rsid w:val="00F81E78"/>
    <w:rsid w:val="00F851CE"/>
    <w:rsid w:val="00F8559D"/>
    <w:rsid w:val="00F909CF"/>
    <w:rsid w:val="00F91219"/>
    <w:rsid w:val="00F91EED"/>
    <w:rsid w:val="00F92444"/>
    <w:rsid w:val="00F937F0"/>
    <w:rsid w:val="00F9393E"/>
    <w:rsid w:val="00F94BD8"/>
    <w:rsid w:val="00F96FD0"/>
    <w:rsid w:val="00F97A78"/>
    <w:rsid w:val="00F97F48"/>
    <w:rsid w:val="00FA06D4"/>
    <w:rsid w:val="00FA0B20"/>
    <w:rsid w:val="00FA0B6C"/>
    <w:rsid w:val="00FA0BF0"/>
    <w:rsid w:val="00FA2306"/>
    <w:rsid w:val="00FA2336"/>
    <w:rsid w:val="00FA24E7"/>
    <w:rsid w:val="00FA5C27"/>
    <w:rsid w:val="00FA5EE6"/>
    <w:rsid w:val="00FA62EC"/>
    <w:rsid w:val="00FA6539"/>
    <w:rsid w:val="00FA7956"/>
    <w:rsid w:val="00FA7E36"/>
    <w:rsid w:val="00FB1DAE"/>
    <w:rsid w:val="00FB2FCB"/>
    <w:rsid w:val="00FB37FA"/>
    <w:rsid w:val="00FB6628"/>
    <w:rsid w:val="00FB7C55"/>
    <w:rsid w:val="00FC017B"/>
    <w:rsid w:val="00FC06EF"/>
    <w:rsid w:val="00FC1074"/>
    <w:rsid w:val="00FC12C1"/>
    <w:rsid w:val="00FC12D0"/>
    <w:rsid w:val="00FC160F"/>
    <w:rsid w:val="00FC1884"/>
    <w:rsid w:val="00FC3013"/>
    <w:rsid w:val="00FC371D"/>
    <w:rsid w:val="00FC5555"/>
    <w:rsid w:val="00FC5B0A"/>
    <w:rsid w:val="00FC5F0B"/>
    <w:rsid w:val="00FD03B7"/>
    <w:rsid w:val="00FD2100"/>
    <w:rsid w:val="00FD26C3"/>
    <w:rsid w:val="00FD436C"/>
    <w:rsid w:val="00FD446D"/>
    <w:rsid w:val="00FD4F2C"/>
    <w:rsid w:val="00FD6394"/>
    <w:rsid w:val="00FD6D55"/>
    <w:rsid w:val="00FE0E6C"/>
    <w:rsid w:val="00FE1CDC"/>
    <w:rsid w:val="00FE1F75"/>
    <w:rsid w:val="00FE6778"/>
    <w:rsid w:val="00FE70C3"/>
    <w:rsid w:val="00FF2AD9"/>
    <w:rsid w:val="00FF359F"/>
    <w:rsid w:val="00FF3DCF"/>
    <w:rsid w:val="00FF492C"/>
    <w:rsid w:val="00FF4A21"/>
    <w:rsid w:val="00FF5AA3"/>
    <w:rsid w:val="00FF5AD8"/>
    <w:rsid w:val="00FF64A3"/>
    <w:rsid w:val="00FF7E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4"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TableHeading"/>
    <w:next w:val="Normal"/>
    <w:link w:val="CaptionChar"/>
    <w:uiPriority w:val="35"/>
    <w:unhideWhenUsed/>
    <w:qFormat/>
    <w:rsid w:val="00B8008C"/>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35"/>
    <w:rsid w:val="00B8008C"/>
    <w:rPr>
      <w:rFonts w:ascii="Arial Narrow" w:hAnsi="Arial Narrow" w:cs="Arial Narrow"/>
      <w:b/>
      <w:bCs/>
      <w:snapToGrid w:val="0"/>
      <w:szCs w:val="24"/>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Styl moj,Akapit z listą1,Akapit z listą11,Bullets Points,Bullet1,ES Paragraph,L,Bullet 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tyl moj Char,Akapit z listą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TableLeft">
    <w:name w:val="Table Left"/>
    <w:basedOn w:val="Normal"/>
    <w:link w:val="TableLeftChar"/>
    <w:uiPriority w:val="5"/>
    <w:qFormat/>
    <w:rsid w:val="00A5262B"/>
    <w:pPr>
      <w:jc w:val="left"/>
    </w:pPr>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5"/>
    <w:locked/>
    <w:rsid w:val="00A5262B"/>
    <w:rPr>
      <w:rFonts w:ascii="Arial Narrow" w:eastAsiaTheme="majorEastAsia" w:hAnsi="Arial Narrow" w:cstheme="majorBidi"/>
      <w:szCs w:val="22"/>
      <w:lang w:eastAsia="en-US" w:bidi="en-US"/>
    </w:rPr>
  </w:style>
  <w:style w:type="character" w:styleId="PlaceholderText">
    <w:name w:val="Placeholder Text"/>
    <w:basedOn w:val="DefaultParagraphFont"/>
    <w:uiPriority w:val="99"/>
    <w:semiHidden/>
    <w:rsid w:val="002A1CEF"/>
    <w:rPr>
      <w:color w:val="808080"/>
    </w:rPr>
  </w:style>
  <w:style w:type="character" w:customStyle="1" w:styleId="UnresolvedMention1">
    <w:name w:val="Unresolved Mention1"/>
    <w:basedOn w:val="DefaultParagraphFont"/>
    <w:uiPriority w:val="99"/>
    <w:semiHidden/>
    <w:unhideWhenUsed/>
    <w:rsid w:val="00105294"/>
    <w:rPr>
      <w:color w:val="605E5C"/>
      <w:shd w:val="clear" w:color="auto" w:fill="E1DFDD"/>
    </w:rPr>
  </w:style>
  <w:style w:type="paragraph" w:customStyle="1" w:styleId="TableBullet">
    <w:name w:val="Table Bullet"/>
    <w:basedOn w:val="TableText0"/>
    <w:qFormat/>
    <w:rsid w:val="00105294"/>
    <w:pPr>
      <w:keepNext w:val="0"/>
      <w:numPr>
        <w:numId w:val="8"/>
      </w:numPr>
      <w:spacing w:before="40" w:after="40" w:line="276" w:lineRule="auto"/>
      <w:ind w:left="357" w:hanging="357"/>
    </w:pPr>
    <w:rPr>
      <w:rFonts w:eastAsiaTheme="minorHAnsi" w:cstheme="minorBidi"/>
      <w:bCs w:val="0"/>
      <w:szCs w:val="22"/>
      <w:lang w:eastAsia="en-US"/>
    </w:rPr>
  </w:style>
  <w:style w:type="paragraph" w:customStyle="1" w:styleId="TableTextCA">
    <w:name w:val="Table Text CA"/>
    <w:basedOn w:val="Normal"/>
    <w:qFormat/>
    <w:rsid w:val="00105294"/>
    <w:pPr>
      <w:spacing w:before="20" w:after="20" w:line="264" w:lineRule="auto"/>
      <w:jc w:val="center"/>
    </w:pPr>
    <w:rPr>
      <w:rFonts w:ascii="Arial Narrow" w:hAnsi="Arial Narrow" w:cs="Times New Roman"/>
      <w:color w:val="000000"/>
      <w:sz w:val="22"/>
      <w:szCs w:val="22"/>
      <w:lang w:eastAsia="en-US"/>
    </w:rPr>
  </w:style>
  <w:style w:type="paragraph" w:customStyle="1" w:styleId="TableFigNoteLast">
    <w:name w:val="TableFigNote Last"/>
    <w:basedOn w:val="Normal"/>
    <w:qFormat/>
    <w:rsid w:val="00105294"/>
    <w:pPr>
      <w:spacing w:after="360" w:line="276" w:lineRule="auto"/>
      <w:ind w:left="426" w:hanging="426"/>
      <w:contextualSpacing/>
      <w:jc w:val="left"/>
    </w:pPr>
    <w:rPr>
      <w:rFonts w:ascii="Arial Narrow" w:eastAsiaTheme="minorHAnsi" w:hAnsi="Arial Narrow" w:cstheme="minorBidi"/>
      <w:sz w:val="20"/>
      <w:szCs w:val="20"/>
      <w:lang w:eastAsia="en-US"/>
    </w:rPr>
  </w:style>
  <w:style w:type="paragraph" w:customStyle="1" w:styleId="NormalBeforeBullet">
    <w:name w:val="Normal Before Bullet"/>
    <w:basedOn w:val="Normal"/>
    <w:qFormat/>
    <w:rsid w:val="00105294"/>
    <w:pPr>
      <w:keepNext/>
      <w:spacing w:line="276" w:lineRule="auto"/>
      <w:jc w:val="left"/>
    </w:pPr>
    <w:rPr>
      <w:rFonts w:ascii="Proxima Nova" w:eastAsiaTheme="minorHAnsi" w:hAnsi="Proxima Nova" w:cstheme="minorBidi"/>
      <w:sz w:val="22"/>
      <w:szCs w:val="22"/>
      <w:lang w:eastAsia="en-US"/>
    </w:rPr>
  </w:style>
  <w:style w:type="paragraph" w:customStyle="1" w:styleId="Bullet">
    <w:name w:val="Bullet"/>
    <w:basedOn w:val="Normal"/>
    <w:qFormat/>
    <w:rsid w:val="00105294"/>
    <w:pPr>
      <w:numPr>
        <w:numId w:val="9"/>
      </w:numPr>
      <w:spacing w:line="276" w:lineRule="auto"/>
      <w:ind w:left="714" w:hanging="357"/>
      <w:contextualSpacing/>
      <w:jc w:val="left"/>
    </w:pPr>
    <w:rPr>
      <w:rFonts w:ascii="Proxima Nova" w:eastAsiaTheme="minorHAnsi" w:hAnsi="Proxima Nova" w:cstheme="minorBidi"/>
      <w:sz w:val="22"/>
      <w:szCs w:val="22"/>
      <w:lang w:eastAsia="en-US"/>
    </w:rPr>
  </w:style>
  <w:style w:type="paragraph" w:customStyle="1" w:styleId="BulletLast">
    <w:name w:val="Bullet Last"/>
    <w:basedOn w:val="Bullet"/>
    <w:qFormat/>
    <w:rsid w:val="00105294"/>
    <w:pPr>
      <w:numPr>
        <w:numId w:val="10"/>
      </w:numPr>
      <w:spacing w:after="240"/>
      <w:ind w:left="357" w:hanging="357"/>
    </w:pPr>
  </w:style>
  <w:style w:type="paragraph" w:styleId="EndnoteText">
    <w:name w:val="endnote text"/>
    <w:basedOn w:val="Normal"/>
    <w:link w:val="EndnoteTextChar"/>
    <w:uiPriority w:val="99"/>
    <w:unhideWhenUsed/>
    <w:rsid w:val="00105294"/>
    <w:pPr>
      <w:tabs>
        <w:tab w:val="left" w:pos="397"/>
      </w:tabs>
      <w:spacing w:after="60" w:line="276" w:lineRule="auto"/>
      <w:ind w:left="397" w:hanging="397"/>
      <w:jc w:val="left"/>
    </w:pPr>
    <w:rPr>
      <w:rFonts w:ascii="Proxima Nova" w:eastAsiaTheme="minorHAnsi" w:hAnsi="Proxima Nova" w:cstheme="minorBidi"/>
      <w:sz w:val="20"/>
      <w:szCs w:val="20"/>
      <w:lang w:eastAsia="en-US"/>
    </w:rPr>
  </w:style>
  <w:style w:type="character" w:customStyle="1" w:styleId="EndnoteTextChar">
    <w:name w:val="Endnote Text Char"/>
    <w:basedOn w:val="DefaultParagraphFont"/>
    <w:link w:val="EndnoteText"/>
    <w:uiPriority w:val="99"/>
    <w:rsid w:val="00105294"/>
    <w:rPr>
      <w:rFonts w:ascii="Proxima Nova" w:eastAsiaTheme="minorHAnsi" w:hAnsi="Proxima Nova" w:cstheme="minorBidi"/>
      <w:lang w:eastAsia="en-US"/>
    </w:rPr>
  </w:style>
  <w:style w:type="character" w:styleId="EndnoteReference">
    <w:name w:val="endnote reference"/>
    <w:basedOn w:val="DefaultParagraphFont"/>
    <w:uiPriority w:val="99"/>
    <w:unhideWhenUsed/>
    <w:rsid w:val="00105294"/>
    <w:rPr>
      <w:vertAlign w:val="superscript"/>
    </w:rPr>
  </w:style>
  <w:style w:type="paragraph" w:styleId="Quote">
    <w:name w:val="Quote"/>
    <w:basedOn w:val="Normal"/>
    <w:next w:val="Normal"/>
    <w:link w:val="QuoteChar"/>
    <w:uiPriority w:val="29"/>
    <w:qFormat/>
    <w:rsid w:val="00105294"/>
    <w:pPr>
      <w:spacing w:after="240" w:line="276" w:lineRule="auto"/>
      <w:ind w:left="720"/>
      <w:jc w:val="left"/>
    </w:pPr>
    <w:rPr>
      <w:rFonts w:ascii="Proxima Nova" w:eastAsiaTheme="minorEastAsia" w:hAnsi="Proxima Nova" w:cstheme="minorBidi"/>
      <w:iCs/>
      <w:sz w:val="22"/>
      <w:szCs w:val="22"/>
      <w:lang w:eastAsia="en-US" w:bidi="hi-IN"/>
    </w:rPr>
  </w:style>
  <w:style w:type="character" w:customStyle="1" w:styleId="QuoteChar">
    <w:name w:val="Quote Char"/>
    <w:basedOn w:val="DefaultParagraphFont"/>
    <w:link w:val="Quote"/>
    <w:uiPriority w:val="29"/>
    <w:rsid w:val="00105294"/>
    <w:rPr>
      <w:rFonts w:ascii="Proxima Nova" w:eastAsiaTheme="minorEastAsia" w:hAnsi="Proxima Nova" w:cstheme="minorBidi"/>
      <w:iCs/>
      <w:sz w:val="22"/>
      <w:szCs w:val="22"/>
      <w:lang w:eastAsia="en-US" w:bidi="hi-IN"/>
    </w:rPr>
  </w:style>
  <w:style w:type="paragraph" w:customStyle="1" w:styleId="NumberList">
    <w:name w:val="NumberList"/>
    <w:basedOn w:val="Normal"/>
    <w:rsid w:val="00105294"/>
    <w:pPr>
      <w:tabs>
        <w:tab w:val="left" w:pos="360"/>
      </w:tabs>
      <w:spacing w:after="240" w:line="276" w:lineRule="auto"/>
      <w:ind w:left="357" w:hanging="357"/>
      <w:contextualSpacing/>
      <w:jc w:val="left"/>
    </w:pPr>
    <w:rPr>
      <w:rFonts w:ascii="Proxima Nova" w:hAnsi="Proxima Nova" w:cs="Times New Roman"/>
      <w:color w:val="000000"/>
      <w:sz w:val="22"/>
      <w:szCs w:val="20"/>
    </w:rPr>
  </w:style>
  <w:style w:type="character" w:styleId="Emphasis">
    <w:name w:val="Emphasis"/>
    <w:basedOn w:val="DefaultParagraphFont"/>
    <w:uiPriority w:val="20"/>
    <w:qFormat/>
    <w:rsid w:val="00105294"/>
    <w:rPr>
      <w:b w:val="0"/>
      <w:i/>
      <w:iCs/>
    </w:rPr>
  </w:style>
  <w:style w:type="character" w:customStyle="1" w:styleId="UnresolvedMention2">
    <w:name w:val="Unresolved Mention2"/>
    <w:basedOn w:val="DefaultParagraphFont"/>
    <w:uiPriority w:val="99"/>
    <w:semiHidden/>
    <w:unhideWhenUsed/>
    <w:rsid w:val="00105294"/>
    <w:rPr>
      <w:color w:val="605E5C"/>
      <w:shd w:val="clear" w:color="auto" w:fill="E1DFDD"/>
    </w:rPr>
  </w:style>
  <w:style w:type="paragraph" w:customStyle="1" w:styleId="TableText1">
    <w:name w:val="TableText"/>
    <w:basedOn w:val="Normal"/>
    <w:link w:val="TableTextChar1"/>
    <w:uiPriority w:val="3"/>
    <w:qFormat/>
    <w:rsid w:val="007B2B72"/>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7B2B72"/>
    <w:rPr>
      <w:rFonts w:ascii="Calibri" w:hAnsi="Calibri" w:cs="Calibri"/>
      <w:bCs/>
      <w:lang w:eastAsia="zh-CN"/>
    </w:rPr>
  </w:style>
  <w:style w:type="paragraph" w:customStyle="1" w:styleId="TableHeading0">
    <w:name w:val="Table Heading"/>
    <w:basedOn w:val="Normal"/>
    <w:qFormat/>
    <w:rsid w:val="007B2B72"/>
    <w:pPr>
      <w:keepNext/>
      <w:spacing w:after="60"/>
      <w:jc w:val="left"/>
    </w:pPr>
    <w:rPr>
      <w:rFonts w:ascii="Arial Narrow" w:eastAsiaTheme="minorHAnsi" w:hAnsi="Arial Narrow" w:cstheme="minorBidi"/>
      <w:b/>
      <w:sz w:val="20"/>
      <w:szCs w:val="22"/>
      <w:lang w:eastAsia="en-US"/>
    </w:rPr>
  </w:style>
  <w:style w:type="character" w:customStyle="1" w:styleId="Heading4Char">
    <w:name w:val="Heading 4 Char"/>
    <w:basedOn w:val="DefaultParagraphFont"/>
    <w:link w:val="Heading4"/>
    <w:uiPriority w:val="9"/>
    <w:rsid w:val="00B31224"/>
    <w:rPr>
      <w:rFonts w:ascii="Calibri" w:hAnsi="Calibri" w:cs="Arial"/>
      <w:b/>
      <w:bCs/>
      <w:i/>
      <w:sz w:val="26"/>
      <w:szCs w:val="28"/>
    </w:rPr>
  </w:style>
  <w:style w:type="paragraph" w:customStyle="1" w:styleId="EndNoteBibliographyTitle">
    <w:name w:val="EndNote Bibliography Title"/>
    <w:basedOn w:val="Normal"/>
    <w:link w:val="EndNoteBibliographyTitleChar"/>
    <w:rsid w:val="004A5D50"/>
    <w:pPr>
      <w:jc w:val="center"/>
    </w:pPr>
    <w:rPr>
      <w:rFonts w:cs="Calibri"/>
      <w:noProof/>
    </w:rPr>
  </w:style>
  <w:style w:type="character" w:customStyle="1" w:styleId="EndNoteBibliographyTitleChar">
    <w:name w:val="EndNote Bibliography Title Char"/>
    <w:basedOn w:val="DefaultParagraphFont"/>
    <w:link w:val="EndNoteBibliographyTitle"/>
    <w:rsid w:val="004A5D50"/>
    <w:rPr>
      <w:rFonts w:ascii="Calibri" w:hAnsi="Calibri" w:cs="Calibri"/>
      <w:noProof/>
      <w:sz w:val="24"/>
      <w:szCs w:val="24"/>
    </w:rPr>
  </w:style>
  <w:style w:type="paragraph" w:customStyle="1" w:styleId="EndNoteBibliography">
    <w:name w:val="EndNote Bibliography"/>
    <w:basedOn w:val="Normal"/>
    <w:link w:val="EndNoteBibliographyChar"/>
    <w:rsid w:val="004A5D50"/>
    <w:rPr>
      <w:rFonts w:cs="Calibri"/>
      <w:noProof/>
    </w:rPr>
  </w:style>
  <w:style w:type="character" w:customStyle="1" w:styleId="EndNoteBibliographyChar">
    <w:name w:val="EndNote Bibliography Char"/>
    <w:basedOn w:val="DefaultParagraphFont"/>
    <w:link w:val="EndNoteBibliography"/>
    <w:rsid w:val="004A5D50"/>
    <w:rPr>
      <w:rFonts w:ascii="Calibri" w:hAnsi="Calibri" w:cs="Calibri"/>
      <w:noProof/>
      <w:sz w:val="24"/>
      <w:szCs w:val="24"/>
    </w:rPr>
  </w:style>
  <w:style w:type="paragraph" w:styleId="FootnoteText">
    <w:name w:val="footnote text"/>
    <w:basedOn w:val="Normal"/>
    <w:link w:val="FootnoteTextChar"/>
    <w:semiHidden/>
    <w:unhideWhenUsed/>
    <w:rsid w:val="004A5D50"/>
    <w:rPr>
      <w:sz w:val="20"/>
      <w:szCs w:val="20"/>
    </w:rPr>
  </w:style>
  <w:style w:type="character" w:customStyle="1" w:styleId="FootnoteTextChar">
    <w:name w:val="Footnote Text Char"/>
    <w:basedOn w:val="DefaultParagraphFont"/>
    <w:link w:val="FootnoteText"/>
    <w:semiHidden/>
    <w:rsid w:val="004A5D50"/>
    <w:rPr>
      <w:rFonts w:ascii="Calibri" w:hAnsi="Calibri" w:cs="Arial"/>
    </w:rPr>
  </w:style>
  <w:style w:type="character" w:styleId="FootnoteReference">
    <w:name w:val="footnote reference"/>
    <w:basedOn w:val="DefaultParagraphFont"/>
    <w:semiHidden/>
    <w:unhideWhenUsed/>
    <w:rsid w:val="004A5D50"/>
    <w:rPr>
      <w:vertAlign w:val="superscript"/>
    </w:rPr>
  </w:style>
  <w:style w:type="paragraph" w:customStyle="1" w:styleId="ExecSumBodyText">
    <w:name w:val="Exec Sum Body Text"/>
    <w:basedOn w:val="Normal"/>
    <w:link w:val="ExecSumBodyTextChar"/>
    <w:qFormat/>
    <w:rsid w:val="006B32FD"/>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6B32FD"/>
    <w:rPr>
      <w:rFonts w:asciiTheme="minorHAnsi" w:hAnsiTheme="minorHAnsi" w:cs="Arial"/>
      <w:snapToGrid w:val="0"/>
      <w:sz w:val="24"/>
      <w:szCs w:val="24"/>
    </w:rPr>
  </w:style>
  <w:style w:type="paragraph" w:customStyle="1" w:styleId="3-SubsectionHeading">
    <w:name w:val="3-Subsection Heading"/>
    <w:basedOn w:val="Heading2"/>
    <w:next w:val="Normal"/>
    <w:link w:val="3-SubsectionHeadingChar"/>
    <w:qFormat/>
    <w:rsid w:val="00AD086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D0866"/>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633EFC"/>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633EFC"/>
    <w:pPr>
      <w:numPr>
        <w:ilvl w:val="2"/>
        <w:numId w:val="42"/>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633EFC"/>
    <w:pPr>
      <w:numPr>
        <w:numId w:val="42"/>
      </w:numPr>
    </w:pPr>
  </w:style>
  <w:style w:type="paragraph" w:styleId="ListBullet2">
    <w:name w:val="List Bullet 2"/>
    <w:basedOn w:val="Normal"/>
    <w:semiHidden/>
    <w:unhideWhenUsed/>
    <w:rsid w:val="00633EFC"/>
    <w:pPr>
      <w:numPr>
        <w:numId w:val="42"/>
      </w:numPr>
      <w:contextualSpacing/>
    </w:pPr>
  </w:style>
  <w:style w:type="paragraph" w:styleId="ListBullet3">
    <w:name w:val="List Bullet 3"/>
    <w:basedOn w:val="Normal"/>
    <w:semiHidden/>
    <w:unhideWhenUsed/>
    <w:rsid w:val="00633EFC"/>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7025753">
      <w:bodyDiv w:val="1"/>
      <w:marLeft w:val="0"/>
      <w:marRight w:val="0"/>
      <w:marTop w:val="0"/>
      <w:marBottom w:val="0"/>
      <w:divBdr>
        <w:top w:val="none" w:sz="0" w:space="0" w:color="auto"/>
        <w:left w:val="none" w:sz="0" w:space="0" w:color="auto"/>
        <w:bottom w:val="none" w:sz="0" w:space="0" w:color="auto"/>
        <w:right w:val="none" w:sz="0" w:space="0" w:color="auto"/>
      </w:divBdr>
    </w:div>
    <w:div w:id="794444193">
      <w:bodyDiv w:val="1"/>
      <w:marLeft w:val="0"/>
      <w:marRight w:val="0"/>
      <w:marTop w:val="0"/>
      <w:marBottom w:val="0"/>
      <w:divBdr>
        <w:top w:val="none" w:sz="0" w:space="0" w:color="auto"/>
        <w:left w:val="none" w:sz="0" w:space="0" w:color="auto"/>
        <w:bottom w:val="none" w:sz="0" w:space="0" w:color="auto"/>
        <w:right w:val="none" w:sz="0" w:space="0" w:color="auto"/>
      </w:divBdr>
    </w:div>
    <w:div w:id="11091614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82462">
      <w:bodyDiv w:val="1"/>
      <w:marLeft w:val="0"/>
      <w:marRight w:val="0"/>
      <w:marTop w:val="0"/>
      <w:marBottom w:val="0"/>
      <w:divBdr>
        <w:top w:val="none" w:sz="0" w:space="0" w:color="auto"/>
        <w:left w:val="none" w:sz="0" w:space="0" w:color="auto"/>
        <w:bottom w:val="none" w:sz="0" w:space="0" w:color="auto"/>
        <w:right w:val="none" w:sz="0" w:space="0" w:color="auto"/>
      </w:divBdr>
    </w:div>
    <w:div w:id="1533955408">
      <w:bodyDiv w:val="1"/>
      <w:marLeft w:val="0"/>
      <w:marRight w:val="0"/>
      <w:marTop w:val="0"/>
      <w:marBottom w:val="0"/>
      <w:divBdr>
        <w:top w:val="none" w:sz="0" w:space="0" w:color="auto"/>
        <w:left w:val="none" w:sz="0" w:space="0" w:color="auto"/>
        <w:bottom w:val="none" w:sz="0" w:space="0" w:color="auto"/>
        <w:right w:val="none" w:sz="0" w:space="0" w:color="auto"/>
      </w:divBdr>
    </w:div>
    <w:div w:id="1754936998">
      <w:bodyDiv w:val="1"/>
      <w:marLeft w:val="0"/>
      <w:marRight w:val="0"/>
      <w:marTop w:val="0"/>
      <w:marBottom w:val="0"/>
      <w:divBdr>
        <w:top w:val="none" w:sz="0" w:space="0" w:color="auto"/>
        <w:left w:val="none" w:sz="0" w:space="0" w:color="auto"/>
        <w:bottom w:val="none" w:sz="0" w:space="0" w:color="auto"/>
        <w:right w:val="none" w:sz="0" w:space="0" w:color="auto"/>
      </w:divBdr>
    </w:div>
    <w:div w:id="1755979712">
      <w:bodyDiv w:val="1"/>
      <w:marLeft w:val="0"/>
      <w:marRight w:val="0"/>
      <w:marTop w:val="0"/>
      <w:marBottom w:val="0"/>
      <w:divBdr>
        <w:top w:val="none" w:sz="0" w:space="0" w:color="auto"/>
        <w:left w:val="none" w:sz="0" w:space="0" w:color="auto"/>
        <w:bottom w:val="none" w:sz="0" w:space="0" w:color="auto"/>
        <w:right w:val="none" w:sz="0" w:space="0" w:color="auto"/>
      </w:divBdr>
    </w:div>
    <w:div w:id="182727810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19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academic.oup.com/oncolo/advance-article/doi/10.1093/oncolo/oyac001/6537593" TargetMode="External"/><Relationship Id="rId1" Type="http://schemas.openxmlformats.org/officeDocument/2006/relationships/hyperlink" Target="https://www.accessdata.fda.gov/drugsatfda_docs/label/2021/761137s006s008l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21A1-B03A-4065-839E-09837C18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12922</Words>
  <Characters>73075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2022-04-14T00:00:00Z</dcterms:created>
  <dcterms:modified xsi:type="dcterms:W3CDTF">2022-07-12T01:42:00Z</dcterms:modified>
</cp:coreProperties>
</file>