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A5E6" w14:textId="408CD8E9" w:rsidR="001770EE" w:rsidRDefault="00D42B23" w:rsidP="001770EE">
      <w:pPr>
        <w:pStyle w:val="1-MainHeading"/>
        <w:spacing w:after="120"/>
        <w:contextualSpacing/>
      </w:pPr>
      <w:bookmarkStart w:id="0" w:name="_Toc93503663"/>
      <w:r>
        <w:t>5</w:t>
      </w:r>
      <w:r w:rsidR="00433044" w:rsidRPr="009104D8">
        <w:t>.</w:t>
      </w:r>
      <w:r w:rsidR="001770EE">
        <w:t>05</w:t>
      </w:r>
      <w:r w:rsidR="00163F66">
        <w:tab/>
      </w:r>
      <w:r w:rsidR="001770EE" w:rsidRPr="001770EE">
        <w:t>DIP</w:t>
      </w:r>
      <w:r w:rsidR="00AB3DAC">
        <w:t>H</w:t>
      </w:r>
      <w:r w:rsidR="001770EE" w:rsidRPr="001770EE">
        <w:t>THERIA, TETANUS, PERTUSSIS, HEPATITIS B, POLIOMYELITIS AND HAEMOPHILUS INFLUENZAE TYPE B CONJUGATE VACCINE (</w:t>
      </w:r>
      <w:proofErr w:type="spellStart"/>
      <w:r w:rsidR="001770EE" w:rsidRPr="001770EE">
        <w:t>DTP</w:t>
      </w:r>
      <w:r w:rsidR="00506820">
        <w:t>a</w:t>
      </w:r>
      <w:proofErr w:type="spellEnd"/>
      <w:r w:rsidR="001770EE" w:rsidRPr="001770EE">
        <w:t>-HB-IPV-Hib)</w:t>
      </w:r>
      <w:r w:rsidR="001770EE">
        <w:t>,</w:t>
      </w:r>
      <w:r w:rsidR="005358EA">
        <w:br/>
      </w:r>
      <w:r w:rsidR="00AF24E7" w:rsidRPr="005358EA">
        <w:t>0.5</w:t>
      </w:r>
      <w:r w:rsidR="001770EE">
        <w:t xml:space="preserve"> </w:t>
      </w:r>
      <w:r w:rsidR="00AF24E7" w:rsidRPr="005358EA">
        <w:t>mL pre-filled syringe</w:t>
      </w:r>
      <w:r w:rsidR="001770EE">
        <w:t>,</w:t>
      </w:r>
      <w:r w:rsidR="005358EA">
        <w:br/>
      </w:r>
      <w:proofErr w:type="spellStart"/>
      <w:r w:rsidR="00AF24E7" w:rsidRPr="005358EA">
        <w:t>V</w:t>
      </w:r>
      <w:r w:rsidR="001770EE">
        <w:t>axelis</w:t>
      </w:r>
      <w:proofErr w:type="spellEnd"/>
      <w:r w:rsidR="00AF24E7" w:rsidRPr="005358EA">
        <w:t>®</w:t>
      </w:r>
      <w:r w:rsidR="00A5049D">
        <w:t>,</w:t>
      </w:r>
      <w:bookmarkEnd w:id="0"/>
      <w:r w:rsidR="00AF24E7" w:rsidRPr="005358EA">
        <w:t xml:space="preserve"> </w:t>
      </w:r>
    </w:p>
    <w:p w14:paraId="57751337" w14:textId="07658F43" w:rsidR="00AF24E7" w:rsidRPr="005358EA" w:rsidRDefault="00A5049D" w:rsidP="001770EE">
      <w:pPr>
        <w:pStyle w:val="1-MainHeading"/>
        <w:ind w:hanging="11"/>
      </w:pPr>
      <w:bookmarkStart w:id="1" w:name="_Toc93503664"/>
      <w:proofErr w:type="spellStart"/>
      <w:r w:rsidRPr="00A5049D">
        <w:t>S</w:t>
      </w:r>
      <w:r w:rsidR="00490733">
        <w:t>anofi-aventis</w:t>
      </w:r>
      <w:proofErr w:type="spellEnd"/>
      <w:r w:rsidR="00490733">
        <w:t xml:space="preserve"> Australia</w:t>
      </w:r>
      <w:r w:rsidRPr="00A5049D">
        <w:t xml:space="preserve"> PTY LTD</w:t>
      </w:r>
      <w:bookmarkEnd w:id="1"/>
    </w:p>
    <w:p w14:paraId="40C97876" w14:textId="77777777" w:rsidR="00772731" w:rsidRPr="00407F2D" w:rsidRDefault="00772731" w:rsidP="00772731">
      <w:pPr>
        <w:pStyle w:val="2-SectionHeading"/>
      </w:pPr>
      <w:bookmarkStart w:id="2" w:name="_Toc93503666"/>
      <w:bookmarkStart w:id="3" w:name="_Toc22897648"/>
      <w:r w:rsidRPr="00407F2D">
        <w:t xml:space="preserve">Purpose of </w:t>
      </w:r>
      <w:r>
        <w:t>submission</w:t>
      </w:r>
      <w:bookmarkEnd w:id="2"/>
    </w:p>
    <w:p w14:paraId="0C1F1D90" w14:textId="5171F2C6" w:rsidR="00772731" w:rsidRPr="00D87B70" w:rsidRDefault="00772731" w:rsidP="00707C8C">
      <w:pPr>
        <w:pStyle w:val="3-BodyText"/>
      </w:pPr>
      <w:r>
        <w:t>The</w:t>
      </w:r>
      <w:r w:rsidR="00707C8C">
        <w:t xml:space="preserve"> Category 2</w:t>
      </w:r>
      <w:r>
        <w:t xml:space="preserve"> submission </w:t>
      </w:r>
      <w:r w:rsidRPr="004E18E9">
        <w:t xml:space="preserve">requested </w:t>
      </w:r>
      <w:r w:rsidRPr="00D87B70">
        <w:t xml:space="preserve">National Immunisation Program (NIP) listing for </w:t>
      </w:r>
      <w:proofErr w:type="spellStart"/>
      <w:r w:rsidR="0033300D">
        <w:t>Vaxelis</w:t>
      </w:r>
      <w:proofErr w:type="spellEnd"/>
      <w:r w:rsidR="0033300D">
        <w:t xml:space="preserve">, a hexavalent vaccine </w:t>
      </w:r>
      <w:r w:rsidR="003E3A78">
        <w:t xml:space="preserve">containing </w:t>
      </w:r>
      <w:r w:rsidRPr="00D87B70">
        <w:t>antigens against diphtheria</w:t>
      </w:r>
      <w:r w:rsidR="00FF6B57">
        <w:t xml:space="preserve"> (D)</w:t>
      </w:r>
      <w:r w:rsidRPr="00D87B70">
        <w:t>, tetanus</w:t>
      </w:r>
      <w:r w:rsidR="00FF6B57">
        <w:t xml:space="preserve"> (T)</w:t>
      </w:r>
      <w:r w:rsidRPr="00D87B70">
        <w:t xml:space="preserve">, </w:t>
      </w:r>
      <w:r w:rsidRPr="00257DEC">
        <w:t>pertussis</w:t>
      </w:r>
      <w:r w:rsidR="00FF6B57" w:rsidRPr="00257DEC">
        <w:t xml:space="preserve"> (Pa)</w:t>
      </w:r>
      <w:r w:rsidRPr="00257DEC">
        <w:t>, hepatitis B</w:t>
      </w:r>
      <w:r w:rsidR="00FF6B57" w:rsidRPr="00257DEC">
        <w:t xml:space="preserve"> (HB)</w:t>
      </w:r>
      <w:r w:rsidRPr="00257DEC">
        <w:t>, poliomyelitis</w:t>
      </w:r>
      <w:r w:rsidR="00FF6B57" w:rsidRPr="00257DEC">
        <w:t xml:space="preserve"> (IPV)</w:t>
      </w:r>
      <w:r w:rsidRPr="00257DEC">
        <w:t xml:space="preserve"> and invasive infections caused by </w:t>
      </w:r>
      <w:r w:rsidRPr="008D53C3">
        <w:rPr>
          <w:i/>
          <w:iCs/>
        </w:rPr>
        <w:t>Haemophilus influenzae</w:t>
      </w:r>
      <w:r w:rsidRPr="00257DEC">
        <w:t xml:space="preserve"> </w:t>
      </w:r>
      <w:r w:rsidR="005603B2" w:rsidRPr="00257DEC">
        <w:t>T</w:t>
      </w:r>
      <w:r w:rsidRPr="00257DEC">
        <w:t>y</w:t>
      </w:r>
      <w:r w:rsidRPr="00D87B70">
        <w:t>pe b</w:t>
      </w:r>
      <w:r w:rsidR="00FF6B57">
        <w:t xml:space="preserve"> (Hib)</w:t>
      </w:r>
      <w:r w:rsidR="005603B2">
        <w:t xml:space="preserve"> (</w:t>
      </w:r>
      <w:bookmarkStart w:id="4" w:name="_Hlk98501363"/>
      <w:proofErr w:type="spellStart"/>
      <w:r w:rsidRPr="00D87B70">
        <w:t>DTPa</w:t>
      </w:r>
      <w:proofErr w:type="spellEnd"/>
      <w:r w:rsidRPr="00D87B70">
        <w:t>-</w:t>
      </w:r>
      <w:r w:rsidR="00707C8C">
        <w:t>H</w:t>
      </w:r>
      <w:r w:rsidRPr="00D87B70">
        <w:t>B-IPV-Hib</w:t>
      </w:r>
      <w:bookmarkEnd w:id="4"/>
      <w:r w:rsidRPr="00D87B70">
        <w:t>) as a primary vaccine course</w:t>
      </w:r>
      <w:r w:rsidR="00707C8C">
        <w:t xml:space="preserve"> in infants at 2, 4 and 6 months of age, and in children less than </w:t>
      </w:r>
      <w:r w:rsidR="00707C8C" w:rsidRPr="00707C8C">
        <w:t xml:space="preserve">10 years of age who have not previously received </w:t>
      </w:r>
      <w:proofErr w:type="spellStart"/>
      <w:r w:rsidR="00707C8C" w:rsidRPr="00707C8C">
        <w:t>DTPa</w:t>
      </w:r>
      <w:proofErr w:type="spellEnd"/>
      <w:r w:rsidR="00707C8C" w:rsidRPr="00707C8C">
        <w:t>-HB-IPV-Hib vaccination</w:t>
      </w:r>
      <w:r w:rsidRPr="00D87B70">
        <w:t xml:space="preserve">. </w:t>
      </w:r>
    </w:p>
    <w:p w14:paraId="20BDD6DC" w14:textId="052E568D" w:rsidR="00772731" w:rsidRDefault="00772731" w:rsidP="00BC0564">
      <w:pPr>
        <w:pStyle w:val="3-BodyText"/>
      </w:pPr>
      <w:r w:rsidRPr="005750C5">
        <w:t xml:space="preserve">Listing was requested on the basis of a cost-minimisation </w:t>
      </w:r>
      <w:r w:rsidR="007770B5">
        <w:t>approach</w:t>
      </w:r>
      <w:r w:rsidR="007770B5" w:rsidRPr="005750C5">
        <w:t xml:space="preserve"> </w:t>
      </w:r>
      <w:r w:rsidRPr="005750C5">
        <w:t>versus</w:t>
      </w:r>
      <w:r>
        <w:t xml:space="preserve"> </w:t>
      </w:r>
      <w:r w:rsidRPr="00D87B70">
        <w:t xml:space="preserve">Infanrix </w:t>
      </w:r>
      <w:proofErr w:type="spellStart"/>
      <w:r w:rsidRPr="00D87B70">
        <w:t>Hexa</w:t>
      </w:r>
      <w:proofErr w:type="spellEnd"/>
      <w:r w:rsidR="00A24680">
        <w:t>®</w:t>
      </w:r>
      <w:r w:rsidR="00BC0564">
        <w:t xml:space="preserve"> (</w:t>
      </w:r>
      <w:proofErr w:type="spellStart"/>
      <w:r w:rsidR="00BC0564" w:rsidRPr="00BC0564">
        <w:t>DTPa</w:t>
      </w:r>
      <w:proofErr w:type="spellEnd"/>
      <w:r w:rsidR="00BC0564" w:rsidRPr="00BC0564">
        <w:t>-HB-IPV/Hib)</w:t>
      </w:r>
      <w:r>
        <w:t>.</w:t>
      </w:r>
      <w:r w:rsidRPr="005750C5">
        <w:t xml:space="preserve"> </w:t>
      </w:r>
      <w:r>
        <w:t xml:space="preserve">The key components of the clinical issue addressed by the submission are summarised </w:t>
      </w:r>
      <w:r w:rsidR="009B7F56">
        <w:t>in Table 1</w:t>
      </w:r>
      <w:r>
        <w:t>.</w:t>
      </w:r>
    </w:p>
    <w:p w14:paraId="2DE87C95" w14:textId="40230516" w:rsidR="00772731" w:rsidRDefault="00772731" w:rsidP="00772731">
      <w:pPr>
        <w:pStyle w:val="TableFigureHeading"/>
        <w:rPr>
          <w:rStyle w:val="CommentReference"/>
          <w:b/>
          <w:szCs w:val="24"/>
        </w:rPr>
      </w:pPr>
      <w:r>
        <w:t xml:space="preserve">Table </w:t>
      </w:r>
      <w:fldSimple w:instr=" SEQ Table \* ARABIC ">
        <w:r w:rsidR="00B5627B">
          <w:rPr>
            <w:noProof/>
          </w:rPr>
          <w:t>1</w:t>
        </w:r>
      </w:fldSimple>
      <w:r>
        <w:t xml:space="preserve">: </w:t>
      </w:r>
      <w:r w:rsidRPr="004A6040">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772731" w:rsidRPr="0022027D" w14:paraId="41712E80" w14:textId="77777777" w:rsidTr="00F87292">
        <w:tc>
          <w:tcPr>
            <w:tcW w:w="1668" w:type="dxa"/>
            <w:vAlign w:val="center"/>
          </w:tcPr>
          <w:p w14:paraId="4B001E9E" w14:textId="77777777" w:rsidR="00772731" w:rsidRPr="0022027D" w:rsidRDefault="00772731" w:rsidP="00F87292">
            <w:pPr>
              <w:keepNext/>
              <w:jc w:val="left"/>
              <w:rPr>
                <w:rFonts w:ascii="Arial Narrow" w:eastAsiaTheme="majorEastAsia" w:hAnsi="Arial Narrow" w:cs="Times New Roman"/>
                <w:b/>
                <w:sz w:val="20"/>
                <w:lang w:val="en-US"/>
              </w:rPr>
            </w:pPr>
            <w:r w:rsidRPr="0022027D">
              <w:rPr>
                <w:rFonts w:ascii="Arial Narrow" w:eastAsiaTheme="majorEastAsia" w:hAnsi="Arial Narrow" w:cs="Times New Roman"/>
                <w:b/>
                <w:sz w:val="20"/>
                <w:lang w:val="en-US"/>
              </w:rPr>
              <w:t>Component</w:t>
            </w:r>
          </w:p>
        </w:tc>
        <w:tc>
          <w:tcPr>
            <w:tcW w:w="7488" w:type="dxa"/>
            <w:vAlign w:val="center"/>
          </w:tcPr>
          <w:p w14:paraId="5EA37FF8" w14:textId="77777777" w:rsidR="00772731" w:rsidRPr="0022027D" w:rsidRDefault="00772731" w:rsidP="00F87292">
            <w:pPr>
              <w:keepNext/>
              <w:jc w:val="left"/>
              <w:rPr>
                <w:rFonts w:ascii="Arial Narrow" w:eastAsiaTheme="majorEastAsia" w:hAnsi="Arial Narrow" w:cs="Times New Roman"/>
                <w:b/>
                <w:sz w:val="20"/>
                <w:lang w:val="en-US"/>
              </w:rPr>
            </w:pPr>
            <w:r w:rsidRPr="0022027D">
              <w:rPr>
                <w:rFonts w:ascii="Arial Narrow" w:eastAsiaTheme="majorEastAsia" w:hAnsi="Arial Narrow" w:cs="Times New Roman"/>
                <w:b/>
                <w:sz w:val="20"/>
                <w:lang w:val="en-US"/>
              </w:rPr>
              <w:t>Description</w:t>
            </w:r>
          </w:p>
        </w:tc>
      </w:tr>
      <w:tr w:rsidR="00772731" w:rsidRPr="0022027D" w14:paraId="6F343929" w14:textId="77777777" w:rsidTr="00F87292">
        <w:tc>
          <w:tcPr>
            <w:tcW w:w="1668" w:type="dxa"/>
            <w:vAlign w:val="center"/>
          </w:tcPr>
          <w:p w14:paraId="2E11C370"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Population</w:t>
            </w:r>
          </w:p>
        </w:tc>
        <w:tc>
          <w:tcPr>
            <w:tcW w:w="7488" w:type="dxa"/>
            <w:vAlign w:val="center"/>
          </w:tcPr>
          <w:p w14:paraId="7A83587B"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Infants aged around 2, 4 and 6 months of age; and</w:t>
            </w:r>
          </w:p>
          <w:p w14:paraId="1BE65AC0" w14:textId="685B9917" w:rsidR="00772731" w:rsidRPr="0022027D" w:rsidRDefault="00772731" w:rsidP="00430E60">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 xml:space="preserve">Children less than 10 years of age who have not previously received </w:t>
            </w:r>
            <w:proofErr w:type="spellStart"/>
            <w:r w:rsidRPr="0022027D">
              <w:rPr>
                <w:rFonts w:ascii="Arial Narrow" w:eastAsiaTheme="majorEastAsia" w:hAnsi="Arial Narrow" w:cs="Times New Roman"/>
                <w:bCs/>
                <w:sz w:val="20"/>
              </w:rPr>
              <w:t>DTP</w:t>
            </w:r>
            <w:r w:rsidR="00430E60">
              <w:rPr>
                <w:rFonts w:ascii="Arial Narrow" w:eastAsiaTheme="majorEastAsia" w:hAnsi="Arial Narrow" w:cs="Times New Roman"/>
                <w:bCs/>
                <w:sz w:val="20"/>
              </w:rPr>
              <w:t>a</w:t>
            </w:r>
            <w:proofErr w:type="spellEnd"/>
            <w:r w:rsidRPr="0022027D">
              <w:rPr>
                <w:rFonts w:ascii="Arial Narrow" w:eastAsiaTheme="majorEastAsia" w:hAnsi="Arial Narrow" w:cs="Times New Roman"/>
                <w:bCs/>
                <w:sz w:val="20"/>
              </w:rPr>
              <w:t>-HB-IPV-Hib vaccination</w:t>
            </w:r>
          </w:p>
        </w:tc>
      </w:tr>
      <w:tr w:rsidR="00772731" w:rsidRPr="0022027D" w14:paraId="0237A974" w14:textId="77777777" w:rsidTr="00F87292">
        <w:tc>
          <w:tcPr>
            <w:tcW w:w="1668" w:type="dxa"/>
            <w:vAlign w:val="center"/>
          </w:tcPr>
          <w:p w14:paraId="4181C9B0"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Intervention</w:t>
            </w:r>
          </w:p>
        </w:tc>
        <w:tc>
          <w:tcPr>
            <w:tcW w:w="7488" w:type="dxa"/>
            <w:vAlign w:val="center"/>
          </w:tcPr>
          <w:p w14:paraId="2B233F14" w14:textId="2EF4720F"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 xml:space="preserve">A </w:t>
            </w:r>
            <w:proofErr w:type="gramStart"/>
            <w:r w:rsidRPr="0022027D">
              <w:rPr>
                <w:rFonts w:ascii="Arial Narrow" w:eastAsiaTheme="majorEastAsia" w:hAnsi="Arial Narrow" w:cs="Times New Roman"/>
                <w:bCs/>
                <w:sz w:val="20"/>
              </w:rPr>
              <w:t>three dose</w:t>
            </w:r>
            <w:proofErr w:type="gramEnd"/>
            <w:r w:rsidRPr="0022027D">
              <w:rPr>
                <w:rFonts w:ascii="Arial Narrow" w:eastAsiaTheme="majorEastAsia" w:hAnsi="Arial Narrow" w:cs="Times New Roman"/>
                <w:bCs/>
                <w:sz w:val="20"/>
              </w:rPr>
              <w:t xml:space="preserve"> course of </w:t>
            </w:r>
            <w:proofErr w:type="spellStart"/>
            <w:r w:rsidRPr="0022027D">
              <w:rPr>
                <w:rFonts w:ascii="Arial Narrow" w:eastAsiaTheme="majorEastAsia" w:hAnsi="Arial Narrow" w:cs="Times New Roman"/>
                <w:bCs/>
                <w:sz w:val="20"/>
              </w:rPr>
              <w:t>Vaxelis</w:t>
            </w:r>
            <w:proofErr w:type="spellEnd"/>
            <w:r w:rsidRPr="0022027D">
              <w:rPr>
                <w:rFonts w:ascii="Arial Narrow" w:eastAsiaTheme="majorEastAsia" w:hAnsi="Arial Narrow" w:cs="Times New Roman"/>
                <w:bCs/>
                <w:sz w:val="20"/>
              </w:rPr>
              <w:t xml:space="preserve"> hexavalent vaccine (</w:t>
            </w:r>
            <w:proofErr w:type="spellStart"/>
            <w:r w:rsidRPr="0022027D">
              <w:rPr>
                <w:rFonts w:ascii="Arial Narrow" w:eastAsiaTheme="majorEastAsia" w:hAnsi="Arial Narrow" w:cs="Times New Roman"/>
                <w:bCs/>
                <w:sz w:val="20"/>
              </w:rPr>
              <w:t>DTPa</w:t>
            </w:r>
            <w:proofErr w:type="spellEnd"/>
            <w:r w:rsidRPr="0022027D">
              <w:rPr>
                <w:rFonts w:ascii="Arial Narrow" w:eastAsiaTheme="majorEastAsia" w:hAnsi="Arial Narrow" w:cs="Times New Roman"/>
                <w:bCs/>
                <w:sz w:val="20"/>
              </w:rPr>
              <w:t>-HB-IPV-Hib) adjuvanted</w:t>
            </w:r>
          </w:p>
        </w:tc>
      </w:tr>
      <w:tr w:rsidR="00772731" w:rsidRPr="0022027D" w14:paraId="054014A5" w14:textId="77777777" w:rsidTr="00F87292">
        <w:tc>
          <w:tcPr>
            <w:tcW w:w="1668" w:type="dxa"/>
            <w:vAlign w:val="center"/>
          </w:tcPr>
          <w:p w14:paraId="2C6C69AF"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Comparator</w:t>
            </w:r>
          </w:p>
        </w:tc>
        <w:tc>
          <w:tcPr>
            <w:tcW w:w="7488" w:type="dxa"/>
            <w:vAlign w:val="center"/>
          </w:tcPr>
          <w:p w14:paraId="561F2E4D" w14:textId="5FDA2954"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 xml:space="preserve">A </w:t>
            </w:r>
            <w:proofErr w:type="gramStart"/>
            <w:r w:rsidRPr="0022027D">
              <w:rPr>
                <w:rFonts w:ascii="Arial Narrow" w:eastAsiaTheme="majorEastAsia" w:hAnsi="Arial Narrow" w:cs="Times New Roman"/>
                <w:bCs/>
                <w:sz w:val="20"/>
              </w:rPr>
              <w:t>three dose</w:t>
            </w:r>
            <w:proofErr w:type="gramEnd"/>
            <w:r w:rsidRPr="0022027D">
              <w:rPr>
                <w:rFonts w:ascii="Arial Narrow" w:eastAsiaTheme="majorEastAsia" w:hAnsi="Arial Narrow" w:cs="Times New Roman"/>
                <w:bCs/>
                <w:sz w:val="20"/>
              </w:rPr>
              <w:t xml:space="preserve"> course of Infanrix </w:t>
            </w:r>
            <w:proofErr w:type="spellStart"/>
            <w:r w:rsidR="00AE2917">
              <w:rPr>
                <w:rFonts w:ascii="Arial Narrow" w:eastAsiaTheme="majorEastAsia" w:hAnsi="Arial Narrow" w:cs="Times New Roman"/>
                <w:bCs/>
                <w:sz w:val="20"/>
              </w:rPr>
              <w:t>Hexa</w:t>
            </w:r>
            <w:proofErr w:type="spellEnd"/>
            <w:r w:rsidRPr="0022027D">
              <w:rPr>
                <w:rFonts w:ascii="Arial Narrow" w:eastAsiaTheme="majorEastAsia" w:hAnsi="Arial Narrow" w:cs="Times New Roman"/>
                <w:bCs/>
                <w:sz w:val="20"/>
              </w:rPr>
              <w:t xml:space="preserve"> hexavalent vaccine (</w:t>
            </w:r>
            <w:proofErr w:type="spellStart"/>
            <w:r w:rsidRPr="0022027D">
              <w:rPr>
                <w:rFonts w:ascii="Arial Narrow" w:eastAsiaTheme="majorEastAsia" w:hAnsi="Arial Narrow" w:cs="Times New Roman"/>
                <w:bCs/>
                <w:sz w:val="20"/>
              </w:rPr>
              <w:t>DTPa</w:t>
            </w:r>
            <w:proofErr w:type="spellEnd"/>
            <w:r w:rsidRPr="0022027D">
              <w:rPr>
                <w:rFonts w:ascii="Arial Narrow" w:eastAsiaTheme="majorEastAsia" w:hAnsi="Arial Narrow" w:cs="Times New Roman"/>
                <w:bCs/>
                <w:sz w:val="20"/>
              </w:rPr>
              <w:t>-HB-IPV</w:t>
            </w:r>
            <w:r w:rsidR="007C55F0">
              <w:rPr>
                <w:rFonts w:ascii="Arial Narrow" w:eastAsiaTheme="majorEastAsia" w:hAnsi="Arial Narrow" w:cs="Times New Roman"/>
                <w:bCs/>
                <w:sz w:val="20"/>
              </w:rPr>
              <w:t>-</w:t>
            </w:r>
            <w:r w:rsidRPr="0022027D">
              <w:rPr>
                <w:rFonts w:ascii="Arial Narrow" w:eastAsiaTheme="majorEastAsia" w:hAnsi="Arial Narrow" w:cs="Times New Roman"/>
                <w:bCs/>
                <w:sz w:val="20"/>
              </w:rPr>
              <w:t>Hib) adjuvanted</w:t>
            </w:r>
          </w:p>
        </w:tc>
      </w:tr>
      <w:tr w:rsidR="00772731" w:rsidRPr="0022027D" w14:paraId="0CEFDFC7" w14:textId="77777777" w:rsidTr="00F87292">
        <w:tc>
          <w:tcPr>
            <w:tcW w:w="1668" w:type="dxa"/>
            <w:vAlign w:val="center"/>
          </w:tcPr>
          <w:p w14:paraId="0664BB29"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Outcomes</w:t>
            </w:r>
          </w:p>
        </w:tc>
        <w:tc>
          <w:tcPr>
            <w:tcW w:w="7488" w:type="dxa"/>
            <w:vAlign w:val="center"/>
          </w:tcPr>
          <w:p w14:paraId="616CD6BB" w14:textId="13335D0F"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 xml:space="preserve">Immunogenicity: Vaccine-induced antibody responses against antigens included in </w:t>
            </w:r>
            <w:proofErr w:type="spellStart"/>
            <w:r w:rsidRPr="0022027D">
              <w:rPr>
                <w:rFonts w:ascii="Arial Narrow" w:eastAsiaTheme="majorEastAsia" w:hAnsi="Arial Narrow" w:cs="Times New Roman"/>
                <w:bCs/>
                <w:sz w:val="20"/>
              </w:rPr>
              <w:t>Vaxelis</w:t>
            </w:r>
            <w:proofErr w:type="spellEnd"/>
            <w:r w:rsidRPr="0022027D">
              <w:rPr>
                <w:rFonts w:ascii="Arial Narrow" w:eastAsiaTheme="majorEastAsia" w:hAnsi="Arial Narrow" w:cs="Times New Roman"/>
                <w:bCs/>
                <w:sz w:val="20"/>
              </w:rPr>
              <w:t xml:space="preserve">, proportion of </w:t>
            </w:r>
            <w:r w:rsidR="00C5276A">
              <w:rPr>
                <w:rFonts w:ascii="Arial Narrow" w:eastAsiaTheme="majorEastAsia" w:hAnsi="Arial Narrow" w:cs="Times New Roman"/>
                <w:bCs/>
                <w:sz w:val="20"/>
              </w:rPr>
              <w:t>individuals</w:t>
            </w:r>
            <w:r w:rsidRPr="0022027D">
              <w:rPr>
                <w:rFonts w:ascii="Arial Narrow" w:eastAsiaTheme="majorEastAsia" w:hAnsi="Arial Narrow" w:cs="Times New Roman"/>
                <w:bCs/>
                <w:sz w:val="20"/>
              </w:rPr>
              <w:t xml:space="preserve"> achieving post-vaccination antibody titres above established thresholds and geometric mean antibody titres (GMTs).</w:t>
            </w:r>
          </w:p>
          <w:p w14:paraId="27769EAC" w14:textId="77777777" w:rsidR="00772731" w:rsidRPr="0022027D" w:rsidRDefault="00772731" w:rsidP="00F87292">
            <w:pPr>
              <w:keepNext/>
              <w:jc w:val="left"/>
              <w:rPr>
                <w:rFonts w:ascii="Arial Narrow" w:eastAsiaTheme="majorEastAsia" w:hAnsi="Arial Narrow" w:cs="Times New Roman"/>
                <w:bCs/>
                <w:sz w:val="20"/>
              </w:rPr>
            </w:pPr>
          </w:p>
          <w:p w14:paraId="24789206" w14:textId="1F48B22A"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 xml:space="preserve">Coadministration: Immune responses when administered with other routine infant vaccines </w:t>
            </w:r>
          </w:p>
          <w:p w14:paraId="4086C2E7"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Safety: proportion of subjects with solicited/unsolicited adverse events by severity and potential relationship to vaccination.</w:t>
            </w:r>
          </w:p>
        </w:tc>
      </w:tr>
      <w:tr w:rsidR="00772731" w:rsidRPr="0022027D" w14:paraId="4CF3D385" w14:textId="77777777" w:rsidTr="00F87292">
        <w:tc>
          <w:tcPr>
            <w:tcW w:w="1668" w:type="dxa"/>
            <w:vAlign w:val="center"/>
          </w:tcPr>
          <w:p w14:paraId="6968902F" w14:textId="77777777"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Clinical claim</w:t>
            </w:r>
          </w:p>
        </w:tc>
        <w:tc>
          <w:tcPr>
            <w:tcW w:w="7488" w:type="dxa"/>
            <w:vAlign w:val="center"/>
          </w:tcPr>
          <w:p w14:paraId="6B70526F" w14:textId="7FC40C6D"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 xml:space="preserve">In the target population of infants aged around 2, 4 and 6 months, a </w:t>
            </w:r>
            <w:r w:rsidR="00C5276A">
              <w:rPr>
                <w:rFonts w:ascii="Arial Narrow" w:eastAsiaTheme="majorEastAsia" w:hAnsi="Arial Narrow" w:cs="Times New Roman"/>
                <w:bCs/>
                <w:sz w:val="20"/>
              </w:rPr>
              <w:t xml:space="preserve">three </w:t>
            </w:r>
            <w:r w:rsidRPr="0022027D">
              <w:rPr>
                <w:rFonts w:ascii="Arial Narrow" w:eastAsiaTheme="majorEastAsia" w:hAnsi="Arial Narrow" w:cs="Times New Roman"/>
                <w:bCs/>
                <w:sz w:val="20"/>
              </w:rPr>
              <w:t xml:space="preserve">dose primary series of </w:t>
            </w:r>
            <w:proofErr w:type="spellStart"/>
            <w:r w:rsidRPr="0022027D">
              <w:rPr>
                <w:rFonts w:ascii="Arial Narrow" w:eastAsiaTheme="majorEastAsia" w:hAnsi="Arial Narrow" w:cs="Times New Roman"/>
                <w:bCs/>
                <w:sz w:val="20"/>
              </w:rPr>
              <w:t>Vaxelis</w:t>
            </w:r>
            <w:proofErr w:type="spellEnd"/>
            <w:r w:rsidRPr="0022027D">
              <w:rPr>
                <w:rFonts w:ascii="Arial Narrow" w:eastAsiaTheme="majorEastAsia" w:hAnsi="Arial Narrow" w:cs="Times New Roman"/>
                <w:bCs/>
                <w:sz w:val="20"/>
              </w:rPr>
              <w:t xml:space="preserve"> will provide non-inferior comparative effectiveness and safety to Infanrix </w:t>
            </w:r>
            <w:proofErr w:type="spellStart"/>
            <w:r w:rsidR="00AE2917">
              <w:rPr>
                <w:rFonts w:ascii="Arial Narrow" w:eastAsiaTheme="majorEastAsia" w:hAnsi="Arial Narrow" w:cs="Times New Roman"/>
                <w:bCs/>
                <w:sz w:val="20"/>
              </w:rPr>
              <w:t>Hexa</w:t>
            </w:r>
            <w:proofErr w:type="spellEnd"/>
            <w:r w:rsidRPr="0022027D">
              <w:rPr>
                <w:rFonts w:ascii="Arial Narrow" w:eastAsiaTheme="majorEastAsia" w:hAnsi="Arial Narrow" w:cs="Times New Roman"/>
                <w:bCs/>
                <w:sz w:val="20"/>
              </w:rPr>
              <w:t xml:space="preserve">. </w:t>
            </w:r>
          </w:p>
          <w:p w14:paraId="4F1753BA" w14:textId="52F5834D" w:rsidR="00772731" w:rsidRPr="0022027D" w:rsidRDefault="00772731" w:rsidP="00F87292">
            <w:pPr>
              <w:keepNext/>
              <w:jc w:val="left"/>
              <w:rPr>
                <w:rFonts w:ascii="Arial Narrow" w:eastAsiaTheme="majorEastAsia" w:hAnsi="Arial Narrow" w:cs="Times New Roman"/>
                <w:bCs/>
                <w:sz w:val="20"/>
              </w:rPr>
            </w:pPr>
            <w:r w:rsidRPr="0022027D">
              <w:rPr>
                <w:rFonts w:ascii="Arial Narrow" w:eastAsiaTheme="majorEastAsia" w:hAnsi="Arial Narrow" w:cs="Times New Roman"/>
                <w:bCs/>
                <w:sz w:val="20"/>
              </w:rPr>
              <w:t>Although clinical trial evidence is limited</w:t>
            </w:r>
            <w:r w:rsidR="00AD072C">
              <w:rPr>
                <w:rFonts w:ascii="Arial Narrow" w:eastAsiaTheme="majorEastAsia" w:hAnsi="Arial Narrow" w:cs="Times New Roman"/>
                <w:bCs/>
                <w:sz w:val="20"/>
              </w:rPr>
              <w:t xml:space="preserve"> for the proposed catch-up population (children less than 10 years of age)</w:t>
            </w:r>
            <w:r w:rsidRPr="0022027D">
              <w:rPr>
                <w:rFonts w:ascii="Arial Narrow" w:eastAsiaTheme="majorEastAsia" w:hAnsi="Arial Narrow" w:cs="Times New Roman"/>
                <w:bCs/>
                <w:sz w:val="20"/>
              </w:rPr>
              <w:t>, it is reasonable to extrapolate this non-inferiority to the proposed catch-up setting</w:t>
            </w:r>
            <w:r w:rsidR="00BC4B7E">
              <w:rPr>
                <w:rFonts w:ascii="Arial Narrow" w:eastAsiaTheme="majorEastAsia" w:hAnsi="Arial Narrow" w:cs="Times New Roman"/>
                <w:bCs/>
                <w:sz w:val="20"/>
              </w:rPr>
              <w:t xml:space="preserve"> based on biological plausibility and </w:t>
            </w:r>
            <w:proofErr w:type="gramStart"/>
            <w:r w:rsidR="00BC4B7E">
              <w:rPr>
                <w:rFonts w:ascii="Arial Narrow" w:eastAsiaTheme="majorEastAsia" w:hAnsi="Arial Narrow" w:cs="Times New Roman"/>
                <w:bCs/>
                <w:sz w:val="20"/>
              </w:rPr>
              <w:t>real world</w:t>
            </w:r>
            <w:proofErr w:type="gramEnd"/>
            <w:r w:rsidR="00BC4B7E">
              <w:rPr>
                <w:rFonts w:ascii="Arial Narrow" w:eastAsiaTheme="majorEastAsia" w:hAnsi="Arial Narrow" w:cs="Times New Roman"/>
                <w:bCs/>
                <w:sz w:val="20"/>
              </w:rPr>
              <w:t xml:space="preserve"> experience</w:t>
            </w:r>
            <w:r w:rsidRPr="0022027D">
              <w:rPr>
                <w:rFonts w:ascii="Arial Narrow" w:eastAsiaTheme="majorEastAsia" w:hAnsi="Arial Narrow" w:cs="Times New Roman"/>
                <w:bCs/>
                <w:sz w:val="20"/>
              </w:rPr>
              <w:t>.</w:t>
            </w:r>
          </w:p>
        </w:tc>
      </w:tr>
    </w:tbl>
    <w:p w14:paraId="41068410" w14:textId="77777777" w:rsidR="00772731" w:rsidRDefault="00772731" w:rsidP="00772731">
      <w:pPr>
        <w:pStyle w:val="TableFigureFooter"/>
      </w:pPr>
      <w:r>
        <w:t>Source: Table 1-1, p12 of the submission.</w:t>
      </w:r>
    </w:p>
    <w:p w14:paraId="32051F1F" w14:textId="7F53B5D2" w:rsidR="00772731" w:rsidRDefault="00772731" w:rsidP="00772731">
      <w:pPr>
        <w:pStyle w:val="TableFigureFooter"/>
      </w:pPr>
      <w:proofErr w:type="spellStart"/>
      <w:r>
        <w:t>DTPa</w:t>
      </w:r>
      <w:proofErr w:type="spellEnd"/>
      <w:r w:rsidR="00791F28">
        <w:t xml:space="preserve"> </w:t>
      </w:r>
      <w:r>
        <w:t>=</w:t>
      </w:r>
      <w:r w:rsidR="00791F28">
        <w:t xml:space="preserve"> </w:t>
      </w:r>
      <w:r>
        <w:t>tetanus, diphtheria, acellular pertussis; HB</w:t>
      </w:r>
      <w:r w:rsidR="00791F28">
        <w:t xml:space="preserve"> = </w:t>
      </w:r>
      <w:r>
        <w:t>hepatitis B; IPV</w:t>
      </w:r>
      <w:r w:rsidR="00791F28">
        <w:t xml:space="preserve"> </w:t>
      </w:r>
      <w:r>
        <w:t>=</w:t>
      </w:r>
      <w:r w:rsidR="00791F28">
        <w:t xml:space="preserve"> </w:t>
      </w:r>
      <w:r>
        <w:t>inactivated polio virus; Hib</w:t>
      </w:r>
      <w:r w:rsidR="00791F28">
        <w:t xml:space="preserve"> </w:t>
      </w:r>
      <w:r>
        <w:t xml:space="preserve">= </w:t>
      </w:r>
      <w:r w:rsidRPr="0022027D">
        <w:rPr>
          <w:i/>
        </w:rPr>
        <w:t>Haemophilus Influenzae</w:t>
      </w:r>
      <w:r>
        <w:t xml:space="preserve"> type B</w:t>
      </w:r>
    </w:p>
    <w:p w14:paraId="0987C2C7" w14:textId="77777777" w:rsidR="00772731" w:rsidRPr="00407F2D" w:rsidRDefault="00772731" w:rsidP="00772731">
      <w:pPr>
        <w:pStyle w:val="2-SectionHeading"/>
      </w:pPr>
      <w:bookmarkStart w:id="5" w:name="_Toc93503667"/>
      <w:r w:rsidRPr="00407F2D">
        <w:lastRenderedPageBreak/>
        <w:t>Background</w:t>
      </w:r>
      <w:bookmarkEnd w:id="5"/>
    </w:p>
    <w:p w14:paraId="38480FF4" w14:textId="77777777" w:rsidR="00772731" w:rsidRPr="004151CF" w:rsidRDefault="00772731" w:rsidP="00772731">
      <w:pPr>
        <w:pStyle w:val="4-SubsectionHeading"/>
      </w:pPr>
      <w:bookmarkStart w:id="6" w:name="_Toc22897638"/>
      <w:bookmarkStart w:id="7" w:name="_Toc93503668"/>
      <w:r w:rsidRPr="004151CF">
        <w:t>Registration status</w:t>
      </w:r>
      <w:bookmarkEnd w:id="6"/>
      <w:bookmarkEnd w:id="7"/>
    </w:p>
    <w:p w14:paraId="3F98DE4E" w14:textId="74FA33A9" w:rsidR="00772731" w:rsidRPr="00257DEC" w:rsidRDefault="00B9077A" w:rsidP="00772731">
      <w:pPr>
        <w:pStyle w:val="3-BodyText"/>
      </w:pPr>
      <w:bookmarkStart w:id="8" w:name="_Hlk98504138"/>
      <w:bookmarkStart w:id="9" w:name="_Hlk98504147"/>
      <w:r w:rsidRPr="00147A5F">
        <w:rPr>
          <w:rFonts w:ascii="Calibri" w:eastAsia="Calibri" w:hAnsi="Calibri"/>
          <w:b/>
          <w:szCs w:val="22"/>
        </w:rPr>
        <w:t xml:space="preserve">TGA status at time </w:t>
      </w:r>
      <w:bookmarkEnd w:id="8"/>
      <w:r w:rsidRPr="00147A5F">
        <w:rPr>
          <w:rFonts w:ascii="Calibri" w:eastAsia="Calibri" w:hAnsi="Calibri"/>
          <w:b/>
          <w:szCs w:val="22"/>
        </w:rPr>
        <w:t xml:space="preserve">of </w:t>
      </w:r>
      <w:r w:rsidR="00147A5F">
        <w:rPr>
          <w:rFonts w:ascii="Calibri" w:eastAsia="Calibri" w:hAnsi="Calibri"/>
          <w:b/>
          <w:szCs w:val="22"/>
        </w:rPr>
        <w:t>PBAC consideration</w:t>
      </w:r>
      <w:r w:rsidRPr="00147A5F">
        <w:rPr>
          <w:rFonts w:ascii="Calibri" w:eastAsia="Calibri" w:hAnsi="Calibri"/>
          <w:szCs w:val="22"/>
        </w:rPr>
        <w:t>:</w:t>
      </w:r>
      <w:r w:rsidRPr="00A428A3">
        <w:rPr>
          <w:rFonts w:ascii="Calibri" w:eastAsia="Calibri" w:hAnsi="Calibri"/>
          <w:szCs w:val="22"/>
        </w:rPr>
        <w:t xml:space="preserve"> </w:t>
      </w:r>
      <w:proofErr w:type="spellStart"/>
      <w:r w:rsidR="001C05B9">
        <w:t>Vaxelis</w:t>
      </w:r>
      <w:proofErr w:type="spellEnd"/>
      <w:r w:rsidR="001C05B9">
        <w:t xml:space="preserve"> is not registered as a primary vaccine course in infants</w:t>
      </w:r>
      <w:r w:rsidR="0009180C">
        <w:t xml:space="preserve"> or </w:t>
      </w:r>
      <w:proofErr w:type="gramStart"/>
      <w:r w:rsidR="0009180C">
        <w:t>catch up</w:t>
      </w:r>
      <w:proofErr w:type="gramEnd"/>
      <w:r w:rsidR="0009180C">
        <w:t xml:space="preserve"> vaccine in children</w:t>
      </w:r>
      <w:r w:rsidR="00A0130C">
        <w:t>, and t</w:t>
      </w:r>
      <w:r w:rsidR="00772731" w:rsidRPr="004E18E9">
        <w:t xml:space="preserve">he submission was made under the TGA/PBAC Parallel </w:t>
      </w:r>
      <w:r w:rsidR="00772731" w:rsidRPr="00257DEC">
        <w:t xml:space="preserve">Process. The proposed TGA indication </w:t>
      </w:r>
      <w:r w:rsidR="00A428A3" w:rsidRPr="00257DEC">
        <w:t xml:space="preserve">is </w:t>
      </w:r>
      <w:r w:rsidR="00772731" w:rsidRPr="00257DEC">
        <w:t>as follows:</w:t>
      </w:r>
    </w:p>
    <w:bookmarkEnd w:id="9"/>
    <w:p w14:paraId="410D3F53" w14:textId="6BC37B56" w:rsidR="00736D64" w:rsidRDefault="00772731" w:rsidP="00736D64">
      <w:pPr>
        <w:pStyle w:val="3-BodyText"/>
        <w:numPr>
          <w:ilvl w:val="0"/>
          <w:numId w:val="0"/>
        </w:numPr>
        <w:ind w:left="1440"/>
      </w:pPr>
      <w:proofErr w:type="spellStart"/>
      <w:r w:rsidRPr="00257DEC">
        <w:t>Vaxelis</w:t>
      </w:r>
      <w:proofErr w:type="spellEnd"/>
      <w:r w:rsidRPr="00257DEC">
        <w:t xml:space="preserve"> (</w:t>
      </w:r>
      <w:proofErr w:type="spellStart"/>
      <w:r w:rsidRPr="00257DEC">
        <w:t>DTP</w:t>
      </w:r>
      <w:r w:rsidR="00430E60" w:rsidRPr="00257DEC">
        <w:t>a</w:t>
      </w:r>
      <w:proofErr w:type="spellEnd"/>
      <w:r w:rsidRPr="00257DEC">
        <w:t xml:space="preserve">-HB-IPV-Hib) is indicated for primary and booster vaccination in infants and toddlers from the age of 6 weeks, against diphtheria, tetanus, pertussis, hepatitis B, poliomyelitis and invasive diseases caused by </w:t>
      </w:r>
      <w:r w:rsidRPr="00257DEC">
        <w:rPr>
          <w:i/>
        </w:rPr>
        <w:t>Haemophilus influenzae</w:t>
      </w:r>
      <w:r w:rsidRPr="00257DEC">
        <w:t xml:space="preserve"> type b (Hib).</w:t>
      </w:r>
      <w:r w:rsidRPr="00D67489">
        <w:t xml:space="preserve"> The use of </w:t>
      </w:r>
      <w:proofErr w:type="spellStart"/>
      <w:r w:rsidRPr="00D67489">
        <w:t>Vaxelis</w:t>
      </w:r>
      <w:proofErr w:type="spellEnd"/>
      <w:r w:rsidRPr="00D67489">
        <w:t xml:space="preserve"> should be in accordance with official recommendations</w:t>
      </w:r>
      <w:r>
        <w:t>.</w:t>
      </w:r>
    </w:p>
    <w:p w14:paraId="4A68837E" w14:textId="1BD506B2" w:rsidR="0023596C" w:rsidRDefault="0023596C" w:rsidP="00505CF7">
      <w:pPr>
        <w:pStyle w:val="3-BodyText"/>
      </w:pPr>
      <w:r>
        <w:t xml:space="preserve">The </w:t>
      </w:r>
      <w:r w:rsidR="003854B2">
        <w:t>TGA Delegate noted</w:t>
      </w:r>
      <w:r w:rsidR="00505CF7">
        <w:t xml:space="preserve"> in the Delegate’s Overview</w:t>
      </w:r>
      <w:r w:rsidR="003854B2">
        <w:t xml:space="preserve"> that </w:t>
      </w:r>
      <w:r w:rsidR="00400780">
        <w:t>a</w:t>
      </w:r>
      <w:r w:rsidR="00400780" w:rsidRPr="00400780">
        <w:t>ll predefined acceptability of response targets and non-inferior immunogenicity criteria</w:t>
      </w:r>
      <w:r w:rsidR="00400780">
        <w:t xml:space="preserve"> </w:t>
      </w:r>
      <w:r w:rsidR="00400780" w:rsidRPr="00400780">
        <w:t xml:space="preserve">were satisfactorily met </w:t>
      </w:r>
      <w:r w:rsidR="00400780">
        <w:t>and that t</w:t>
      </w:r>
      <w:r w:rsidR="00400780" w:rsidRPr="00400780">
        <w:t>he overall adverse effects profile was consistent with that</w:t>
      </w:r>
      <w:r w:rsidR="00400780">
        <w:t xml:space="preserve"> </w:t>
      </w:r>
      <w:r w:rsidR="00400780" w:rsidRPr="00400780">
        <w:t xml:space="preserve">expected of a </w:t>
      </w:r>
      <w:proofErr w:type="spellStart"/>
      <w:r w:rsidR="00400780" w:rsidRPr="00400780">
        <w:t>DTPa</w:t>
      </w:r>
      <w:proofErr w:type="spellEnd"/>
      <w:r w:rsidR="00400780" w:rsidRPr="00400780">
        <w:t>-HB-IPV-</w:t>
      </w:r>
      <w:proofErr w:type="spellStart"/>
      <w:r w:rsidR="00400780" w:rsidRPr="00400780">
        <w:t>HiB</w:t>
      </w:r>
      <w:proofErr w:type="spellEnd"/>
      <w:r w:rsidR="00400780" w:rsidRPr="00400780">
        <w:t xml:space="preserve"> vaccine.</w:t>
      </w:r>
      <w:r w:rsidR="0006534A">
        <w:t xml:space="preserve"> The TGA Delegate considered that the data supported the</w:t>
      </w:r>
      <w:r w:rsidR="007C5E6E">
        <w:t xml:space="preserve"> proposed</w:t>
      </w:r>
      <w:r w:rsidR="0006534A">
        <w:t xml:space="preserve"> indication</w:t>
      </w:r>
      <w:r w:rsidR="001B2410">
        <w:t xml:space="preserve"> and vaccination schedule</w:t>
      </w:r>
      <w:r w:rsidR="007C5E6E">
        <w:t>.</w:t>
      </w:r>
    </w:p>
    <w:p w14:paraId="2FFE225D" w14:textId="466F4643" w:rsidR="00736D64" w:rsidRDefault="00736D64" w:rsidP="00736D64">
      <w:pPr>
        <w:pStyle w:val="3-BodyText"/>
        <w:numPr>
          <w:ilvl w:val="0"/>
          <w:numId w:val="0"/>
        </w:numPr>
        <w:ind w:left="720"/>
      </w:pPr>
    </w:p>
    <w:p w14:paraId="0329CE40" w14:textId="77777777" w:rsidR="00772731" w:rsidRPr="00882085" w:rsidRDefault="00772731" w:rsidP="00772731">
      <w:pPr>
        <w:pStyle w:val="2-SectionHeading"/>
      </w:pPr>
      <w:bookmarkStart w:id="10" w:name="_Toc93503669"/>
      <w:r w:rsidRPr="00407F2D">
        <w:lastRenderedPageBreak/>
        <w:t>Requested listing</w:t>
      </w:r>
      <w:bookmarkEnd w:id="10"/>
    </w:p>
    <w:p w14:paraId="5B743B28" w14:textId="77777777" w:rsidR="007004B8" w:rsidRDefault="007004B8" w:rsidP="007004B8">
      <w:pPr>
        <w:pStyle w:val="TableFigureHeading"/>
        <w:rPr>
          <w:rFonts w:asciiTheme="minorHAnsi" w:hAnsiTheme="minorHAnsi" w:cstheme="minorHAnsi"/>
        </w:rPr>
      </w:pPr>
      <w:r w:rsidRPr="000F2686">
        <w:t>Requested listing on the National Immunisation Program</w:t>
      </w:r>
      <w:r>
        <w:t>.</w:t>
      </w:r>
    </w:p>
    <w:tbl>
      <w:tblPr>
        <w:tblStyle w:val="TableGrid"/>
        <w:tblW w:w="9028" w:type="dxa"/>
        <w:tblLayout w:type="fixed"/>
        <w:tblLook w:val="01E0" w:firstRow="1" w:lastRow="1" w:firstColumn="1" w:lastColumn="1" w:noHBand="0" w:noVBand="0"/>
      </w:tblPr>
      <w:tblGrid>
        <w:gridCol w:w="1613"/>
        <w:gridCol w:w="1649"/>
        <w:gridCol w:w="1138"/>
        <w:gridCol w:w="1740"/>
        <w:gridCol w:w="1337"/>
        <w:gridCol w:w="1551"/>
      </w:tblGrid>
      <w:tr w:rsidR="007004B8" w:rsidRPr="00756DEC" w14:paraId="60FCEBDC" w14:textId="77777777" w:rsidTr="00655C5C">
        <w:trPr>
          <w:trHeight w:val="234"/>
        </w:trPr>
        <w:tc>
          <w:tcPr>
            <w:tcW w:w="9028" w:type="dxa"/>
            <w:gridSpan w:val="6"/>
          </w:tcPr>
          <w:p w14:paraId="05C77BC6" w14:textId="634B9FAC" w:rsidR="00AF2884" w:rsidRDefault="007004B8" w:rsidP="00555ACB">
            <w:pPr>
              <w:pStyle w:val="TableText0"/>
              <w:rPr>
                <w:b/>
              </w:rPr>
            </w:pPr>
            <w:proofErr w:type="spellStart"/>
            <w:r w:rsidRPr="00756DEC">
              <w:rPr>
                <w:b/>
              </w:rPr>
              <w:t>Vaxelis</w:t>
            </w:r>
            <w:proofErr w:type="spellEnd"/>
            <w:r w:rsidRPr="00756DEC">
              <w:rPr>
                <w:b/>
              </w:rPr>
              <w:t xml:space="preserve"> </w:t>
            </w:r>
            <w:r w:rsidR="00E241BA">
              <w:rPr>
                <w:b/>
              </w:rPr>
              <w:t>(</w:t>
            </w:r>
            <w:r w:rsidR="00E241BA" w:rsidRPr="00E241BA">
              <w:rPr>
                <w:b/>
              </w:rPr>
              <w:t>DTPA-HB-IPV-HIB</w:t>
            </w:r>
            <w:r w:rsidR="00E241BA">
              <w:rPr>
                <w:b/>
              </w:rPr>
              <w:t xml:space="preserve"> (PRP-OMPC)</w:t>
            </w:r>
            <w:r w:rsidR="00555ACB">
              <w:rPr>
                <w:b/>
              </w:rPr>
              <w:t xml:space="preserve">, </w:t>
            </w:r>
            <w:r w:rsidR="00555ACB" w:rsidRPr="00555ACB">
              <w:rPr>
                <w:b/>
              </w:rPr>
              <w:t xml:space="preserve">5mL pre-filled </w:t>
            </w:r>
            <w:proofErr w:type="spellStart"/>
            <w:r w:rsidR="00555ACB" w:rsidRPr="00555ACB">
              <w:rPr>
                <w:b/>
              </w:rPr>
              <w:t>Luer</w:t>
            </w:r>
            <w:proofErr w:type="spellEnd"/>
            <w:r w:rsidR="00555ACB" w:rsidRPr="00555ACB">
              <w:rPr>
                <w:b/>
              </w:rPr>
              <w:t>-Lock syringe</w:t>
            </w:r>
            <w:r w:rsidR="00AF2884">
              <w:rPr>
                <w:b/>
              </w:rPr>
              <w:t>.</w:t>
            </w:r>
          </w:p>
          <w:p w14:paraId="150E4F17" w14:textId="06B2C94F" w:rsidR="007004B8" w:rsidRPr="00756DEC" w:rsidRDefault="00AF2884" w:rsidP="00555ACB">
            <w:pPr>
              <w:pStyle w:val="TableText0"/>
              <w:rPr>
                <w:b/>
              </w:rPr>
            </w:pPr>
            <w:r>
              <w:rPr>
                <w:b/>
              </w:rPr>
              <w:t xml:space="preserve">NIP listing: </w:t>
            </w:r>
            <w:r w:rsidR="00555ACB" w:rsidRPr="00555ACB">
              <w:rPr>
                <w:b/>
              </w:rPr>
              <w:t xml:space="preserve">Primary </w:t>
            </w:r>
            <w:proofErr w:type="spellStart"/>
            <w:r w:rsidR="00555ACB" w:rsidRPr="00555ACB">
              <w:rPr>
                <w:b/>
              </w:rPr>
              <w:t>vaccination</w:t>
            </w:r>
            <w:r w:rsidR="00555ACB">
              <w:rPr>
                <w:b/>
                <w:vertAlign w:val="superscript"/>
              </w:rPr>
              <w:t>a</w:t>
            </w:r>
            <w:proofErr w:type="spellEnd"/>
            <w:r w:rsidR="00555ACB" w:rsidRPr="00555ACB">
              <w:rPr>
                <w:b/>
              </w:rPr>
              <w:t xml:space="preserve"> series at 2, 4 and 6 months of age, and </w:t>
            </w:r>
            <w:proofErr w:type="gramStart"/>
            <w:r w:rsidR="00555ACB" w:rsidRPr="00555ACB">
              <w:rPr>
                <w:b/>
              </w:rPr>
              <w:t>catch up</w:t>
            </w:r>
            <w:proofErr w:type="gramEnd"/>
            <w:r w:rsidR="00555ACB" w:rsidRPr="00555ACB">
              <w:rPr>
                <w:b/>
              </w:rPr>
              <w:t xml:space="preserve"> immunisation of unvaccinated chi</w:t>
            </w:r>
            <w:r w:rsidR="00555ACB">
              <w:rPr>
                <w:b/>
              </w:rPr>
              <w:t>ldren less than 10 years of age.</w:t>
            </w:r>
          </w:p>
        </w:tc>
      </w:tr>
      <w:tr w:rsidR="007004B8" w:rsidRPr="00756DEC" w14:paraId="0F30D3B8" w14:textId="77777777" w:rsidTr="007004B8">
        <w:trPr>
          <w:trHeight w:val="619"/>
        </w:trPr>
        <w:tc>
          <w:tcPr>
            <w:tcW w:w="1613" w:type="dxa"/>
          </w:tcPr>
          <w:p w14:paraId="61F15433" w14:textId="77777777" w:rsidR="007004B8" w:rsidRPr="00756DEC" w:rsidRDefault="007004B8" w:rsidP="00655C5C">
            <w:pPr>
              <w:pStyle w:val="TableText0"/>
              <w:rPr>
                <w:b/>
              </w:rPr>
            </w:pPr>
            <w:r w:rsidRPr="00756DEC">
              <w:rPr>
                <w:b/>
              </w:rPr>
              <w:t>Population requested</w:t>
            </w:r>
          </w:p>
        </w:tc>
        <w:tc>
          <w:tcPr>
            <w:tcW w:w="1649" w:type="dxa"/>
          </w:tcPr>
          <w:p w14:paraId="02381D58" w14:textId="77777777" w:rsidR="007004B8" w:rsidRPr="00756DEC" w:rsidRDefault="007004B8" w:rsidP="00655C5C">
            <w:pPr>
              <w:pStyle w:val="TableText0"/>
              <w:rPr>
                <w:b/>
              </w:rPr>
            </w:pPr>
            <w:r w:rsidRPr="00756DEC">
              <w:rPr>
                <w:b/>
              </w:rPr>
              <w:t>Number of doses, timing (primary</w:t>
            </w:r>
          </w:p>
          <w:p w14:paraId="3DCA7343" w14:textId="77777777" w:rsidR="007004B8" w:rsidRPr="00756DEC" w:rsidRDefault="007004B8" w:rsidP="00655C5C">
            <w:pPr>
              <w:pStyle w:val="TableText0"/>
              <w:rPr>
                <w:b/>
              </w:rPr>
            </w:pPr>
            <w:r w:rsidRPr="00756DEC">
              <w:rPr>
                <w:b/>
              </w:rPr>
              <w:t>series)</w:t>
            </w:r>
          </w:p>
        </w:tc>
        <w:tc>
          <w:tcPr>
            <w:tcW w:w="1138" w:type="dxa"/>
          </w:tcPr>
          <w:p w14:paraId="1AB4B752" w14:textId="77777777" w:rsidR="007004B8" w:rsidRPr="00756DEC" w:rsidRDefault="007004B8" w:rsidP="00655C5C">
            <w:pPr>
              <w:pStyle w:val="TableText0"/>
              <w:rPr>
                <w:b/>
              </w:rPr>
            </w:pPr>
            <w:r w:rsidRPr="00756DEC">
              <w:rPr>
                <w:b/>
              </w:rPr>
              <w:t>Booster frequency</w:t>
            </w:r>
          </w:p>
        </w:tc>
        <w:tc>
          <w:tcPr>
            <w:tcW w:w="1740" w:type="dxa"/>
          </w:tcPr>
          <w:p w14:paraId="21E99770" w14:textId="77777777" w:rsidR="007004B8" w:rsidRPr="00756DEC" w:rsidRDefault="007004B8" w:rsidP="00655C5C">
            <w:pPr>
              <w:pStyle w:val="TableText0"/>
              <w:rPr>
                <w:b/>
              </w:rPr>
            </w:pPr>
            <w:r w:rsidRPr="00756DEC">
              <w:rPr>
                <w:b/>
              </w:rPr>
              <w:t>Program setting (all that apply)</w:t>
            </w:r>
          </w:p>
        </w:tc>
        <w:tc>
          <w:tcPr>
            <w:tcW w:w="1337" w:type="dxa"/>
          </w:tcPr>
          <w:p w14:paraId="19636494" w14:textId="77777777" w:rsidR="007004B8" w:rsidRPr="00756DEC" w:rsidRDefault="007004B8" w:rsidP="00655C5C">
            <w:pPr>
              <w:pStyle w:val="TableText0"/>
              <w:rPr>
                <w:b/>
              </w:rPr>
            </w:pPr>
            <w:r w:rsidRPr="00756DEC">
              <w:rPr>
                <w:b/>
              </w:rPr>
              <w:t>Implications for other NIP</w:t>
            </w:r>
          </w:p>
          <w:p w14:paraId="151640C9" w14:textId="77777777" w:rsidR="007004B8" w:rsidRPr="00756DEC" w:rsidRDefault="007004B8" w:rsidP="00655C5C">
            <w:pPr>
              <w:pStyle w:val="TableText0"/>
              <w:rPr>
                <w:b/>
              </w:rPr>
            </w:pPr>
            <w:r w:rsidRPr="00756DEC">
              <w:rPr>
                <w:b/>
              </w:rPr>
              <w:t>vaccines</w:t>
            </w:r>
          </w:p>
        </w:tc>
        <w:tc>
          <w:tcPr>
            <w:tcW w:w="1551" w:type="dxa"/>
          </w:tcPr>
          <w:p w14:paraId="11C00948" w14:textId="204B6BAE" w:rsidR="007004B8" w:rsidRPr="00756DEC" w:rsidRDefault="007004B8" w:rsidP="00655C5C">
            <w:pPr>
              <w:pStyle w:val="TableText0"/>
              <w:rPr>
                <w:b/>
              </w:rPr>
            </w:pPr>
            <w:r w:rsidRPr="00756DEC">
              <w:rPr>
                <w:b/>
              </w:rPr>
              <w:t xml:space="preserve">Price per </w:t>
            </w:r>
            <w:r w:rsidR="0028114B">
              <w:rPr>
                <w:b/>
              </w:rPr>
              <w:t>d</w:t>
            </w:r>
            <w:r w:rsidRPr="00756DEC">
              <w:rPr>
                <w:b/>
              </w:rPr>
              <w:t>ose</w:t>
            </w:r>
          </w:p>
        </w:tc>
      </w:tr>
      <w:tr w:rsidR="007004B8" w:rsidRPr="00756DEC" w14:paraId="284E2AAF" w14:textId="77777777" w:rsidTr="00AF2884">
        <w:trPr>
          <w:trHeight w:val="1319"/>
        </w:trPr>
        <w:tc>
          <w:tcPr>
            <w:tcW w:w="1613" w:type="dxa"/>
          </w:tcPr>
          <w:p w14:paraId="5A634724" w14:textId="086EC8C2" w:rsidR="007004B8" w:rsidRPr="00756DEC" w:rsidRDefault="007004B8" w:rsidP="00AF2884">
            <w:pPr>
              <w:pStyle w:val="TableText0"/>
            </w:pPr>
            <w:r w:rsidRPr="00756DEC">
              <w:t xml:space="preserve">All infants from 6 weeks of age regardless of medical risk factors or </w:t>
            </w:r>
            <w:r w:rsidR="0028114B">
              <w:t>i</w:t>
            </w:r>
            <w:r w:rsidRPr="00756DEC">
              <w:t>ndigenous</w:t>
            </w:r>
            <w:r w:rsidR="00AF2884">
              <w:t xml:space="preserve"> </w:t>
            </w:r>
            <w:r w:rsidRPr="00756DEC">
              <w:t>status</w:t>
            </w:r>
          </w:p>
        </w:tc>
        <w:tc>
          <w:tcPr>
            <w:tcW w:w="1649" w:type="dxa"/>
          </w:tcPr>
          <w:p w14:paraId="61F23316" w14:textId="765D415E" w:rsidR="007004B8" w:rsidRPr="00756DEC" w:rsidRDefault="007004B8" w:rsidP="007004B8">
            <w:pPr>
              <w:pStyle w:val="TableText0"/>
            </w:pPr>
            <w:r w:rsidRPr="00756DEC">
              <w:t>3 doses (primary series) in the current schedule at 2,4</w:t>
            </w:r>
            <w:r>
              <w:t xml:space="preserve"> </w:t>
            </w:r>
            <w:r w:rsidRPr="00756DEC">
              <w:t>and 6 months</w:t>
            </w:r>
          </w:p>
        </w:tc>
        <w:tc>
          <w:tcPr>
            <w:tcW w:w="1138" w:type="dxa"/>
          </w:tcPr>
          <w:p w14:paraId="239EB3A7" w14:textId="77777777" w:rsidR="007004B8" w:rsidRPr="00756DEC" w:rsidRDefault="007004B8" w:rsidP="00655C5C">
            <w:pPr>
              <w:pStyle w:val="TableText0"/>
            </w:pPr>
            <w:r w:rsidRPr="00756DEC">
              <w:t>Not requested</w:t>
            </w:r>
          </w:p>
        </w:tc>
        <w:tc>
          <w:tcPr>
            <w:tcW w:w="1740" w:type="dxa"/>
          </w:tcPr>
          <w:p w14:paraId="1A5ECD49" w14:textId="77777777" w:rsidR="007004B8" w:rsidRPr="00756DEC" w:rsidRDefault="007004B8" w:rsidP="00655C5C">
            <w:pPr>
              <w:pStyle w:val="TableText0"/>
            </w:pPr>
            <w:r w:rsidRPr="00756DEC">
              <w:t>GPs OR treating specialist OR child/community health clinic</w:t>
            </w:r>
          </w:p>
        </w:tc>
        <w:tc>
          <w:tcPr>
            <w:tcW w:w="1337" w:type="dxa"/>
          </w:tcPr>
          <w:p w14:paraId="41F6252A" w14:textId="77777777" w:rsidR="007004B8" w:rsidRPr="00756DEC" w:rsidRDefault="007004B8" w:rsidP="00655C5C">
            <w:pPr>
              <w:pStyle w:val="TableText0"/>
            </w:pPr>
            <w:r w:rsidRPr="00756DEC">
              <w:t>Unchanged (alternative brand only)</w:t>
            </w:r>
          </w:p>
        </w:tc>
        <w:tc>
          <w:tcPr>
            <w:tcW w:w="1551" w:type="dxa"/>
          </w:tcPr>
          <w:p w14:paraId="64B5AA2B" w14:textId="1BECBBEA" w:rsidR="007004B8" w:rsidRPr="00756DEC" w:rsidRDefault="007004B8" w:rsidP="00AF2884">
            <w:pPr>
              <w:pStyle w:val="TableText0"/>
            </w:pPr>
            <w:r w:rsidRPr="00756DEC">
              <w:t xml:space="preserve">To be advised based on Nationally Negotiated Price for the Infanrix </w:t>
            </w:r>
            <w:proofErr w:type="spellStart"/>
            <w:r w:rsidRPr="00756DEC">
              <w:t>Hexa</w:t>
            </w:r>
            <w:proofErr w:type="spellEnd"/>
            <w:r w:rsidR="00AF2884">
              <w:t xml:space="preserve"> </w:t>
            </w:r>
            <w:r w:rsidRPr="00756DEC">
              <w:t>comparator</w:t>
            </w:r>
          </w:p>
        </w:tc>
      </w:tr>
      <w:tr w:rsidR="007004B8" w:rsidRPr="00756DEC" w14:paraId="48BD07E6" w14:textId="77777777" w:rsidTr="007004B8">
        <w:trPr>
          <w:trHeight w:val="3684"/>
        </w:trPr>
        <w:tc>
          <w:tcPr>
            <w:tcW w:w="1613" w:type="dxa"/>
          </w:tcPr>
          <w:p w14:paraId="59C8471A" w14:textId="77777777" w:rsidR="007004B8" w:rsidRPr="00756DEC" w:rsidRDefault="007004B8" w:rsidP="00655C5C">
            <w:pPr>
              <w:pStyle w:val="TableText0"/>
            </w:pPr>
            <w:r w:rsidRPr="00756DEC">
              <w:t>All children up to age 10 eligible for catch-up doses according to the ‘no jab no pay’ provisions in the NIP Determination which apply to items listed for use in infants</w:t>
            </w:r>
          </w:p>
        </w:tc>
        <w:tc>
          <w:tcPr>
            <w:tcW w:w="1649" w:type="dxa"/>
          </w:tcPr>
          <w:p w14:paraId="735C8DE1" w14:textId="7CFAEC1E" w:rsidR="007004B8" w:rsidRPr="00756DEC" w:rsidRDefault="007004B8" w:rsidP="00655C5C">
            <w:pPr>
              <w:pStyle w:val="TableText0"/>
            </w:pPr>
            <w:r w:rsidRPr="00756DEC">
              <w:t>In children aged &lt;10 years, the number of doses administered is influenced by the age at which they start catch-up vaccination, the number of doses needed</w:t>
            </w:r>
            <w:r w:rsidR="0031677C">
              <w:t>,</w:t>
            </w:r>
            <w:r w:rsidRPr="00756DEC">
              <w:t xml:space="preserve"> and the minimum intervals between doses according to the Australian Immunisation</w:t>
            </w:r>
          </w:p>
          <w:p w14:paraId="40BBDDFC" w14:textId="77777777" w:rsidR="007004B8" w:rsidRPr="00756DEC" w:rsidRDefault="007004B8" w:rsidP="00655C5C">
            <w:pPr>
              <w:pStyle w:val="TableText0"/>
            </w:pPr>
            <w:r w:rsidRPr="00756DEC">
              <w:t>Handbook.</w:t>
            </w:r>
          </w:p>
        </w:tc>
        <w:tc>
          <w:tcPr>
            <w:tcW w:w="1138" w:type="dxa"/>
          </w:tcPr>
          <w:p w14:paraId="023FE019" w14:textId="77777777" w:rsidR="007004B8" w:rsidRPr="00756DEC" w:rsidRDefault="007004B8" w:rsidP="00655C5C">
            <w:pPr>
              <w:pStyle w:val="TableText0"/>
            </w:pPr>
            <w:r w:rsidRPr="00756DEC">
              <w:t>Not requested</w:t>
            </w:r>
          </w:p>
        </w:tc>
        <w:tc>
          <w:tcPr>
            <w:tcW w:w="1740" w:type="dxa"/>
          </w:tcPr>
          <w:p w14:paraId="6784C07F" w14:textId="77777777" w:rsidR="007004B8" w:rsidRPr="00756DEC" w:rsidRDefault="007004B8" w:rsidP="00655C5C">
            <w:pPr>
              <w:pStyle w:val="TableText0"/>
            </w:pPr>
            <w:r w:rsidRPr="00756DEC">
              <w:t>GPs OR treating specialist OR child/community health clinic</w:t>
            </w:r>
          </w:p>
        </w:tc>
        <w:tc>
          <w:tcPr>
            <w:tcW w:w="1337" w:type="dxa"/>
          </w:tcPr>
          <w:p w14:paraId="6AD9C8CA" w14:textId="77777777" w:rsidR="007004B8" w:rsidRPr="00756DEC" w:rsidRDefault="007004B8" w:rsidP="00655C5C">
            <w:pPr>
              <w:pStyle w:val="TableText0"/>
            </w:pPr>
            <w:r w:rsidRPr="00756DEC">
              <w:t>Unchanged (alternative brand only)</w:t>
            </w:r>
          </w:p>
        </w:tc>
        <w:tc>
          <w:tcPr>
            <w:tcW w:w="1551" w:type="dxa"/>
          </w:tcPr>
          <w:p w14:paraId="3FF8D981" w14:textId="77777777" w:rsidR="007004B8" w:rsidRPr="00756DEC" w:rsidRDefault="007004B8" w:rsidP="00655C5C">
            <w:pPr>
              <w:pStyle w:val="TableText0"/>
            </w:pPr>
            <w:r w:rsidRPr="00756DEC">
              <w:t xml:space="preserve">To be advised based on Nationally Negotiated Price for the Infanrix </w:t>
            </w:r>
            <w:proofErr w:type="spellStart"/>
            <w:r w:rsidRPr="00756DEC">
              <w:t>Hexa</w:t>
            </w:r>
            <w:proofErr w:type="spellEnd"/>
            <w:r w:rsidRPr="00756DEC">
              <w:t xml:space="preserve"> comparator</w:t>
            </w:r>
          </w:p>
        </w:tc>
      </w:tr>
    </w:tbl>
    <w:p w14:paraId="16E4DAD3" w14:textId="77777777" w:rsidR="007004B8" w:rsidRPr="007004B8" w:rsidRDefault="007004B8" w:rsidP="007004B8">
      <w:pPr>
        <w:pStyle w:val="TableFooter"/>
      </w:pPr>
      <w:r w:rsidRPr="007004B8">
        <w:t xml:space="preserve">Source: p28, Section 3.2 of the ATAGI Pre-submission Advice for </w:t>
      </w:r>
      <w:proofErr w:type="spellStart"/>
      <w:r w:rsidRPr="007004B8">
        <w:t>Vaxelis</w:t>
      </w:r>
      <w:proofErr w:type="spellEnd"/>
      <w:r w:rsidRPr="007004B8">
        <w:t xml:space="preserve"> (Final version)</w:t>
      </w:r>
    </w:p>
    <w:p w14:paraId="64AB8314" w14:textId="1D186616" w:rsidR="007004B8" w:rsidRPr="007004B8" w:rsidRDefault="007004B8" w:rsidP="007004B8">
      <w:pPr>
        <w:pStyle w:val="TableFooter"/>
      </w:pPr>
      <w:proofErr w:type="spellStart"/>
      <w:r w:rsidRPr="007004B8">
        <w:rPr>
          <w:vertAlign w:val="superscript"/>
        </w:rPr>
        <w:t>a</w:t>
      </w:r>
      <w:r w:rsidRPr="007004B8">
        <w:t>The</w:t>
      </w:r>
      <w:proofErr w:type="spellEnd"/>
      <w:r w:rsidRPr="007004B8">
        <w:t xml:space="preserve"> ATAGI pre-submission advice noted that there was no evidence to support a mixed schedule. The 3-dose series should be given using either </w:t>
      </w:r>
      <w:proofErr w:type="spellStart"/>
      <w:r w:rsidRPr="007004B8">
        <w:t>Vaxelis</w:t>
      </w:r>
      <w:proofErr w:type="spellEnd"/>
      <w:r w:rsidRPr="007004B8">
        <w:t xml:space="preserve"> or Infanrix </w:t>
      </w:r>
      <w:proofErr w:type="spellStart"/>
      <w:r w:rsidR="0028114B">
        <w:t>H</w:t>
      </w:r>
      <w:r w:rsidRPr="007004B8">
        <w:t>exa</w:t>
      </w:r>
      <w:proofErr w:type="spellEnd"/>
      <w:r w:rsidRPr="007004B8">
        <w:t>.</w:t>
      </w:r>
    </w:p>
    <w:p w14:paraId="7BB75840" w14:textId="02074760" w:rsidR="00555ACB" w:rsidRPr="007004B8" w:rsidRDefault="007004B8" w:rsidP="00AF5BE1">
      <w:pPr>
        <w:pStyle w:val="TableFooter"/>
        <w:spacing w:after="120"/>
      </w:pPr>
      <w:r w:rsidRPr="007004B8">
        <w:t>GP</w:t>
      </w:r>
      <w:r w:rsidR="00791F28">
        <w:t xml:space="preserve"> </w:t>
      </w:r>
      <w:r w:rsidRPr="007004B8">
        <w:t>=</w:t>
      </w:r>
      <w:r w:rsidR="00791F28">
        <w:t xml:space="preserve"> </w:t>
      </w:r>
      <w:r w:rsidRPr="007004B8">
        <w:t>General practitioner; NIP</w:t>
      </w:r>
      <w:r w:rsidR="00791F28">
        <w:t xml:space="preserve"> </w:t>
      </w:r>
      <w:r w:rsidRPr="007004B8">
        <w:t>=</w:t>
      </w:r>
      <w:r w:rsidR="00791F28">
        <w:t xml:space="preserve"> </w:t>
      </w:r>
      <w:r w:rsidRPr="007004B8">
        <w:t>National Immunisation Program</w:t>
      </w:r>
      <w:r w:rsidR="00E241BA">
        <w:t xml:space="preserve">; </w:t>
      </w:r>
      <w:r w:rsidR="00555ACB">
        <w:t>PRP</w:t>
      </w:r>
      <w:r w:rsidR="00791F28">
        <w:t xml:space="preserve"> </w:t>
      </w:r>
      <w:r w:rsidR="00555ACB">
        <w:t>=</w:t>
      </w:r>
      <w:r w:rsidR="00555ACB" w:rsidRPr="00555ACB">
        <w:t xml:space="preserve"> </w:t>
      </w:r>
      <w:proofErr w:type="spellStart"/>
      <w:r w:rsidR="00555ACB" w:rsidRPr="00555ACB">
        <w:t>polyribosyl</w:t>
      </w:r>
      <w:proofErr w:type="spellEnd"/>
      <w:r w:rsidR="00555ACB" w:rsidRPr="00555ACB">
        <w:t>-</w:t>
      </w:r>
      <w:proofErr w:type="spellStart"/>
      <w:r w:rsidR="00555ACB" w:rsidRPr="00555ACB">
        <w:t>ribitol</w:t>
      </w:r>
      <w:proofErr w:type="spellEnd"/>
      <w:r w:rsidR="00555ACB" w:rsidRPr="00555ACB">
        <w:t>-phosphate</w:t>
      </w:r>
      <w:r w:rsidR="00555ACB">
        <w:t>;</w:t>
      </w:r>
      <w:r w:rsidR="00555ACB" w:rsidRPr="00555ACB">
        <w:t xml:space="preserve"> </w:t>
      </w:r>
      <w:r w:rsidR="00E241BA">
        <w:t>OMPC</w:t>
      </w:r>
      <w:r w:rsidR="00791F28">
        <w:t xml:space="preserve"> </w:t>
      </w:r>
      <w:r w:rsidR="00E241BA">
        <w:t>=</w:t>
      </w:r>
      <w:r w:rsidR="00791F28">
        <w:t xml:space="preserve"> </w:t>
      </w:r>
      <w:r w:rsidR="00E241BA">
        <w:t xml:space="preserve">Outer membrane </w:t>
      </w:r>
      <w:r w:rsidR="00E241BA" w:rsidRPr="00E241BA">
        <w:t xml:space="preserve">protein complex </w:t>
      </w:r>
      <w:r w:rsidR="00E241BA">
        <w:t>(</w:t>
      </w:r>
      <w:r w:rsidR="00E241BA" w:rsidRPr="00E241BA">
        <w:rPr>
          <w:i/>
        </w:rPr>
        <w:t>Neisseria meningitides</w:t>
      </w:r>
      <w:r w:rsidR="00E241BA">
        <w:t>)</w:t>
      </w:r>
      <w:r w:rsidR="00555ACB">
        <w:t>.</w:t>
      </w:r>
    </w:p>
    <w:p w14:paraId="14E9D8E8" w14:textId="1AE9D85A" w:rsidR="00702953" w:rsidRDefault="00702953" w:rsidP="00772731">
      <w:pPr>
        <w:pStyle w:val="3-BodyText"/>
      </w:pPr>
      <w:r>
        <w:t xml:space="preserve">The current NIP schedule includes a booster dose of </w:t>
      </w:r>
      <w:proofErr w:type="spellStart"/>
      <w:r>
        <w:t>DTPa</w:t>
      </w:r>
      <w:proofErr w:type="spellEnd"/>
      <w:r>
        <w:t xml:space="preserve"> and Hib vaccine to be administered at 18 months. </w:t>
      </w:r>
    </w:p>
    <w:p w14:paraId="2A5FA25D" w14:textId="5B256B51" w:rsidR="00772731" w:rsidRDefault="00772731" w:rsidP="00772731">
      <w:pPr>
        <w:pStyle w:val="3-BodyText"/>
      </w:pPr>
      <w:r w:rsidRPr="000D36BC">
        <w:t xml:space="preserve">The submission noted that the current NIP price of Infanrix </w:t>
      </w:r>
      <w:proofErr w:type="spellStart"/>
      <w:r w:rsidR="00AE2917">
        <w:t>H</w:t>
      </w:r>
      <w:r w:rsidRPr="000D36BC">
        <w:t>exa</w:t>
      </w:r>
      <w:proofErr w:type="spellEnd"/>
      <w:r w:rsidRPr="000D36BC">
        <w:t xml:space="preserve"> is confidential, and that upon receipt of a positive recommendation by PBAC, the Sponsor would endeavour to match the revealed NIP list price of Infanrix </w:t>
      </w:r>
      <w:proofErr w:type="spellStart"/>
      <w:r w:rsidR="00AE2917">
        <w:t>H</w:t>
      </w:r>
      <w:r w:rsidRPr="000D36BC">
        <w:t>exa</w:t>
      </w:r>
      <w:proofErr w:type="spellEnd"/>
      <w:r>
        <w:t xml:space="preserve">. </w:t>
      </w:r>
      <w:r w:rsidR="008054E4">
        <w:t>The submission</w:t>
      </w:r>
      <w:r w:rsidRPr="000D36BC">
        <w:t xml:space="preserve"> further assumed that the two vaccines would subsequently be included in a national procurement process.</w:t>
      </w:r>
      <w:r w:rsidR="00C12E55" w:rsidRPr="00C12E55">
        <w:rPr>
          <w:i/>
          <w:iCs/>
        </w:rPr>
        <w:t xml:space="preserve"> </w:t>
      </w:r>
      <w:r w:rsidR="00C12E55" w:rsidRPr="00245AE6">
        <w:rPr>
          <w:iCs/>
        </w:rPr>
        <w:t xml:space="preserve">The actual price paid for </w:t>
      </w:r>
      <w:proofErr w:type="spellStart"/>
      <w:r w:rsidR="00C12E55" w:rsidRPr="00245AE6">
        <w:rPr>
          <w:iCs/>
        </w:rPr>
        <w:t>Vaxelis</w:t>
      </w:r>
      <w:proofErr w:type="spellEnd"/>
      <w:r w:rsidR="00C12E55" w:rsidRPr="00245AE6">
        <w:rPr>
          <w:iCs/>
        </w:rPr>
        <w:t xml:space="preserve"> would depend on the outcome of the competitive tender process.</w:t>
      </w:r>
    </w:p>
    <w:p w14:paraId="0F3FE289" w14:textId="1441924E" w:rsidR="008054E4" w:rsidRDefault="008054E4" w:rsidP="00B426FA">
      <w:pPr>
        <w:pStyle w:val="3-BodyText"/>
      </w:pPr>
      <w:r>
        <w:t xml:space="preserve">No changes were proposed to the current catch-up program for </w:t>
      </w:r>
      <w:proofErr w:type="spellStart"/>
      <w:r>
        <w:t>DTPa</w:t>
      </w:r>
      <w:proofErr w:type="spellEnd"/>
      <w:r>
        <w:t xml:space="preserve">, </w:t>
      </w:r>
      <w:r w:rsidR="00693EF5">
        <w:t>H</w:t>
      </w:r>
      <w:r>
        <w:t>B, IPV, or Hib vaccines.</w:t>
      </w:r>
    </w:p>
    <w:p w14:paraId="31E4952A" w14:textId="45B03210" w:rsidR="00772731" w:rsidRPr="00245AE6" w:rsidRDefault="00C12E55" w:rsidP="00772731">
      <w:pPr>
        <w:pStyle w:val="3-BodyText"/>
      </w:pPr>
      <w:r w:rsidRPr="00245AE6">
        <w:t>The submission did not provide c</w:t>
      </w:r>
      <w:r w:rsidR="008054E4" w:rsidRPr="00245AE6">
        <w:t>l</w:t>
      </w:r>
      <w:r w:rsidR="00772731" w:rsidRPr="00245AE6">
        <w:t xml:space="preserve">inical evidence </w:t>
      </w:r>
      <w:r w:rsidR="008054E4" w:rsidRPr="00245AE6">
        <w:t xml:space="preserve">to support </w:t>
      </w:r>
      <w:r w:rsidR="00772731" w:rsidRPr="00245AE6">
        <w:t xml:space="preserve">interchangeability between </w:t>
      </w:r>
      <w:proofErr w:type="spellStart"/>
      <w:r w:rsidR="00772731" w:rsidRPr="00245AE6">
        <w:t>Vaxelis</w:t>
      </w:r>
      <w:proofErr w:type="spellEnd"/>
      <w:r w:rsidR="00772731" w:rsidRPr="00245AE6">
        <w:t xml:space="preserve"> and Infanrix </w:t>
      </w:r>
      <w:proofErr w:type="spellStart"/>
      <w:r w:rsidR="00AE2917">
        <w:t>H</w:t>
      </w:r>
      <w:r w:rsidR="00772731" w:rsidRPr="00245AE6">
        <w:t>exa</w:t>
      </w:r>
      <w:proofErr w:type="spellEnd"/>
      <w:r w:rsidR="00772731" w:rsidRPr="00245AE6">
        <w:t xml:space="preserve">. </w:t>
      </w:r>
      <w:r w:rsidR="00693EF5" w:rsidRPr="00245AE6">
        <w:t>The Australian Technical Advisory Group on Immunisation (</w:t>
      </w:r>
      <w:r w:rsidR="00772731" w:rsidRPr="00245AE6">
        <w:t>ATAGI</w:t>
      </w:r>
      <w:r w:rsidR="00693EF5" w:rsidRPr="00245AE6">
        <w:t>)</w:t>
      </w:r>
      <w:r w:rsidR="00772731" w:rsidRPr="00245AE6">
        <w:t xml:space="preserve"> consider</w:t>
      </w:r>
      <w:r w:rsidRPr="00245AE6">
        <w:t>ed</w:t>
      </w:r>
      <w:r w:rsidR="00772731" w:rsidRPr="00245AE6">
        <w:t xml:space="preserve"> that children who have commenced </w:t>
      </w:r>
      <w:proofErr w:type="spellStart"/>
      <w:r w:rsidR="00772731" w:rsidRPr="00245AE6">
        <w:t>Vaxelis</w:t>
      </w:r>
      <w:proofErr w:type="spellEnd"/>
      <w:r w:rsidR="00772731" w:rsidRPr="00245AE6">
        <w:t xml:space="preserve"> or </w:t>
      </w:r>
      <w:r w:rsidR="00772731" w:rsidRPr="00245AE6">
        <w:lastRenderedPageBreak/>
        <w:t xml:space="preserve">Infanrix </w:t>
      </w:r>
      <w:proofErr w:type="spellStart"/>
      <w:r w:rsidR="00AE2917">
        <w:t>H</w:t>
      </w:r>
      <w:r w:rsidR="00772731" w:rsidRPr="00245AE6">
        <w:t>exa</w:t>
      </w:r>
      <w:proofErr w:type="spellEnd"/>
      <w:r w:rsidR="00772731" w:rsidRPr="00245AE6">
        <w:t xml:space="preserve"> should continue receiving the same vaccine for their 4 and 6 month scheduled doses if possible</w:t>
      </w:r>
      <w:r w:rsidR="007B09B5" w:rsidRPr="00245AE6">
        <w:t xml:space="preserve"> (p58 of the ATAGI advice to PBAC)</w:t>
      </w:r>
      <w:r w:rsidR="00772731" w:rsidRPr="00245AE6">
        <w:t>.</w:t>
      </w:r>
    </w:p>
    <w:p w14:paraId="60705099" w14:textId="4197B145" w:rsidR="00772731" w:rsidRPr="00245AE6" w:rsidRDefault="00A72B86" w:rsidP="00772731">
      <w:pPr>
        <w:pStyle w:val="3-BodyText"/>
      </w:pPr>
      <w:r w:rsidRPr="00245AE6">
        <w:rPr>
          <w:iCs/>
          <w:snapToGrid/>
        </w:rPr>
        <w:t xml:space="preserve">ATAGI </w:t>
      </w:r>
      <w:r w:rsidR="00527468" w:rsidRPr="00245AE6">
        <w:rPr>
          <w:iCs/>
          <w:snapToGrid/>
        </w:rPr>
        <w:t xml:space="preserve">(p29 of the ATAGI advice to the PBAC) </w:t>
      </w:r>
      <w:r w:rsidR="00296EEE" w:rsidRPr="00245AE6">
        <w:rPr>
          <w:iCs/>
          <w:snapToGrid/>
        </w:rPr>
        <w:t>noted that all the monovalent Hib vaccines approved, which will be used as a booster vaccine</w:t>
      </w:r>
      <w:r w:rsidR="000B56E2" w:rsidRPr="00245AE6">
        <w:rPr>
          <w:iCs/>
          <w:snapToGrid/>
        </w:rPr>
        <w:t xml:space="preserve"> at 18 months of age</w:t>
      </w:r>
      <w:r w:rsidR="00296EEE" w:rsidRPr="00245AE6">
        <w:rPr>
          <w:iCs/>
          <w:snapToGrid/>
        </w:rPr>
        <w:t xml:space="preserve">, are </w:t>
      </w:r>
      <w:proofErr w:type="spellStart"/>
      <w:r w:rsidR="00296EEE" w:rsidRPr="00245AE6">
        <w:rPr>
          <w:iCs/>
          <w:snapToGrid/>
        </w:rPr>
        <w:t>polyribosyl</w:t>
      </w:r>
      <w:proofErr w:type="spellEnd"/>
      <w:r w:rsidR="00296EEE" w:rsidRPr="00245AE6">
        <w:rPr>
          <w:iCs/>
          <w:snapToGrid/>
        </w:rPr>
        <w:t>-</w:t>
      </w:r>
      <w:proofErr w:type="spellStart"/>
      <w:r w:rsidR="00296EEE" w:rsidRPr="00245AE6">
        <w:rPr>
          <w:iCs/>
          <w:snapToGrid/>
        </w:rPr>
        <w:t>ribitol</w:t>
      </w:r>
      <w:proofErr w:type="spellEnd"/>
      <w:r w:rsidR="00296EEE" w:rsidRPr="00245AE6">
        <w:rPr>
          <w:iCs/>
          <w:snapToGrid/>
        </w:rPr>
        <w:t xml:space="preserve">-phosphate tetanus (PRP-T) vaccines, while </w:t>
      </w:r>
      <w:proofErr w:type="spellStart"/>
      <w:r w:rsidR="00296EEE" w:rsidRPr="00245AE6">
        <w:rPr>
          <w:iCs/>
          <w:snapToGrid/>
        </w:rPr>
        <w:t>Vaxelis</w:t>
      </w:r>
      <w:proofErr w:type="spellEnd"/>
      <w:r w:rsidR="00296EEE" w:rsidRPr="00245AE6">
        <w:rPr>
          <w:iCs/>
          <w:snapToGrid/>
        </w:rPr>
        <w:t xml:space="preserve"> uses </w:t>
      </w:r>
      <w:proofErr w:type="spellStart"/>
      <w:r w:rsidR="00296EEE" w:rsidRPr="00245AE6">
        <w:rPr>
          <w:iCs/>
          <w:snapToGrid/>
        </w:rPr>
        <w:t>polyribosyl</w:t>
      </w:r>
      <w:proofErr w:type="spellEnd"/>
      <w:r w:rsidR="00296EEE" w:rsidRPr="00245AE6">
        <w:rPr>
          <w:iCs/>
          <w:snapToGrid/>
        </w:rPr>
        <w:t>-</w:t>
      </w:r>
      <w:proofErr w:type="spellStart"/>
      <w:r w:rsidR="00296EEE" w:rsidRPr="00245AE6">
        <w:rPr>
          <w:iCs/>
          <w:snapToGrid/>
        </w:rPr>
        <w:t>ribitol</w:t>
      </w:r>
      <w:proofErr w:type="spellEnd"/>
      <w:r w:rsidR="00296EEE" w:rsidRPr="00245AE6">
        <w:rPr>
          <w:iCs/>
          <w:snapToGrid/>
        </w:rPr>
        <w:t xml:space="preserve">-phosphate conjugated to the outer membrane protein complex of </w:t>
      </w:r>
      <w:r w:rsidR="00296EEE" w:rsidRPr="00245AE6">
        <w:rPr>
          <w:snapToGrid/>
        </w:rPr>
        <w:t>Neisseria meningitidis</w:t>
      </w:r>
      <w:r w:rsidR="00296EEE" w:rsidRPr="00245AE6">
        <w:rPr>
          <w:iCs/>
          <w:snapToGrid/>
        </w:rPr>
        <w:t xml:space="preserve"> (PRP-OMPC). </w:t>
      </w:r>
      <w:r w:rsidR="00893C9D">
        <w:rPr>
          <w:iCs/>
          <w:snapToGrid/>
        </w:rPr>
        <w:t>The</w:t>
      </w:r>
      <w:r w:rsidR="00296EEE" w:rsidRPr="00245AE6">
        <w:rPr>
          <w:iCs/>
          <w:snapToGrid/>
        </w:rPr>
        <w:t xml:space="preserve"> evidence provided in support of the safety and effectiveness of schedules that combine different types of Hib conjugate vaccines (Hib PRP-OMPC and Hib PRP-T)</w:t>
      </w:r>
      <w:r w:rsidR="00893C9D">
        <w:rPr>
          <w:iCs/>
          <w:snapToGrid/>
        </w:rPr>
        <w:t xml:space="preserve"> was of limited relevance given the comparator (</w:t>
      </w:r>
      <w:proofErr w:type="spellStart"/>
      <w:r w:rsidR="00893C9D">
        <w:rPr>
          <w:iCs/>
          <w:snapToGrid/>
        </w:rPr>
        <w:t>Pentacel</w:t>
      </w:r>
      <w:proofErr w:type="spellEnd"/>
      <w:r w:rsidR="00893C9D">
        <w:rPr>
          <w:iCs/>
          <w:snapToGrid/>
        </w:rPr>
        <w:t>)</w:t>
      </w:r>
      <w:r w:rsidR="00772731" w:rsidRPr="00245AE6">
        <w:rPr>
          <w:iCs/>
          <w:snapToGrid/>
        </w:rPr>
        <w:t>.</w:t>
      </w:r>
    </w:p>
    <w:p w14:paraId="4FD0F697" w14:textId="7EE1E0CA" w:rsidR="00772731" w:rsidRPr="00245AE6" w:rsidRDefault="00772731" w:rsidP="00772731">
      <w:pPr>
        <w:pStyle w:val="3-BodyText"/>
      </w:pPr>
      <w:r w:rsidRPr="00245AE6">
        <w:t>Regarding the concomitant use of other vaccines, ATAGI noted the following</w:t>
      </w:r>
      <w:r w:rsidR="00527468" w:rsidRPr="00245AE6">
        <w:t xml:space="preserve"> </w:t>
      </w:r>
      <w:r w:rsidR="00527468" w:rsidRPr="00245AE6">
        <w:rPr>
          <w:iCs/>
          <w:snapToGrid/>
        </w:rPr>
        <w:t>(p29 of the ATAGI advice to the PBAC)</w:t>
      </w:r>
      <w:r w:rsidRPr="00245AE6">
        <w:t>:</w:t>
      </w:r>
    </w:p>
    <w:p w14:paraId="1E90E61C" w14:textId="6FBDC0CC" w:rsidR="00772731" w:rsidRPr="00245AE6" w:rsidRDefault="00772731" w:rsidP="009A0C3B">
      <w:pPr>
        <w:pStyle w:val="3-BodyText"/>
        <w:numPr>
          <w:ilvl w:val="0"/>
          <w:numId w:val="7"/>
        </w:numPr>
        <w:ind w:left="1148" w:hanging="439"/>
        <w:rPr>
          <w:iCs/>
          <w:snapToGrid/>
        </w:rPr>
      </w:pPr>
      <w:r w:rsidRPr="00245AE6">
        <w:rPr>
          <w:iCs/>
          <w:snapToGrid/>
        </w:rPr>
        <w:t xml:space="preserve">No clinically important interference </w:t>
      </w:r>
      <w:r w:rsidR="0026744D" w:rsidRPr="00245AE6">
        <w:rPr>
          <w:iCs/>
          <w:snapToGrid/>
        </w:rPr>
        <w:t>was</w:t>
      </w:r>
      <w:r w:rsidRPr="00245AE6">
        <w:rPr>
          <w:iCs/>
          <w:snapToGrid/>
        </w:rPr>
        <w:t xml:space="preserve"> observed </w:t>
      </w:r>
      <w:r w:rsidR="0026744D" w:rsidRPr="00245AE6">
        <w:rPr>
          <w:iCs/>
          <w:snapToGrid/>
        </w:rPr>
        <w:t xml:space="preserve">when </w:t>
      </w:r>
      <w:proofErr w:type="spellStart"/>
      <w:r w:rsidRPr="00245AE6">
        <w:rPr>
          <w:iCs/>
          <w:snapToGrid/>
        </w:rPr>
        <w:t>Vaxelis</w:t>
      </w:r>
      <w:proofErr w:type="spellEnd"/>
      <w:r w:rsidRPr="00245AE6">
        <w:rPr>
          <w:iCs/>
          <w:snapToGrid/>
        </w:rPr>
        <w:t xml:space="preserve"> </w:t>
      </w:r>
      <w:r w:rsidR="0026744D" w:rsidRPr="00245AE6">
        <w:rPr>
          <w:iCs/>
          <w:snapToGrid/>
        </w:rPr>
        <w:t xml:space="preserve">is concomitantly administered with </w:t>
      </w:r>
      <w:r w:rsidRPr="00245AE6">
        <w:rPr>
          <w:iCs/>
          <w:snapToGrid/>
        </w:rPr>
        <w:t xml:space="preserve">rotavirus vaccines, pneumococcal conjugate vaccines, the </w:t>
      </w:r>
      <w:r w:rsidR="000407E7" w:rsidRPr="00245AE6">
        <w:rPr>
          <w:rFonts w:cstheme="minorHAnsi"/>
          <w:shd w:val="clear" w:color="auto" w:fill="FFFFFF"/>
        </w:rPr>
        <w:t>measles-mumps-rubella-varicella</w:t>
      </w:r>
      <w:r w:rsidR="000407E7" w:rsidRPr="00245AE6">
        <w:rPr>
          <w:iCs/>
          <w:snapToGrid/>
        </w:rPr>
        <w:t xml:space="preserve"> (</w:t>
      </w:r>
      <w:r w:rsidRPr="00245AE6">
        <w:rPr>
          <w:iCs/>
          <w:snapToGrid/>
        </w:rPr>
        <w:t>MMRV</w:t>
      </w:r>
      <w:r w:rsidR="000407E7" w:rsidRPr="00245AE6">
        <w:rPr>
          <w:iCs/>
          <w:snapToGrid/>
        </w:rPr>
        <w:t>)</w:t>
      </w:r>
      <w:r w:rsidRPr="00245AE6">
        <w:rPr>
          <w:iCs/>
          <w:snapToGrid/>
        </w:rPr>
        <w:t xml:space="preserve"> vaccine and two different meningococcal C vaccines (</w:t>
      </w:r>
      <w:proofErr w:type="spellStart"/>
      <w:r w:rsidRPr="00245AE6">
        <w:rPr>
          <w:iCs/>
          <w:snapToGrid/>
        </w:rPr>
        <w:t>MenC</w:t>
      </w:r>
      <w:proofErr w:type="spellEnd"/>
      <w:r w:rsidRPr="00245AE6">
        <w:rPr>
          <w:iCs/>
          <w:snapToGrid/>
        </w:rPr>
        <w:t xml:space="preserve">-TT and </w:t>
      </w:r>
      <w:proofErr w:type="spellStart"/>
      <w:r w:rsidRPr="00245AE6">
        <w:rPr>
          <w:iCs/>
          <w:snapToGrid/>
        </w:rPr>
        <w:t>MenC</w:t>
      </w:r>
      <w:proofErr w:type="spellEnd"/>
      <w:r w:rsidRPr="00245AE6">
        <w:rPr>
          <w:iCs/>
          <w:snapToGrid/>
        </w:rPr>
        <w:t>-CRM).</w:t>
      </w:r>
    </w:p>
    <w:p w14:paraId="07942510" w14:textId="423C05E8" w:rsidR="00772731" w:rsidRPr="00245AE6" w:rsidRDefault="00C53E6C" w:rsidP="009A0C3B">
      <w:pPr>
        <w:pStyle w:val="3-BodyText"/>
        <w:numPr>
          <w:ilvl w:val="0"/>
          <w:numId w:val="7"/>
        </w:numPr>
        <w:rPr>
          <w:iCs/>
          <w:snapToGrid/>
        </w:rPr>
      </w:pPr>
      <w:r w:rsidRPr="00245AE6">
        <w:rPr>
          <w:iCs/>
          <w:snapToGrid/>
        </w:rPr>
        <w:t xml:space="preserve">Concomitant use of </w:t>
      </w:r>
      <w:proofErr w:type="spellStart"/>
      <w:r w:rsidRPr="00245AE6">
        <w:rPr>
          <w:iCs/>
          <w:snapToGrid/>
        </w:rPr>
        <w:t>Vaxelis</w:t>
      </w:r>
      <w:proofErr w:type="spellEnd"/>
      <w:r w:rsidRPr="00245AE6">
        <w:rPr>
          <w:iCs/>
          <w:snapToGrid/>
        </w:rPr>
        <w:t xml:space="preserve"> has not been studied with quadrivalent meningococcal serogroup</w:t>
      </w:r>
      <w:r w:rsidR="0032662B" w:rsidRPr="00245AE6">
        <w:rPr>
          <w:iCs/>
          <w:snapToGrid/>
        </w:rPr>
        <w:t xml:space="preserve">s </w:t>
      </w:r>
      <w:r w:rsidR="0032662B" w:rsidRPr="00245AE6">
        <w:t>A, C, W and Y strains</w:t>
      </w:r>
      <w:r w:rsidRPr="00245AE6">
        <w:rPr>
          <w:iCs/>
          <w:snapToGrid/>
        </w:rPr>
        <w:t xml:space="preserve"> </w:t>
      </w:r>
      <w:r w:rsidR="0032662B" w:rsidRPr="00245AE6">
        <w:rPr>
          <w:iCs/>
          <w:snapToGrid/>
        </w:rPr>
        <w:t>(</w:t>
      </w:r>
      <w:proofErr w:type="spellStart"/>
      <w:r w:rsidRPr="00245AE6">
        <w:rPr>
          <w:iCs/>
          <w:snapToGrid/>
        </w:rPr>
        <w:t>MenACWY</w:t>
      </w:r>
      <w:proofErr w:type="spellEnd"/>
      <w:r w:rsidR="0032662B" w:rsidRPr="00245AE6">
        <w:rPr>
          <w:iCs/>
          <w:snapToGrid/>
        </w:rPr>
        <w:t>)</w:t>
      </w:r>
      <w:r w:rsidRPr="00245AE6">
        <w:rPr>
          <w:iCs/>
          <w:snapToGrid/>
        </w:rPr>
        <w:t xml:space="preserve"> vaccines; these are funded under the NIP for vaccination at 12 months of age</w:t>
      </w:r>
      <w:r w:rsidR="0032662B" w:rsidRPr="00245AE6">
        <w:rPr>
          <w:iCs/>
          <w:snapToGrid/>
        </w:rPr>
        <w:t xml:space="preserve"> (</w:t>
      </w:r>
      <w:proofErr w:type="spellStart"/>
      <w:r w:rsidR="0032662B" w:rsidRPr="00245AE6">
        <w:rPr>
          <w:iCs/>
          <w:snapToGrid/>
        </w:rPr>
        <w:t>Nimenrix</w:t>
      </w:r>
      <w:proofErr w:type="spellEnd"/>
      <w:r w:rsidR="0032662B" w:rsidRPr="00245AE6">
        <w:rPr>
          <w:iCs/>
          <w:snapToGrid/>
        </w:rPr>
        <w:t>®)</w:t>
      </w:r>
      <w:r w:rsidRPr="00245AE6">
        <w:rPr>
          <w:iCs/>
          <w:snapToGrid/>
        </w:rPr>
        <w:t xml:space="preserve"> and are available through private prescription from 6 weeks of age</w:t>
      </w:r>
      <w:r w:rsidRPr="00245AE6">
        <w:rPr>
          <w:rStyle w:val="FootnoteReference"/>
          <w:iCs/>
          <w:snapToGrid/>
        </w:rPr>
        <w:footnoteReference w:id="1"/>
      </w:r>
      <w:r w:rsidR="00772731" w:rsidRPr="00245AE6">
        <w:rPr>
          <w:iCs/>
          <w:snapToGrid/>
        </w:rPr>
        <w:t>.</w:t>
      </w:r>
      <w:r w:rsidRPr="00245AE6">
        <w:rPr>
          <w:iCs/>
          <w:snapToGrid/>
        </w:rPr>
        <w:t xml:space="preserve"> </w:t>
      </w:r>
      <w:proofErr w:type="spellStart"/>
      <w:r w:rsidR="00120CCA" w:rsidRPr="00245AE6">
        <w:rPr>
          <w:iCs/>
          <w:snapToGrid/>
        </w:rPr>
        <w:t>MenACWY</w:t>
      </w:r>
      <w:proofErr w:type="spellEnd"/>
      <w:r w:rsidR="00120CCA" w:rsidRPr="00245AE6">
        <w:rPr>
          <w:iCs/>
          <w:snapToGrid/>
        </w:rPr>
        <w:t xml:space="preserve"> is strongly recommended for all healthy infants (indigenous and non-indigenous) and infants at increased medical risk</w:t>
      </w:r>
      <w:r w:rsidR="00120CCA" w:rsidRPr="00245AE6">
        <w:rPr>
          <w:rStyle w:val="FootnoteReference"/>
          <w:iCs/>
          <w:snapToGrid/>
        </w:rPr>
        <w:footnoteReference w:id="2"/>
      </w:r>
      <w:r w:rsidR="00120CCA" w:rsidRPr="00245AE6">
        <w:rPr>
          <w:iCs/>
          <w:snapToGrid/>
        </w:rPr>
        <w:t xml:space="preserve"> from 6 weeks of age. </w:t>
      </w:r>
      <w:r w:rsidR="00664722" w:rsidRPr="00245AE6">
        <w:rPr>
          <w:iCs/>
          <w:snapToGrid/>
        </w:rPr>
        <w:t>Also, t</w:t>
      </w:r>
      <w:r w:rsidR="00772731" w:rsidRPr="00245AE6">
        <w:rPr>
          <w:iCs/>
          <w:snapToGrid/>
        </w:rPr>
        <w:t xml:space="preserve">here </w:t>
      </w:r>
      <w:r w:rsidRPr="00245AE6">
        <w:rPr>
          <w:iCs/>
          <w:snapToGrid/>
        </w:rPr>
        <w:t>was also</w:t>
      </w:r>
      <w:r w:rsidR="00772731" w:rsidRPr="00245AE6">
        <w:rPr>
          <w:iCs/>
          <w:snapToGrid/>
        </w:rPr>
        <w:t xml:space="preserve"> no evidence to support concomit</w:t>
      </w:r>
      <w:r w:rsidR="00B66E5C" w:rsidRPr="00245AE6">
        <w:rPr>
          <w:iCs/>
          <w:snapToGrid/>
        </w:rPr>
        <w:t xml:space="preserve">ant use with </w:t>
      </w:r>
      <w:r w:rsidR="00527468" w:rsidRPr="00245AE6">
        <w:rPr>
          <w:iCs/>
          <w:snapToGrid/>
        </w:rPr>
        <w:t xml:space="preserve">4CMenB (four-component </w:t>
      </w:r>
      <w:proofErr w:type="spellStart"/>
      <w:r w:rsidR="00527468" w:rsidRPr="00245AE6">
        <w:rPr>
          <w:iCs/>
          <w:snapToGrid/>
        </w:rPr>
        <w:t>MenB</w:t>
      </w:r>
      <w:proofErr w:type="spellEnd"/>
      <w:r w:rsidR="00527468" w:rsidRPr="00245AE6">
        <w:rPr>
          <w:iCs/>
          <w:snapToGrid/>
        </w:rPr>
        <w:t xml:space="preserve"> vaccine; Bexsero®) and </w:t>
      </w:r>
      <w:r w:rsidR="00B66E5C" w:rsidRPr="00245AE6">
        <w:rPr>
          <w:iCs/>
          <w:snapToGrid/>
        </w:rPr>
        <w:t>influenza vaccines.</w:t>
      </w:r>
    </w:p>
    <w:p w14:paraId="6966793B" w14:textId="7E1EC9FB" w:rsidR="00736D64" w:rsidRPr="003D41B8" w:rsidRDefault="00D7639D" w:rsidP="003D41B8">
      <w:pPr>
        <w:pStyle w:val="3-BodyText"/>
        <w:rPr>
          <w:i/>
          <w:iCs/>
          <w:snapToGrid/>
        </w:rPr>
      </w:pPr>
      <w:r w:rsidRPr="00245AE6">
        <w:t>ATAGI</w:t>
      </w:r>
      <w:r w:rsidR="00454E12" w:rsidRPr="00245AE6">
        <w:t xml:space="preserve"> (</w:t>
      </w:r>
      <w:r w:rsidRPr="00245AE6">
        <w:t>p1 of the ATAGI advice to PBAC</w:t>
      </w:r>
      <w:r w:rsidR="00454E12" w:rsidRPr="00245AE6">
        <w:t xml:space="preserve">) considered that inclusion of </w:t>
      </w:r>
      <w:proofErr w:type="spellStart"/>
      <w:r w:rsidR="00454E12" w:rsidRPr="00245AE6">
        <w:t>Vaxelis</w:t>
      </w:r>
      <w:proofErr w:type="spellEnd"/>
      <w:r w:rsidR="00454E12" w:rsidRPr="00245AE6">
        <w:t xml:space="preserve"> on the National Immunisation Program (NIP) as a 3+1 schedule (2, 4, 6, and 18 months), with inclusion of a hexavalent booster (</w:t>
      </w:r>
      <w:proofErr w:type="spellStart"/>
      <w:r w:rsidR="00454E12" w:rsidRPr="00245AE6">
        <w:t>DTPa</w:t>
      </w:r>
      <w:proofErr w:type="spellEnd"/>
      <w:r w:rsidR="00454E12" w:rsidRPr="00245AE6">
        <w:noBreakHyphen/>
        <w:t>HB</w:t>
      </w:r>
      <w:r w:rsidR="00454E12" w:rsidRPr="00245AE6">
        <w:noBreakHyphen/>
        <w:t>IPV</w:t>
      </w:r>
      <w:r w:rsidR="00454E12" w:rsidRPr="00245AE6">
        <w:noBreakHyphen/>
        <w:t>Hib</w:t>
      </w:r>
      <w:r w:rsidRPr="00245AE6">
        <w:t>)</w:t>
      </w:r>
      <w:r w:rsidR="00454E12" w:rsidRPr="00245AE6">
        <w:t xml:space="preserve"> at 18 months might be beneficial to overcome potential waning of long term immunity to hepatitis B after the primary immunisation course, noting that a booster for hepatitis B is currently not listed on the NIP. However, the submission did not propose listing of </w:t>
      </w:r>
      <w:proofErr w:type="spellStart"/>
      <w:r w:rsidR="00454E12" w:rsidRPr="00245AE6">
        <w:t>Vaxelis</w:t>
      </w:r>
      <w:proofErr w:type="spellEnd"/>
      <w:r w:rsidR="00454E12" w:rsidRPr="00245AE6">
        <w:t xml:space="preserve"> </w:t>
      </w:r>
      <w:r w:rsidR="00527468" w:rsidRPr="00245AE6">
        <w:t>for use as</w:t>
      </w:r>
      <w:r w:rsidR="00454E12" w:rsidRPr="00245AE6">
        <w:t xml:space="preserve"> a booster on the NIP.</w:t>
      </w:r>
      <w:r w:rsidR="00A0759F">
        <w:t xml:space="preserve"> The pre-PBAC Response </w:t>
      </w:r>
      <w:r w:rsidR="003C03F8">
        <w:t xml:space="preserve"> stated that t</w:t>
      </w:r>
      <w:r w:rsidR="003C03F8" w:rsidRPr="003C03F8">
        <w:t>he inclusion of a hexavalent booster (</w:t>
      </w:r>
      <w:proofErr w:type="spellStart"/>
      <w:r w:rsidR="003C03F8" w:rsidRPr="003C03F8">
        <w:t>DTPa</w:t>
      </w:r>
      <w:proofErr w:type="spellEnd"/>
      <w:r w:rsidR="003C03F8" w:rsidRPr="003C03F8">
        <w:t xml:space="preserve"> HB IPV Hib) at 18 months represents a significant change to the current </w:t>
      </w:r>
      <w:r w:rsidR="003C03F8" w:rsidRPr="003C03F8">
        <w:lastRenderedPageBreak/>
        <w:t xml:space="preserve">schedule which has been in place for almost 10 years and had not been raised by either ATAGI or the Immunisation Branch with Sanofi prior to being discussed in ATAGI’s pre-submission advice. </w:t>
      </w:r>
      <w:r w:rsidR="0003731C">
        <w:t xml:space="preserve">The pre-PBAC Response noted that consultation with relevant stakeholders would be required </w:t>
      </w:r>
      <w:r w:rsidR="0003731C" w:rsidRPr="0003731C">
        <w:t xml:space="preserve">to ensure </w:t>
      </w:r>
      <w:r w:rsidR="0003731C">
        <w:t>any</w:t>
      </w:r>
      <w:r w:rsidR="0003731C" w:rsidRPr="0003731C">
        <w:t xml:space="preserve"> implications of this proposed change to the schedule are fully considered</w:t>
      </w:r>
      <w:r w:rsidR="0003731C">
        <w:t xml:space="preserve"> and indicated the sponsor was willing to work with the Department, ATAGI and PBAC towards this objective. </w:t>
      </w:r>
    </w:p>
    <w:p w14:paraId="595E9B5F" w14:textId="77777777" w:rsidR="00772731" w:rsidRPr="00407F2D" w:rsidRDefault="00772731" w:rsidP="00772731">
      <w:pPr>
        <w:pStyle w:val="2-SectionHeading"/>
      </w:pPr>
      <w:bookmarkStart w:id="11" w:name="_Toc93503670"/>
      <w:r>
        <w:t>Population and disease</w:t>
      </w:r>
      <w:bookmarkEnd w:id="11"/>
    </w:p>
    <w:p w14:paraId="1D7B6D12" w14:textId="4DB69312" w:rsidR="00772731" w:rsidRPr="00686842" w:rsidRDefault="00772731" w:rsidP="00694C00">
      <w:pPr>
        <w:pStyle w:val="3-BodyText"/>
      </w:pPr>
      <w:r w:rsidRPr="00686842">
        <w:t>Implementation of nationally</w:t>
      </w:r>
      <w:r w:rsidR="0032662B">
        <w:t xml:space="preserve"> </w:t>
      </w:r>
      <w:r w:rsidRPr="00686842">
        <w:t xml:space="preserve">funded immunisation programs in Australia since the 1950s has resulted in a significant decline of vaccine-preventable diseases (VPD), including those prevented by hexavalent vaccines (tetanus, </w:t>
      </w:r>
      <w:r>
        <w:t xml:space="preserve">pertussis, diphtheria, poliomyelitis, </w:t>
      </w:r>
      <w:r w:rsidRPr="00686842">
        <w:t>hepatitis B</w:t>
      </w:r>
      <w:r>
        <w:t xml:space="preserve"> and</w:t>
      </w:r>
      <w:r w:rsidR="00694C00">
        <w:t xml:space="preserve"> </w:t>
      </w:r>
      <w:r w:rsidR="003F1C13">
        <w:rPr>
          <w:i/>
        </w:rPr>
        <w:t>H</w:t>
      </w:r>
      <w:r w:rsidR="00694C00" w:rsidRPr="00694C00">
        <w:rPr>
          <w:i/>
        </w:rPr>
        <w:t>aemophilus influenzae</w:t>
      </w:r>
      <w:r w:rsidR="00694C00" w:rsidRPr="00694C00">
        <w:t xml:space="preserve"> type b</w:t>
      </w:r>
      <w:r w:rsidRPr="00686842">
        <w:t>).</w:t>
      </w:r>
    </w:p>
    <w:p w14:paraId="2314120C" w14:textId="6480A4BF" w:rsidR="00772731" w:rsidRPr="00375CF2" w:rsidRDefault="00772731" w:rsidP="00772731">
      <w:pPr>
        <w:pStyle w:val="3-BodyText"/>
        <w:rPr>
          <w:rFonts w:ascii="Arial" w:hAnsi="Arial"/>
          <w:sz w:val="22"/>
          <w:szCs w:val="22"/>
          <w:lang w:eastAsia="en-US"/>
        </w:rPr>
      </w:pPr>
      <w:proofErr w:type="spellStart"/>
      <w:r>
        <w:t>Vaxelis</w:t>
      </w:r>
      <w:proofErr w:type="spellEnd"/>
      <w:r w:rsidRPr="00375CF2">
        <w:t xml:space="preserve"> (</w:t>
      </w:r>
      <w:r w:rsidR="0033300D">
        <w:t xml:space="preserve">a </w:t>
      </w:r>
      <w:proofErr w:type="spellStart"/>
      <w:r w:rsidRPr="00375CF2">
        <w:t>DTPa</w:t>
      </w:r>
      <w:proofErr w:type="spellEnd"/>
      <w:r w:rsidRPr="00375CF2">
        <w:t>-</w:t>
      </w:r>
      <w:r w:rsidR="007770B5">
        <w:t>H</w:t>
      </w:r>
      <w:r w:rsidRPr="00375CF2">
        <w:t>B-IPV-Hib</w:t>
      </w:r>
      <w:r w:rsidR="0033300D">
        <w:t xml:space="preserve"> vaccine</w:t>
      </w:r>
      <w:r w:rsidRPr="00375CF2">
        <w:t xml:space="preserve">) is a combination bacterial/viral vaccine that induces the production of antibodies against diphtheria, tetanus, pertussis, hepatitis B, poliomyelitis and invasive infections caused by </w:t>
      </w:r>
      <w:r w:rsidRPr="00120CCA">
        <w:rPr>
          <w:i/>
        </w:rPr>
        <w:t>Haemophilus influenzae</w:t>
      </w:r>
      <w:r w:rsidRPr="00375CF2">
        <w:t xml:space="preserve"> type b.</w:t>
      </w:r>
    </w:p>
    <w:p w14:paraId="54052D46" w14:textId="706DBADF" w:rsidR="00772731" w:rsidRPr="00375CF2" w:rsidRDefault="00772731" w:rsidP="00772731">
      <w:pPr>
        <w:pStyle w:val="3-BodyText"/>
      </w:pPr>
      <w:r w:rsidRPr="00375CF2">
        <w:t xml:space="preserve">The submission positioned </w:t>
      </w:r>
      <w:proofErr w:type="spellStart"/>
      <w:r>
        <w:t>Vaxelis</w:t>
      </w:r>
      <w:proofErr w:type="spellEnd"/>
      <w:r w:rsidRPr="00375CF2">
        <w:t xml:space="preserve"> as an alternative to Infanrix </w:t>
      </w:r>
      <w:proofErr w:type="spellStart"/>
      <w:r w:rsidRPr="00375CF2">
        <w:t>Hexa</w:t>
      </w:r>
      <w:proofErr w:type="spellEnd"/>
      <w:r w:rsidRPr="00375CF2">
        <w:t xml:space="preserve"> when used as the primary course</w:t>
      </w:r>
      <w:r w:rsidR="003F1C13">
        <w:t xml:space="preserve"> in infants at 2, 4 and 6 months of age</w:t>
      </w:r>
      <w:r w:rsidRPr="00375CF2">
        <w:t xml:space="preserve"> for </w:t>
      </w:r>
      <w:proofErr w:type="spellStart"/>
      <w:r w:rsidRPr="00375CF2">
        <w:t>DTPa</w:t>
      </w:r>
      <w:proofErr w:type="spellEnd"/>
      <w:r w:rsidRPr="00375CF2">
        <w:t>-</w:t>
      </w:r>
      <w:r w:rsidR="00527468">
        <w:t>H</w:t>
      </w:r>
      <w:r w:rsidRPr="00375CF2">
        <w:t>B-IPV-Hib vaccination.</w:t>
      </w:r>
    </w:p>
    <w:p w14:paraId="65A6CB3E" w14:textId="36580D45" w:rsidR="00772731" w:rsidRDefault="00772731" w:rsidP="003848A6">
      <w:pPr>
        <w:pStyle w:val="3-BodyText"/>
      </w:pPr>
      <w:r w:rsidRPr="00245AE6">
        <w:t>At the November 2014 PBAC meeting</w:t>
      </w:r>
      <w:r w:rsidR="00120CCA" w:rsidRPr="00245AE6">
        <w:t xml:space="preserve"> (</w:t>
      </w:r>
      <w:r w:rsidR="003848A6" w:rsidRPr="00245AE6">
        <w:t xml:space="preserve">paragraph 7.1, </w:t>
      </w:r>
      <w:r w:rsidR="00120CCA" w:rsidRPr="00245AE6">
        <w:t>Public Summary Document</w:t>
      </w:r>
      <w:r w:rsidR="007770B5" w:rsidRPr="00245AE6">
        <w:t>,</w:t>
      </w:r>
      <w:r w:rsidR="00120CCA" w:rsidRPr="00245AE6">
        <w:t xml:space="preserve"> November 2014 PBAC Meeting</w:t>
      </w:r>
      <w:r w:rsidR="003848A6" w:rsidRPr="00245AE6">
        <w:t>)</w:t>
      </w:r>
      <w:r w:rsidRPr="00245AE6">
        <w:t xml:space="preserve">, the PBAC recommended </w:t>
      </w:r>
      <w:r w:rsidR="003848A6" w:rsidRPr="00245AE6">
        <w:t xml:space="preserve">including an 18-month booster dose of the </w:t>
      </w:r>
      <w:proofErr w:type="spellStart"/>
      <w:r w:rsidR="003848A6" w:rsidRPr="00245AE6">
        <w:t>DTPa</w:t>
      </w:r>
      <w:proofErr w:type="spellEnd"/>
      <w:r w:rsidR="003848A6" w:rsidRPr="00245AE6">
        <w:t xml:space="preserve"> vaccine (Infanrix</w:t>
      </w:r>
      <w:r w:rsidR="003848A6" w:rsidRPr="00245AE6">
        <w:rPr>
          <w:rFonts w:cstheme="minorHAnsi"/>
        </w:rPr>
        <w:t>®</w:t>
      </w:r>
      <w:r w:rsidR="003848A6" w:rsidRPr="00245AE6">
        <w:t xml:space="preserve">) on the NIP for the prevention of pertussis on the basis of cost-effectiveness compared with the comparator schedule without the booster. The NIP had previously included a booster dose of </w:t>
      </w:r>
      <w:proofErr w:type="spellStart"/>
      <w:r w:rsidR="003848A6" w:rsidRPr="00245AE6">
        <w:t>DTPa</w:t>
      </w:r>
      <w:proofErr w:type="spellEnd"/>
      <w:r w:rsidR="003848A6" w:rsidRPr="00245AE6">
        <w:t xml:space="preserve"> at approximately 18 months until 2003, when it was removed with the introduction of the booster dose for adolescents (15-17 years). The PBAC considered the removal of the 18-month dose may have contributed to resurgence in pertussis notifications in Australia between 2008 and 2012.</w:t>
      </w:r>
      <w:r w:rsidR="00301603" w:rsidRPr="00245AE6">
        <w:t xml:space="preserve"> </w:t>
      </w:r>
    </w:p>
    <w:p w14:paraId="6B01E21C" w14:textId="429F2C10" w:rsidR="00736D64" w:rsidRPr="00245AE6" w:rsidRDefault="00736D64" w:rsidP="00736D64">
      <w:pPr>
        <w:pStyle w:val="3-BodyText"/>
        <w:numPr>
          <w:ilvl w:val="0"/>
          <w:numId w:val="0"/>
        </w:numPr>
        <w:ind w:left="720"/>
      </w:pPr>
      <w:r w:rsidRPr="00C33D30">
        <w:rPr>
          <w:i/>
        </w:rPr>
        <w:t>For more detail on PBAC’s view, see section 7 PBAC outcome.</w:t>
      </w:r>
    </w:p>
    <w:p w14:paraId="4ACFEA2E" w14:textId="77777777" w:rsidR="00772731" w:rsidRPr="00407F2D" w:rsidRDefault="00772731" w:rsidP="00772731">
      <w:pPr>
        <w:pStyle w:val="2-SectionHeading"/>
      </w:pPr>
      <w:bookmarkStart w:id="12" w:name="_Toc93503671"/>
      <w:r w:rsidRPr="00407F2D">
        <w:t>Comparator</w:t>
      </w:r>
      <w:bookmarkEnd w:id="12"/>
    </w:p>
    <w:p w14:paraId="2557CCB1" w14:textId="2FBB12DD" w:rsidR="00772731" w:rsidRPr="00D261A4" w:rsidRDefault="00772731" w:rsidP="00772731">
      <w:pPr>
        <w:pStyle w:val="3-BodyText"/>
      </w:pPr>
      <w:r w:rsidRPr="00D261A4">
        <w:t>The submission</w:t>
      </w:r>
      <w:r w:rsidR="00792406">
        <w:t xml:space="preserve"> </w:t>
      </w:r>
      <w:r w:rsidR="00792406" w:rsidRPr="005210EB">
        <w:rPr>
          <w:iCs/>
        </w:rPr>
        <w:t>appropriately</w:t>
      </w:r>
      <w:r w:rsidRPr="005210EB">
        <w:rPr>
          <w:iCs/>
        </w:rPr>
        <w:t xml:space="preserve"> </w:t>
      </w:r>
      <w:r w:rsidRPr="00D261A4">
        <w:t xml:space="preserve">nominated Infanrix </w:t>
      </w:r>
      <w:proofErr w:type="spellStart"/>
      <w:r w:rsidR="00AE2917">
        <w:t>H</w:t>
      </w:r>
      <w:r w:rsidRPr="00D261A4">
        <w:t>exa</w:t>
      </w:r>
      <w:proofErr w:type="spellEnd"/>
      <w:r w:rsidRPr="00D261A4">
        <w:t xml:space="preserve"> as the main comparator. </w:t>
      </w:r>
      <w:r w:rsidRPr="00910346">
        <w:t xml:space="preserve">Infanrix </w:t>
      </w:r>
      <w:proofErr w:type="spellStart"/>
      <w:r w:rsidR="00AE2917">
        <w:t>H</w:t>
      </w:r>
      <w:r w:rsidRPr="00910346">
        <w:t>exa</w:t>
      </w:r>
      <w:proofErr w:type="spellEnd"/>
      <w:r w:rsidRPr="00910346">
        <w:t xml:space="preserve"> is </w:t>
      </w:r>
      <w:bookmarkStart w:id="13" w:name="_Hlk98671148"/>
      <w:r w:rsidRPr="00910346">
        <w:t>currently the only hexavalent vaccine supplied on the NIP.</w:t>
      </w:r>
      <w:r w:rsidR="00D31381" w:rsidRPr="00910346">
        <w:t xml:space="preserve"> </w:t>
      </w:r>
      <w:bookmarkEnd w:id="13"/>
      <w:r w:rsidR="00D31381" w:rsidRPr="00910346">
        <w:rPr>
          <w:iCs/>
        </w:rPr>
        <w:t xml:space="preserve">Infanrix </w:t>
      </w:r>
      <w:proofErr w:type="spellStart"/>
      <w:r w:rsidR="00AE2917">
        <w:rPr>
          <w:iCs/>
        </w:rPr>
        <w:t>H</w:t>
      </w:r>
      <w:r w:rsidR="00D31381" w:rsidRPr="00910346">
        <w:rPr>
          <w:iCs/>
        </w:rPr>
        <w:t>exa</w:t>
      </w:r>
      <w:proofErr w:type="spellEnd"/>
      <w:r w:rsidR="00D31381" w:rsidRPr="00910346">
        <w:rPr>
          <w:iCs/>
        </w:rPr>
        <w:t xml:space="preserve"> has not been previously considered by the PBAC. </w:t>
      </w:r>
      <w:proofErr w:type="spellStart"/>
      <w:r w:rsidRPr="00910346">
        <w:t>Hexaxim</w:t>
      </w:r>
      <w:proofErr w:type="spellEnd"/>
      <w:r w:rsidRPr="00910346">
        <w:t xml:space="preserve">, another hexavalent vaccine listed on the NIP since October 2015 (on the basis of non-inferiority to Infanrix </w:t>
      </w:r>
      <w:proofErr w:type="spellStart"/>
      <w:r w:rsidR="00AE2917">
        <w:t>H</w:t>
      </w:r>
      <w:r w:rsidRPr="00910346">
        <w:t>exa</w:t>
      </w:r>
      <w:proofErr w:type="spellEnd"/>
      <w:r w:rsidRPr="00910346">
        <w:t xml:space="preserve">), is not currently </w:t>
      </w:r>
      <w:r w:rsidR="008054E4" w:rsidRPr="00910346">
        <w:t xml:space="preserve">available or </w:t>
      </w:r>
      <w:r w:rsidRPr="00910346">
        <w:t>supplied in Australia</w:t>
      </w:r>
      <w:r w:rsidR="00B34881" w:rsidRPr="00910346">
        <w:t xml:space="preserve">. ATAGI advised that </w:t>
      </w:r>
      <w:proofErr w:type="spellStart"/>
      <w:r w:rsidR="00B34881" w:rsidRPr="00910346">
        <w:t>Hexaxim</w:t>
      </w:r>
      <w:proofErr w:type="spellEnd"/>
      <w:r w:rsidR="00B34881" w:rsidRPr="00910346">
        <w:t xml:space="preserve"> will not be continued (p3 of the ATAGI advice to PBAC)</w:t>
      </w:r>
      <w:r w:rsidRPr="00910346">
        <w:t>.</w:t>
      </w:r>
    </w:p>
    <w:p w14:paraId="34545DF2" w14:textId="77777777" w:rsidR="00772731" w:rsidRDefault="00772731" w:rsidP="00772731">
      <w:pPr>
        <w:pStyle w:val="3-BodyText"/>
        <w:rPr>
          <w:snapToGrid/>
          <w:lang w:val="en-US"/>
        </w:rPr>
      </w:pPr>
      <w:r>
        <w:rPr>
          <w:snapToGrid/>
          <w:lang w:val="en-US"/>
        </w:rPr>
        <w:t xml:space="preserve">The main differences between </w:t>
      </w:r>
      <w:proofErr w:type="spellStart"/>
      <w:r>
        <w:rPr>
          <w:snapToGrid/>
          <w:lang w:val="en-US"/>
        </w:rPr>
        <w:t>Vaxelis</w:t>
      </w:r>
      <w:proofErr w:type="spellEnd"/>
      <w:r>
        <w:rPr>
          <w:snapToGrid/>
          <w:lang w:val="en-US"/>
        </w:rPr>
        <w:t xml:space="preserve"> and Infanrix </w:t>
      </w:r>
      <w:proofErr w:type="spellStart"/>
      <w:r>
        <w:rPr>
          <w:snapToGrid/>
          <w:lang w:val="en-US"/>
        </w:rPr>
        <w:t>Hexa</w:t>
      </w:r>
      <w:proofErr w:type="spellEnd"/>
      <w:r>
        <w:rPr>
          <w:snapToGrid/>
          <w:lang w:val="en-US"/>
        </w:rPr>
        <w:t xml:space="preserve"> are:</w:t>
      </w:r>
    </w:p>
    <w:p w14:paraId="23A4D6DF" w14:textId="77777777" w:rsidR="00772731" w:rsidRDefault="00772731" w:rsidP="009A0C3B">
      <w:pPr>
        <w:pStyle w:val="3-BodyText"/>
        <w:numPr>
          <w:ilvl w:val="0"/>
          <w:numId w:val="7"/>
        </w:numPr>
        <w:ind w:left="1148" w:hanging="439"/>
        <w:rPr>
          <w:snapToGrid/>
          <w:lang w:val="en-US"/>
        </w:rPr>
      </w:pPr>
      <w:proofErr w:type="spellStart"/>
      <w:r>
        <w:rPr>
          <w:snapToGrid/>
          <w:lang w:val="en-US"/>
        </w:rPr>
        <w:t>Vaxelis</w:t>
      </w:r>
      <w:proofErr w:type="spellEnd"/>
      <w:r>
        <w:rPr>
          <w:snapToGrid/>
          <w:lang w:val="en-US"/>
        </w:rPr>
        <w:t xml:space="preserve"> </w:t>
      </w:r>
      <w:r w:rsidRPr="00D261A4">
        <w:rPr>
          <w:snapToGrid/>
          <w:lang w:val="en-US"/>
        </w:rPr>
        <w:t xml:space="preserve">is available as a liquid suspension in a pre-filled syringe (ready to use) while Infanrix </w:t>
      </w:r>
      <w:proofErr w:type="spellStart"/>
      <w:r w:rsidRPr="00D261A4">
        <w:rPr>
          <w:snapToGrid/>
          <w:lang w:val="en-US"/>
        </w:rPr>
        <w:t>Hexa</w:t>
      </w:r>
      <w:proofErr w:type="spellEnd"/>
      <w:r w:rsidRPr="00D261A4">
        <w:rPr>
          <w:snapToGrid/>
          <w:lang w:val="en-US"/>
        </w:rPr>
        <w:t xml:space="preserve"> is available as a lyophilized powder (Hib component) + liquid suspension (</w:t>
      </w:r>
      <w:proofErr w:type="spellStart"/>
      <w:r w:rsidRPr="00D261A4">
        <w:rPr>
          <w:snapToGrid/>
          <w:lang w:val="en-US"/>
        </w:rPr>
        <w:t>DTPa</w:t>
      </w:r>
      <w:proofErr w:type="spellEnd"/>
      <w:r w:rsidRPr="00D261A4">
        <w:rPr>
          <w:snapToGrid/>
          <w:lang w:val="en-US"/>
        </w:rPr>
        <w:t xml:space="preserve">-HBV-IPV component) and requires reconstitution before </w:t>
      </w:r>
      <w:proofErr w:type="gramStart"/>
      <w:r w:rsidRPr="00D261A4">
        <w:rPr>
          <w:snapToGrid/>
          <w:lang w:val="en-US"/>
        </w:rPr>
        <w:t>use</w:t>
      </w:r>
      <w:r>
        <w:rPr>
          <w:snapToGrid/>
          <w:lang w:val="en-US"/>
        </w:rPr>
        <w:t>;</w:t>
      </w:r>
      <w:proofErr w:type="gramEnd"/>
    </w:p>
    <w:p w14:paraId="05D3E735" w14:textId="462FDDDC" w:rsidR="00772731" w:rsidRPr="00910346" w:rsidRDefault="00772731" w:rsidP="009A0C3B">
      <w:pPr>
        <w:pStyle w:val="3-BodyText"/>
        <w:numPr>
          <w:ilvl w:val="0"/>
          <w:numId w:val="7"/>
        </w:numPr>
        <w:ind w:left="1148" w:hanging="439"/>
        <w:rPr>
          <w:snapToGrid/>
          <w:lang w:val="en-US"/>
        </w:rPr>
      </w:pPr>
      <w:proofErr w:type="spellStart"/>
      <w:r w:rsidRPr="00910346">
        <w:rPr>
          <w:snapToGrid/>
        </w:rPr>
        <w:lastRenderedPageBreak/>
        <w:t>Vaxelis</w:t>
      </w:r>
      <w:proofErr w:type="spellEnd"/>
      <w:r w:rsidRPr="00910346">
        <w:rPr>
          <w:snapToGrid/>
        </w:rPr>
        <w:t xml:space="preserve"> has a lower </w:t>
      </w:r>
      <w:r w:rsidR="003848A6" w:rsidRPr="00910346">
        <w:rPr>
          <w:snapToGrid/>
        </w:rPr>
        <w:t xml:space="preserve">threshold for </w:t>
      </w:r>
      <w:r w:rsidRPr="00910346">
        <w:rPr>
          <w:snapToGrid/>
        </w:rPr>
        <w:t xml:space="preserve">diphtheria toxoid content compared to </w:t>
      </w:r>
      <w:r w:rsidR="003848A6" w:rsidRPr="00910346">
        <w:rPr>
          <w:snapToGrid/>
        </w:rPr>
        <w:t xml:space="preserve">that for </w:t>
      </w:r>
      <w:r w:rsidRPr="00910346">
        <w:rPr>
          <w:snapToGrid/>
        </w:rPr>
        <w:t xml:space="preserve">Infanrix </w:t>
      </w:r>
      <w:proofErr w:type="spellStart"/>
      <w:r w:rsidR="00AE2917">
        <w:rPr>
          <w:snapToGrid/>
        </w:rPr>
        <w:t>H</w:t>
      </w:r>
      <w:r w:rsidRPr="00910346">
        <w:rPr>
          <w:snapToGrid/>
        </w:rPr>
        <w:t>exa</w:t>
      </w:r>
      <w:proofErr w:type="spellEnd"/>
      <w:r w:rsidRPr="00910346">
        <w:rPr>
          <w:snapToGrid/>
        </w:rPr>
        <w:t xml:space="preserve"> (</w:t>
      </w:r>
      <w:r w:rsidRPr="00910346">
        <w:rPr>
          <w:snapToGrid/>
          <w:u w:val="single"/>
        </w:rPr>
        <w:t>&gt;</w:t>
      </w:r>
      <w:r w:rsidRPr="00910346">
        <w:rPr>
          <w:snapToGrid/>
        </w:rPr>
        <w:t xml:space="preserve">20 vs </w:t>
      </w:r>
      <w:r w:rsidRPr="00910346">
        <w:rPr>
          <w:snapToGrid/>
          <w:u w:val="single"/>
        </w:rPr>
        <w:t>&gt;</w:t>
      </w:r>
      <w:r w:rsidRPr="00910346">
        <w:rPr>
          <w:snapToGrid/>
        </w:rPr>
        <w:t xml:space="preserve">30 IU). The </w:t>
      </w:r>
      <w:r w:rsidR="003848A6" w:rsidRPr="00910346">
        <w:rPr>
          <w:snapToGrid/>
        </w:rPr>
        <w:t xml:space="preserve">threshold for </w:t>
      </w:r>
      <w:r w:rsidRPr="00910346">
        <w:rPr>
          <w:snapToGrid/>
        </w:rPr>
        <w:t xml:space="preserve">diphtheria toxoid levels in </w:t>
      </w:r>
      <w:proofErr w:type="spellStart"/>
      <w:r w:rsidRPr="00910346">
        <w:rPr>
          <w:snapToGrid/>
        </w:rPr>
        <w:t>Vaxelis</w:t>
      </w:r>
      <w:proofErr w:type="spellEnd"/>
      <w:r w:rsidRPr="00910346">
        <w:rPr>
          <w:snapToGrid/>
        </w:rPr>
        <w:t xml:space="preserve"> are lower than current international standards (</w:t>
      </w:r>
      <w:r w:rsidRPr="00910346">
        <w:rPr>
          <w:snapToGrid/>
          <w:u w:val="single"/>
        </w:rPr>
        <w:t>&gt;</w:t>
      </w:r>
      <w:r w:rsidRPr="00910346">
        <w:rPr>
          <w:snapToGrid/>
        </w:rPr>
        <w:t>30 IU)</w:t>
      </w:r>
      <w:r w:rsidR="003848A6" w:rsidRPr="00910346">
        <w:rPr>
          <w:rStyle w:val="FootnoteReference"/>
          <w:snapToGrid/>
        </w:rPr>
        <w:footnoteReference w:id="3"/>
      </w:r>
      <w:r w:rsidR="003848A6" w:rsidRPr="00910346">
        <w:rPr>
          <w:snapToGrid/>
        </w:rPr>
        <w:t>.</w:t>
      </w:r>
    </w:p>
    <w:p w14:paraId="2D598697" w14:textId="7E37A95A" w:rsidR="00772731" w:rsidRDefault="00772731" w:rsidP="009A0C3B">
      <w:pPr>
        <w:pStyle w:val="3-BodyText"/>
        <w:numPr>
          <w:ilvl w:val="0"/>
          <w:numId w:val="7"/>
        </w:numPr>
        <w:ind w:left="1148" w:hanging="439"/>
        <w:rPr>
          <w:i/>
          <w:snapToGrid/>
        </w:rPr>
      </w:pPr>
      <w:r w:rsidRPr="007D2369">
        <w:rPr>
          <w:snapToGrid/>
        </w:rPr>
        <w:t xml:space="preserve">The number and amount of pertussis antigens: For </w:t>
      </w:r>
      <w:r w:rsidR="003F1C13">
        <w:rPr>
          <w:snapToGrid/>
        </w:rPr>
        <w:t>p</w:t>
      </w:r>
      <w:r w:rsidRPr="007D2369">
        <w:rPr>
          <w:snapToGrid/>
        </w:rPr>
        <w:t xml:space="preserve">ertussis </w:t>
      </w:r>
      <w:r w:rsidR="003F1C13">
        <w:rPr>
          <w:snapToGrid/>
        </w:rPr>
        <w:t>t</w:t>
      </w:r>
      <w:r w:rsidRPr="007D2369">
        <w:rPr>
          <w:snapToGrid/>
        </w:rPr>
        <w:t xml:space="preserve">oxoid (PT), </w:t>
      </w:r>
      <w:r w:rsidR="003F1C13">
        <w:rPr>
          <w:snapToGrid/>
        </w:rPr>
        <w:t>f</w:t>
      </w:r>
      <w:r w:rsidRPr="007D2369">
        <w:rPr>
          <w:snapToGrid/>
        </w:rPr>
        <w:t xml:space="preserve">ilamentous </w:t>
      </w:r>
      <w:r w:rsidR="003F1C13">
        <w:rPr>
          <w:snapToGrid/>
        </w:rPr>
        <w:t>h</w:t>
      </w:r>
      <w:r w:rsidRPr="007D2369">
        <w:rPr>
          <w:snapToGrid/>
        </w:rPr>
        <w:t xml:space="preserve">aemagglutinin (FHA) and </w:t>
      </w:r>
      <w:r w:rsidR="003F1C13">
        <w:rPr>
          <w:snapToGrid/>
        </w:rPr>
        <w:t>p</w:t>
      </w:r>
      <w:r w:rsidRPr="007D2369">
        <w:rPr>
          <w:snapToGrid/>
        </w:rPr>
        <w:t xml:space="preserve">ertactin (PRN), </w:t>
      </w:r>
      <w:proofErr w:type="spellStart"/>
      <w:r w:rsidRPr="007D2369">
        <w:rPr>
          <w:snapToGrid/>
        </w:rPr>
        <w:t>Vaxelis</w:t>
      </w:r>
      <w:proofErr w:type="spellEnd"/>
      <w:r w:rsidRPr="007D2369">
        <w:rPr>
          <w:snapToGrid/>
        </w:rPr>
        <w:t xml:space="preserve"> has a lower antigen content than Infanrix </w:t>
      </w:r>
      <w:proofErr w:type="spellStart"/>
      <w:r w:rsidR="00A80250">
        <w:rPr>
          <w:snapToGrid/>
        </w:rPr>
        <w:t>H</w:t>
      </w:r>
      <w:r w:rsidRPr="007D2369">
        <w:rPr>
          <w:snapToGrid/>
        </w:rPr>
        <w:t>exa</w:t>
      </w:r>
      <w:proofErr w:type="spellEnd"/>
      <w:r w:rsidRPr="007D2369">
        <w:rPr>
          <w:snapToGrid/>
        </w:rPr>
        <w:t xml:space="preserve"> </w:t>
      </w:r>
      <w:bookmarkStart w:id="14" w:name="_Hlk92990175"/>
      <w:r w:rsidRPr="007D2369">
        <w:rPr>
          <w:snapToGrid/>
        </w:rPr>
        <w:t>(PT 20 µg vs. 25 µg, FHA 20 µg vs. 25 µg, and PRN 3 µg vs. 8 µg)</w:t>
      </w:r>
      <w:bookmarkEnd w:id="14"/>
      <w:r w:rsidRPr="007D2369">
        <w:rPr>
          <w:snapToGrid/>
        </w:rPr>
        <w:t xml:space="preserve">. On the other hand, </w:t>
      </w:r>
      <w:proofErr w:type="spellStart"/>
      <w:r w:rsidRPr="007D2369">
        <w:rPr>
          <w:snapToGrid/>
        </w:rPr>
        <w:t>Vaxelis</w:t>
      </w:r>
      <w:proofErr w:type="spellEnd"/>
      <w:r w:rsidRPr="007D2369">
        <w:rPr>
          <w:snapToGrid/>
        </w:rPr>
        <w:t xml:space="preserve"> contains additional pertussis antigens (</w:t>
      </w:r>
      <w:r w:rsidR="003F1C13">
        <w:rPr>
          <w:snapToGrid/>
        </w:rPr>
        <w:t>f</w:t>
      </w:r>
      <w:r w:rsidRPr="007D2369">
        <w:rPr>
          <w:snapToGrid/>
        </w:rPr>
        <w:t xml:space="preserve">imbriae </w:t>
      </w:r>
      <w:r w:rsidR="003F1C13">
        <w:rPr>
          <w:snapToGrid/>
        </w:rPr>
        <w:t>t</w:t>
      </w:r>
      <w:r w:rsidRPr="007D2369">
        <w:rPr>
          <w:snapToGrid/>
        </w:rPr>
        <w:t xml:space="preserve">ypes 2 and 3 (FIM2/3)) compared to Infanrix </w:t>
      </w:r>
      <w:proofErr w:type="spellStart"/>
      <w:r w:rsidR="00AE2917">
        <w:rPr>
          <w:snapToGrid/>
        </w:rPr>
        <w:t>H</w:t>
      </w:r>
      <w:r w:rsidRPr="007D2369">
        <w:rPr>
          <w:snapToGrid/>
        </w:rPr>
        <w:t>exa</w:t>
      </w:r>
      <w:proofErr w:type="spellEnd"/>
      <w:r w:rsidRPr="007D2369">
        <w:rPr>
          <w:snapToGrid/>
        </w:rPr>
        <w:t>.</w:t>
      </w:r>
      <w:r w:rsidR="006C4F2E" w:rsidRPr="006C4F2E">
        <w:rPr>
          <w:snapToGrid/>
          <w:lang w:val="en-US"/>
        </w:rPr>
        <w:t xml:space="preserve"> </w:t>
      </w:r>
      <w:r w:rsidR="006C4F2E">
        <w:rPr>
          <w:snapToGrid/>
          <w:lang w:val="en-US"/>
        </w:rPr>
        <w:t xml:space="preserve">The pre-PBAC </w:t>
      </w:r>
      <w:proofErr w:type="gramStart"/>
      <w:r w:rsidR="006C4F2E">
        <w:rPr>
          <w:snapToGrid/>
          <w:lang w:val="en-US"/>
        </w:rPr>
        <w:t>Response  noted</w:t>
      </w:r>
      <w:proofErr w:type="gramEnd"/>
      <w:r w:rsidR="006C4F2E">
        <w:rPr>
          <w:snapToGrid/>
          <w:lang w:val="en-US"/>
        </w:rPr>
        <w:t xml:space="preserve"> the TGA </w:t>
      </w:r>
      <w:r w:rsidR="002852A6">
        <w:rPr>
          <w:snapToGrid/>
          <w:lang w:val="en-US"/>
        </w:rPr>
        <w:t xml:space="preserve">clinical </w:t>
      </w:r>
      <w:r w:rsidR="006C4F2E">
        <w:rPr>
          <w:snapToGrid/>
          <w:lang w:val="en-US"/>
        </w:rPr>
        <w:t xml:space="preserve">evaluator considered that the </w:t>
      </w:r>
      <w:r w:rsidR="006C4F2E" w:rsidRPr="00EA77AB">
        <w:rPr>
          <w:snapToGrid/>
          <w:lang w:val="en-US"/>
        </w:rPr>
        <w:t>FIM types 2 and 3 antigens</w:t>
      </w:r>
      <w:r w:rsidR="006C4F2E">
        <w:rPr>
          <w:snapToGrid/>
          <w:lang w:val="en-US"/>
        </w:rPr>
        <w:t xml:space="preserve"> </w:t>
      </w:r>
      <w:r w:rsidR="006C4F2E" w:rsidRPr="00EA77AB">
        <w:rPr>
          <w:snapToGrid/>
          <w:lang w:val="en-US"/>
        </w:rPr>
        <w:t xml:space="preserve">may provide added protection compared to </w:t>
      </w:r>
      <w:r w:rsidR="00247C18">
        <w:rPr>
          <w:snapToGrid/>
          <w:lang w:val="en-US"/>
        </w:rPr>
        <w:t>those</w:t>
      </w:r>
      <w:r w:rsidR="006C4F2E" w:rsidRPr="00EA77AB">
        <w:rPr>
          <w:snapToGrid/>
          <w:lang w:val="en-US"/>
        </w:rPr>
        <w:t xml:space="preserve"> without FIM antigens </w:t>
      </w:r>
      <w:r w:rsidR="006C4F2E">
        <w:rPr>
          <w:snapToGrid/>
          <w:lang w:val="en-US"/>
        </w:rPr>
        <w:t xml:space="preserve">(such as Infanrix </w:t>
      </w:r>
      <w:proofErr w:type="spellStart"/>
      <w:r w:rsidR="00097E7E">
        <w:rPr>
          <w:snapToGrid/>
          <w:lang w:val="en-US"/>
        </w:rPr>
        <w:t>H</w:t>
      </w:r>
      <w:r w:rsidR="006C4F2E">
        <w:rPr>
          <w:snapToGrid/>
          <w:lang w:val="en-US"/>
        </w:rPr>
        <w:t>exa</w:t>
      </w:r>
      <w:proofErr w:type="spellEnd"/>
      <w:r w:rsidR="006C4F2E">
        <w:rPr>
          <w:snapToGrid/>
          <w:lang w:val="en-US"/>
        </w:rPr>
        <w:t xml:space="preserve"> or </w:t>
      </w:r>
      <w:proofErr w:type="spellStart"/>
      <w:r w:rsidR="006C4F2E">
        <w:rPr>
          <w:snapToGrid/>
          <w:lang w:val="en-US"/>
        </w:rPr>
        <w:t>Hexaxim</w:t>
      </w:r>
      <w:proofErr w:type="spellEnd"/>
      <w:r w:rsidR="006C4F2E">
        <w:rPr>
          <w:snapToGrid/>
          <w:lang w:val="en-US"/>
        </w:rPr>
        <w:t>) (p58</w:t>
      </w:r>
      <w:r w:rsidR="00457F1D">
        <w:rPr>
          <w:snapToGrid/>
          <w:lang w:val="en-US"/>
        </w:rPr>
        <w:t xml:space="preserve">, </w:t>
      </w:r>
      <w:r w:rsidR="006C4F2E">
        <w:rPr>
          <w:snapToGrid/>
          <w:lang w:val="en-US"/>
        </w:rPr>
        <w:t xml:space="preserve">TGA </w:t>
      </w:r>
      <w:r w:rsidR="00457F1D">
        <w:rPr>
          <w:snapToGrid/>
          <w:lang w:val="en-US"/>
        </w:rPr>
        <w:t>Clinical Evaluation Report (</w:t>
      </w:r>
      <w:r w:rsidR="006C4F2E">
        <w:rPr>
          <w:snapToGrid/>
          <w:lang w:val="en-US"/>
        </w:rPr>
        <w:t>CER</w:t>
      </w:r>
      <w:r w:rsidR="00457F1D">
        <w:rPr>
          <w:snapToGrid/>
          <w:lang w:val="en-US"/>
        </w:rPr>
        <w:t>)</w:t>
      </w:r>
      <w:r w:rsidR="006C4F2E">
        <w:rPr>
          <w:snapToGrid/>
          <w:lang w:val="en-US"/>
        </w:rPr>
        <w:t xml:space="preserve">). </w:t>
      </w:r>
      <w:r w:rsidR="00992E7B">
        <w:rPr>
          <w:snapToGrid/>
          <w:lang w:val="en-US"/>
        </w:rPr>
        <w:t xml:space="preserve">The pre-PBAC Response considered that </w:t>
      </w:r>
      <w:proofErr w:type="spellStart"/>
      <w:r w:rsidR="00992E7B">
        <w:rPr>
          <w:snapToGrid/>
          <w:lang w:val="en-US"/>
        </w:rPr>
        <w:t>Vaxelis</w:t>
      </w:r>
      <w:proofErr w:type="spellEnd"/>
      <w:r w:rsidR="00992E7B">
        <w:rPr>
          <w:snapToGrid/>
          <w:lang w:val="en-US"/>
        </w:rPr>
        <w:t xml:space="preserve"> may provide </w:t>
      </w:r>
      <w:r w:rsidR="00247C18">
        <w:rPr>
          <w:iCs/>
          <w:snapToGrid/>
        </w:rPr>
        <w:t>additional clinical utility against a disease</w:t>
      </w:r>
      <w:r w:rsidR="00B93267">
        <w:rPr>
          <w:iCs/>
          <w:snapToGrid/>
        </w:rPr>
        <w:t xml:space="preserve"> w</w:t>
      </w:r>
      <w:r w:rsidR="00B93267" w:rsidRPr="00B93267">
        <w:rPr>
          <w:iCs/>
          <w:snapToGrid/>
        </w:rPr>
        <w:t>hich remains one of Australia's most challenging vaccine-preventable diseases</w:t>
      </w:r>
      <w:r w:rsidR="00097E7E">
        <w:rPr>
          <w:iCs/>
          <w:snapToGrid/>
        </w:rPr>
        <w:t>,</w:t>
      </w:r>
      <w:r w:rsidR="00B93267">
        <w:rPr>
          <w:iCs/>
          <w:snapToGrid/>
        </w:rPr>
        <w:t xml:space="preserve"> noting that </w:t>
      </w:r>
      <w:r w:rsidR="00B93267" w:rsidRPr="00B93267">
        <w:rPr>
          <w:iCs/>
          <w:snapToGrid/>
        </w:rPr>
        <w:t xml:space="preserve">FHA-negative and PRN-negative </w:t>
      </w:r>
      <w:r w:rsidR="00B93267" w:rsidRPr="00B93267">
        <w:rPr>
          <w:i/>
          <w:snapToGrid/>
        </w:rPr>
        <w:t>B. pertussis</w:t>
      </w:r>
      <w:r w:rsidR="00B93267" w:rsidRPr="00B93267">
        <w:rPr>
          <w:iCs/>
          <w:snapToGrid/>
        </w:rPr>
        <w:t xml:space="preserve"> </w:t>
      </w:r>
      <w:r w:rsidR="00B93267">
        <w:rPr>
          <w:iCs/>
          <w:snapToGrid/>
        </w:rPr>
        <w:t xml:space="preserve">were observed </w:t>
      </w:r>
      <w:r w:rsidR="00B93267" w:rsidRPr="00B93267">
        <w:rPr>
          <w:iCs/>
          <w:snapToGrid/>
        </w:rPr>
        <w:t xml:space="preserve">in Australia </w:t>
      </w:r>
      <w:r w:rsidR="00B93267">
        <w:rPr>
          <w:iCs/>
          <w:snapToGrid/>
        </w:rPr>
        <w:t>during</w:t>
      </w:r>
      <w:r w:rsidR="00B93267" w:rsidRPr="00B93267">
        <w:rPr>
          <w:iCs/>
          <w:snapToGrid/>
        </w:rPr>
        <w:t xml:space="preserve"> the 2013–2017 pertussis epidemic</w:t>
      </w:r>
      <w:r w:rsidR="009102C0">
        <w:rPr>
          <w:iCs/>
          <w:snapToGrid/>
        </w:rPr>
        <w:t>.</w:t>
      </w:r>
    </w:p>
    <w:p w14:paraId="5E8D1A62" w14:textId="5626BEE4" w:rsidR="00772731" w:rsidRDefault="00772731" w:rsidP="009A0C3B">
      <w:pPr>
        <w:pStyle w:val="3-BodyText"/>
        <w:numPr>
          <w:ilvl w:val="0"/>
          <w:numId w:val="7"/>
        </w:numPr>
        <w:ind w:left="1148" w:hanging="439"/>
        <w:rPr>
          <w:snapToGrid/>
        </w:rPr>
      </w:pPr>
      <w:r w:rsidRPr="00A912D5">
        <w:rPr>
          <w:snapToGrid/>
        </w:rPr>
        <w:t xml:space="preserve">The quantity of PRP </w:t>
      </w:r>
      <w:r w:rsidR="005E6D83">
        <w:rPr>
          <w:snapToGrid/>
        </w:rPr>
        <w:t>in</w:t>
      </w:r>
      <w:r w:rsidRPr="00A912D5">
        <w:rPr>
          <w:snapToGrid/>
        </w:rPr>
        <w:t xml:space="preserve"> Hib and its carrier protein: </w:t>
      </w:r>
      <w:proofErr w:type="spellStart"/>
      <w:r w:rsidRPr="00A912D5">
        <w:rPr>
          <w:snapToGrid/>
        </w:rPr>
        <w:t>Vaxelis</w:t>
      </w:r>
      <w:proofErr w:type="spellEnd"/>
      <w:r w:rsidRPr="00A912D5">
        <w:rPr>
          <w:snapToGrid/>
        </w:rPr>
        <w:t xml:space="preserve"> has lower Hib polysaccharide content compared to Infanrix </w:t>
      </w:r>
      <w:proofErr w:type="spellStart"/>
      <w:r w:rsidR="00B5160A">
        <w:rPr>
          <w:snapToGrid/>
        </w:rPr>
        <w:t>H</w:t>
      </w:r>
      <w:r w:rsidRPr="00A912D5">
        <w:rPr>
          <w:snapToGrid/>
        </w:rPr>
        <w:t>exa</w:t>
      </w:r>
      <w:proofErr w:type="spellEnd"/>
      <w:r w:rsidRPr="00A912D5">
        <w:rPr>
          <w:snapToGrid/>
        </w:rPr>
        <w:t xml:space="preserve"> (3 µg compared to 10 µg). The </w:t>
      </w:r>
      <w:proofErr w:type="spellStart"/>
      <w:r w:rsidRPr="00A912D5">
        <w:rPr>
          <w:snapToGrid/>
        </w:rPr>
        <w:t>Vaxelis</w:t>
      </w:r>
      <w:proofErr w:type="spellEnd"/>
      <w:r w:rsidRPr="00A912D5">
        <w:rPr>
          <w:snapToGrid/>
        </w:rPr>
        <w:t xml:space="preserve"> Hib component is conjugated to the outer membrane protein complex of </w:t>
      </w:r>
      <w:r w:rsidRPr="00AA38FD">
        <w:rPr>
          <w:i/>
          <w:snapToGrid/>
        </w:rPr>
        <w:t>Neisseria meningitidis</w:t>
      </w:r>
      <w:r w:rsidRPr="00A912D5">
        <w:rPr>
          <w:snapToGrid/>
        </w:rPr>
        <w:t xml:space="preserve"> (OMP</w:t>
      </w:r>
      <w:r w:rsidR="007004B8">
        <w:rPr>
          <w:snapToGrid/>
        </w:rPr>
        <w:t>C</w:t>
      </w:r>
      <w:r w:rsidRPr="00A912D5">
        <w:rPr>
          <w:snapToGrid/>
        </w:rPr>
        <w:t>) (PRP-OMP</w:t>
      </w:r>
      <w:r w:rsidR="002E2873">
        <w:rPr>
          <w:snapToGrid/>
        </w:rPr>
        <w:t>C</w:t>
      </w:r>
      <w:r w:rsidRPr="00A912D5">
        <w:rPr>
          <w:snapToGrid/>
        </w:rPr>
        <w:t xml:space="preserve">) compared to tetanus toxoid (TT) for Infanrix </w:t>
      </w:r>
      <w:proofErr w:type="spellStart"/>
      <w:r w:rsidR="00AE2917">
        <w:rPr>
          <w:snapToGrid/>
        </w:rPr>
        <w:t>H</w:t>
      </w:r>
      <w:r w:rsidRPr="00A912D5">
        <w:rPr>
          <w:snapToGrid/>
        </w:rPr>
        <w:t>exa</w:t>
      </w:r>
      <w:proofErr w:type="spellEnd"/>
      <w:r w:rsidRPr="00A912D5">
        <w:rPr>
          <w:snapToGrid/>
        </w:rPr>
        <w:t xml:space="preserve"> (PRP-TT).</w:t>
      </w:r>
    </w:p>
    <w:p w14:paraId="2776221F" w14:textId="2437AE70" w:rsidR="00736D64" w:rsidRPr="00A912D5" w:rsidRDefault="00736D64" w:rsidP="00736D64">
      <w:pPr>
        <w:pStyle w:val="3-BodyText"/>
        <w:numPr>
          <w:ilvl w:val="0"/>
          <w:numId w:val="0"/>
        </w:numPr>
        <w:ind w:left="709"/>
        <w:rPr>
          <w:snapToGrid/>
        </w:rPr>
      </w:pPr>
      <w:r w:rsidRPr="00C33D30">
        <w:rPr>
          <w:i/>
        </w:rPr>
        <w:t>For more detail on PBAC’s view, see section 7 PBAC outcome.</w:t>
      </w:r>
    </w:p>
    <w:p w14:paraId="6639FF09" w14:textId="40FD3D51" w:rsidR="00772731" w:rsidRDefault="00772731" w:rsidP="00772731">
      <w:pPr>
        <w:pStyle w:val="2-SectionHeading"/>
      </w:pPr>
      <w:bookmarkStart w:id="15" w:name="_Toc93503672"/>
      <w:bookmarkStart w:id="16" w:name="_Toc22897640"/>
      <w:r>
        <w:t>C</w:t>
      </w:r>
      <w:r w:rsidRPr="00407F2D">
        <w:t>onsideration of the evidence</w:t>
      </w:r>
      <w:bookmarkEnd w:id="15"/>
    </w:p>
    <w:p w14:paraId="30E5569B" w14:textId="77777777" w:rsidR="000604F5" w:rsidRPr="006E1229" w:rsidRDefault="000604F5" w:rsidP="000604F5">
      <w:pPr>
        <w:pStyle w:val="4-SubsectionHeading"/>
      </w:pPr>
      <w:bookmarkStart w:id="17" w:name="_Hlk76375935"/>
      <w:r w:rsidRPr="006E1229">
        <w:t>Sponsor hearing</w:t>
      </w:r>
    </w:p>
    <w:p w14:paraId="4945DF61" w14:textId="6668566C" w:rsidR="000604F5" w:rsidRPr="00F91542" w:rsidRDefault="00EF16E6" w:rsidP="000604F5">
      <w:pPr>
        <w:widowControl w:val="0"/>
        <w:numPr>
          <w:ilvl w:val="1"/>
          <w:numId w:val="1"/>
        </w:numPr>
        <w:spacing w:after="120"/>
        <w:rPr>
          <w:rFonts w:cs="Calibri"/>
          <w:bCs/>
          <w:snapToGrid w:val="0"/>
        </w:rPr>
      </w:pPr>
      <w:r w:rsidRPr="00F91542">
        <w:rPr>
          <w:rFonts w:cs="Calibri"/>
          <w:bCs/>
          <w:snapToGrid w:val="0"/>
        </w:rPr>
        <w:t>Ther</w:t>
      </w:r>
      <w:r>
        <w:rPr>
          <w:rFonts w:cs="Calibri"/>
          <w:bCs/>
          <w:snapToGrid w:val="0"/>
        </w:rPr>
        <w:t>e was no hearing for this item.</w:t>
      </w:r>
    </w:p>
    <w:p w14:paraId="189769FA" w14:textId="77777777" w:rsidR="000604F5" w:rsidRPr="006E1229" w:rsidRDefault="000604F5" w:rsidP="000604F5">
      <w:pPr>
        <w:pStyle w:val="4-SubsectionHeading"/>
      </w:pPr>
      <w:r w:rsidRPr="006E1229">
        <w:t>Consumer comments</w:t>
      </w:r>
    </w:p>
    <w:p w14:paraId="0C38C1B8" w14:textId="4F5289FF" w:rsidR="00286D2D" w:rsidRPr="00837228" w:rsidRDefault="00EF16E6" w:rsidP="00286D2D">
      <w:pPr>
        <w:widowControl w:val="0"/>
        <w:numPr>
          <w:ilvl w:val="1"/>
          <w:numId w:val="1"/>
        </w:numPr>
        <w:spacing w:after="120"/>
        <w:rPr>
          <w:rFonts w:asciiTheme="minorHAnsi" w:hAnsiTheme="minorHAnsi" w:cstheme="minorHAnsi"/>
          <w:bCs/>
          <w:snapToGrid w:val="0"/>
        </w:rPr>
      </w:pPr>
      <w:bookmarkStart w:id="18" w:name="_Hlk76382618"/>
      <w:r w:rsidRPr="00836F75">
        <w:rPr>
          <w:rFonts w:asciiTheme="minorHAnsi" w:hAnsiTheme="minorHAnsi"/>
          <w:bCs/>
          <w:snapToGrid w:val="0"/>
        </w:rPr>
        <w:t xml:space="preserve">The PBAC noted and welcomed the input from </w:t>
      </w:r>
      <w:r>
        <w:rPr>
          <w:rFonts w:asciiTheme="minorHAnsi" w:hAnsiTheme="minorHAnsi"/>
          <w:bCs/>
          <w:snapToGrid w:val="0"/>
        </w:rPr>
        <w:t>organisations (2</w:t>
      </w:r>
      <w:r w:rsidRPr="00836F75">
        <w:rPr>
          <w:rFonts w:asciiTheme="minorHAnsi" w:hAnsiTheme="minorHAnsi"/>
          <w:bCs/>
          <w:snapToGrid w:val="0"/>
        </w:rPr>
        <w:t>) via the Consumer Comments facility on the PBS website</w:t>
      </w:r>
      <w:r w:rsidRPr="00837228">
        <w:rPr>
          <w:rFonts w:asciiTheme="minorHAnsi" w:hAnsiTheme="minorHAnsi"/>
          <w:bCs/>
          <w:snapToGrid w:val="0"/>
        </w:rPr>
        <w:t>.</w:t>
      </w:r>
      <w:r w:rsidR="000604F5" w:rsidRPr="00837228">
        <w:rPr>
          <w:rFonts w:asciiTheme="minorHAnsi" w:hAnsiTheme="minorHAnsi"/>
          <w:bCs/>
          <w:snapToGrid w:val="0"/>
        </w:rPr>
        <w:t xml:space="preserve"> </w:t>
      </w:r>
      <w:r w:rsidR="00837228" w:rsidRPr="00837228">
        <w:rPr>
          <w:rFonts w:asciiTheme="minorHAnsi" w:hAnsiTheme="minorHAnsi"/>
          <w:bCs/>
          <w:snapToGrid w:val="0"/>
        </w:rPr>
        <w:t xml:space="preserve">The comments from the Global Healthy Living Foundation Australia (GLHF Australia) </w:t>
      </w:r>
      <w:r w:rsidR="00B4722C">
        <w:rPr>
          <w:rFonts w:asciiTheme="minorHAnsi" w:hAnsiTheme="minorHAnsi"/>
          <w:bCs/>
          <w:snapToGrid w:val="0"/>
        </w:rPr>
        <w:t>noted that</w:t>
      </w:r>
      <w:r w:rsidR="00837228" w:rsidRPr="00837228">
        <w:rPr>
          <w:rFonts w:asciiTheme="minorHAnsi" w:hAnsiTheme="minorHAnsi"/>
          <w:bCs/>
          <w:snapToGrid w:val="0"/>
        </w:rPr>
        <w:t xml:space="preserve"> reducing the vaccination burden in terms of number of injections</w:t>
      </w:r>
      <w:r w:rsidR="00B4722C">
        <w:rPr>
          <w:rFonts w:asciiTheme="minorHAnsi" w:hAnsiTheme="minorHAnsi"/>
          <w:bCs/>
          <w:snapToGrid w:val="0"/>
        </w:rPr>
        <w:t xml:space="preserve"> with</w:t>
      </w:r>
      <w:r w:rsidR="00BE0114">
        <w:rPr>
          <w:rFonts w:asciiTheme="minorHAnsi" w:hAnsiTheme="minorHAnsi"/>
          <w:bCs/>
          <w:snapToGrid w:val="0"/>
        </w:rPr>
        <w:t xml:space="preserve"> a hexavalent vaccine such as</w:t>
      </w:r>
      <w:r w:rsidR="00B4722C">
        <w:rPr>
          <w:rFonts w:asciiTheme="minorHAnsi" w:hAnsiTheme="minorHAnsi"/>
          <w:bCs/>
          <w:snapToGrid w:val="0"/>
        </w:rPr>
        <w:t xml:space="preserve"> </w:t>
      </w:r>
      <w:proofErr w:type="spellStart"/>
      <w:r w:rsidR="00B4722C">
        <w:rPr>
          <w:rFonts w:asciiTheme="minorHAnsi" w:hAnsiTheme="minorHAnsi"/>
          <w:bCs/>
          <w:snapToGrid w:val="0"/>
        </w:rPr>
        <w:t>Vaxelis</w:t>
      </w:r>
      <w:proofErr w:type="spellEnd"/>
      <w:r w:rsidR="00B4722C">
        <w:rPr>
          <w:rFonts w:asciiTheme="minorHAnsi" w:hAnsiTheme="minorHAnsi"/>
          <w:bCs/>
          <w:snapToGrid w:val="0"/>
        </w:rPr>
        <w:t xml:space="preserve"> may</w:t>
      </w:r>
      <w:r w:rsidR="00837228" w:rsidRPr="00837228">
        <w:rPr>
          <w:rFonts w:asciiTheme="minorHAnsi" w:hAnsiTheme="minorHAnsi"/>
          <w:bCs/>
          <w:snapToGrid w:val="0"/>
        </w:rPr>
        <w:t xml:space="preserve"> in turn increase vaccine uptake and increase completion of vaccine series. GLHF Australia noted that the introduction of a second hexavalent combination vaccine would allow choice, improve consumer </w:t>
      </w:r>
      <w:proofErr w:type="gramStart"/>
      <w:r w:rsidR="00837228" w:rsidRPr="00837228">
        <w:rPr>
          <w:rFonts w:asciiTheme="minorHAnsi" w:hAnsiTheme="minorHAnsi"/>
          <w:bCs/>
          <w:snapToGrid w:val="0"/>
        </w:rPr>
        <w:t>access</w:t>
      </w:r>
      <w:proofErr w:type="gramEnd"/>
      <w:r w:rsidR="00837228" w:rsidRPr="00837228">
        <w:rPr>
          <w:rFonts w:asciiTheme="minorHAnsi" w:hAnsiTheme="minorHAnsi"/>
          <w:bCs/>
          <w:snapToGrid w:val="0"/>
        </w:rPr>
        <w:t xml:space="preserve"> and introduce competitiveness in the market for </w:t>
      </w:r>
      <w:r w:rsidR="00837228" w:rsidRPr="00837228">
        <w:rPr>
          <w:rFonts w:asciiTheme="minorHAnsi" w:hAnsiTheme="minorHAnsi" w:cstheme="minorHAnsi"/>
          <w:bCs/>
          <w:snapToGrid w:val="0"/>
        </w:rPr>
        <w:lastRenderedPageBreak/>
        <w:t>critical vaccines. The comments from the Immunisation Foundation of Australia noted that p</w:t>
      </w:r>
      <w:r w:rsidR="00837228" w:rsidRPr="00837228">
        <w:rPr>
          <w:rFonts w:asciiTheme="minorHAnsi" w:hAnsiTheme="minorHAnsi" w:cstheme="minorHAnsi"/>
        </w:rPr>
        <w:t>refilled syringes help</w:t>
      </w:r>
      <w:r w:rsidR="00B4722C">
        <w:rPr>
          <w:rFonts w:asciiTheme="minorHAnsi" w:hAnsiTheme="minorHAnsi" w:cstheme="minorHAnsi"/>
        </w:rPr>
        <w:t xml:space="preserve"> </w:t>
      </w:r>
      <w:r w:rsidR="00837228" w:rsidRPr="00837228">
        <w:rPr>
          <w:rFonts w:asciiTheme="minorHAnsi" w:hAnsiTheme="minorHAnsi" w:cstheme="minorHAnsi"/>
        </w:rPr>
        <w:t>make the vaccination process quicker for children, potentially reducing anxiety, and that the earlier and more</w:t>
      </w:r>
      <w:r w:rsidR="00837228">
        <w:rPr>
          <w:rFonts w:asciiTheme="minorHAnsi" w:hAnsiTheme="minorHAnsi" w:cstheme="minorHAnsi"/>
        </w:rPr>
        <w:t xml:space="preserve"> robust immune res</w:t>
      </w:r>
      <w:r w:rsidR="006A70E5">
        <w:rPr>
          <w:rFonts w:asciiTheme="minorHAnsi" w:hAnsiTheme="minorHAnsi" w:cstheme="minorHAnsi"/>
        </w:rPr>
        <w:t>ponse for Hib</w:t>
      </w:r>
      <w:r w:rsidR="00837228">
        <w:rPr>
          <w:rFonts w:asciiTheme="minorHAnsi" w:hAnsiTheme="minorHAnsi" w:cstheme="minorHAnsi"/>
        </w:rPr>
        <w:t xml:space="preserve"> with </w:t>
      </w:r>
      <w:proofErr w:type="spellStart"/>
      <w:r w:rsidR="00837228">
        <w:rPr>
          <w:rFonts w:asciiTheme="minorHAnsi" w:hAnsiTheme="minorHAnsi" w:cstheme="minorHAnsi"/>
        </w:rPr>
        <w:t>Vaxelis</w:t>
      </w:r>
      <w:proofErr w:type="spellEnd"/>
      <w:r w:rsidR="00837228">
        <w:rPr>
          <w:rFonts w:asciiTheme="minorHAnsi" w:hAnsiTheme="minorHAnsi" w:cstheme="minorHAnsi"/>
        </w:rPr>
        <w:t xml:space="preserve"> </w:t>
      </w:r>
      <w:r w:rsidR="00837228" w:rsidRPr="00837228">
        <w:rPr>
          <w:rFonts w:asciiTheme="minorHAnsi" w:hAnsiTheme="minorHAnsi" w:cstheme="minorHAnsi"/>
        </w:rPr>
        <w:t xml:space="preserve">is likely to be beneficial to the health of Aboriginal and Torres Strait Islander children, given that </w:t>
      </w:r>
      <w:r w:rsidR="00837228">
        <w:rPr>
          <w:rFonts w:asciiTheme="minorHAnsi" w:hAnsiTheme="minorHAnsi" w:cstheme="minorHAnsi"/>
        </w:rPr>
        <w:t xml:space="preserve">they </w:t>
      </w:r>
      <w:r w:rsidR="00837228" w:rsidRPr="00837228">
        <w:rPr>
          <w:rFonts w:asciiTheme="minorHAnsi" w:hAnsiTheme="minorHAnsi" w:cstheme="minorHAnsi"/>
        </w:rPr>
        <w:t>are at</w:t>
      </w:r>
      <w:r w:rsidR="00AE4C62">
        <w:rPr>
          <w:rFonts w:asciiTheme="minorHAnsi" w:hAnsiTheme="minorHAnsi" w:cstheme="minorHAnsi"/>
        </w:rPr>
        <w:t xml:space="preserve"> higher</w:t>
      </w:r>
      <w:r w:rsidR="00837228" w:rsidRPr="00837228">
        <w:rPr>
          <w:rFonts w:asciiTheme="minorHAnsi" w:hAnsiTheme="minorHAnsi" w:cstheme="minorHAnsi"/>
        </w:rPr>
        <w:t xml:space="preserve"> </w:t>
      </w:r>
      <w:r w:rsidR="006A70E5">
        <w:rPr>
          <w:rFonts w:asciiTheme="minorHAnsi" w:hAnsiTheme="minorHAnsi" w:cstheme="minorHAnsi"/>
        </w:rPr>
        <w:t>risk of contracting Hib</w:t>
      </w:r>
      <w:r w:rsidR="00837228" w:rsidRPr="00837228">
        <w:rPr>
          <w:rFonts w:asciiTheme="minorHAnsi" w:hAnsiTheme="minorHAnsi" w:cstheme="minorHAnsi"/>
        </w:rPr>
        <w:t xml:space="preserve"> disease.</w:t>
      </w:r>
      <w:r w:rsidR="00CA0EE8">
        <w:rPr>
          <w:rFonts w:asciiTheme="minorHAnsi" w:hAnsiTheme="minorHAnsi" w:cstheme="minorHAnsi"/>
        </w:rPr>
        <w:t xml:space="preserve"> </w:t>
      </w:r>
      <w:r w:rsidR="00CA0EE8" w:rsidRPr="00836F75">
        <w:rPr>
          <w:rFonts w:asciiTheme="minorHAnsi" w:hAnsiTheme="minorHAnsi"/>
          <w:bCs/>
          <w:snapToGrid w:val="0"/>
        </w:rPr>
        <w:t>The PBAC noted that this advice was supportive of the evidence provided in the submission.</w:t>
      </w:r>
    </w:p>
    <w:p w14:paraId="59F9E984" w14:textId="77777777" w:rsidR="00772731" w:rsidRPr="00C9624D" w:rsidRDefault="00772731" w:rsidP="00772731">
      <w:pPr>
        <w:pStyle w:val="4-SubsectionHeading"/>
      </w:pPr>
      <w:bookmarkStart w:id="19" w:name="_Toc93503673"/>
      <w:bookmarkEnd w:id="17"/>
      <w:bookmarkEnd w:id="18"/>
      <w:r w:rsidRPr="00C9624D">
        <w:t xml:space="preserve">Clinical </w:t>
      </w:r>
      <w:r>
        <w:t>studie</w:t>
      </w:r>
      <w:bookmarkEnd w:id="16"/>
      <w:r>
        <w:t>s</w:t>
      </w:r>
      <w:bookmarkEnd w:id="19"/>
    </w:p>
    <w:p w14:paraId="08713793" w14:textId="2A1DDC16" w:rsidR="007F6443" w:rsidRPr="007F6443" w:rsidRDefault="00772731" w:rsidP="007F6443">
      <w:pPr>
        <w:pStyle w:val="3-BodyText"/>
      </w:pPr>
      <w:r>
        <w:rPr>
          <w:snapToGrid/>
          <w:lang w:val="en-US"/>
        </w:rPr>
        <w:t xml:space="preserve">The submission was based on </w:t>
      </w:r>
      <w:r w:rsidRPr="007112F6">
        <w:rPr>
          <w:snapToGrid/>
        </w:rPr>
        <w:t xml:space="preserve">two head-to-head randomised trials comparing immunogenicity and safety </w:t>
      </w:r>
      <w:r>
        <w:rPr>
          <w:snapToGrid/>
        </w:rPr>
        <w:t xml:space="preserve">outcomes </w:t>
      </w:r>
      <w:r w:rsidRPr="007112F6">
        <w:rPr>
          <w:snapToGrid/>
        </w:rPr>
        <w:t xml:space="preserve">between </w:t>
      </w:r>
      <w:proofErr w:type="spellStart"/>
      <w:r w:rsidRPr="007112F6">
        <w:rPr>
          <w:snapToGrid/>
        </w:rPr>
        <w:t>Vaxelis</w:t>
      </w:r>
      <w:proofErr w:type="spellEnd"/>
      <w:r w:rsidRPr="007112F6">
        <w:rPr>
          <w:snapToGrid/>
        </w:rPr>
        <w:t xml:space="preserve"> and Infanrix </w:t>
      </w:r>
      <w:proofErr w:type="spellStart"/>
      <w:r w:rsidR="00AE2917">
        <w:rPr>
          <w:snapToGrid/>
        </w:rPr>
        <w:t>H</w:t>
      </w:r>
      <w:r w:rsidRPr="007112F6">
        <w:rPr>
          <w:snapToGrid/>
        </w:rPr>
        <w:t>exa</w:t>
      </w:r>
      <w:proofErr w:type="spellEnd"/>
      <w:r w:rsidRPr="007112F6">
        <w:rPr>
          <w:snapToGrid/>
        </w:rPr>
        <w:t xml:space="preserve"> (V419-007 and V419-</w:t>
      </w:r>
      <w:r w:rsidRPr="00910346">
        <w:rPr>
          <w:snapToGrid/>
        </w:rPr>
        <w:t>008 (herein referred to as Studies 007 and 008, respectively)) when</w:t>
      </w:r>
      <w:r w:rsidRPr="007112F6">
        <w:rPr>
          <w:snapToGrid/>
        </w:rPr>
        <w:t xml:space="preserve"> given concomitantly with Prevnar 13</w:t>
      </w:r>
      <w:r w:rsidR="00B5160A">
        <w:rPr>
          <w:snapToGrid/>
        </w:rPr>
        <w:t>®</w:t>
      </w:r>
      <w:r w:rsidRPr="007112F6">
        <w:rPr>
          <w:snapToGrid/>
          <w:vertAlign w:val="superscript"/>
        </w:rPr>
        <w:footnoteReference w:id="4"/>
      </w:r>
      <w:r w:rsidRPr="007112F6">
        <w:rPr>
          <w:snapToGrid/>
        </w:rPr>
        <w:t xml:space="preserve"> (both trials), </w:t>
      </w:r>
      <w:proofErr w:type="spellStart"/>
      <w:r w:rsidRPr="007112F6">
        <w:rPr>
          <w:snapToGrid/>
        </w:rPr>
        <w:t>RotaTeq</w:t>
      </w:r>
      <w:bookmarkStart w:id="20" w:name="_Ref89678315"/>
      <w:proofErr w:type="spellEnd"/>
      <w:r w:rsidR="00B5160A">
        <w:rPr>
          <w:snapToGrid/>
        </w:rPr>
        <w:t>®</w:t>
      </w:r>
      <w:r w:rsidRPr="007112F6">
        <w:rPr>
          <w:snapToGrid/>
          <w:vertAlign w:val="superscript"/>
        </w:rPr>
        <w:footnoteReference w:id="5"/>
      </w:r>
      <w:bookmarkEnd w:id="20"/>
      <w:r w:rsidRPr="007112F6">
        <w:rPr>
          <w:snapToGrid/>
        </w:rPr>
        <w:t xml:space="preserve"> (both trials)</w:t>
      </w:r>
      <w:r w:rsidR="00667019">
        <w:rPr>
          <w:snapToGrid/>
        </w:rPr>
        <w:t xml:space="preserve">, </w:t>
      </w:r>
      <w:r w:rsidRPr="002E2873">
        <w:rPr>
          <w:snapToGrid/>
        </w:rPr>
        <w:t>Rotarix</w:t>
      </w:r>
      <w:r w:rsidR="00B5160A">
        <w:rPr>
          <w:snapToGrid/>
        </w:rPr>
        <w:t>®</w:t>
      </w:r>
      <w:r w:rsidRPr="002E2873">
        <w:rPr>
          <w:snapToGrid/>
        </w:rPr>
        <w:t xml:space="preserve"> (Study 008 only), and </w:t>
      </w:r>
      <w:proofErr w:type="spellStart"/>
      <w:r w:rsidRPr="002E2873">
        <w:rPr>
          <w:snapToGrid/>
        </w:rPr>
        <w:t>ProQuad</w:t>
      </w:r>
      <w:proofErr w:type="spellEnd"/>
      <w:r w:rsidR="00E46328">
        <w:rPr>
          <w:snapToGrid/>
        </w:rPr>
        <w:t>®</w:t>
      </w:r>
      <w:r w:rsidRPr="002E2873">
        <w:rPr>
          <w:snapToGrid/>
          <w:vertAlign w:val="superscript"/>
        </w:rPr>
        <w:footnoteReference w:id="6"/>
      </w:r>
      <w:r w:rsidRPr="002E2873">
        <w:rPr>
          <w:snapToGrid/>
        </w:rPr>
        <w:t xml:space="preserve"> (Study 007 only) in a 2, 3 and 4 month primary dose series (3+1; Study 007) and a 2 </w:t>
      </w:r>
      <w:r w:rsidRPr="000F2686">
        <w:rPr>
          <w:snapToGrid/>
        </w:rPr>
        <w:t>and 4 month primary dose series (2+1; Study 008) followed by a 11-12 month booster</w:t>
      </w:r>
      <w:r w:rsidR="005E6D83">
        <w:rPr>
          <w:snapToGrid/>
        </w:rPr>
        <w:t xml:space="preserve"> for both studies</w:t>
      </w:r>
      <w:r w:rsidRPr="000F2686">
        <w:rPr>
          <w:snapToGrid/>
        </w:rPr>
        <w:t>.</w:t>
      </w:r>
      <w:r w:rsidR="00B51657" w:rsidRPr="00B51657">
        <w:t xml:space="preserve"> </w:t>
      </w:r>
      <w:r w:rsidR="00B51657">
        <w:t>The time points of the dosing schedule differed between the key studies and the proposed Australian setting.</w:t>
      </w:r>
      <w:r w:rsidR="00AF4B4F">
        <w:t xml:space="preserve"> The ATAGI advised </w:t>
      </w:r>
      <w:bookmarkStart w:id="21" w:name="_Hlk98677208"/>
      <w:r w:rsidR="00AF4B4F">
        <w:t xml:space="preserve">that the difference between the trial setting and proposed Australian setting in terms of dosing schedule is unlikely to affect vaccine efficacy and safety. </w:t>
      </w:r>
    </w:p>
    <w:bookmarkEnd w:id="21"/>
    <w:p w14:paraId="63804059" w14:textId="5690F6B5" w:rsidR="00772731" w:rsidRPr="00910346" w:rsidRDefault="007F6443" w:rsidP="007F6443">
      <w:pPr>
        <w:pStyle w:val="3-BodyText"/>
      </w:pPr>
      <w:r w:rsidRPr="00910346">
        <w:rPr>
          <w:snapToGrid/>
          <w:lang w:val="en-US"/>
        </w:rPr>
        <w:t>The proposed dosing schedule for the primary series (</w:t>
      </w:r>
      <w:r w:rsidR="005E6D83" w:rsidRPr="00910346">
        <w:rPr>
          <w:snapToGrid/>
          <w:lang w:val="en-US"/>
        </w:rPr>
        <w:t>identical</w:t>
      </w:r>
      <w:r w:rsidRPr="00910346">
        <w:rPr>
          <w:snapToGrid/>
          <w:lang w:val="en-US"/>
        </w:rPr>
        <w:t xml:space="preserve"> to that for Infanrix </w:t>
      </w:r>
      <w:proofErr w:type="spellStart"/>
      <w:r w:rsidR="00AE2917">
        <w:rPr>
          <w:snapToGrid/>
          <w:lang w:val="en-US"/>
        </w:rPr>
        <w:t>H</w:t>
      </w:r>
      <w:r w:rsidRPr="00910346">
        <w:rPr>
          <w:snapToGrid/>
          <w:lang w:val="en-US"/>
        </w:rPr>
        <w:t>exa</w:t>
      </w:r>
      <w:proofErr w:type="spellEnd"/>
      <w:r w:rsidRPr="00910346">
        <w:rPr>
          <w:snapToGrid/>
          <w:lang w:val="en-US"/>
        </w:rPr>
        <w:t>) is at 2, 4 and 6 months. No booster dose was proposed in the submission.</w:t>
      </w:r>
    </w:p>
    <w:p w14:paraId="4A31768A" w14:textId="77777777" w:rsidR="00772731" w:rsidRPr="000F2686" w:rsidRDefault="00772731" w:rsidP="00772731">
      <w:pPr>
        <w:pStyle w:val="3-BodyText"/>
      </w:pPr>
      <w:r>
        <w:rPr>
          <w:snapToGrid/>
          <w:lang w:val="en-US"/>
        </w:rPr>
        <w:t xml:space="preserve">Supportive evidence provided in the submission </w:t>
      </w:r>
      <w:r w:rsidRPr="000F2686">
        <w:rPr>
          <w:snapToGrid/>
          <w:lang w:val="en-US"/>
        </w:rPr>
        <w:t>included:</w:t>
      </w:r>
    </w:p>
    <w:p w14:paraId="669D6EA9" w14:textId="1363D6B7" w:rsidR="00772731" w:rsidRPr="00910346" w:rsidRDefault="00772731" w:rsidP="009A0C3B">
      <w:pPr>
        <w:pStyle w:val="3-BodyText"/>
        <w:numPr>
          <w:ilvl w:val="0"/>
          <w:numId w:val="7"/>
        </w:numPr>
        <w:ind w:left="1148" w:hanging="439"/>
        <w:rPr>
          <w:snapToGrid/>
        </w:rPr>
      </w:pPr>
      <w:r w:rsidRPr="00275B03">
        <w:rPr>
          <w:snapToGrid/>
        </w:rPr>
        <w:t>Extension Study PRI03C</w:t>
      </w:r>
      <w:r w:rsidR="00595CA1">
        <w:rPr>
          <w:snapToGrid/>
        </w:rPr>
        <w:t xml:space="preserve"> - a</w:t>
      </w:r>
      <w:r w:rsidRPr="00275B03">
        <w:rPr>
          <w:snapToGrid/>
        </w:rPr>
        <w:t xml:space="preserve"> non-randomised parallel group</w:t>
      </w:r>
      <w:r w:rsidR="00595CA1">
        <w:rPr>
          <w:snapToGrid/>
        </w:rPr>
        <w:t xml:space="preserve"> study that</w:t>
      </w:r>
      <w:r w:rsidRPr="00275B03">
        <w:rPr>
          <w:snapToGrid/>
        </w:rPr>
        <w:t xml:space="preserve"> assessed the long-term persistence of hepatitis B and pertussis antibody responses in healthy 4 to 5-year-old children approximately 4 years after the primary series and booster vaccination from Studies 007 (3+1 schedule), and 008 (2+1 schedule). </w:t>
      </w:r>
      <w:r w:rsidRPr="00910346">
        <w:rPr>
          <w:snapToGrid/>
        </w:rPr>
        <w:t xml:space="preserve">Given the comparator was Infanrix </w:t>
      </w:r>
      <w:proofErr w:type="spellStart"/>
      <w:r w:rsidR="00AE2917">
        <w:rPr>
          <w:snapToGrid/>
        </w:rPr>
        <w:t>H</w:t>
      </w:r>
      <w:r w:rsidRPr="00910346">
        <w:rPr>
          <w:snapToGrid/>
        </w:rPr>
        <w:t>exa</w:t>
      </w:r>
      <w:proofErr w:type="spellEnd"/>
      <w:r w:rsidR="000F2686" w:rsidRPr="00910346">
        <w:rPr>
          <w:snapToGrid/>
        </w:rPr>
        <w:t xml:space="preserve"> in the primary key studies</w:t>
      </w:r>
      <w:r w:rsidRPr="00910346">
        <w:rPr>
          <w:snapToGrid/>
        </w:rPr>
        <w:t xml:space="preserve">, this study was considered </w:t>
      </w:r>
      <w:r w:rsidR="002E2873" w:rsidRPr="00910346">
        <w:rPr>
          <w:snapToGrid/>
        </w:rPr>
        <w:t>relevant</w:t>
      </w:r>
      <w:r w:rsidRPr="00910346">
        <w:rPr>
          <w:snapToGrid/>
        </w:rPr>
        <w:t xml:space="preserve"> in terms of </w:t>
      </w:r>
      <w:proofErr w:type="gramStart"/>
      <w:r w:rsidRPr="00910346">
        <w:rPr>
          <w:snapToGrid/>
        </w:rPr>
        <w:t>longer term</w:t>
      </w:r>
      <w:proofErr w:type="gramEnd"/>
      <w:r w:rsidRPr="00910346">
        <w:rPr>
          <w:snapToGrid/>
        </w:rPr>
        <w:t xml:space="preserve"> data.</w:t>
      </w:r>
    </w:p>
    <w:p w14:paraId="40AB4421" w14:textId="69246D61" w:rsidR="00772731" w:rsidRPr="00910346" w:rsidRDefault="00772731" w:rsidP="009A0C3B">
      <w:pPr>
        <w:pStyle w:val="3-BodyText"/>
        <w:numPr>
          <w:ilvl w:val="0"/>
          <w:numId w:val="7"/>
        </w:numPr>
        <w:ind w:left="1148" w:hanging="439"/>
        <w:rPr>
          <w:snapToGrid/>
        </w:rPr>
      </w:pPr>
      <w:r w:rsidRPr="00910346">
        <w:rPr>
          <w:snapToGrid/>
        </w:rPr>
        <w:t xml:space="preserve">Studies 005 and 006 - two randomised trials (based in the US) to evaluate the safety and immunogenicity of </w:t>
      </w:r>
      <w:proofErr w:type="spellStart"/>
      <w:r w:rsidRPr="00910346">
        <w:rPr>
          <w:snapToGrid/>
        </w:rPr>
        <w:t>Vaxelis</w:t>
      </w:r>
      <w:proofErr w:type="spellEnd"/>
      <w:r w:rsidRPr="00910346">
        <w:rPr>
          <w:snapToGrid/>
        </w:rPr>
        <w:t xml:space="preserve"> compared with </w:t>
      </w:r>
      <w:proofErr w:type="spellStart"/>
      <w:r w:rsidRPr="00910346">
        <w:rPr>
          <w:snapToGrid/>
        </w:rPr>
        <w:t>Pentacel</w:t>
      </w:r>
      <w:proofErr w:type="spellEnd"/>
      <w:r w:rsidR="00B5160A" w:rsidRPr="00910346">
        <w:rPr>
          <w:snapToGrid/>
        </w:rPr>
        <w:t>®</w:t>
      </w:r>
      <w:r w:rsidRPr="00910346">
        <w:rPr>
          <w:snapToGrid/>
        </w:rPr>
        <w:t xml:space="preserve"> (</w:t>
      </w:r>
      <w:proofErr w:type="spellStart"/>
      <w:r w:rsidR="00317263" w:rsidRPr="00317263">
        <w:rPr>
          <w:snapToGrid/>
        </w:rPr>
        <w:t>DT</w:t>
      </w:r>
      <w:r w:rsidR="00317263">
        <w:rPr>
          <w:snapToGrid/>
        </w:rPr>
        <w:t>Pa</w:t>
      </w:r>
      <w:proofErr w:type="spellEnd"/>
      <w:r w:rsidR="00317263" w:rsidRPr="00317263">
        <w:rPr>
          <w:snapToGrid/>
        </w:rPr>
        <w:t>-IPV</w:t>
      </w:r>
      <w:r w:rsidR="00317263">
        <w:rPr>
          <w:snapToGrid/>
        </w:rPr>
        <w:t>-</w:t>
      </w:r>
      <w:r w:rsidR="00317263" w:rsidRPr="00317263">
        <w:rPr>
          <w:snapToGrid/>
        </w:rPr>
        <w:t xml:space="preserve">Hib </w:t>
      </w:r>
      <w:r w:rsidRPr="00910346">
        <w:rPr>
          <w:snapToGrid/>
        </w:rPr>
        <w:t>pentavalent</w:t>
      </w:r>
      <w:r w:rsidR="00317263">
        <w:rPr>
          <w:snapToGrid/>
        </w:rPr>
        <w:t xml:space="preserve"> vaccine</w:t>
      </w:r>
      <w:r w:rsidRPr="00910346">
        <w:rPr>
          <w:snapToGrid/>
        </w:rPr>
        <w:t xml:space="preserve">) plus </w:t>
      </w:r>
      <w:proofErr w:type="spellStart"/>
      <w:r w:rsidRPr="00910346">
        <w:rPr>
          <w:snapToGrid/>
        </w:rPr>
        <w:t>Recombivax</w:t>
      </w:r>
      <w:proofErr w:type="spellEnd"/>
      <w:r w:rsidRPr="00910346">
        <w:rPr>
          <w:snapToGrid/>
        </w:rPr>
        <w:t xml:space="preserve"> HB</w:t>
      </w:r>
      <w:r w:rsidR="00B5160A" w:rsidRPr="00910346">
        <w:rPr>
          <w:snapToGrid/>
        </w:rPr>
        <w:t>®</w:t>
      </w:r>
      <w:r w:rsidRPr="00910346">
        <w:rPr>
          <w:snapToGrid/>
        </w:rPr>
        <w:t xml:space="preserve">, when given concomitantly with Prevnar 13 and </w:t>
      </w:r>
      <w:proofErr w:type="spellStart"/>
      <w:r w:rsidRPr="00910346">
        <w:rPr>
          <w:snapToGrid/>
        </w:rPr>
        <w:t>RotaTeq</w:t>
      </w:r>
      <w:proofErr w:type="spellEnd"/>
      <w:r w:rsidRPr="00910346">
        <w:rPr>
          <w:snapToGrid/>
        </w:rPr>
        <w:t xml:space="preserve"> in a </w:t>
      </w:r>
      <w:proofErr w:type="gramStart"/>
      <w:r w:rsidRPr="00910346">
        <w:rPr>
          <w:snapToGrid/>
        </w:rPr>
        <w:t>2, 4 and 6 month</w:t>
      </w:r>
      <w:proofErr w:type="gramEnd"/>
      <w:r w:rsidRPr="00910346">
        <w:rPr>
          <w:snapToGrid/>
        </w:rPr>
        <w:t xml:space="preserve"> primary dose series schedule. </w:t>
      </w:r>
      <w:r w:rsidR="002E2873" w:rsidRPr="00910346">
        <w:rPr>
          <w:snapToGrid/>
        </w:rPr>
        <w:t>Although the time points</w:t>
      </w:r>
      <w:r w:rsidR="00DB6E88">
        <w:rPr>
          <w:snapToGrid/>
        </w:rPr>
        <w:t xml:space="preserve"> of the dosing schedule</w:t>
      </w:r>
      <w:r w:rsidR="002E2873" w:rsidRPr="00910346">
        <w:rPr>
          <w:snapToGrid/>
        </w:rPr>
        <w:t xml:space="preserve"> for the primary series are similar to those </w:t>
      </w:r>
      <w:r w:rsidR="007F6443" w:rsidRPr="00910346">
        <w:rPr>
          <w:snapToGrid/>
        </w:rPr>
        <w:t xml:space="preserve">proposed </w:t>
      </w:r>
      <w:r w:rsidR="002E2873" w:rsidRPr="00910346">
        <w:rPr>
          <w:snapToGrid/>
        </w:rPr>
        <w:t>in Australia, t</w:t>
      </w:r>
      <w:r w:rsidRPr="00910346">
        <w:rPr>
          <w:snapToGrid/>
        </w:rPr>
        <w:t xml:space="preserve">he relevant comparator (Infanrix </w:t>
      </w:r>
      <w:proofErr w:type="spellStart"/>
      <w:r w:rsidR="00AE2917">
        <w:rPr>
          <w:snapToGrid/>
        </w:rPr>
        <w:t>H</w:t>
      </w:r>
      <w:r w:rsidRPr="00910346">
        <w:rPr>
          <w:snapToGrid/>
        </w:rPr>
        <w:t>exa</w:t>
      </w:r>
      <w:proofErr w:type="spellEnd"/>
      <w:r w:rsidRPr="00910346">
        <w:rPr>
          <w:snapToGrid/>
        </w:rPr>
        <w:t>) was not assessed in these studies. The</w:t>
      </w:r>
      <w:r w:rsidR="00AC6B0C" w:rsidRPr="00910346">
        <w:rPr>
          <w:snapToGrid/>
        </w:rPr>
        <w:t xml:space="preserve"> trial</w:t>
      </w:r>
      <w:r w:rsidRPr="00910346">
        <w:rPr>
          <w:snapToGrid/>
        </w:rPr>
        <w:t xml:space="preserve"> comparators, </w:t>
      </w:r>
      <w:proofErr w:type="spellStart"/>
      <w:r w:rsidRPr="00910346">
        <w:rPr>
          <w:snapToGrid/>
        </w:rPr>
        <w:t>Pentacel</w:t>
      </w:r>
      <w:proofErr w:type="spellEnd"/>
      <w:r w:rsidRPr="00910346">
        <w:rPr>
          <w:snapToGrid/>
        </w:rPr>
        <w:t xml:space="preserve"> and </w:t>
      </w:r>
      <w:proofErr w:type="spellStart"/>
      <w:r w:rsidRPr="00910346">
        <w:rPr>
          <w:snapToGrid/>
        </w:rPr>
        <w:t>Recombivax</w:t>
      </w:r>
      <w:proofErr w:type="spellEnd"/>
      <w:r w:rsidRPr="00910346">
        <w:rPr>
          <w:snapToGrid/>
        </w:rPr>
        <w:t xml:space="preserve"> HB, are not in use in Australia. Thus Studies 005 and 006 do not inform the comparative effectiveness and safety</w:t>
      </w:r>
      <w:r w:rsidR="00AC6B0C" w:rsidRPr="00910346">
        <w:rPr>
          <w:snapToGrid/>
        </w:rPr>
        <w:t xml:space="preserve"> with regard to the submission comparator</w:t>
      </w:r>
      <w:r w:rsidRPr="00910346">
        <w:rPr>
          <w:snapToGrid/>
        </w:rPr>
        <w:t>.</w:t>
      </w:r>
    </w:p>
    <w:p w14:paraId="05616DB3" w14:textId="059D533B" w:rsidR="00772731" w:rsidRPr="00B50DB8" w:rsidRDefault="00772731" w:rsidP="00772731">
      <w:pPr>
        <w:pStyle w:val="3-BodyText"/>
      </w:pPr>
      <w:r>
        <w:rPr>
          <w:snapToGrid/>
          <w:lang w:val="en-US"/>
        </w:rPr>
        <w:lastRenderedPageBreak/>
        <w:t xml:space="preserve">Details of the studies presented in the submission are provided in </w:t>
      </w:r>
      <w:r w:rsidR="002B16A5">
        <w:rPr>
          <w:snapToGrid/>
          <w:lang w:val="en-US"/>
        </w:rPr>
        <w:t xml:space="preserve">Table </w:t>
      </w:r>
      <w:r w:rsidR="009B7F56">
        <w:rPr>
          <w:snapToGrid/>
          <w:lang w:val="en-US"/>
        </w:rPr>
        <w:t>2</w:t>
      </w:r>
      <w:r>
        <w:rPr>
          <w:snapToGrid/>
          <w:lang w:val="en-US"/>
        </w:rPr>
        <w:t xml:space="preserve">. </w:t>
      </w:r>
    </w:p>
    <w:p w14:paraId="702CC166" w14:textId="3BCDA4B8" w:rsidR="001C7F59" w:rsidRPr="0023413C" w:rsidRDefault="00772731" w:rsidP="001C7F59">
      <w:pPr>
        <w:pStyle w:val="TableFigureHeading"/>
      </w:pPr>
      <w:r>
        <w:t xml:space="preserve">Table </w:t>
      </w:r>
      <w:fldSimple w:instr=" SEQ Table \* ARABIC ">
        <w:r w:rsidR="00B5627B">
          <w:rPr>
            <w:noProof/>
          </w:rPr>
          <w:t>2</w:t>
        </w:r>
      </w:fldSimple>
      <w:r>
        <w:t xml:space="preserve">: </w:t>
      </w:r>
      <w:r w:rsidR="001C7F59" w:rsidRPr="0023413C">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6"/>
        <w:gridCol w:w="5461"/>
        <w:gridCol w:w="2123"/>
      </w:tblGrid>
      <w:tr w:rsidR="001C7F59" w:rsidRPr="00B41614" w14:paraId="3B51CDEC" w14:textId="77777777" w:rsidTr="00C52E97">
        <w:trPr>
          <w:tblHeader/>
        </w:trPr>
        <w:tc>
          <w:tcPr>
            <w:tcW w:w="796" w:type="pct"/>
            <w:vAlign w:val="center"/>
          </w:tcPr>
          <w:p w14:paraId="000452C8" w14:textId="77777777" w:rsidR="001C7F59" w:rsidRPr="00B41614" w:rsidRDefault="001C7F59" w:rsidP="00C52E97">
            <w:pPr>
              <w:pStyle w:val="In-tableHeading"/>
            </w:pPr>
            <w:r w:rsidRPr="00B41614">
              <w:t>Trial ID</w:t>
            </w:r>
          </w:p>
        </w:tc>
        <w:tc>
          <w:tcPr>
            <w:tcW w:w="3027" w:type="pct"/>
            <w:vAlign w:val="center"/>
          </w:tcPr>
          <w:p w14:paraId="40E86559" w14:textId="77777777" w:rsidR="001C7F59" w:rsidRPr="00B41614" w:rsidRDefault="001C7F59" w:rsidP="00C52E97">
            <w:pPr>
              <w:pStyle w:val="In-tableHeading"/>
            </w:pPr>
            <w:r w:rsidRPr="00B41614">
              <w:t>Protocol title/ Publication title</w:t>
            </w:r>
          </w:p>
        </w:tc>
        <w:tc>
          <w:tcPr>
            <w:tcW w:w="1177" w:type="pct"/>
            <w:vAlign w:val="center"/>
          </w:tcPr>
          <w:p w14:paraId="2E84E4FF" w14:textId="77777777" w:rsidR="001C7F59" w:rsidRPr="00B41614" w:rsidRDefault="001C7F59" w:rsidP="00C52E97">
            <w:pPr>
              <w:pStyle w:val="In-tableHeading"/>
            </w:pPr>
            <w:r w:rsidRPr="00B41614">
              <w:t>Publication citation</w:t>
            </w:r>
          </w:p>
        </w:tc>
      </w:tr>
      <w:tr w:rsidR="001C7F59" w:rsidRPr="00B41614" w14:paraId="0F0A8194" w14:textId="77777777" w:rsidTr="00C52E97">
        <w:trPr>
          <w:tblHeader/>
        </w:trPr>
        <w:tc>
          <w:tcPr>
            <w:tcW w:w="5000" w:type="pct"/>
            <w:gridSpan w:val="3"/>
            <w:vAlign w:val="center"/>
          </w:tcPr>
          <w:p w14:paraId="4C55B4EB" w14:textId="12868413" w:rsidR="001C7F59" w:rsidRPr="00B41614" w:rsidRDefault="001C7F59" w:rsidP="00C52E97">
            <w:pPr>
              <w:pStyle w:val="In-tableHeading"/>
            </w:pPr>
            <w:r>
              <w:t xml:space="preserve">Key studies (direct comparison with Infanrix </w:t>
            </w:r>
            <w:proofErr w:type="spellStart"/>
            <w:r w:rsidR="00AE2917">
              <w:t>H</w:t>
            </w:r>
            <w:r>
              <w:t>exa</w:t>
            </w:r>
            <w:proofErr w:type="spellEnd"/>
            <w:r>
              <w:t>)</w:t>
            </w:r>
          </w:p>
        </w:tc>
      </w:tr>
      <w:tr w:rsidR="001C7F59" w:rsidRPr="00CB38A8" w14:paraId="52C89DE5" w14:textId="77777777" w:rsidTr="00C52E97">
        <w:tc>
          <w:tcPr>
            <w:tcW w:w="796" w:type="pct"/>
            <w:vMerge w:val="restart"/>
            <w:vAlign w:val="center"/>
          </w:tcPr>
          <w:p w14:paraId="2119B4F4" w14:textId="77777777" w:rsidR="001C7F59" w:rsidRPr="00CB38A8" w:rsidRDefault="001C7F59" w:rsidP="00C52E97">
            <w:pPr>
              <w:pStyle w:val="TableText0"/>
            </w:pPr>
            <w:r>
              <w:t>Study 007</w:t>
            </w:r>
          </w:p>
        </w:tc>
        <w:tc>
          <w:tcPr>
            <w:tcW w:w="3027" w:type="pct"/>
            <w:vMerge w:val="restart"/>
          </w:tcPr>
          <w:p w14:paraId="723FB23B" w14:textId="77777777" w:rsidR="001C7F59" w:rsidRPr="0012531B" w:rsidRDefault="001C7F59" w:rsidP="00C52E97">
            <w:pPr>
              <w:pStyle w:val="TableText0"/>
              <w:rPr>
                <w:szCs w:val="18"/>
                <w:lang w:val="en-US"/>
              </w:rPr>
            </w:pPr>
            <w:r w:rsidRPr="0012531B">
              <w:rPr>
                <w:szCs w:val="18"/>
                <w:lang w:val="en-US"/>
              </w:rPr>
              <w:t xml:space="preserve">A phase III randomized, double-blind, active-comparator controlled clinical trial to study the safety, tolerability, and immunogenicity of V419 in healthy infants when given at 2, 3, 4, and 12 months </w:t>
            </w:r>
            <w:r w:rsidRPr="004A216E">
              <w:t>(V419-007)</w:t>
            </w:r>
          </w:p>
          <w:p w14:paraId="10A5671D" w14:textId="77777777" w:rsidR="001C7F59" w:rsidRDefault="001C7F59" w:rsidP="00C52E97">
            <w:pPr>
              <w:pStyle w:val="TableText0"/>
              <w:rPr>
                <w:szCs w:val="18"/>
              </w:rPr>
            </w:pPr>
          </w:p>
          <w:p w14:paraId="347189BE" w14:textId="77777777" w:rsidR="001C7F59" w:rsidRPr="00AB6248" w:rsidRDefault="001C7F59" w:rsidP="00C52E97">
            <w:pPr>
              <w:pStyle w:val="TableText0"/>
              <w:rPr>
                <w:szCs w:val="18"/>
              </w:rPr>
            </w:pPr>
            <w:proofErr w:type="spellStart"/>
            <w:r w:rsidRPr="0012531B">
              <w:rPr>
                <w:szCs w:val="18"/>
              </w:rPr>
              <w:t>Vesikari</w:t>
            </w:r>
            <w:proofErr w:type="spellEnd"/>
            <w:r w:rsidRPr="0012531B">
              <w:rPr>
                <w:szCs w:val="18"/>
              </w:rPr>
              <w:t xml:space="preserve"> T et al. A phase III Randomized, Double-blind, Clinical Trial of an Investigational Hexavalent Vaccine Given at Two, Three, Four and Twelve Months</w:t>
            </w:r>
          </w:p>
        </w:tc>
        <w:tc>
          <w:tcPr>
            <w:tcW w:w="1177" w:type="pct"/>
            <w:tcBorders>
              <w:bottom w:val="nil"/>
            </w:tcBorders>
            <w:vAlign w:val="center"/>
          </w:tcPr>
          <w:p w14:paraId="02BE1F6F" w14:textId="77777777" w:rsidR="001C7F59" w:rsidRPr="00910346" w:rsidRDefault="001C7F59" w:rsidP="00C52E97">
            <w:pPr>
              <w:pStyle w:val="TableText0"/>
            </w:pPr>
            <w:r w:rsidRPr="00910346">
              <w:t>July 2014</w:t>
            </w:r>
          </w:p>
        </w:tc>
      </w:tr>
      <w:tr w:rsidR="001C7F59" w:rsidRPr="00CB38A8" w14:paraId="09D82446" w14:textId="77777777" w:rsidTr="00C52E97">
        <w:tc>
          <w:tcPr>
            <w:tcW w:w="796" w:type="pct"/>
            <w:vMerge/>
            <w:vAlign w:val="center"/>
          </w:tcPr>
          <w:p w14:paraId="755E395A" w14:textId="77777777" w:rsidR="001C7F59" w:rsidRPr="00CB38A8" w:rsidRDefault="001C7F59" w:rsidP="00C52E97">
            <w:pPr>
              <w:pStyle w:val="TableText0"/>
            </w:pPr>
          </w:p>
        </w:tc>
        <w:tc>
          <w:tcPr>
            <w:tcW w:w="3027" w:type="pct"/>
            <w:vMerge/>
          </w:tcPr>
          <w:p w14:paraId="3ACB1666" w14:textId="77777777" w:rsidR="001C7F59" w:rsidRPr="00E34A35" w:rsidRDefault="001C7F59" w:rsidP="00C52E97">
            <w:pPr>
              <w:pStyle w:val="TableText0"/>
              <w:rPr>
                <w:szCs w:val="18"/>
              </w:rPr>
            </w:pPr>
          </w:p>
        </w:tc>
        <w:tc>
          <w:tcPr>
            <w:tcW w:w="1177" w:type="pct"/>
            <w:tcBorders>
              <w:top w:val="nil"/>
              <w:bottom w:val="nil"/>
            </w:tcBorders>
          </w:tcPr>
          <w:p w14:paraId="1C2725B1" w14:textId="77777777" w:rsidR="001C7F59" w:rsidRPr="00910346" w:rsidRDefault="001C7F59" w:rsidP="00C52E97">
            <w:pPr>
              <w:pStyle w:val="TableText0"/>
            </w:pPr>
          </w:p>
          <w:p w14:paraId="24DDBA97" w14:textId="77777777" w:rsidR="001C7F59" w:rsidRPr="00910346" w:rsidRDefault="001C7F59" w:rsidP="00C52E97">
            <w:pPr>
              <w:pStyle w:val="TableText0"/>
            </w:pPr>
          </w:p>
          <w:p w14:paraId="694BEAAD" w14:textId="77777777" w:rsidR="001C7F59" w:rsidRPr="00910346" w:rsidRDefault="001C7F59" w:rsidP="00C52E97">
            <w:pPr>
              <w:pStyle w:val="TableText0"/>
            </w:pPr>
          </w:p>
          <w:p w14:paraId="2076D50D" w14:textId="77777777" w:rsidR="001C7F59" w:rsidRPr="00910346" w:rsidRDefault="001C7F59" w:rsidP="00C52E97">
            <w:pPr>
              <w:pStyle w:val="TableText0"/>
              <w:rPr>
                <w:szCs w:val="18"/>
              </w:rPr>
            </w:pPr>
            <w:proofErr w:type="spellStart"/>
            <w:r w:rsidRPr="00910346">
              <w:t>Pediatr</w:t>
            </w:r>
            <w:proofErr w:type="spellEnd"/>
            <w:r w:rsidRPr="00910346">
              <w:t xml:space="preserve"> Infect Dis J. 2017; 36:209-215</w:t>
            </w:r>
          </w:p>
        </w:tc>
      </w:tr>
      <w:tr w:rsidR="001C7F59" w:rsidRPr="00CB38A8" w14:paraId="683E1F81" w14:textId="77777777" w:rsidTr="00C52E97">
        <w:tc>
          <w:tcPr>
            <w:tcW w:w="796" w:type="pct"/>
            <w:vMerge/>
            <w:tcBorders>
              <w:bottom w:val="nil"/>
            </w:tcBorders>
            <w:vAlign w:val="center"/>
          </w:tcPr>
          <w:p w14:paraId="43F44F05" w14:textId="77777777" w:rsidR="001C7F59" w:rsidRPr="00CB38A8" w:rsidRDefault="001C7F59" w:rsidP="00C52E97">
            <w:pPr>
              <w:pStyle w:val="TableText0"/>
            </w:pPr>
          </w:p>
        </w:tc>
        <w:tc>
          <w:tcPr>
            <w:tcW w:w="3027" w:type="pct"/>
            <w:vMerge/>
            <w:tcBorders>
              <w:bottom w:val="nil"/>
            </w:tcBorders>
          </w:tcPr>
          <w:p w14:paraId="0E88587F" w14:textId="77777777" w:rsidR="001C7F59" w:rsidRPr="00AB6248" w:rsidRDefault="001C7F59" w:rsidP="00C52E97">
            <w:pPr>
              <w:pStyle w:val="TableText0"/>
              <w:rPr>
                <w:szCs w:val="18"/>
                <w:lang w:val="en-US"/>
              </w:rPr>
            </w:pPr>
          </w:p>
        </w:tc>
        <w:tc>
          <w:tcPr>
            <w:tcW w:w="1177" w:type="pct"/>
            <w:tcBorders>
              <w:top w:val="nil"/>
              <w:bottom w:val="nil"/>
            </w:tcBorders>
          </w:tcPr>
          <w:p w14:paraId="1FB7C646" w14:textId="77777777" w:rsidR="001C7F59" w:rsidRPr="00910346" w:rsidRDefault="001C7F59" w:rsidP="00C52E97">
            <w:pPr>
              <w:pStyle w:val="TableText0"/>
              <w:rPr>
                <w:szCs w:val="18"/>
                <w:lang w:val="en-US"/>
              </w:rPr>
            </w:pPr>
          </w:p>
        </w:tc>
      </w:tr>
      <w:tr w:rsidR="001C7F59" w:rsidRPr="00CB38A8" w14:paraId="7F819D0D" w14:textId="77777777" w:rsidTr="00C52E97">
        <w:tc>
          <w:tcPr>
            <w:tcW w:w="796" w:type="pct"/>
            <w:vMerge w:val="restart"/>
            <w:vAlign w:val="center"/>
          </w:tcPr>
          <w:p w14:paraId="324B7AEB" w14:textId="77777777" w:rsidR="001C7F59" w:rsidRPr="00CB38A8" w:rsidRDefault="001C7F59" w:rsidP="00C52E97">
            <w:pPr>
              <w:pStyle w:val="TableText0"/>
            </w:pPr>
            <w:r>
              <w:t>Study 008</w:t>
            </w:r>
          </w:p>
        </w:tc>
        <w:tc>
          <w:tcPr>
            <w:tcW w:w="3027" w:type="pct"/>
            <w:tcBorders>
              <w:bottom w:val="nil"/>
            </w:tcBorders>
          </w:tcPr>
          <w:p w14:paraId="14B76829" w14:textId="77777777" w:rsidR="001C7F59" w:rsidRPr="00CB38A8" w:rsidRDefault="001C7F59" w:rsidP="00C52E97">
            <w:pPr>
              <w:pStyle w:val="TableText0"/>
            </w:pPr>
            <w:r w:rsidRPr="00AB545A">
              <w:t xml:space="preserve">A phase III randomized, double-blind, </w:t>
            </w:r>
            <w:proofErr w:type="gramStart"/>
            <w:r w:rsidRPr="00AB545A">
              <w:t>active-comparator</w:t>
            </w:r>
            <w:proofErr w:type="gramEnd"/>
            <w:r w:rsidRPr="00AB545A">
              <w:t xml:space="preserve"> controlled clinical trial to study the safety, tolerability and immunogenicity of V419 in healthy infants when given at 2, 4, and 11 to 12 months. </w:t>
            </w:r>
          </w:p>
        </w:tc>
        <w:tc>
          <w:tcPr>
            <w:tcW w:w="1177" w:type="pct"/>
            <w:tcBorders>
              <w:bottom w:val="nil"/>
            </w:tcBorders>
          </w:tcPr>
          <w:p w14:paraId="5B2397C1" w14:textId="77777777" w:rsidR="001C7F59" w:rsidRPr="00910346" w:rsidRDefault="001C7F59" w:rsidP="00C52E97">
            <w:pPr>
              <w:pStyle w:val="TableText0"/>
            </w:pPr>
            <w:r w:rsidRPr="00910346">
              <w:t>July 2014</w:t>
            </w:r>
          </w:p>
        </w:tc>
      </w:tr>
      <w:tr w:rsidR="001C7F59" w:rsidRPr="00CB38A8" w14:paraId="5D4BF67E" w14:textId="77777777" w:rsidTr="00C52E97">
        <w:tc>
          <w:tcPr>
            <w:tcW w:w="796" w:type="pct"/>
            <w:vMerge/>
            <w:vAlign w:val="center"/>
          </w:tcPr>
          <w:p w14:paraId="2A73090A" w14:textId="77777777" w:rsidR="001C7F59" w:rsidRPr="00CB38A8" w:rsidRDefault="001C7F59" w:rsidP="00C52E97">
            <w:pPr>
              <w:pStyle w:val="TableText0"/>
            </w:pPr>
          </w:p>
        </w:tc>
        <w:tc>
          <w:tcPr>
            <w:tcW w:w="3027" w:type="pct"/>
            <w:tcBorders>
              <w:top w:val="nil"/>
              <w:bottom w:val="nil"/>
            </w:tcBorders>
          </w:tcPr>
          <w:p w14:paraId="1A2E8E4A" w14:textId="77777777" w:rsidR="001C7F59" w:rsidRPr="00E34A35" w:rsidRDefault="001C7F59" w:rsidP="00C52E97">
            <w:pPr>
              <w:pStyle w:val="TableText0"/>
              <w:rPr>
                <w:szCs w:val="18"/>
              </w:rPr>
            </w:pPr>
          </w:p>
        </w:tc>
        <w:tc>
          <w:tcPr>
            <w:tcW w:w="1177" w:type="pct"/>
            <w:tcBorders>
              <w:top w:val="nil"/>
              <w:bottom w:val="nil"/>
            </w:tcBorders>
            <w:vAlign w:val="center"/>
          </w:tcPr>
          <w:p w14:paraId="07157591" w14:textId="77777777" w:rsidR="001C7F59" w:rsidRPr="00910346" w:rsidRDefault="001C7F59" w:rsidP="00C52E97">
            <w:pPr>
              <w:pStyle w:val="TableText0"/>
            </w:pPr>
          </w:p>
        </w:tc>
      </w:tr>
      <w:tr w:rsidR="001C7F59" w:rsidRPr="00CB38A8" w14:paraId="027DB0B4" w14:textId="77777777" w:rsidTr="00C52E97">
        <w:tc>
          <w:tcPr>
            <w:tcW w:w="796" w:type="pct"/>
            <w:vMerge/>
            <w:tcBorders>
              <w:bottom w:val="single" w:sz="4" w:space="0" w:color="auto"/>
            </w:tcBorders>
            <w:vAlign w:val="center"/>
          </w:tcPr>
          <w:p w14:paraId="463C302A" w14:textId="77777777" w:rsidR="001C7F59" w:rsidRPr="00CB38A8" w:rsidRDefault="001C7F59" w:rsidP="00C52E97">
            <w:pPr>
              <w:pStyle w:val="TableText0"/>
            </w:pPr>
          </w:p>
        </w:tc>
        <w:tc>
          <w:tcPr>
            <w:tcW w:w="3027" w:type="pct"/>
            <w:tcBorders>
              <w:top w:val="nil"/>
              <w:bottom w:val="single" w:sz="4" w:space="0" w:color="auto"/>
            </w:tcBorders>
          </w:tcPr>
          <w:p w14:paraId="0E10A6C9" w14:textId="36D20B40" w:rsidR="001C7F59" w:rsidRPr="00804917" w:rsidRDefault="001C7F59" w:rsidP="00C52E97">
            <w:pPr>
              <w:pStyle w:val="TableText0"/>
              <w:rPr>
                <w:szCs w:val="18"/>
              </w:rPr>
            </w:pPr>
            <w:proofErr w:type="spellStart"/>
            <w:r w:rsidRPr="004A40EF">
              <w:t>Silfverdal</w:t>
            </w:r>
            <w:proofErr w:type="spellEnd"/>
            <w:r w:rsidRPr="004A40EF">
              <w:t xml:space="preserve"> S et al. A phase III randomized, double-blind, clinical trial of an investigational hexavalent vaccine given at 2, 4, and 11-12 months</w:t>
            </w:r>
          </w:p>
        </w:tc>
        <w:tc>
          <w:tcPr>
            <w:tcW w:w="1177" w:type="pct"/>
            <w:tcBorders>
              <w:top w:val="nil"/>
              <w:bottom w:val="single" w:sz="4" w:space="0" w:color="auto"/>
            </w:tcBorders>
            <w:vAlign w:val="center"/>
          </w:tcPr>
          <w:p w14:paraId="2FDB133C" w14:textId="77777777" w:rsidR="001C7F59" w:rsidRPr="00910346" w:rsidRDefault="001C7F59" w:rsidP="00C52E97">
            <w:pPr>
              <w:pStyle w:val="TableText0"/>
            </w:pPr>
            <w:r w:rsidRPr="00910346">
              <w:rPr>
                <w:szCs w:val="18"/>
              </w:rPr>
              <w:t>Vaccine 2016; 34(33):3810-6</w:t>
            </w:r>
          </w:p>
        </w:tc>
      </w:tr>
      <w:tr w:rsidR="001C7F59" w:rsidRPr="00CB38A8" w14:paraId="6BC1A231" w14:textId="77777777" w:rsidTr="00C52E97">
        <w:tc>
          <w:tcPr>
            <w:tcW w:w="5000" w:type="pct"/>
            <w:gridSpan w:val="3"/>
            <w:tcBorders>
              <w:top w:val="single" w:sz="4" w:space="0" w:color="auto"/>
              <w:bottom w:val="single" w:sz="4" w:space="0" w:color="auto"/>
            </w:tcBorders>
            <w:vAlign w:val="center"/>
          </w:tcPr>
          <w:p w14:paraId="2AF09CF1" w14:textId="1FE989AF" w:rsidR="001C7F59" w:rsidRPr="00910346" w:rsidRDefault="001C7F59" w:rsidP="00C52E97">
            <w:pPr>
              <w:pStyle w:val="TableText0"/>
              <w:rPr>
                <w:b/>
                <w:szCs w:val="18"/>
              </w:rPr>
            </w:pPr>
            <w:r w:rsidRPr="00910346">
              <w:rPr>
                <w:b/>
                <w:szCs w:val="18"/>
              </w:rPr>
              <w:t>Supportive study – Extension to direct comparison Studies 007 and 008.</w:t>
            </w:r>
          </w:p>
        </w:tc>
      </w:tr>
      <w:tr w:rsidR="001C7F59" w:rsidRPr="00CB38A8" w14:paraId="7967F171" w14:textId="77777777" w:rsidTr="00C52E97">
        <w:tc>
          <w:tcPr>
            <w:tcW w:w="796" w:type="pct"/>
            <w:vMerge w:val="restart"/>
            <w:tcBorders>
              <w:top w:val="single" w:sz="4" w:space="0" w:color="auto"/>
            </w:tcBorders>
            <w:vAlign w:val="center"/>
          </w:tcPr>
          <w:p w14:paraId="7E781E12" w14:textId="77777777" w:rsidR="001C7F59" w:rsidRPr="00CB38A8" w:rsidRDefault="001C7F59" w:rsidP="00C52E97">
            <w:pPr>
              <w:pStyle w:val="TableText0"/>
            </w:pPr>
            <w:r>
              <w:t xml:space="preserve">Extension </w:t>
            </w:r>
            <w:r w:rsidRPr="004A40EF">
              <w:t>PRI03C</w:t>
            </w:r>
          </w:p>
        </w:tc>
        <w:tc>
          <w:tcPr>
            <w:tcW w:w="3027" w:type="pct"/>
            <w:tcBorders>
              <w:top w:val="single" w:sz="4" w:space="0" w:color="auto"/>
              <w:bottom w:val="nil"/>
            </w:tcBorders>
          </w:tcPr>
          <w:p w14:paraId="61268482" w14:textId="33066BAB" w:rsidR="001C7F59" w:rsidRPr="00CB38A8" w:rsidRDefault="001C7F59" w:rsidP="00C52E97">
            <w:pPr>
              <w:pStyle w:val="TableText0"/>
            </w:pPr>
            <w:r w:rsidRPr="004D0988">
              <w:t xml:space="preserve">Long-Term Persistence of Hepatitis B and Pertussis Antibody Responses in Healthy </w:t>
            </w:r>
            <w:proofErr w:type="gramStart"/>
            <w:r w:rsidRPr="004D0988">
              <w:t>4 To 5 Year-Old</w:t>
            </w:r>
            <w:proofErr w:type="gramEnd"/>
            <w:r w:rsidRPr="004D0988">
              <w:t xml:space="preserve"> Children Previously Vaccinated With a 2-Dose Or 3-Dose Infants Series and Toddler Dose With </w:t>
            </w:r>
            <w:proofErr w:type="spellStart"/>
            <w:r w:rsidRPr="004D0988">
              <w:t>Vaxelis</w:t>
            </w:r>
            <w:proofErr w:type="spellEnd"/>
            <w:r w:rsidRPr="004D0988">
              <w:t xml:space="preserve"> or Infanrix </w:t>
            </w:r>
            <w:proofErr w:type="spellStart"/>
            <w:r w:rsidRPr="004D0988">
              <w:t>hexa</w:t>
            </w:r>
            <w:proofErr w:type="spellEnd"/>
            <w:r w:rsidRPr="004D0988">
              <w:t>.</w:t>
            </w:r>
            <w:r>
              <w:t xml:space="preserve"> </w:t>
            </w:r>
            <w:r w:rsidRPr="00F53DA2">
              <w:t xml:space="preserve">Follow up of infants included in </w:t>
            </w:r>
            <w:r>
              <w:t>Studies 007 and 008.</w:t>
            </w:r>
          </w:p>
        </w:tc>
        <w:tc>
          <w:tcPr>
            <w:tcW w:w="1177" w:type="pct"/>
            <w:tcBorders>
              <w:top w:val="single" w:sz="4" w:space="0" w:color="auto"/>
              <w:bottom w:val="nil"/>
            </w:tcBorders>
          </w:tcPr>
          <w:p w14:paraId="1DB665B1" w14:textId="77777777" w:rsidR="001C7F59" w:rsidRPr="00910346" w:rsidRDefault="001C7F59" w:rsidP="00C52E97">
            <w:pPr>
              <w:pStyle w:val="TableText0"/>
            </w:pPr>
            <w:r w:rsidRPr="00910346">
              <w:t>September 2017</w:t>
            </w:r>
          </w:p>
        </w:tc>
      </w:tr>
      <w:tr w:rsidR="001C7F59" w:rsidRPr="00CB38A8" w14:paraId="53F54ACB" w14:textId="77777777" w:rsidTr="00C52E97">
        <w:tc>
          <w:tcPr>
            <w:tcW w:w="796" w:type="pct"/>
            <w:vMerge/>
            <w:tcBorders>
              <w:bottom w:val="single" w:sz="4" w:space="0" w:color="auto"/>
            </w:tcBorders>
            <w:vAlign w:val="center"/>
          </w:tcPr>
          <w:p w14:paraId="23A67A75" w14:textId="77777777" w:rsidR="001C7F59" w:rsidRPr="00CB38A8" w:rsidRDefault="001C7F59" w:rsidP="00C52E97">
            <w:pPr>
              <w:pStyle w:val="TableText0"/>
            </w:pPr>
          </w:p>
        </w:tc>
        <w:tc>
          <w:tcPr>
            <w:tcW w:w="3027" w:type="pct"/>
            <w:tcBorders>
              <w:top w:val="nil"/>
              <w:bottom w:val="single" w:sz="4" w:space="0" w:color="auto"/>
            </w:tcBorders>
          </w:tcPr>
          <w:p w14:paraId="44B49E77" w14:textId="77777777" w:rsidR="001C7F59" w:rsidRDefault="001C7F59" w:rsidP="00C52E97">
            <w:pPr>
              <w:pStyle w:val="TableText0"/>
              <w:rPr>
                <w:szCs w:val="18"/>
              </w:rPr>
            </w:pPr>
          </w:p>
          <w:p w14:paraId="60300B67" w14:textId="185D5BA9" w:rsidR="001C7F59" w:rsidRPr="00AC45E8" w:rsidRDefault="001C7F59" w:rsidP="00C52E97">
            <w:pPr>
              <w:pStyle w:val="TableText0"/>
              <w:rPr>
                <w:szCs w:val="18"/>
              </w:rPr>
            </w:pPr>
            <w:proofErr w:type="spellStart"/>
            <w:r>
              <w:rPr>
                <w:szCs w:val="18"/>
              </w:rPr>
              <w:t>Vesikari</w:t>
            </w:r>
            <w:proofErr w:type="spellEnd"/>
            <w:r>
              <w:rPr>
                <w:szCs w:val="18"/>
              </w:rPr>
              <w:t xml:space="preserve"> T et al. </w:t>
            </w:r>
            <w:r w:rsidRPr="004A40EF">
              <w:rPr>
                <w:szCs w:val="18"/>
              </w:rPr>
              <w:t>Hepatitis B and pertussis antibodies in 4- to 5-year-old children previously vaccinated with different hexavalent vaccines</w:t>
            </w:r>
          </w:p>
        </w:tc>
        <w:tc>
          <w:tcPr>
            <w:tcW w:w="1177" w:type="pct"/>
            <w:tcBorders>
              <w:top w:val="nil"/>
              <w:bottom w:val="single" w:sz="4" w:space="0" w:color="auto"/>
            </w:tcBorders>
            <w:vAlign w:val="center"/>
          </w:tcPr>
          <w:p w14:paraId="2E3255E5" w14:textId="77777777" w:rsidR="001C7F59" w:rsidRPr="00910346" w:rsidRDefault="001C7F59" w:rsidP="00C52E97">
            <w:pPr>
              <w:pStyle w:val="TableText0"/>
              <w:rPr>
                <w:szCs w:val="18"/>
              </w:rPr>
            </w:pPr>
          </w:p>
          <w:p w14:paraId="5C16061C" w14:textId="77777777" w:rsidR="001C7F59" w:rsidRPr="00910346" w:rsidRDefault="001C7F59" w:rsidP="00C52E97">
            <w:pPr>
              <w:pStyle w:val="TableText0"/>
            </w:pPr>
            <w:r w:rsidRPr="00910346">
              <w:rPr>
                <w:szCs w:val="18"/>
              </w:rPr>
              <w:t xml:space="preserve">Hum </w:t>
            </w:r>
            <w:proofErr w:type="spellStart"/>
            <w:r w:rsidRPr="00910346">
              <w:rPr>
                <w:szCs w:val="18"/>
              </w:rPr>
              <w:t>Vaccin</w:t>
            </w:r>
            <w:proofErr w:type="spellEnd"/>
            <w:r w:rsidRPr="00910346">
              <w:rPr>
                <w:szCs w:val="18"/>
              </w:rPr>
              <w:t xml:space="preserve"> </w:t>
            </w:r>
            <w:proofErr w:type="spellStart"/>
            <w:r w:rsidRPr="00910346">
              <w:rPr>
                <w:szCs w:val="18"/>
              </w:rPr>
              <w:t>Immunother</w:t>
            </w:r>
            <w:proofErr w:type="spellEnd"/>
            <w:r w:rsidRPr="00910346">
              <w:rPr>
                <w:szCs w:val="18"/>
              </w:rPr>
              <w:t>. 2020; 16(4):867-874</w:t>
            </w:r>
          </w:p>
        </w:tc>
      </w:tr>
      <w:tr w:rsidR="001C7F59" w:rsidRPr="00CB38A8" w14:paraId="220CF7BD" w14:textId="77777777" w:rsidTr="00C52E97">
        <w:tc>
          <w:tcPr>
            <w:tcW w:w="5000" w:type="pct"/>
            <w:gridSpan w:val="3"/>
            <w:tcBorders>
              <w:top w:val="single" w:sz="4" w:space="0" w:color="auto"/>
              <w:bottom w:val="single" w:sz="4" w:space="0" w:color="auto"/>
            </w:tcBorders>
            <w:vAlign w:val="center"/>
          </w:tcPr>
          <w:p w14:paraId="044339CC" w14:textId="4D857A02" w:rsidR="001C7F59" w:rsidRPr="00910346" w:rsidRDefault="001C7F59" w:rsidP="001C7F59">
            <w:pPr>
              <w:pStyle w:val="TableText0"/>
              <w:rPr>
                <w:b/>
                <w:szCs w:val="18"/>
              </w:rPr>
            </w:pPr>
            <w:r w:rsidRPr="00910346">
              <w:rPr>
                <w:b/>
                <w:szCs w:val="18"/>
              </w:rPr>
              <w:t xml:space="preserve">Other supportive studies (non-comparative to Infanrix </w:t>
            </w:r>
            <w:proofErr w:type="spellStart"/>
            <w:r w:rsidR="00AE2917">
              <w:rPr>
                <w:b/>
                <w:szCs w:val="18"/>
              </w:rPr>
              <w:t>H</w:t>
            </w:r>
            <w:r w:rsidRPr="00910346">
              <w:rPr>
                <w:b/>
                <w:szCs w:val="18"/>
              </w:rPr>
              <w:t>exa</w:t>
            </w:r>
            <w:proofErr w:type="spellEnd"/>
            <w:r w:rsidRPr="00910346">
              <w:rPr>
                <w:b/>
                <w:szCs w:val="18"/>
              </w:rPr>
              <w:t>)</w:t>
            </w:r>
          </w:p>
        </w:tc>
      </w:tr>
      <w:tr w:rsidR="001C7F59" w:rsidRPr="00CB38A8" w14:paraId="7DB64DE4" w14:textId="77777777" w:rsidTr="00C52E97">
        <w:tc>
          <w:tcPr>
            <w:tcW w:w="796" w:type="pct"/>
            <w:tcBorders>
              <w:top w:val="single" w:sz="4" w:space="0" w:color="auto"/>
              <w:bottom w:val="single" w:sz="4" w:space="0" w:color="auto"/>
            </w:tcBorders>
            <w:vAlign w:val="center"/>
          </w:tcPr>
          <w:p w14:paraId="6688E314" w14:textId="77777777" w:rsidR="001C7F59" w:rsidRDefault="001C7F59" w:rsidP="00C52E97">
            <w:pPr>
              <w:pStyle w:val="TableText0"/>
            </w:pPr>
            <w:r>
              <w:t>Study 005</w:t>
            </w:r>
          </w:p>
          <w:p w14:paraId="2C7C52CE" w14:textId="77777777" w:rsidR="001C7F59" w:rsidRDefault="001C7F59" w:rsidP="00C52E97">
            <w:pPr>
              <w:pStyle w:val="TableText0"/>
            </w:pPr>
          </w:p>
          <w:p w14:paraId="388168D3" w14:textId="77777777" w:rsidR="001C7F59" w:rsidRDefault="001C7F59" w:rsidP="00C52E97">
            <w:pPr>
              <w:pStyle w:val="TableText0"/>
            </w:pPr>
          </w:p>
        </w:tc>
        <w:tc>
          <w:tcPr>
            <w:tcW w:w="3027" w:type="pct"/>
            <w:tcBorders>
              <w:top w:val="single" w:sz="4" w:space="0" w:color="auto"/>
              <w:bottom w:val="single" w:sz="4" w:space="0" w:color="auto"/>
            </w:tcBorders>
            <w:vAlign w:val="center"/>
          </w:tcPr>
          <w:p w14:paraId="579F4523" w14:textId="77777777" w:rsidR="001C7F59" w:rsidRDefault="001C7F59" w:rsidP="00C52E97">
            <w:pPr>
              <w:pStyle w:val="TableText0"/>
              <w:rPr>
                <w:szCs w:val="18"/>
              </w:rPr>
            </w:pPr>
            <w:r w:rsidRPr="005A0E6D">
              <w:rPr>
                <w:szCs w:val="18"/>
              </w:rPr>
              <w:t xml:space="preserve">A phase III randomized, open-label, active-comparator controlled clinical study to evaluate the safety, tolerability, and immunogenicity of V419 in infants when given at 2, 4, and 6 months concomitantly with Prevnar 13™ and </w:t>
            </w:r>
            <w:proofErr w:type="spellStart"/>
            <w:r w:rsidRPr="005A0E6D">
              <w:rPr>
                <w:szCs w:val="18"/>
              </w:rPr>
              <w:t>RotaTeq</w:t>
            </w:r>
            <w:proofErr w:type="spellEnd"/>
            <w:r w:rsidRPr="005A0E6D">
              <w:rPr>
                <w:szCs w:val="18"/>
              </w:rPr>
              <w:t>™.</w:t>
            </w:r>
          </w:p>
          <w:p w14:paraId="142C2B6E" w14:textId="77777777" w:rsidR="001C7F59" w:rsidRDefault="001C7F59" w:rsidP="00C52E97">
            <w:pPr>
              <w:pStyle w:val="TableText0"/>
              <w:rPr>
                <w:szCs w:val="18"/>
              </w:rPr>
            </w:pPr>
          </w:p>
          <w:p w14:paraId="7D8ADB05" w14:textId="77777777" w:rsidR="001C7F59" w:rsidRDefault="001C7F59" w:rsidP="00C52E97">
            <w:pPr>
              <w:pStyle w:val="TableText0"/>
              <w:rPr>
                <w:szCs w:val="18"/>
              </w:rPr>
            </w:pPr>
            <w:r w:rsidRPr="005A0E6D">
              <w:rPr>
                <w:szCs w:val="18"/>
              </w:rPr>
              <w:t xml:space="preserve">Marshall GS et al. Immunogenicity, Safety, and Tolerability of a Hexavalent Vaccine in Infants. </w:t>
            </w:r>
          </w:p>
        </w:tc>
        <w:tc>
          <w:tcPr>
            <w:tcW w:w="1177" w:type="pct"/>
            <w:tcBorders>
              <w:top w:val="single" w:sz="4" w:space="0" w:color="auto"/>
              <w:bottom w:val="single" w:sz="4" w:space="0" w:color="auto"/>
            </w:tcBorders>
            <w:vAlign w:val="center"/>
          </w:tcPr>
          <w:p w14:paraId="53015AA2" w14:textId="77777777" w:rsidR="001C7F59" w:rsidRPr="00910346" w:rsidRDefault="001C7F59" w:rsidP="00C52E97">
            <w:pPr>
              <w:pStyle w:val="TableText0"/>
              <w:rPr>
                <w:szCs w:val="18"/>
              </w:rPr>
            </w:pPr>
            <w:r w:rsidRPr="00910346">
              <w:rPr>
                <w:szCs w:val="18"/>
              </w:rPr>
              <w:t>March 2014</w:t>
            </w:r>
          </w:p>
          <w:p w14:paraId="75FED097" w14:textId="77777777" w:rsidR="001C7F59" w:rsidRPr="00910346" w:rsidRDefault="001C7F59" w:rsidP="00C52E97">
            <w:pPr>
              <w:pStyle w:val="TableText0"/>
              <w:rPr>
                <w:szCs w:val="18"/>
              </w:rPr>
            </w:pPr>
          </w:p>
          <w:p w14:paraId="4B952598" w14:textId="77777777" w:rsidR="001C7F59" w:rsidRPr="00910346" w:rsidRDefault="001C7F59" w:rsidP="00C52E97">
            <w:pPr>
              <w:pStyle w:val="TableText0"/>
              <w:rPr>
                <w:szCs w:val="18"/>
              </w:rPr>
            </w:pPr>
          </w:p>
          <w:p w14:paraId="33D0120F" w14:textId="77777777" w:rsidR="001C7F59" w:rsidRPr="00910346" w:rsidRDefault="001C7F59" w:rsidP="00C52E97">
            <w:pPr>
              <w:pStyle w:val="TableText0"/>
              <w:rPr>
                <w:szCs w:val="18"/>
              </w:rPr>
            </w:pPr>
          </w:p>
          <w:p w14:paraId="50519B1F" w14:textId="77777777" w:rsidR="001C7F59" w:rsidRPr="00910346" w:rsidRDefault="001C7F59" w:rsidP="00C52E97">
            <w:pPr>
              <w:pStyle w:val="TableText0"/>
              <w:rPr>
                <w:szCs w:val="18"/>
              </w:rPr>
            </w:pPr>
          </w:p>
          <w:p w14:paraId="65B8CDA6" w14:textId="77777777" w:rsidR="001C7F59" w:rsidRPr="00910346" w:rsidRDefault="001C7F59" w:rsidP="00C52E97">
            <w:pPr>
              <w:pStyle w:val="TableText0"/>
              <w:rPr>
                <w:szCs w:val="18"/>
              </w:rPr>
            </w:pPr>
            <w:proofErr w:type="spellStart"/>
            <w:r w:rsidRPr="00910346">
              <w:rPr>
                <w:szCs w:val="18"/>
              </w:rPr>
              <w:t>Pediatrics</w:t>
            </w:r>
            <w:proofErr w:type="spellEnd"/>
            <w:r w:rsidRPr="00910346">
              <w:rPr>
                <w:szCs w:val="18"/>
              </w:rPr>
              <w:t>. 2015; 136(2): e323-32.</w:t>
            </w:r>
          </w:p>
        </w:tc>
      </w:tr>
      <w:tr w:rsidR="001C7F59" w:rsidRPr="00CB38A8" w14:paraId="3FFB1970" w14:textId="77777777" w:rsidTr="00C52E97">
        <w:tc>
          <w:tcPr>
            <w:tcW w:w="796" w:type="pct"/>
            <w:tcBorders>
              <w:top w:val="single" w:sz="4" w:space="0" w:color="auto"/>
              <w:bottom w:val="single" w:sz="4" w:space="0" w:color="auto"/>
            </w:tcBorders>
            <w:vAlign w:val="center"/>
          </w:tcPr>
          <w:p w14:paraId="55D715F1" w14:textId="77777777" w:rsidR="001C7F59" w:rsidRDefault="001C7F59" w:rsidP="00C52E97">
            <w:pPr>
              <w:pStyle w:val="TableText0"/>
            </w:pPr>
            <w:r>
              <w:t>Study 006</w:t>
            </w:r>
          </w:p>
        </w:tc>
        <w:tc>
          <w:tcPr>
            <w:tcW w:w="3027" w:type="pct"/>
            <w:tcBorders>
              <w:top w:val="single" w:sz="4" w:space="0" w:color="auto"/>
              <w:bottom w:val="single" w:sz="4" w:space="0" w:color="auto"/>
            </w:tcBorders>
            <w:vAlign w:val="center"/>
          </w:tcPr>
          <w:p w14:paraId="3771B0F8" w14:textId="77777777" w:rsidR="001C7F59" w:rsidRPr="005A0E6D" w:rsidRDefault="001C7F59" w:rsidP="00C52E97">
            <w:pPr>
              <w:pStyle w:val="TableText0"/>
              <w:rPr>
                <w:szCs w:val="18"/>
              </w:rPr>
            </w:pPr>
            <w:r w:rsidRPr="005A0E6D">
              <w:rPr>
                <w:szCs w:val="18"/>
              </w:rPr>
              <w:t xml:space="preserve">A phase III randomized, partially double-blind, active-comparator-controlled, lot-to-lot consistency clinical study to evaluate the safety, tolerability, and immunogenicity of V419 in healthy infants when given at 2, 4, and 6 months concomitantly with Prevnar 13™ and </w:t>
            </w:r>
            <w:proofErr w:type="spellStart"/>
            <w:r w:rsidRPr="005A0E6D">
              <w:rPr>
                <w:szCs w:val="18"/>
              </w:rPr>
              <w:t>RotaTeq</w:t>
            </w:r>
            <w:proofErr w:type="spellEnd"/>
            <w:r w:rsidRPr="005A0E6D">
              <w:rPr>
                <w:szCs w:val="18"/>
              </w:rPr>
              <w:t xml:space="preserve">™. </w:t>
            </w:r>
          </w:p>
          <w:p w14:paraId="1F9EDB95" w14:textId="77777777" w:rsidR="001C7F59" w:rsidRDefault="001C7F59" w:rsidP="00C52E97">
            <w:pPr>
              <w:pStyle w:val="TableText0"/>
              <w:rPr>
                <w:szCs w:val="18"/>
              </w:rPr>
            </w:pPr>
          </w:p>
          <w:p w14:paraId="2C5AB387" w14:textId="77777777" w:rsidR="001C7F59" w:rsidRDefault="001C7F59" w:rsidP="00C52E97">
            <w:pPr>
              <w:pStyle w:val="TableText0"/>
              <w:rPr>
                <w:szCs w:val="18"/>
              </w:rPr>
            </w:pPr>
            <w:r w:rsidRPr="005A0E6D">
              <w:rPr>
                <w:szCs w:val="18"/>
              </w:rPr>
              <w:t xml:space="preserve">Block, S. L. et al. Lot-to-lot Consistency, Safety, </w:t>
            </w:r>
            <w:proofErr w:type="gramStart"/>
            <w:r w:rsidRPr="005A0E6D">
              <w:rPr>
                <w:szCs w:val="18"/>
              </w:rPr>
              <w:t>Tolerability</w:t>
            </w:r>
            <w:proofErr w:type="gramEnd"/>
            <w:r w:rsidRPr="005A0E6D">
              <w:rPr>
                <w:szCs w:val="18"/>
              </w:rPr>
              <w:t xml:space="preserve"> and Immunogenicity of an Investigational Hexavalent Vaccine in US Infants. </w:t>
            </w:r>
          </w:p>
        </w:tc>
        <w:tc>
          <w:tcPr>
            <w:tcW w:w="1177" w:type="pct"/>
            <w:tcBorders>
              <w:top w:val="single" w:sz="4" w:space="0" w:color="auto"/>
              <w:bottom w:val="single" w:sz="4" w:space="0" w:color="auto"/>
            </w:tcBorders>
            <w:vAlign w:val="center"/>
          </w:tcPr>
          <w:p w14:paraId="2EA61810" w14:textId="77777777" w:rsidR="001C7F59" w:rsidRPr="00910346" w:rsidRDefault="001C7F59" w:rsidP="00C52E97">
            <w:pPr>
              <w:pStyle w:val="TableText0"/>
              <w:rPr>
                <w:szCs w:val="18"/>
              </w:rPr>
            </w:pPr>
            <w:r w:rsidRPr="00910346">
              <w:rPr>
                <w:szCs w:val="18"/>
              </w:rPr>
              <w:t>May 2014</w:t>
            </w:r>
          </w:p>
          <w:p w14:paraId="34F5E55F" w14:textId="77777777" w:rsidR="001C7F59" w:rsidRPr="00910346" w:rsidRDefault="001C7F59" w:rsidP="00C52E97">
            <w:pPr>
              <w:pStyle w:val="TableText0"/>
              <w:rPr>
                <w:szCs w:val="18"/>
              </w:rPr>
            </w:pPr>
          </w:p>
          <w:p w14:paraId="586D32E5" w14:textId="77777777" w:rsidR="001C7F59" w:rsidRPr="00910346" w:rsidRDefault="001C7F59" w:rsidP="00C52E97">
            <w:pPr>
              <w:pStyle w:val="TableText0"/>
              <w:rPr>
                <w:szCs w:val="18"/>
              </w:rPr>
            </w:pPr>
          </w:p>
          <w:p w14:paraId="70465CAC" w14:textId="77777777" w:rsidR="001C7F59" w:rsidRPr="00910346" w:rsidRDefault="001C7F59" w:rsidP="00C52E97">
            <w:pPr>
              <w:pStyle w:val="TableText0"/>
              <w:rPr>
                <w:szCs w:val="18"/>
              </w:rPr>
            </w:pPr>
          </w:p>
          <w:p w14:paraId="565E1863" w14:textId="77777777" w:rsidR="001C7F59" w:rsidRPr="00910346" w:rsidRDefault="001C7F59" w:rsidP="00C52E97">
            <w:pPr>
              <w:pStyle w:val="TableText0"/>
              <w:rPr>
                <w:szCs w:val="18"/>
              </w:rPr>
            </w:pPr>
          </w:p>
          <w:p w14:paraId="72DA6900" w14:textId="77777777" w:rsidR="001C7F59" w:rsidRPr="00910346" w:rsidRDefault="001C7F59" w:rsidP="00C52E97">
            <w:pPr>
              <w:pStyle w:val="TableText0"/>
              <w:rPr>
                <w:szCs w:val="18"/>
              </w:rPr>
            </w:pPr>
            <w:proofErr w:type="spellStart"/>
            <w:r w:rsidRPr="00910346">
              <w:rPr>
                <w:szCs w:val="18"/>
              </w:rPr>
              <w:t>Pediatr</w:t>
            </w:r>
            <w:proofErr w:type="spellEnd"/>
            <w:r w:rsidRPr="00910346">
              <w:rPr>
                <w:szCs w:val="18"/>
              </w:rPr>
              <w:t xml:space="preserve"> Infect Dis J. 2017; 36(2):202–208.</w:t>
            </w:r>
          </w:p>
        </w:tc>
      </w:tr>
    </w:tbl>
    <w:p w14:paraId="6C100C48" w14:textId="681DB977" w:rsidR="001C7F59" w:rsidRPr="00B1011F" w:rsidRDefault="001C7F59" w:rsidP="00AF5BE1">
      <w:pPr>
        <w:pStyle w:val="TableFooter"/>
        <w:spacing w:after="120"/>
      </w:pPr>
      <w:r w:rsidRPr="005A0E6D">
        <w:t>Source: Table 2.2, p25 of the submission</w:t>
      </w:r>
    </w:p>
    <w:p w14:paraId="3DC7896C" w14:textId="14A685E8" w:rsidR="00772731" w:rsidRPr="001D17A8" w:rsidRDefault="00772731" w:rsidP="00772731">
      <w:pPr>
        <w:pStyle w:val="3-BodyText"/>
      </w:pPr>
      <w:r w:rsidRPr="001D17A8">
        <w:t xml:space="preserve">The key features of the direct randomised trials are summarised in </w:t>
      </w:r>
      <w:r w:rsidR="002B16A5">
        <w:t xml:space="preserve">Table </w:t>
      </w:r>
      <w:r w:rsidR="009B7F56">
        <w:t>3</w:t>
      </w:r>
      <w:r w:rsidRPr="001D17A8">
        <w:t xml:space="preserve">. </w:t>
      </w:r>
    </w:p>
    <w:p w14:paraId="2AEFC4EF" w14:textId="263F858C" w:rsidR="00772731" w:rsidRPr="001D17A8" w:rsidRDefault="00772731" w:rsidP="00772731">
      <w:pPr>
        <w:pStyle w:val="TableFigureHeading"/>
        <w:rPr>
          <w:rStyle w:val="CommentReference"/>
          <w:rFonts w:ascii="Calibri" w:hAnsi="Calibri"/>
          <w:b/>
          <w:sz w:val="18"/>
          <w:szCs w:val="18"/>
        </w:rPr>
      </w:pPr>
      <w:r>
        <w:t xml:space="preserve">Table </w:t>
      </w:r>
      <w:fldSimple w:instr=" SEQ Table \* ARABIC ">
        <w:r w:rsidR="00B5627B">
          <w:rPr>
            <w:noProof/>
          </w:rPr>
          <w:t>3</w:t>
        </w:r>
      </w:fldSimple>
      <w:r>
        <w:t xml:space="preserve">: </w:t>
      </w:r>
      <w:r w:rsidRPr="00EC5836">
        <w:rPr>
          <w:rStyle w:val="CommentReference"/>
          <w:b/>
          <w:szCs w:val="24"/>
        </w:rPr>
        <w:t>Key f</w:t>
      </w:r>
      <w:r>
        <w:rPr>
          <w:rStyle w:val="CommentReference"/>
          <w:b/>
          <w:szCs w:val="24"/>
        </w:rPr>
        <w:t>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8"/>
        <w:gridCol w:w="841"/>
        <w:gridCol w:w="1411"/>
        <w:gridCol w:w="1120"/>
        <w:gridCol w:w="1717"/>
        <w:gridCol w:w="2643"/>
      </w:tblGrid>
      <w:tr w:rsidR="00772731" w:rsidRPr="00B41614" w14:paraId="2F3B8959" w14:textId="77777777" w:rsidTr="00F87292">
        <w:trPr>
          <w:cantSplit/>
          <w:tblHeader/>
        </w:trPr>
        <w:tc>
          <w:tcPr>
            <w:tcW w:w="714" w:type="pct"/>
            <w:shd w:val="clear" w:color="auto" w:fill="auto"/>
            <w:vAlign w:val="center"/>
          </w:tcPr>
          <w:p w14:paraId="4B62D05A" w14:textId="77777777" w:rsidR="00772731" w:rsidRPr="00B41614" w:rsidRDefault="00772731" w:rsidP="00F87292">
            <w:pPr>
              <w:pStyle w:val="In-tableHeading"/>
            </w:pPr>
            <w:r w:rsidRPr="00B41614">
              <w:t>Trial</w:t>
            </w:r>
          </w:p>
        </w:tc>
        <w:tc>
          <w:tcPr>
            <w:tcW w:w="466" w:type="pct"/>
            <w:shd w:val="clear" w:color="auto" w:fill="auto"/>
            <w:vAlign w:val="center"/>
          </w:tcPr>
          <w:p w14:paraId="28DFEA22" w14:textId="77777777" w:rsidR="00772731" w:rsidRPr="00B41614" w:rsidRDefault="00772731" w:rsidP="00F87292">
            <w:pPr>
              <w:pStyle w:val="In-tableHeading"/>
              <w:jc w:val="center"/>
            </w:pPr>
            <w:r w:rsidRPr="00B41614">
              <w:t>N</w:t>
            </w:r>
          </w:p>
        </w:tc>
        <w:tc>
          <w:tcPr>
            <w:tcW w:w="782" w:type="pct"/>
            <w:shd w:val="clear" w:color="auto" w:fill="auto"/>
            <w:vAlign w:val="center"/>
          </w:tcPr>
          <w:p w14:paraId="3125E13C" w14:textId="77777777" w:rsidR="00772731" w:rsidRPr="00B41614" w:rsidRDefault="00772731" w:rsidP="00F87292">
            <w:pPr>
              <w:pStyle w:val="In-tableHeading"/>
              <w:jc w:val="center"/>
            </w:pPr>
            <w:r w:rsidRPr="00B41614">
              <w:t>Design/ duration</w:t>
            </w:r>
          </w:p>
        </w:tc>
        <w:tc>
          <w:tcPr>
            <w:tcW w:w="621" w:type="pct"/>
            <w:shd w:val="clear" w:color="auto" w:fill="auto"/>
            <w:vAlign w:val="center"/>
          </w:tcPr>
          <w:p w14:paraId="153E8E32" w14:textId="77777777" w:rsidR="00772731" w:rsidRPr="00B41614" w:rsidRDefault="00772731" w:rsidP="00F87292">
            <w:pPr>
              <w:pStyle w:val="In-tableHeading"/>
              <w:jc w:val="center"/>
            </w:pPr>
            <w:r w:rsidRPr="00B41614">
              <w:t>Risk of bias</w:t>
            </w:r>
          </w:p>
        </w:tc>
        <w:tc>
          <w:tcPr>
            <w:tcW w:w="952" w:type="pct"/>
            <w:shd w:val="clear" w:color="auto" w:fill="auto"/>
            <w:vAlign w:val="center"/>
          </w:tcPr>
          <w:p w14:paraId="1BE1CE03" w14:textId="77777777" w:rsidR="00772731" w:rsidRPr="00B41614" w:rsidRDefault="00772731" w:rsidP="00F87292">
            <w:pPr>
              <w:pStyle w:val="In-tableHeading"/>
              <w:jc w:val="center"/>
            </w:pPr>
            <w:r w:rsidRPr="00B41614">
              <w:t>Patient population</w:t>
            </w:r>
          </w:p>
        </w:tc>
        <w:tc>
          <w:tcPr>
            <w:tcW w:w="1465" w:type="pct"/>
            <w:shd w:val="clear" w:color="auto" w:fill="auto"/>
            <w:vAlign w:val="center"/>
          </w:tcPr>
          <w:p w14:paraId="40A90542" w14:textId="77777777" w:rsidR="00772731" w:rsidRPr="00B41614" w:rsidRDefault="00772731" w:rsidP="00F87292">
            <w:pPr>
              <w:pStyle w:val="In-tableHeading"/>
              <w:jc w:val="center"/>
            </w:pPr>
            <w:r>
              <w:t>Outcomes</w:t>
            </w:r>
          </w:p>
        </w:tc>
      </w:tr>
      <w:tr w:rsidR="00772731" w:rsidRPr="00E2771E" w14:paraId="14E2C9F5" w14:textId="77777777" w:rsidTr="00F87292">
        <w:trPr>
          <w:cantSplit/>
        </w:trPr>
        <w:tc>
          <w:tcPr>
            <w:tcW w:w="5000" w:type="pct"/>
            <w:gridSpan w:val="6"/>
            <w:shd w:val="clear" w:color="auto" w:fill="auto"/>
            <w:vAlign w:val="center"/>
          </w:tcPr>
          <w:p w14:paraId="1A10E30B" w14:textId="12666D9C" w:rsidR="00772731" w:rsidRPr="00EC5836" w:rsidRDefault="00772731" w:rsidP="005E6D83">
            <w:pPr>
              <w:pStyle w:val="In-tableHeading"/>
            </w:pPr>
            <w:proofErr w:type="spellStart"/>
            <w:r>
              <w:t>Vaxelis</w:t>
            </w:r>
            <w:proofErr w:type="spellEnd"/>
            <w:r>
              <w:t xml:space="preserve"> vs Infanri</w:t>
            </w:r>
            <w:r w:rsidR="005E6D83">
              <w:t>x</w:t>
            </w:r>
            <w:r>
              <w:t xml:space="preserve"> </w:t>
            </w:r>
            <w:proofErr w:type="spellStart"/>
            <w:r w:rsidR="00AE2917">
              <w:t>H</w:t>
            </w:r>
            <w:r>
              <w:t>exa</w:t>
            </w:r>
            <w:proofErr w:type="spellEnd"/>
          </w:p>
        </w:tc>
      </w:tr>
      <w:tr w:rsidR="00772731" w:rsidRPr="00E2771E" w14:paraId="1DE67A66" w14:textId="77777777" w:rsidTr="00F87292">
        <w:trPr>
          <w:cantSplit/>
        </w:trPr>
        <w:tc>
          <w:tcPr>
            <w:tcW w:w="714" w:type="pct"/>
            <w:shd w:val="clear" w:color="auto" w:fill="auto"/>
            <w:vAlign w:val="center"/>
          </w:tcPr>
          <w:p w14:paraId="5B6A6EE1" w14:textId="77777777" w:rsidR="00772731" w:rsidRPr="00E2771E" w:rsidRDefault="00772731" w:rsidP="00F87292">
            <w:pPr>
              <w:pStyle w:val="TableText0"/>
              <w:rPr>
                <w:lang w:val="en-US"/>
              </w:rPr>
            </w:pPr>
            <w:r>
              <w:rPr>
                <w:lang w:val="en-US"/>
              </w:rPr>
              <w:t>Study 007</w:t>
            </w:r>
          </w:p>
        </w:tc>
        <w:tc>
          <w:tcPr>
            <w:tcW w:w="466" w:type="pct"/>
            <w:shd w:val="clear" w:color="auto" w:fill="auto"/>
            <w:vAlign w:val="center"/>
          </w:tcPr>
          <w:p w14:paraId="1D2C9464" w14:textId="77777777" w:rsidR="00772731" w:rsidRPr="00E2771E" w:rsidRDefault="00772731" w:rsidP="00F87292">
            <w:pPr>
              <w:pStyle w:val="TableText0"/>
              <w:jc w:val="center"/>
              <w:rPr>
                <w:lang w:val="en-US"/>
              </w:rPr>
            </w:pPr>
            <w:r>
              <w:rPr>
                <w:lang w:val="en-US"/>
              </w:rPr>
              <w:t>1217</w:t>
            </w:r>
          </w:p>
        </w:tc>
        <w:tc>
          <w:tcPr>
            <w:tcW w:w="782" w:type="pct"/>
            <w:shd w:val="clear" w:color="auto" w:fill="auto"/>
            <w:vAlign w:val="center"/>
          </w:tcPr>
          <w:p w14:paraId="52459452" w14:textId="77777777" w:rsidR="00772731" w:rsidRPr="00E2771E" w:rsidRDefault="00772731" w:rsidP="00F87292">
            <w:pPr>
              <w:pStyle w:val="TableText0"/>
              <w:jc w:val="center"/>
              <w:rPr>
                <w:lang w:val="en-US"/>
              </w:rPr>
            </w:pPr>
            <w:r w:rsidRPr="00E2771E">
              <w:rPr>
                <w:lang w:val="en-US"/>
              </w:rPr>
              <w:t>R, DB</w:t>
            </w:r>
          </w:p>
          <w:p w14:paraId="5257FF61" w14:textId="77777777" w:rsidR="00772731" w:rsidRPr="00E2771E" w:rsidRDefault="00772731" w:rsidP="00F87292">
            <w:pPr>
              <w:pStyle w:val="TableText0"/>
              <w:jc w:val="center"/>
              <w:rPr>
                <w:lang w:val="en-US"/>
              </w:rPr>
            </w:pPr>
            <w:r>
              <w:rPr>
                <w:lang w:val="en-US"/>
              </w:rPr>
              <w:t>13</w:t>
            </w:r>
            <w:r w:rsidRPr="00E2771E">
              <w:rPr>
                <w:lang w:val="en-US"/>
              </w:rPr>
              <w:t xml:space="preserve"> </w:t>
            </w:r>
            <w:proofErr w:type="spellStart"/>
            <w:r w:rsidRPr="00E2771E">
              <w:rPr>
                <w:lang w:val="en-US"/>
              </w:rPr>
              <w:t>mths</w:t>
            </w:r>
            <w:proofErr w:type="spellEnd"/>
          </w:p>
        </w:tc>
        <w:tc>
          <w:tcPr>
            <w:tcW w:w="621" w:type="pct"/>
            <w:shd w:val="clear" w:color="auto" w:fill="auto"/>
            <w:vAlign w:val="center"/>
          </w:tcPr>
          <w:p w14:paraId="14ED142B" w14:textId="77777777" w:rsidR="00772731" w:rsidRPr="00257DEC" w:rsidRDefault="00772731" w:rsidP="00F87292">
            <w:pPr>
              <w:pStyle w:val="TableText0"/>
              <w:jc w:val="center"/>
              <w:rPr>
                <w:lang w:val="en-US"/>
              </w:rPr>
            </w:pPr>
            <w:r w:rsidRPr="00257DEC">
              <w:rPr>
                <w:lang w:val="en-US"/>
              </w:rPr>
              <w:t>Low</w:t>
            </w:r>
          </w:p>
        </w:tc>
        <w:tc>
          <w:tcPr>
            <w:tcW w:w="952" w:type="pct"/>
            <w:shd w:val="clear" w:color="auto" w:fill="auto"/>
            <w:vAlign w:val="center"/>
          </w:tcPr>
          <w:p w14:paraId="662B669F" w14:textId="77777777" w:rsidR="00772731" w:rsidRPr="00E2771E" w:rsidRDefault="00772731" w:rsidP="00F87292">
            <w:pPr>
              <w:pStyle w:val="TableText0"/>
              <w:jc w:val="center"/>
              <w:rPr>
                <w:lang w:val="en-US"/>
              </w:rPr>
            </w:pPr>
            <w:r>
              <w:rPr>
                <w:lang w:val="en-US"/>
              </w:rPr>
              <w:t>Healthy infants</w:t>
            </w:r>
          </w:p>
        </w:tc>
        <w:tc>
          <w:tcPr>
            <w:tcW w:w="1465" w:type="pct"/>
            <w:shd w:val="clear" w:color="auto" w:fill="auto"/>
            <w:vAlign w:val="center"/>
          </w:tcPr>
          <w:p w14:paraId="2A0CDA06" w14:textId="77777777" w:rsidR="00772731" w:rsidRPr="00745723" w:rsidRDefault="00772731" w:rsidP="00F87292">
            <w:pPr>
              <w:jc w:val="left"/>
              <w:rPr>
                <w:rFonts w:ascii="Arial Narrow" w:hAnsi="Arial Narrow"/>
                <w:sz w:val="20"/>
                <w:lang w:val="en-US"/>
              </w:rPr>
            </w:pPr>
            <w:r w:rsidRPr="00745723">
              <w:rPr>
                <w:rFonts w:ascii="Arial Narrow" w:hAnsi="Arial Narrow"/>
                <w:sz w:val="20"/>
                <w:lang w:val="en-US"/>
              </w:rPr>
              <w:t xml:space="preserve">Immune response </w:t>
            </w:r>
          </w:p>
          <w:p w14:paraId="4A14E01C" w14:textId="77777777" w:rsidR="00772731" w:rsidRPr="00E2771E" w:rsidRDefault="00772731" w:rsidP="00F87292">
            <w:pPr>
              <w:pStyle w:val="TableText0"/>
              <w:rPr>
                <w:lang w:val="en-US"/>
              </w:rPr>
            </w:pPr>
            <w:r w:rsidRPr="00745723">
              <w:rPr>
                <w:lang w:val="en-US"/>
              </w:rPr>
              <w:t>(antibody levels)</w:t>
            </w:r>
            <w:r>
              <w:rPr>
                <w:lang w:val="en-US"/>
              </w:rPr>
              <w:t xml:space="preserve"> and AEs</w:t>
            </w:r>
          </w:p>
        </w:tc>
      </w:tr>
      <w:tr w:rsidR="00772731" w:rsidRPr="00E2771E" w14:paraId="36127EB1" w14:textId="77777777" w:rsidTr="00F87292">
        <w:trPr>
          <w:cantSplit/>
        </w:trPr>
        <w:tc>
          <w:tcPr>
            <w:tcW w:w="714" w:type="pct"/>
            <w:shd w:val="clear" w:color="auto" w:fill="auto"/>
            <w:vAlign w:val="center"/>
          </w:tcPr>
          <w:p w14:paraId="2DF267EF" w14:textId="77777777" w:rsidR="00772731" w:rsidRPr="00E2771E" w:rsidRDefault="00772731" w:rsidP="00F87292">
            <w:pPr>
              <w:pStyle w:val="TableText0"/>
              <w:rPr>
                <w:lang w:val="en-US"/>
              </w:rPr>
            </w:pPr>
            <w:r>
              <w:rPr>
                <w:lang w:val="en-US"/>
              </w:rPr>
              <w:t>Study 008</w:t>
            </w:r>
          </w:p>
        </w:tc>
        <w:tc>
          <w:tcPr>
            <w:tcW w:w="466" w:type="pct"/>
            <w:shd w:val="clear" w:color="auto" w:fill="auto"/>
            <w:vAlign w:val="center"/>
          </w:tcPr>
          <w:p w14:paraId="4789FD3D" w14:textId="77777777" w:rsidR="00772731" w:rsidRPr="00E2771E" w:rsidRDefault="00772731" w:rsidP="00F87292">
            <w:pPr>
              <w:pStyle w:val="TableText0"/>
              <w:jc w:val="center"/>
              <w:rPr>
                <w:lang w:val="en-US"/>
              </w:rPr>
            </w:pPr>
            <w:r>
              <w:rPr>
                <w:lang w:val="en-US"/>
              </w:rPr>
              <w:t>1315</w:t>
            </w:r>
          </w:p>
        </w:tc>
        <w:tc>
          <w:tcPr>
            <w:tcW w:w="782" w:type="pct"/>
            <w:shd w:val="clear" w:color="auto" w:fill="auto"/>
            <w:vAlign w:val="center"/>
          </w:tcPr>
          <w:p w14:paraId="13C4D698" w14:textId="77777777" w:rsidR="00772731" w:rsidRPr="00E2771E" w:rsidRDefault="00772731" w:rsidP="00F87292">
            <w:pPr>
              <w:pStyle w:val="TableText0"/>
              <w:jc w:val="center"/>
              <w:rPr>
                <w:lang w:val="en-US"/>
              </w:rPr>
            </w:pPr>
            <w:r w:rsidRPr="00E2771E">
              <w:rPr>
                <w:lang w:val="en-US"/>
              </w:rPr>
              <w:t xml:space="preserve">R, </w:t>
            </w:r>
            <w:r>
              <w:rPr>
                <w:lang w:val="en-US"/>
              </w:rPr>
              <w:t>DB</w:t>
            </w:r>
          </w:p>
          <w:p w14:paraId="01693900" w14:textId="77777777" w:rsidR="00772731" w:rsidRPr="00E2771E" w:rsidRDefault="00772731" w:rsidP="00F87292">
            <w:pPr>
              <w:pStyle w:val="TableText0"/>
              <w:jc w:val="center"/>
              <w:rPr>
                <w:lang w:val="en-US"/>
              </w:rPr>
            </w:pPr>
            <w:r>
              <w:rPr>
                <w:lang w:val="en-US"/>
              </w:rPr>
              <w:t>12-13</w:t>
            </w:r>
            <w:r w:rsidRPr="00E2771E">
              <w:rPr>
                <w:lang w:val="en-US"/>
              </w:rPr>
              <w:t xml:space="preserve"> </w:t>
            </w:r>
            <w:proofErr w:type="spellStart"/>
            <w:r w:rsidRPr="00E2771E">
              <w:rPr>
                <w:lang w:val="en-US"/>
              </w:rPr>
              <w:t>mths</w:t>
            </w:r>
            <w:proofErr w:type="spellEnd"/>
          </w:p>
        </w:tc>
        <w:tc>
          <w:tcPr>
            <w:tcW w:w="621" w:type="pct"/>
            <w:shd w:val="clear" w:color="auto" w:fill="auto"/>
            <w:vAlign w:val="center"/>
          </w:tcPr>
          <w:p w14:paraId="3CBC55D2" w14:textId="77777777" w:rsidR="00772731" w:rsidRPr="00257DEC" w:rsidRDefault="00772731" w:rsidP="00F87292">
            <w:pPr>
              <w:pStyle w:val="TableText0"/>
              <w:jc w:val="center"/>
              <w:rPr>
                <w:lang w:val="en-US"/>
              </w:rPr>
            </w:pPr>
            <w:r w:rsidRPr="00257DEC">
              <w:rPr>
                <w:lang w:val="en-US"/>
              </w:rPr>
              <w:t>Low</w:t>
            </w:r>
          </w:p>
        </w:tc>
        <w:tc>
          <w:tcPr>
            <w:tcW w:w="952" w:type="pct"/>
            <w:shd w:val="clear" w:color="auto" w:fill="auto"/>
            <w:vAlign w:val="center"/>
          </w:tcPr>
          <w:p w14:paraId="20352233" w14:textId="77777777" w:rsidR="00772731" w:rsidRPr="00E2771E" w:rsidRDefault="00772731" w:rsidP="00F87292">
            <w:pPr>
              <w:pStyle w:val="TableText0"/>
              <w:jc w:val="center"/>
              <w:rPr>
                <w:lang w:val="en-US"/>
              </w:rPr>
            </w:pPr>
            <w:r>
              <w:rPr>
                <w:lang w:val="en-US"/>
              </w:rPr>
              <w:t>Healthy infants</w:t>
            </w:r>
          </w:p>
        </w:tc>
        <w:tc>
          <w:tcPr>
            <w:tcW w:w="1465" w:type="pct"/>
            <w:shd w:val="clear" w:color="auto" w:fill="auto"/>
            <w:vAlign w:val="center"/>
          </w:tcPr>
          <w:p w14:paraId="316DB35A" w14:textId="77777777" w:rsidR="00772731" w:rsidRPr="00745723" w:rsidRDefault="00772731" w:rsidP="00F87292">
            <w:pPr>
              <w:jc w:val="left"/>
              <w:rPr>
                <w:rFonts w:ascii="Arial Narrow" w:hAnsi="Arial Narrow"/>
                <w:sz w:val="20"/>
                <w:lang w:val="en-US"/>
              </w:rPr>
            </w:pPr>
            <w:r w:rsidRPr="00745723">
              <w:rPr>
                <w:rFonts w:ascii="Arial Narrow" w:hAnsi="Arial Narrow"/>
                <w:sz w:val="20"/>
                <w:lang w:val="en-US"/>
              </w:rPr>
              <w:t xml:space="preserve">Immune response </w:t>
            </w:r>
          </w:p>
          <w:p w14:paraId="58865FB5" w14:textId="77777777" w:rsidR="00772731" w:rsidRPr="00E2771E" w:rsidRDefault="00772731" w:rsidP="00F87292">
            <w:pPr>
              <w:pStyle w:val="TableText0"/>
              <w:rPr>
                <w:lang w:val="en-US"/>
              </w:rPr>
            </w:pPr>
            <w:r w:rsidRPr="00745723">
              <w:rPr>
                <w:lang w:val="en-US"/>
              </w:rPr>
              <w:t>(antibody levels)</w:t>
            </w:r>
            <w:r>
              <w:rPr>
                <w:lang w:val="en-US"/>
              </w:rPr>
              <w:t xml:space="preserve"> and AEs</w:t>
            </w:r>
          </w:p>
        </w:tc>
      </w:tr>
    </w:tbl>
    <w:p w14:paraId="7E932144" w14:textId="77777777" w:rsidR="00772731" w:rsidRDefault="00772731" w:rsidP="00772731">
      <w:pPr>
        <w:pStyle w:val="TableFigureFooter"/>
      </w:pPr>
      <w:r>
        <w:t xml:space="preserve">Source: Sections 2.3-2.4 </w:t>
      </w:r>
      <w:r w:rsidRPr="00D13A3E">
        <w:t xml:space="preserve">of the </w:t>
      </w:r>
      <w:r>
        <w:t>submission.</w:t>
      </w:r>
    </w:p>
    <w:p w14:paraId="6D702D27" w14:textId="342D15E8" w:rsidR="00772731" w:rsidRPr="00B1011F" w:rsidRDefault="00772731" w:rsidP="00772731">
      <w:pPr>
        <w:pStyle w:val="TableFigureFooter"/>
        <w:rPr>
          <w:sz w:val="20"/>
        </w:rPr>
      </w:pPr>
      <w:r w:rsidRPr="0072416F">
        <w:t>DB</w:t>
      </w:r>
      <w:r>
        <w:t xml:space="preserve"> </w:t>
      </w:r>
      <w:r w:rsidRPr="0072416F">
        <w:t>=</w:t>
      </w:r>
      <w:r>
        <w:t xml:space="preserve"> </w:t>
      </w:r>
      <w:r w:rsidRPr="0072416F">
        <w:t>double blind; R</w:t>
      </w:r>
      <w:r>
        <w:t xml:space="preserve"> </w:t>
      </w:r>
      <w:r w:rsidRPr="0072416F">
        <w:t>=</w:t>
      </w:r>
      <w:r>
        <w:t xml:space="preserve"> </w:t>
      </w:r>
      <w:r w:rsidR="000313E1">
        <w:t>randomised; AE = adverse event.</w:t>
      </w:r>
    </w:p>
    <w:p w14:paraId="03813053" w14:textId="3EE8CF24" w:rsidR="00772731" w:rsidRPr="00A11CBC" w:rsidRDefault="00772731" w:rsidP="0004302B">
      <w:pPr>
        <w:pStyle w:val="3-BodyText"/>
        <w:rPr>
          <w:snapToGrid/>
          <w:lang w:val="en-US"/>
        </w:rPr>
      </w:pPr>
      <w:r w:rsidRPr="00A11CBC">
        <w:rPr>
          <w:snapToGrid/>
          <w:lang w:val="en-US"/>
        </w:rPr>
        <w:lastRenderedPageBreak/>
        <w:t xml:space="preserve">The main outcome of the submission was the proportion of patients achieving target </w:t>
      </w:r>
      <w:proofErr w:type="spellStart"/>
      <w:r w:rsidRPr="00A11CBC">
        <w:rPr>
          <w:snapToGrid/>
          <w:lang w:val="en-US"/>
        </w:rPr>
        <w:t>seroprotection</w:t>
      </w:r>
      <w:proofErr w:type="spellEnd"/>
      <w:r w:rsidRPr="00A11CBC">
        <w:rPr>
          <w:snapToGrid/>
          <w:lang w:val="en-US"/>
        </w:rPr>
        <w:t>/seroconversion antibody levels</w:t>
      </w:r>
      <w:r w:rsidR="0004302B">
        <w:rPr>
          <w:snapToGrid/>
          <w:lang w:val="en-US"/>
        </w:rPr>
        <w:t xml:space="preserve"> which were based on es</w:t>
      </w:r>
      <w:r w:rsidR="0004302B" w:rsidRPr="0004302B">
        <w:rPr>
          <w:snapToGrid/>
          <w:lang w:val="en-US"/>
        </w:rPr>
        <w:t>tablished correlates/surrogates of protection for diphtheria, tetanus, polio, Hib and Hep B antigens</w:t>
      </w:r>
      <w:r w:rsidRPr="00A11CBC">
        <w:rPr>
          <w:snapToGrid/>
          <w:lang w:val="en-US"/>
        </w:rPr>
        <w:t>.</w:t>
      </w:r>
      <w:r w:rsidR="0004302B">
        <w:rPr>
          <w:snapToGrid/>
          <w:lang w:val="en-US"/>
        </w:rPr>
        <w:t xml:space="preserve"> There are no known established correlates of protection for pertussis.</w:t>
      </w:r>
    </w:p>
    <w:p w14:paraId="0E279D13" w14:textId="24164410" w:rsidR="00772731" w:rsidRDefault="00772731" w:rsidP="00772731">
      <w:pPr>
        <w:pStyle w:val="3-BodyText"/>
        <w:rPr>
          <w:snapToGrid/>
          <w:lang w:val="en-US"/>
        </w:rPr>
      </w:pPr>
      <w:bookmarkStart w:id="22" w:name="_Toc22897641"/>
      <w:r w:rsidRPr="00F51B28">
        <w:rPr>
          <w:snapToGrid/>
          <w:lang w:val="en-US"/>
        </w:rPr>
        <w:t xml:space="preserve">The non-inferiority of the vaccine-induced response rate was tested individually for each component involved, by rejection of the null hypothesis, or equivalently by establishing that the lower limit of the 2-sided 95% </w:t>
      </w:r>
      <w:r w:rsidR="00F760F6">
        <w:rPr>
          <w:snapToGrid/>
          <w:lang w:val="en-US"/>
        </w:rPr>
        <w:t>confidence interval (</w:t>
      </w:r>
      <w:r w:rsidRPr="00F51B28">
        <w:rPr>
          <w:snapToGrid/>
          <w:lang w:val="en-US"/>
        </w:rPr>
        <w:t>CI</w:t>
      </w:r>
      <w:r w:rsidR="00F760F6">
        <w:rPr>
          <w:snapToGrid/>
          <w:lang w:val="en-US"/>
        </w:rPr>
        <w:t>)</w:t>
      </w:r>
      <w:r w:rsidRPr="00F51B28">
        <w:rPr>
          <w:snapToGrid/>
          <w:lang w:val="en-US"/>
        </w:rPr>
        <w:t xml:space="preserve"> for response rate difference between the 2 groups (</w:t>
      </w:r>
      <w:proofErr w:type="spellStart"/>
      <w:r w:rsidRPr="00F51B28">
        <w:rPr>
          <w:snapToGrid/>
          <w:lang w:val="en-US"/>
        </w:rPr>
        <w:t>Vaxelis</w:t>
      </w:r>
      <w:proofErr w:type="spellEnd"/>
      <w:r w:rsidRPr="00F51B28">
        <w:rPr>
          <w:snapToGrid/>
          <w:lang w:val="en-US"/>
        </w:rPr>
        <w:t xml:space="preserve"> group minus Infanrix </w:t>
      </w:r>
      <w:proofErr w:type="spellStart"/>
      <w:r w:rsidR="00AE2917">
        <w:rPr>
          <w:snapToGrid/>
          <w:lang w:val="en-US"/>
        </w:rPr>
        <w:t>H</w:t>
      </w:r>
      <w:r w:rsidRPr="00F51B28">
        <w:rPr>
          <w:snapToGrid/>
          <w:lang w:val="en-US"/>
        </w:rPr>
        <w:t>exa</w:t>
      </w:r>
      <w:proofErr w:type="spellEnd"/>
      <w:r w:rsidRPr="00F51B28">
        <w:rPr>
          <w:snapToGrid/>
          <w:lang w:val="en-US"/>
        </w:rPr>
        <w:t xml:space="preserve"> group) for each component was greater than the prespecified limit. </w:t>
      </w:r>
    </w:p>
    <w:p w14:paraId="20C188DE" w14:textId="5405A97E" w:rsidR="00772731" w:rsidRDefault="00772731" w:rsidP="00772731">
      <w:pPr>
        <w:pStyle w:val="3-BodyText"/>
        <w:rPr>
          <w:snapToGrid/>
          <w:lang w:val="en-US"/>
        </w:rPr>
      </w:pPr>
      <w:r w:rsidRPr="00F51B28">
        <w:rPr>
          <w:snapToGrid/>
          <w:lang w:val="en-US"/>
        </w:rPr>
        <w:t>Non-inferiority margins were based on clinical meaningfulness of the difference between the groups being compared</w:t>
      </w:r>
      <w:r w:rsidR="00D76443">
        <w:rPr>
          <w:snapToGrid/>
          <w:lang w:val="en-US"/>
        </w:rPr>
        <w:t>.</w:t>
      </w:r>
      <w:r w:rsidR="00D76443" w:rsidRPr="00D76443">
        <w:rPr>
          <w:sz w:val="22"/>
          <w:szCs w:val="22"/>
        </w:rPr>
        <w:t xml:space="preserve"> </w:t>
      </w:r>
      <w:r w:rsidR="00D76443" w:rsidRPr="00D76443">
        <w:t>The margin for response rate was 5 percentage points for antigens with an expected response rate &gt;95% and 10 percentage points for antigens with an expected response rate ≤95%</w:t>
      </w:r>
      <w:r w:rsidRPr="00D76443">
        <w:rPr>
          <w:snapToGrid/>
          <w:sz w:val="28"/>
          <w:szCs w:val="28"/>
          <w:lang w:val="en-US"/>
        </w:rPr>
        <w:t xml:space="preserve"> </w:t>
      </w:r>
      <w:r w:rsidRPr="00F51B28">
        <w:rPr>
          <w:snapToGrid/>
          <w:lang w:val="en-US"/>
        </w:rPr>
        <w:t xml:space="preserve">(p22 of the TGA </w:t>
      </w:r>
      <w:r w:rsidR="00457F1D">
        <w:rPr>
          <w:snapToGrid/>
          <w:lang w:val="en-US"/>
        </w:rPr>
        <w:t>CER</w:t>
      </w:r>
      <w:r w:rsidRPr="00F51B28">
        <w:rPr>
          <w:snapToGrid/>
          <w:lang w:val="en-US"/>
        </w:rPr>
        <w:t xml:space="preserve">). </w:t>
      </w:r>
      <w:r w:rsidR="006B1B88">
        <w:rPr>
          <w:snapToGrid/>
          <w:lang w:val="en-US"/>
        </w:rPr>
        <w:t>P</w:t>
      </w:r>
      <w:r w:rsidRPr="00F51B28">
        <w:rPr>
          <w:snapToGrid/>
          <w:lang w:val="en-US"/>
        </w:rPr>
        <w:t>ertussis FIM</w:t>
      </w:r>
      <w:r w:rsidR="005D2548">
        <w:rPr>
          <w:snapToGrid/>
          <w:lang w:val="en-US"/>
        </w:rPr>
        <w:t xml:space="preserve"> 2/3</w:t>
      </w:r>
      <w:r w:rsidRPr="00F51B28">
        <w:rPr>
          <w:snapToGrid/>
          <w:lang w:val="en-US"/>
        </w:rPr>
        <w:t xml:space="preserve"> </w:t>
      </w:r>
      <w:r w:rsidR="005D2548">
        <w:rPr>
          <w:snapToGrid/>
          <w:lang w:val="en-US"/>
        </w:rPr>
        <w:t>are</w:t>
      </w:r>
      <w:r w:rsidRPr="00F51B28">
        <w:rPr>
          <w:snapToGrid/>
          <w:lang w:val="en-US"/>
        </w:rPr>
        <w:t xml:space="preserve"> not component</w:t>
      </w:r>
      <w:r w:rsidR="005D2548">
        <w:rPr>
          <w:snapToGrid/>
          <w:lang w:val="en-US"/>
        </w:rPr>
        <w:t>s</w:t>
      </w:r>
      <w:r w:rsidRPr="00F51B28">
        <w:rPr>
          <w:snapToGrid/>
          <w:lang w:val="en-US"/>
        </w:rPr>
        <w:t xml:space="preserve"> of the comparator Infanrix </w:t>
      </w:r>
      <w:proofErr w:type="spellStart"/>
      <w:r w:rsidR="00AE2917">
        <w:rPr>
          <w:snapToGrid/>
          <w:lang w:val="en-US"/>
        </w:rPr>
        <w:t>H</w:t>
      </w:r>
      <w:r w:rsidRPr="00F51B28">
        <w:rPr>
          <w:snapToGrid/>
          <w:lang w:val="en-US"/>
        </w:rPr>
        <w:t>exa</w:t>
      </w:r>
      <w:proofErr w:type="spellEnd"/>
      <w:r w:rsidRPr="00F51B28">
        <w:rPr>
          <w:snapToGrid/>
          <w:lang w:val="en-US"/>
        </w:rPr>
        <w:t>, and therefore was not an endpoint for the non-inferiority hypothesis.</w:t>
      </w:r>
      <w:r w:rsidR="004615A6">
        <w:rPr>
          <w:snapToGrid/>
          <w:lang w:val="en-US"/>
        </w:rPr>
        <w:t xml:space="preserve"> </w:t>
      </w:r>
    </w:p>
    <w:p w14:paraId="17038E6E" w14:textId="6CBA4C39" w:rsidR="00397ADC" w:rsidRPr="00910346" w:rsidRDefault="00772731" w:rsidP="00397ADC">
      <w:pPr>
        <w:pStyle w:val="3-BodyText"/>
        <w:rPr>
          <w:snapToGrid/>
          <w:lang w:val="en-US"/>
        </w:rPr>
      </w:pPr>
      <w:r w:rsidRPr="00910346">
        <w:t>Overall, the endpoints, prespecified non-inferiority margins, and methods of statistical analys</w:t>
      </w:r>
      <w:r w:rsidR="000313E1" w:rsidRPr="00910346">
        <w:t>i</w:t>
      </w:r>
      <w:r w:rsidRPr="00910346">
        <w:t xml:space="preserve">s were reasonable. ATAGI </w:t>
      </w:r>
      <w:r w:rsidR="004A27F6" w:rsidRPr="00910346">
        <w:t xml:space="preserve">noted (p1 of the ATAGI advice to PBAC) </w:t>
      </w:r>
      <w:r w:rsidRPr="00910346">
        <w:t xml:space="preserve">that correlates of protection were accepted as indicators of presumptive </w:t>
      </w:r>
      <w:proofErr w:type="spellStart"/>
      <w:r w:rsidRPr="00910346">
        <w:t>seroprotection</w:t>
      </w:r>
      <w:proofErr w:type="spellEnd"/>
      <w:r w:rsidRPr="00910346">
        <w:t xml:space="preserve">. However, the relationship between immunological markers and clinical protection against disease of any severity remains insufficiently defined for </w:t>
      </w:r>
      <w:r w:rsidR="000313E1" w:rsidRPr="00910346">
        <w:t xml:space="preserve">the </w:t>
      </w:r>
      <w:r w:rsidRPr="00910346">
        <w:t>pertussis vaccine</w:t>
      </w:r>
      <w:r w:rsidR="000313E1" w:rsidRPr="00910346">
        <w:t xml:space="preserve"> components</w:t>
      </w:r>
      <w:r w:rsidRPr="00910346">
        <w:t>.</w:t>
      </w:r>
    </w:p>
    <w:p w14:paraId="1FC48957" w14:textId="1AC33911" w:rsidR="00397ADC" w:rsidRPr="00910346" w:rsidRDefault="00397ADC" w:rsidP="00397ADC">
      <w:pPr>
        <w:pStyle w:val="3-BodyText"/>
        <w:rPr>
          <w:snapToGrid/>
          <w:lang w:val="en-US"/>
        </w:rPr>
      </w:pPr>
      <w:r w:rsidRPr="00910346">
        <w:t xml:space="preserve">In the March 2015 PBAC consideration of </w:t>
      </w:r>
      <w:proofErr w:type="spellStart"/>
      <w:r w:rsidRPr="00910346">
        <w:t>Hexaxim</w:t>
      </w:r>
      <w:proofErr w:type="spellEnd"/>
      <w:r w:rsidRPr="00910346">
        <w:t xml:space="preserve"> (Paragraph 7.5, Public Summary Document, March 2015 PBAC Meeting), the advice from ATAGI was that for the pertussis antigens PT and FHA, as there were no established correlates of protection, a ≥4-fold increase in titre above baseline was used to indicate seroconversion. Further, ATAGI noted the relationship between immunological markers and clinical protection against severe or any disease was not well defined for pertussis vaccines.</w:t>
      </w:r>
    </w:p>
    <w:p w14:paraId="0C6B23FC" w14:textId="77777777" w:rsidR="006B1B88" w:rsidRPr="00F51B28" w:rsidRDefault="006B1B88" w:rsidP="006B1B88">
      <w:pPr>
        <w:pStyle w:val="3-BodyText"/>
        <w:numPr>
          <w:ilvl w:val="0"/>
          <w:numId w:val="0"/>
        </w:numPr>
        <w:ind w:left="720"/>
        <w:rPr>
          <w:snapToGrid/>
          <w:lang w:val="en-US"/>
        </w:rPr>
      </w:pPr>
    </w:p>
    <w:p w14:paraId="618B5F4B" w14:textId="01DF42FF" w:rsidR="00772731" w:rsidRDefault="00772731" w:rsidP="00772731">
      <w:pPr>
        <w:pStyle w:val="4-SubsectionHeading"/>
      </w:pPr>
      <w:bookmarkStart w:id="23" w:name="_Toc93503674"/>
      <w:r w:rsidRPr="00C9624D">
        <w:t>Comparative effectiveness</w:t>
      </w:r>
      <w:bookmarkEnd w:id="22"/>
      <w:bookmarkEnd w:id="23"/>
    </w:p>
    <w:p w14:paraId="3AD39CA2" w14:textId="77777777" w:rsidR="00772731" w:rsidRPr="00AD4716" w:rsidRDefault="00772731" w:rsidP="00772731">
      <w:pPr>
        <w:pStyle w:val="5-SubsectionSubheading"/>
      </w:pPr>
      <w:bookmarkStart w:id="24" w:name="_Toc93503675"/>
      <w:r>
        <w:t>Study 007</w:t>
      </w:r>
      <w:bookmarkEnd w:id="24"/>
    </w:p>
    <w:p w14:paraId="632CCB44" w14:textId="1FAFF331" w:rsidR="00772731" w:rsidRPr="009A720C" w:rsidRDefault="00772731" w:rsidP="00351C7B">
      <w:pPr>
        <w:pStyle w:val="3-BodyText"/>
      </w:pPr>
      <w:r>
        <w:t xml:space="preserve">Primary immunogenicity results for the comparison between </w:t>
      </w:r>
      <w:proofErr w:type="spellStart"/>
      <w:r>
        <w:t>Vaxelis</w:t>
      </w:r>
      <w:proofErr w:type="spellEnd"/>
      <w:r>
        <w:t xml:space="preserve"> and Infanrix </w:t>
      </w:r>
      <w:proofErr w:type="spellStart"/>
      <w:r w:rsidR="00AE2917">
        <w:t>H</w:t>
      </w:r>
      <w:r>
        <w:t>exa</w:t>
      </w:r>
      <w:proofErr w:type="spellEnd"/>
      <w:r>
        <w:t xml:space="preserve"> in Study 007 are summarised </w:t>
      </w:r>
      <w:r w:rsidR="002B16A5">
        <w:t xml:space="preserve">in Table </w:t>
      </w:r>
      <w:r w:rsidR="009B7F56">
        <w:t>4</w:t>
      </w:r>
      <w:r>
        <w:t xml:space="preserve">. </w:t>
      </w:r>
      <w:r w:rsidR="00351C7B" w:rsidRPr="00351C7B">
        <w:t>Immunogenicity analyses were based on the</w:t>
      </w:r>
      <w:r w:rsidR="00F760F6">
        <w:t xml:space="preserve"> </w:t>
      </w:r>
      <w:r w:rsidR="00F760F6" w:rsidRPr="00351C7B">
        <w:t>Per Protocol Revised Window</w:t>
      </w:r>
      <w:r w:rsidR="00351C7B" w:rsidRPr="00351C7B">
        <w:t xml:space="preserve"> </w:t>
      </w:r>
      <w:r w:rsidR="00F760F6">
        <w:t>(</w:t>
      </w:r>
      <w:r w:rsidR="00351C7B" w:rsidRPr="00351C7B">
        <w:t>PP-RW</w:t>
      </w:r>
      <w:r w:rsidR="00F760F6">
        <w:t>)</w:t>
      </w:r>
      <w:r w:rsidR="00351C7B" w:rsidRPr="00351C7B">
        <w:t xml:space="preserve"> population</w:t>
      </w:r>
      <w:r w:rsidR="00351C7B">
        <w:rPr>
          <w:rStyle w:val="FootnoteReference"/>
        </w:rPr>
        <w:footnoteReference w:id="7"/>
      </w:r>
      <w:r w:rsidR="00351C7B">
        <w:t>, and not on the number of randomised patients.</w:t>
      </w:r>
      <w:r w:rsidR="0032505C">
        <w:t xml:space="preserve"> Response was reported at </w:t>
      </w:r>
      <w:proofErr w:type="gramStart"/>
      <w:r w:rsidR="0032505C">
        <w:t>one</w:t>
      </w:r>
      <w:r w:rsidR="007C5066">
        <w:t xml:space="preserve"> month</w:t>
      </w:r>
      <w:proofErr w:type="gramEnd"/>
      <w:r w:rsidR="007C5066">
        <w:t xml:space="preserve"> post-Dose 3 (i.e.</w:t>
      </w:r>
      <w:r w:rsidR="006C547A">
        <w:t xml:space="preserve"> at</w:t>
      </w:r>
      <w:r w:rsidR="007C5066">
        <w:t xml:space="preserve"> 5 </w:t>
      </w:r>
      <w:r w:rsidR="007C5066">
        <w:lastRenderedPageBreak/>
        <w:t xml:space="preserve">months) and </w:t>
      </w:r>
      <w:r w:rsidR="0032505C">
        <w:t>one</w:t>
      </w:r>
      <w:r w:rsidR="007C5066">
        <w:t xml:space="preserve"> month post-Toddler dose (i.e. about 12 months).</w:t>
      </w:r>
      <w:r w:rsidR="00351C7B" w:rsidRPr="00351C7B">
        <w:t xml:space="preserve"> </w:t>
      </w:r>
      <w:r w:rsidRPr="0052358F">
        <w:t>Primary analysis for antigen response specific to pertussis w</w:t>
      </w:r>
      <w:r w:rsidR="00351C7B">
        <w:t>as</w:t>
      </w:r>
      <w:r w:rsidRPr="0052358F">
        <w:t xml:space="preserve"> limited to the </w:t>
      </w:r>
      <w:r>
        <w:t xml:space="preserve">post-Toddler </w:t>
      </w:r>
      <w:r w:rsidRPr="009A720C">
        <w:t>dose.</w:t>
      </w:r>
    </w:p>
    <w:p w14:paraId="487ED66E" w14:textId="04142B45" w:rsidR="00772731" w:rsidRPr="00635D38" w:rsidRDefault="00772731" w:rsidP="00772731">
      <w:pPr>
        <w:pStyle w:val="TableFigureHeading"/>
      </w:pPr>
      <w:r w:rsidRPr="00635D38">
        <w:t xml:space="preserve">Table </w:t>
      </w:r>
      <w:fldSimple w:instr=" SEQ Table \* ARABIC ">
        <w:r w:rsidR="00B5627B">
          <w:rPr>
            <w:noProof/>
          </w:rPr>
          <w:t>4</w:t>
        </w:r>
      </w:fldSimple>
      <w:r w:rsidRPr="00635D38">
        <w:t xml:space="preserve">: Study 007: Immunogenicity response of </w:t>
      </w:r>
      <w:proofErr w:type="spellStart"/>
      <w:r w:rsidRPr="00635D38">
        <w:t>Vaxelis</w:t>
      </w:r>
      <w:proofErr w:type="spellEnd"/>
      <w:r w:rsidRPr="00635D38">
        <w:t xml:space="preserve"> vs. Infanrix </w:t>
      </w:r>
      <w:proofErr w:type="spellStart"/>
      <w:r w:rsidR="00AE2917">
        <w:t>Hexa</w:t>
      </w:r>
      <w:proofErr w:type="spellEnd"/>
      <w:r w:rsidRPr="00635D38">
        <w:t xml:space="preserve"> at 1-month post-Dose 3 and post-Toddler dose</w:t>
      </w:r>
      <w:r w:rsidR="00351C7B">
        <w:t xml:space="preserve"> </w:t>
      </w:r>
      <w:r w:rsidR="00351C7B" w:rsidRPr="00D87ABE">
        <w:t>(PP-RW population)</w:t>
      </w:r>
    </w:p>
    <w:tbl>
      <w:tblPr>
        <w:tblW w:w="5000" w:type="pc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4: Study 007: Immunogenicity response of Vaxelis vs. Infanrix Hexa at 1-month post-Dose 3 and post-Toddler dose (PP-RW population)"/>
      </w:tblPr>
      <w:tblGrid>
        <w:gridCol w:w="983"/>
        <w:gridCol w:w="1008"/>
        <w:gridCol w:w="1558"/>
        <w:gridCol w:w="965"/>
        <w:gridCol w:w="1019"/>
        <w:gridCol w:w="1605"/>
        <w:gridCol w:w="953"/>
        <w:gridCol w:w="929"/>
      </w:tblGrid>
      <w:tr w:rsidR="003D4537" w14:paraId="4E42EB1C" w14:textId="77777777" w:rsidTr="00082CAC">
        <w:trPr>
          <w:trHeight w:val="340"/>
        </w:trPr>
        <w:tc>
          <w:tcPr>
            <w:tcW w:w="984" w:type="dxa"/>
            <w:vMerge w:val="restart"/>
          </w:tcPr>
          <w:p w14:paraId="3585CE8D" w14:textId="77777777" w:rsidR="003D4537" w:rsidRDefault="003D4537" w:rsidP="00C52E97">
            <w:pPr>
              <w:pStyle w:val="TableText0"/>
              <w:ind w:left="144"/>
              <w:rPr>
                <w:b/>
              </w:rPr>
            </w:pPr>
            <w:r>
              <w:rPr>
                <w:b/>
              </w:rPr>
              <w:t>Timepoint</w:t>
            </w:r>
          </w:p>
        </w:tc>
        <w:tc>
          <w:tcPr>
            <w:tcW w:w="1008" w:type="dxa"/>
            <w:vMerge w:val="restart"/>
          </w:tcPr>
          <w:p w14:paraId="6951BFC0" w14:textId="77777777" w:rsidR="003D4537" w:rsidRDefault="003D4537" w:rsidP="00C52E97">
            <w:pPr>
              <w:pStyle w:val="TableText0"/>
              <w:ind w:left="156"/>
              <w:rPr>
                <w:b/>
              </w:rPr>
            </w:pPr>
            <w:r>
              <w:rPr>
                <w:b/>
              </w:rPr>
              <w:t>Antigen</w:t>
            </w:r>
          </w:p>
        </w:tc>
        <w:tc>
          <w:tcPr>
            <w:tcW w:w="1559" w:type="dxa"/>
            <w:vMerge w:val="restart"/>
          </w:tcPr>
          <w:p w14:paraId="0036225D" w14:textId="77777777" w:rsidR="003D4537" w:rsidRDefault="003D4537" w:rsidP="00C52E97">
            <w:pPr>
              <w:pStyle w:val="TableText0"/>
              <w:ind w:left="158"/>
              <w:rPr>
                <w:b/>
              </w:rPr>
            </w:pPr>
            <w:r>
              <w:rPr>
                <w:b/>
              </w:rPr>
              <w:t>Endpoint</w:t>
            </w:r>
          </w:p>
        </w:tc>
        <w:tc>
          <w:tcPr>
            <w:tcW w:w="1984" w:type="dxa"/>
            <w:gridSpan w:val="2"/>
          </w:tcPr>
          <w:p w14:paraId="37D0F5B2" w14:textId="77777777" w:rsidR="003D4537" w:rsidRDefault="003D4537" w:rsidP="00C52E97">
            <w:pPr>
              <w:pStyle w:val="TableText0"/>
              <w:ind w:left="156"/>
              <w:rPr>
                <w:b/>
              </w:rPr>
            </w:pPr>
            <w:r>
              <w:rPr>
                <w:b/>
              </w:rPr>
              <w:t>Estimated</w:t>
            </w:r>
            <w:r>
              <w:rPr>
                <w:b/>
                <w:spacing w:val="-3"/>
              </w:rPr>
              <w:t xml:space="preserve"> </w:t>
            </w:r>
            <w:r>
              <w:rPr>
                <w:b/>
              </w:rPr>
              <w:t>response,</w:t>
            </w:r>
            <w:r>
              <w:rPr>
                <w:b/>
                <w:spacing w:val="-2"/>
              </w:rPr>
              <w:t xml:space="preserve"> </w:t>
            </w:r>
            <w:r>
              <w:rPr>
                <w:b/>
              </w:rPr>
              <w:t>n (%)</w:t>
            </w:r>
          </w:p>
        </w:tc>
        <w:tc>
          <w:tcPr>
            <w:tcW w:w="1606" w:type="dxa"/>
            <w:vMerge w:val="restart"/>
          </w:tcPr>
          <w:p w14:paraId="24AC0132" w14:textId="77777777" w:rsidR="00791F28" w:rsidRDefault="003D4537" w:rsidP="00C52E97">
            <w:pPr>
              <w:pStyle w:val="TableText0"/>
              <w:ind w:left="170" w:right="-194"/>
              <w:rPr>
                <w:b/>
                <w:spacing w:val="-38"/>
              </w:rPr>
            </w:pPr>
            <w:r>
              <w:rPr>
                <w:b/>
              </w:rPr>
              <w:t>Estimated</w:t>
            </w:r>
            <w:r>
              <w:rPr>
                <w:b/>
                <w:spacing w:val="1"/>
              </w:rPr>
              <w:t xml:space="preserve"> </w:t>
            </w:r>
            <w:r>
              <w:rPr>
                <w:b/>
                <w:spacing w:val="-1"/>
              </w:rPr>
              <w:t xml:space="preserve">difference, </w:t>
            </w:r>
            <w:r>
              <w:rPr>
                <w:b/>
              </w:rPr>
              <w:t>%</w:t>
            </w:r>
            <w:r>
              <w:rPr>
                <w:b/>
                <w:spacing w:val="-38"/>
              </w:rPr>
              <w:t xml:space="preserve"> </w:t>
            </w:r>
          </w:p>
          <w:p w14:paraId="666E7213" w14:textId="366D92F8" w:rsidR="003D4537" w:rsidRDefault="003D4537" w:rsidP="00C52E97">
            <w:pPr>
              <w:pStyle w:val="TableText0"/>
              <w:ind w:left="170" w:right="-194"/>
              <w:rPr>
                <w:b/>
              </w:rPr>
            </w:pPr>
            <w:r>
              <w:rPr>
                <w:b/>
              </w:rPr>
              <w:t>(95%</w:t>
            </w:r>
            <w:r>
              <w:rPr>
                <w:b/>
                <w:spacing w:val="-1"/>
              </w:rPr>
              <w:t xml:space="preserve"> </w:t>
            </w:r>
            <w:r>
              <w:rPr>
                <w:b/>
              </w:rPr>
              <w:t>CI)</w:t>
            </w:r>
          </w:p>
        </w:tc>
        <w:tc>
          <w:tcPr>
            <w:tcW w:w="953" w:type="dxa"/>
            <w:vMerge w:val="restart"/>
          </w:tcPr>
          <w:p w14:paraId="361B24E9" w14:textId="77777777" w:rsidR="003D4537" w:rsidRDefault="003D4537" w:rsidP="00C52E97">
            <w:pPr>
              <w:pStyle w:val="TableText0"/>
              <w:ind w:firstLine="184"/>
              <w:rPr>
                <w:b/>
              </w:rPr>
            </w:pPr>
            <w:r>
              <w:rPr>
                <w:b/>
              </w:rPr>
              <w:t>NI</w:t>
            </w:r>
          </w:p>
          <w:p w14:paraId="4A63C899" w14:textId="77777777" w:rsidR="003D4537" w:rsidRDefault="003D4537" w:rsidP="00C52E97">
            <w:pPr>
              <w:pStyle w:val="TableText0"/>
              <w:ind w:firstLine="184"/>
              <w:rPr>
                <w:b/>
              </w:rPr>
            </w:pPr>
            <w:r>
              <w:rPr>
                <w:b/>
              </w:rPr>
              <w:t>margin,</w:t>
            </w:r>
          </w:p>
          <w:p w14:paraId="71137A22" w14:textId="77777777" w:rsidR="003D4537" w:rsidRDefault="003D4537" w:rsidP="00C52E97">
            <w:pPr>
              <w:pStyle w:val="TableText0"/>
              <w:ind w:firstLine="184"/>
              <w:rPr>
                <w:b/>
              </w:rPr>
            </w:pPr>
            <w:r>
              <w:rPr>
                <w:b/>
              </w:rPr>
              <w:t>%</w:t>
            </w:r>
          </w:p>
        </w:tc>
        <w:tc>
          <w:tcPr>
            <w:tcW w:w="929" w:type="dxa"/>
            <w:vMerge w:val="restart"/>
          </w:tcPr>
          <w:p w14:paraId="1341616A" w14:textId="77777777" w:rsidR="003D4537" w:rsidRDefault="003D4537" w:rsidP="00C52E97">
            <w:pPr>
              <w:pStyle w:val="TableText0"/>
              <w:ind w:left="130"/>
              <w:rPr>
                <w:b/>
              </w:rPr>
            </w:pPr>
            <w:r>
              <w:rPr>
                <w:b/>
                <w:spacing w:val="-1"/>
              </w:rPr>
              <w:t>NI criteria</w:t>
            </w:r>
            <w:r>
              <w:rPr>
                <w:b/>
                <w:spacing w:val="-38"/>
              </w:rPr>
              <w:t xml:space="preserve"> </w:t>
            </w:r>
            <w:r>
              <w:rPr>
                <w:b/>
              </w:rPr>
              <w:t>met/not</w:t>
            </w:r>
            <w:r>
              <w:rPr>
                <w:b/>
                <w:spacing w:val="1"/>
              </w:rPr>
              <w:t xml:space="preserve"> </w:t>
            </w:r>
            <w:r>
              <w:rPr>
                <w:b/>
              </w:rPr>
              <w:t>met</w:t>
            </w:r>
          </w:p>
        </w:tc>
      </w:tr>
      <w:tr w:rsidR="003D4537" w14:paraId="1EA699B3" w14:textId="77777777" w:rsidTr="00082CAC">
        <w:trPr>
          <w:trHeight w:val="449"/>
        </w:trPr>
        <w:tc>
          <w:tcPr>
            <w:tcW w:w="984" w:type="dxa"/>
            <w:vMerge/>
            <w:tcBorders>
              <w:top w:val="nil"/>
            </w:tcBorders>
          </w:tcPr>
          <w:p w14:paraId="78427593" w14:textId="77777777" w:rsidR="003D4537" w:rsidRDefault="003D4537" w:rsidP="00C52E97">
            <w:pPr>
              <w:pStyle w:val="TableText0"/>
              <w:ind w:left="144"/>
              <w:rPr>
                <w:sz w:val="2"/>
                <w:szCs w:val="2"/>
              </w:rPr>
            </w:pPr>
          </w:p>
        </w:tc>
        <w:tc>
          <w:tcPr>
            <w:tcW w:w="1008" w:type="dxa"/>
            <w:vMerge/>
            <w:tcBorders>
              <w:top w:val="nil"/>
            </w:tcBorders>
          </w:tcPr>
          <w:p w14:paraId="28A57187" w14:textId="77777777" w:rsidR="003D4537" w:rsidRDefault="003D4537" w:rsidP="00C52E97">
            <w:pPr>
              <w:pStyle w:val="TableText0"/>
              <w:ind w:left="156"/>
              <w:rPr>
                <w:sz w:val="2"/>
                <w:szCs w:val="2"/>
              </w:rPr>
            </w:pPr>
          </w:p>
        </w:tc>
        <w:tc>
          <w:tcPr>
            <w:tcW w:w="1559" w:type="dxa"/>
            <w:vMerge/>
            <w:tcBorders>
              <w:top w:val="nil"/>
            </w:tcBorders>
          </w:tcPr>
          <w:p w14:paraId="6E011BE3" w14:textId="77777777" w:rsidR="003D4537" w:rsidRDefault="003D4537" w:rsidP="00C52E97">
            <w:pPr>
              <w:pStyle w:val="TableText0"/>
              <w:ind w:left="158"/>
              <w:rPr>
                <w:sz w:val="2"/>
                <w:szCs w:val="2"/>
              </w:rPr>
            </w:pPr>
          </w:p>
        </w:tc>
        <w:tc>
          <w:tcPr>
            <w:tcW w:w="965" w:type="dxa"/>
          </w:tcPr>
          <w:p w14:paraId="3B97B71F" w14:textId="77777777" w:rsidR="003D4537" w:rsidRDefault="003D4537" w:rsidP="00C52E97">
            <w:pPr>
              <w:pStyle w:val="TableText0"/>
              <w:ind w:left="156"/>
              <w:rPr>
                <w:b/>
              </w:rPr>
            </w:pPr>
            <w:proofErr w:type="spellStart"/>
            <w:r>
              <w:rPr>
                <w:b/>
              </w:rPr>
              <w:t>Vaxelis</w:t>
            </w:r>
            <w:proofErr w:type="spellEnd"/>
            <w:r>
              <w:rPr>
                <w:b/>
                <w:spacing w:val="1"/>
              </w:rPr>
              <w:t xml:space="preserve"> </w:t>
            </w:r>
            <w:r>
              <w:rPr>
                <w:b/>
              </w:rPr>
              <w:t>(N=598)</w:t>
            </w:r>
          </w:p>
        </w:tc>
        <w:tc>
          <w:tcPr>
            <w:tcW w:w="1019" w:type="dxa"/>
          </w:tcPr>
          <w:p w14:paraId="4658EA37" w14:textId="173B15A3" w:rsidR="003D4537" w:rsidRDefault="003D4537" w:rsidP="00C52E97">
            <w:pPr>
              <w:pStyle w:val="TableText0"/>
              <w:ind w:left="156"/>
              <w:rPr>
                <w:b/>
              </w:rPr>
            </w:pPr>
            <w:r>
              <w:rPr>
                <w:b/>
              </w:rPr>
              <w:t>Infanrix</w:t>
            </w:r>
            <w:r>
              <w:rPr>
                <w:b/>
                <w:spacing w:val="-38"/>
              </w:rPr>
              <w:t xml:space="preserve"> </w:t>
            </w:r>
            <w:proofErr w:type="spellStart"/>
            <w:r w:rsidR="00AE2917">
              <w:rPr>
                <w:b/>
              </w:rPr>
              <w:t>Hexa</w:t>
            </w:r>
            <w:proofErr w:type="spellEnd"/>
            <w:r>
              <w:rPr>
                <w:b/>
                <w:spacing w:val="1"/>
              </w:rPr>
              <w:t xml:space="preserve"> </w:t>
            </w:r>
            <w:r>
              <w:rPr>
                <w:b/>
              </w:rPr>
              <w:t>(N=590)</w:t>
            </w:r>
          </w:p>
        </w:tc>
        <w:tc>
          <w:tcPr>
            <w:tcW w:w="1606" w:type="dxa"/>
            <w:vMerge/>
            <w:tcBorders>
              <w:top w:val="nil"/>
            </w:tcBorders>
          </w:tcPr>
          <w:p w14:paraId="5C1E2488" w14:textId="77777777" w:rsidR="003D4537" w:rsidRDefault="003D4537" w:rsidP="00C52E97">
            <w:pPr>
              <w:pStyle w:val="TableText0"/>
              <w:ind w:left="170" w:right="-194"/>
              <w:rPr>
                <w:sz w:val="2"/>
                <w:szCs w:val="2"/>
              </w:rPr>
            </w:pPr>
          </w:p>
        </w:tc>
        <w:tc>
          <w:tcPr>
            <w:tcW w:w="953" w:type="dxa"/>
            <w:vMerge/>
            <w:tcBorders>
              <w:top w:val="nil"/>
            </w:tcBorders>
          </w:tcPr>
          <w:p w14:paraId="0B6C6C79" w14:textId="77777777" w:rsidR="003D4537" w:rsidRDefault="003D4537" w:rsidP="00C52E97">
            <w:pPr>
              <w:pStyle w:val="TableText0"/>
              <w:ind w:firstLine="184"/>
              <w:rPr>
                <w:sz w:val="2"/>
                <w:szCs w:val="2"/>
              </w:rPr>
            </w:pPr>
          </w:p>
        </w:tc>
        <w:tc>
          <w:tcPr>
            <w:tcW w:w="929" w:type="dxa"/>
            <w:vMerge/>
            <w:tcBorders>
              <w:top w:val="nil"/>
            </w:tcBorders>
          </w:tcPr>
          <w:p w14:paraId="598A031F" w14:textId="77777777" w:rsidR="003D4537" w:rsidRDefault="003D4537" w:rsidP="00C52E97">
            <w:pPr>
              <w:pStyle w:val="TableText0"/>
              <w:ind w:left="130"/>
              <w:rPr>
                <w:sz w:val="2"/>
                <w:szCs w:val="2"/>
              </w:rPr>
            </w:pPr>
          </w:p>
        </w:tc>
      </w:tr>
      <w:tr w:rsidR="003D4537" w14:paraId="137E2659" w14:textId="77777777" w:rsidTr="00082CAC">
        <w:trPr>
          <w:trHeight w:val="361"/>
        </w:trPr>
        <w:tc>
          <w:tcPr>
            <w:tcW w:w="984" w:type="dxa"/>
            <w:vMerge w:val="restart"/>
          </w:tcPr>
          <w:p w14:paraId="78632EE8" w14:textId="32E702AB" w:rsidR="003D4537" w:rsidRDefault="003D4537" w:rsidP="00C52E97">
            <w:pPr>
              <w:pStyle w:val="TableText0"/>
              <w:ind w:left="144"/>
              <w:rPr>
                <w:rFonts w:ascii="Times New Roman"/>
              </w:rPr>
            </w:pPr>
            <w:proofErr w:type="gramStart"/>
            <w:r>
              <w:rPr>
                <w:b/>
              </w:rPr>
              <w:t>1 month</w:t>
            </w:r>
            <w:proofErr w:type="gramEnd"/>
            <w:r>
              <w:rPr>
                <w:b/>
                <w:spacing w:val="1"/>
              </w:rPr>
              <w:t xml:space="preserve"> </w:t>
            </w:r>
            <w:r w:rsidR="00587E0A">
              <w:rPr>
                <w:b/>
              </w:rPr>
              <w:t>p</w:t>
            </w:r>
            <w:r>
              <w:rPr>
                <w:b/>
              </w:rPr>
              <w:t>ost-</w:t>
            </w:r>
            <w:r w:rsidR="00E46328">
              <w:rPr>
                <w:b/>
              </w:rPr>
              <w:t>D</w:t>
            </w:r>
            <w:r>
              <w:rPr>
                <w:b/>
              </w:rPr>
              <w:t>ose 3 (one month following the</w:t>
            </w:r>
            <w:r>
              <w:rPr>
                <w:b/>
                <w:spacing w:val="-5"/>
              </w:rPr>
              <w:t xml:space="preserve"> </w:t>
            </w:r>
            <w:r>
              <w:rPr>
                <w:b/>
              </w:rPr>
              <w:t>infant series [visit4])</w:t>
            </w:r>
          </w:p>
        </w:tc>
        <w:tc>
          <w:tcPr>
            <w:tcW w:w="1008" w:type="dxa"/>
          </w:tcPr>
          <w:p w14:paraId="100B740B" w14:textId="548733CF" w:rsidR="003D4537" w:rsidRDefault="00587E0A" w:rsidP="00C52E97">
            <w:pPr>
              <w:pStyle w:val="TableText0"/>
              <w:ind w:left="156"/>
            </w:pPr>
            <w:r>
              <w:t>Hib (</w:t>
            </w:r>
            <w:r w:rsidR="003D4537">
              <w:t>PRP</w:t>
            </w:r>
            <w:r>
              <w:t>)</w:t>
            </w:r>
            <w:r w:rsidR="003D4537">
              <w:t xml:space="preserve"> </w:t>
            </w:r>
          </w:p>
        </w:tc>
        <w:tc>
          <w:tcPr>
            <w:tcW w:w="1559" w:type="dxa"/>
          </w:tcPr>
          <w:p w14:paraId="48999D6C" w14:textId="77777777" w:rsidR="00CF3A84" w:rsidRDefault="003D4537" w:rsidP="00C52E97">
            <w:pPr>
              <w:pStyle w:val="TableText0"/>
              <w:ind w:left="158"/>
            </w:pPr>
            <w:r>
              <w:t>%</w:t>
            </w:r>
            <w:r>
              <w:rPr>
                <w:spacing w:val="-2"/>
              </w:rPr>
              <w:t xml:space="preserve"> </w:t>
            </w:r>
            <w:r>
              <w:t>with</w:t>
            </w:r>
            <w:r>
              <w:rPr>
                <w:spacing w:val="-4"/>
              </w:rPr>
              <w:t xml:space="preserve"> </w:t>
            </w:r>
            <w:r w:rsidR="00465BD7">
              <w:t>titre</w:t>
            </w:r>
            <w:r>
              <w:t xml:space="preserve"> </w:t>
            </w:r>
          </w:p>
          <w:p w14:paraId="226F83EB" w14:textId="03F42770" w:rsidR="003D4537" w:rsidRDefault="003D4537" w:rsidP="00C52E97">
            <w:pPr>
              <w:pStyle w:val="TableText0"/>
              <w:ind w:left="158"/>
            </w:pPr>
            <w:r>
              <w:t>≥0.15</w:t>
            </w:r>
            <w:r>
              <w:rPr>
                <w:spacing w:val="-3"/>
              </w:rPr>
              <w:t xml:space="preserve"> </w:t>
            </w:r>
            <w:r w:rsidRPr="00587E0A">
              <w:rPr>
                <w:rFonts w:asciiTheme="minorHAnsi" w:hAnsiTheme="minorHAnsi" w:cstheme="minorHAnsi"/>
              </w:rPr>
              <w:t>µ</w:t>
            </w:r>
            <w:r>
              <w:t>g/mL</w:t>
            </w:r>
          </w:p>
        </w:tc>
        <w:tc>
          <w:tcPr>
            <w:tcW w:w="965" w:type="dxa"/>
          </w:tcPr>
          <w:p w14:paraId="2B249182" w14:textId="77777777" w:rsidR="003D4537" w:rsidRDefault="003D4537" w:rsidP="00C52E97">
            <w:pPr>
              <w:pStyle w:val="TableText0"/>
              <w:ind w:left="156"/>
            </w:pPr>
            <w:r>
              <w:t>550</w:t>
            </w:r>
            <w:r>
              <w:rPr>
                <w:spacing w:val="-1"/>
              </w:rPr>
              <w:t xml:space="preserve"> </w:t>
            </w:r>
            <w:r>
              <w:t>(98.36)</w:t>
            </w:r>
          </w:p>
        </w:tc>
        <w:tc>
          <w:tcPr>
            <w:tcW w:w="1019" w:type="dxa"/>
          </w:tcPr>
          <w:p w14:paraId="34EEF87A" w14:textId="77777777" w:rsidR="003D4537" w:rsidRDefault="003D4537" w:rsidP="00C52E97">
            <w:pPr>
              <w:pStyle w:val="TableText0"/>
              <w:ind w:left="156"/>
            </w:pPr>
            <w:r>
              <w:t>521</w:t>
            </w:r>
            <w:r>
              <w:rPr>
                <w:spacing w:val="-1"/>
              </w:rPr>
              <w:t xml:space="preserve"> </w:t>
            </w:r>
            <w:r>
              <w:t>(86.99)</w:t>
            </w:r>
          </w:p>
        </w:tc>
        <w:tc>
          <w:tcPr>
            <w:tcW w:w="1606" w:type="dxa"/>
          </w:tcPr>
          <w:p w14:paraId="4EBF2867" w14:textId="77777777" w:rsidR="003D4537" w:rsidRDefault="003D4537" w:rsidP="00C52E97">
            <w:pPr>
              <w:pStyle w:val="TableText0"/>
              <w:ind w:left="170" w:right="-194"/>
            </w:pPr>
            <w:r>
              <w:t>11.37 (8.44,14.68)</w:t>
            </w:r>
          </w:p>
        </w:tc>
        <w:tc>
          <w:tcPr>
            <w:tcW w:w="953" w:type="dxa"/>
          </w:tcPr>
          <w:p w14:paraId="167DC738" w14:textId="77777777" w:rsidR="003D4537" w:rsidRDefault="003D4537" w:rsidP="00C52E97">
            <w:pPr>
              <w:pStyle w:val="TableText0"/>
              <w:ind w:firstLine="184"/>
            </w:pPr>
            <w:r>
              <w:t>-10</w:t>
            </w:r>
          </w:p>
        </w:tc>
        <w:tc>
          <w:tcPr>
            <w:tcW w:w="929" w:type="dxa"/>
          </w:tcPr>
          <w:p w14:paraId="725073FA" w14:textId="77777777" w:rsidR="003D4537" w:rsidRDefault="003D4537" w:rsidP="00C52E97">
            <w:pPr>
              <w:pStyle w:val="TableText0"/>
              <w:ind w:left="130"/>
            </w:pPr>
            <w:r>
              <w:t>Met</w:t>
            </w:r>
          </w:p>
        </w:tc>
      </w:tr>
      <w:tr w:rsidR="003D4537" w14:paraId="72F772C4" w14:textId="77777777" w:rsidTr="00082CAC">
        <w:trPr>
          <w:trHeight w:val="325"/>
        </w:trPr>
        <w:tc>
          <w:tcPr>
            <w:tcW w:w="984" w:type="dxa"/>
            <w:vMerge/>
          </w:tcPr>
          <w:p w14:paraId="6991E6CB" w14:textId="77777777" w:rsidR="003D4537" w:rsidRDefault="003D4537" w:rsidP="00C52E97">
            <w:pPr>
              <w:pStyle w:val="TableText0"/>
              <w:ind w:left="144"/>
              <w:rPr>
                <w:b/>
              </w:rPr>
            </w:pPr>
          </w:p>
        </w:tc>
        <w:tc>
          <w:tcPr>
            <w:tcW w:w="1008" w:type="dxa"/>
          </w:tcPr>
          <w:p w14:paraId="1D4FD802" w14:textId="77777777" w:rsidR="003D4537" w:rsidRDefault="003D4537" w:rsidP="00C52E97">
            <w:pPr>
              <w:pStyle w:val="TableText0"/>
              <w:ind w:left="156"/>
            </w:pPr>
            <w:r>
              <w:t>Diphtheria (D)</w:t>
            </w:r>
          </w:p>
        </w:tc>
        <w:tc>
          <w:tcPr>
            <w:tcW w:w="1559" w:type="dxa"/>
          </w:tcPr>
          <w:p w14:paraId="07A83091" w14:textId="77777777" w:rsidR="00CF3A84" w:rsidRDefault="003D4537" w:rsidP="00C52E97">
            <w:pPr>
              <w:pStyle w:val="TableText0"/>
              <w:ind w:left="158"/>
            </w:pPr>
            <w:r>
              <w:t>%</w:t>
            </w:r>
            <w:r>
              <w:rPr>
                <w:spacing w:val="-2"/>
              </w:rPr>
              <w:t xml:space="preserve"> </w:t>
            </w:r>
            <w:r>
              <w:t>with</w:t>
            </w:r>
            <w:r>
              <w:rPr>
                <w:spacing w:val="-4"/>
              </w:rPr>
              <w:t xml:space="preserve"> </w:t>
            </w:r>
            <w:r w:rsidR="00465BD7">
              <w:t>titre</w:t>
            </w:r>
            <w:r>
              <w:t xml:space="preserve"> </w:t>
            </w:r>
          </w:p>
          <w:p w14:paraId="1B1E8B89" w14:textId="001D85F1" w:rsidR="003D4537" w:rsidRDefault="003D4537" w:rsidP="00C52E97">
            <w:pPr>
              <w:pStyle w:val="TableText0"/>
              <w:ind w:left="158"/>
            </w:pPr>
            <w:r>
              <w:t>≥0.01</w:t>
            </w:r>
            <w:r>
              <w:rPr>
                <w:spacing w:val="-2"/>
              </w:rPr>
              <w:t xml:space="preserve"> </w:t>
            </w:r>
            <w:r>
              <w:t>IU/mL</w:t>
            </w:r>
          </w:p>
        </w:tc>
        <w:tc>
          <w:tcPr>
            <w:tcW w:w="965" w:type="dxa"/>
          </w:tcPr>
          <w:p w14:paraId="7DDBD331" w14:textId="77777777" w:rsidR="003D4537" w:rsidRDefault="003D4537" w:rsidP="00C52E97">
            <w:pPr>
              <w:pStyle w:val="TableText0"/>
              <w:ind w:left="156"/>
            </w:pPr>
            <w:r>
              <w:t>542</w:t>
            </w:r>
            <w:r>
              <w:rPr>
                <w:spacing w:val="-1"/>
              </w:rPr>
              <w:t xml:space="preserve"> </w:t>
            </w:r>
            <w:r>
              <w:t>(99.81)</w:t>
            </w:r>
          </w:p>
        </w:tc>
        <w:tc>
          <w:tcPr>
            <w:tcW w:w="1019" w:type="dxa"/>
          </w:tcPr>
          <w:p w14:paraId="7542097D" w14:textId="531367D7" w:rsidR="003D4537" w:rsidRDefault="003D4537" w:rsidP="003D4537">
            <w:pPr>
              <w:pStyle w:val="TableText0"/>
              <w:ind w:left="156"/>
            </w:pPr>
            <w:r>
              <w:t>517</w:t>
            </w:r>
            <w:r>
              <w:rPr>
                <w:spacing w:val="-1"/>
              </w:rPr>
              <w:t xml:space="preserve"> </w:t>
            </w:r>
            <w:r>
              <w:t>(99.80)</w:t>
            </w:r>
          </w:p>
        </w:tc>
        <w:tc>
          <w:tcPr>
            <w:tcW w:w="1606" w:type="dxa"/>
          </w:tcPr>
          <w:p w14:paraId="01730902" w14:textId="77777777" w:rsidR="003D4537" w:rsidRDefault="003D4537" w:rsidP="00C52E97">
            <w:pPr>
              <w:pStyle w:val="TableText0"/>
              <w:ind w:left="170" w:right="-194"/>
            </w:pPr>
            <w:r>
              <w:t>-0.00</w:t>
            </w:r>
            <w:r>
              <w:rPr>
                <w:spacing w:val="-1"/>
              </w:rPr>
              <w:t xml:space="preserve"> </w:t>
            </w:r>
            <w:r>
              <w:t>(-0.95, 0.96)</w:t>
            </w:r>
          </w:p>
        </w:tc>
        <w:tc>
          <w:tcPr>
            <w:tcW w:w="953" w:type="dxa"/>
          </w:tcPr>
          <w:p w14:paraId="352D4A4C" w14:textId="77777777" w:rsidR="003D4537" w:rsidRDefault="003D4537" w:rsidP="00C52E97">
            <w:pPr>
              <w:pStyle w:val="TableText0"/>
              <w:ind w:firstLine="184"/>
            </w:pPr>
            <w:r>
              <w:t>-10</w:t>
            </w:r>
          </w:p>
        </w:tc>
        <w:tc>
          <w:tcPr>
            <w:tcW w:w="929" w:type="dxa"/>
          </w:tcPr>
          <w:p w14:paraId="258824C5" w14:textId="77777777" w:rsidR="003D4537" w:rsidRDefault="003D4537" w:rsidP="00C52E97">
            <w:pPr>
              <w:pStyle w:val="TableText0"/>
              <w:ind w:left="130"/>
            </w:pPr>
            <w:r>
              <w:t>Met</w:t>
            </w:r>
          </w:p>
        </w:tc>
      </w:tr>
      <w:tr w:rsidR="003D4537" w14:paraId="10A90595" w14:textId="77777777" w:rsidTr="00082CAC">
        <w:trPr>
          <w:trHeight w:val="510"/>
        </w:trPr>
        <w:tc>
          <w:tcPr>
            <w:tcW w:w="984" w:type="dxa"/>
            <w:vMerge/>
          </w:tcPr>
          <w:p w14:paraId="19FABF8E" w14:textId="77777777" w:rsidR="003D4537" w:rsidRDefault="003D4537" w:rsidP="00C52E97">
            <w:pPr>
              <w:pStyle w:val="TableText0"/>
              <w:ind w:left="144"/>
              <w:rPr>
                <w:b/>
              </w:rPr>
            </w:pPr>
          </w:p>
        </w:tc>
        <w:tc>
          <w:tcPr>
            <w:tcW w:w="1008" w:type="dxa"/>
            <w:tcBorders>
              <w:bottom w:val="nil"/>
            </w:tcBorders>
          </w:tcPr>
          <w:p w14:paraId="43936D7F" w14:textId="77777777" w:rsidR="003D4537" w:rsidRDefault="003D4537" w:rsidP="00C52E97">
            <w:pPr>
              <w:pStyle w:val="TableText0"/>
              <w:ind w:left="156"/>
            </w:pPr>
            <w:r>
              <w:t>Tetanus</w:t>
            </w:r>
          </w:p>
          <w:p w14:paraId="09DC82D9" w14:textId="77777777" w:rsidR="003D4537" w:rsidRDefault="003D4537" w:rsidP="00C52E97">
            <w:pPr>
              <w:pStyle w:val="TableText0"/>
              <w:ind w:left="156"/>
            </w:pPr>
            <w:r>
              <w:t>(T)</w:t>
            </w:r>
          </w:p>
        </w:tc>
        <w:tc>
          <w:tcPr>
            <w:tcW w:w="1559" w:type="dxa"/>
            <w:tcBorders>
              <w:bottom w:val="nil"/>
            </w:tcBorders>
          </w:tcPr>
          <w:p w14:paraId="197D631E" w14:textId="77777777" w:rsidR="00CF3A84" w:rsidRDefault="003D4537" w:rsidP="00C52E97">
            <w:pPr>
              <w:pStyle w:val="TableText0"/>
              <w:ind w:left="158"/>
            </w:pPr>
            <w:r>
              <w:t>%</w:t>
            </w:r>
            <w:r>
              <w:rPr>
                <w:spacing w:val="-2"/>
              </w:rPr>
              <w:t xml:space="preserve"> </w:t>
            </w:r>
            <w:r>
              <w:t>with</w:t>
            </w:r>
            <w:r>
              <w:rPr>
                <w:spacing w:val="-4"/>
              </w:rPr>
              <w:t xml:space="preserve"> </w:t>
            </w:r>
            <w:r w:rsidR="00465BD7">
              <w:t>titre</w:t>
            </w:r>
            <w:r>
              <w:t xml:space="preserve"> </w:t>
            </w:r>
          </w:p>
          <w:p w14:paraId="6B946CE9" w14:textId="16C833F1" w:rsidR="003D4537" w:rsidRDefault="003D4537" w:rsidP="00C52E97">
            <w:pPr>
              <w:pStyle w:val="TableText0"/>
              <w:ind w:left="158"/>
            </w:pPr>
            <w:r>
              <w:t>≥0.01</w:t>
            </w:r>
            <w:r>
              <w:rPr>
                <w:spacing w:val="-2"/>
              </w:rPr>
              <w:t xml:space="preserve"> </w:t>
            </w:r>
            <w:r>
              <w:t>IU/mL</w:t>
            </w:r>
          </w:p>
        </w:tc>
        <w:tc>
          <w:tcPr>
            <w:tcW w:w="965" w:type="dxa"/>
            <w:tcBorders>
              <w:bottom w:val="nil"/>
            </w:tcBorders>
          </w:tcPr>
          <w:p w14:paraId="38231BAF" w14:textId="77777777" w:rsidR="003D4537" w:rsidRDefault="003D4537" w:rsidP="00C52E97">
            <w:pPr>
              <w:pStyle w:val="TableText0"/>
              <w:ind w:left="156"/>
            </w:pPr>
            <w:r>
              <w:t>538 (100.00)</w:t>
            </w:r>
          </w:p>
        </w:tc>
        <w:tc>
          <w:tcPr>
            <w:tcW w:w="1019" w:type="dxa"/>
            <w:tcBorders>
              <w:bottom w:val="nil"/>
            </w:tcBorders>
          </w:tcPr>
          <w:p w14:paraId="35E9D7ED" w14:textId="77777777" w:rsidR="003D4537" w:rsidRDefault="003D4537" w:rsidP="00C52E97">
            <w:pPr>
              <w:pStyle w:val="TableText0"/>
              <w:ind w:left="156"/>
            </w:pPr>
            <w:r>
              <w:t>519 (100.00)</w:t>
            </w:r>
          </w:p>
        </w:tc>
        <w:tc>
          <w:tcPr>
            <w:tcW w:w="1606" w:type="dxa"/>
            <w:tcBorders>
              <w:bottom w:val="nil"/>
            </w:tcBorders>
          </w:tcPr>
          <w:p w14:paraId="670D6049" w14:textId="77777777" w:rsidR="003D4537" w:rsidRDefault="003D4537" w:rsidP="00C52E97">
            <w:pPr>
              <w:pStyle w:val="TableText0"/>
              <w:ind w:left="170" w:right="-194"/>
            </w:pPr>
            <w:r>
              <w:t>0.00</w:t>
            </w:r>
            <w:r>
              <w:rPr>
                <w:spacing w:val="-1"/>
              </w:rPr>
              <w:t xml:space="preserve"> </w:t>
            </w:r>
            <w:r>
              <w:t>(-0.71,</w:t>
            </w:r>
            <w:r>
              <w:rPr>
                <w:spacing w:val="-1"/>
              </w:rPr>
              <w:t xml:space="preserve"> </w:t>
            </w:r>
            <w:r>
              <w:t>0.74)</w:t>
            </w:r>
          </w:p>
        </w:tc>
        <w:tc>
          <w:tcPr>
            <w:tcW w:w="953" w:type="dxa"/>
            <w:tcBorders>
              <w:bottom w:val="nil"/>
            </w:tcBorders>
          </w:tcPr>
          <w:p w14:paraId="0733AB69" w14:textId="77777777" w:rsidR="003D4537" w:rsidRDefault="003D4537" w:rsidP="00C52E97">
            <w:pPr>
              <w:pStyle w:val="TableText0"/>
              <w:ind w:firstLine="184"/>
            </w:pPr>
            <w:r>
              <w:t>-5</w:t>
            </w:r>
          </w:p>
        </w:tc>
        <w:tc>
          <w:tcPr>
            <w:tcW w:w="929" w:type="dxa"/>
            <w:tcBorders>
              <w:bottom w:val="nil"/>
            </w:tcBorders>
          </w:tcPr>
          <w:p w14:paraId="64439B48" w14:textId="77777777" w:rsidR="003D4537" w:rsidRDefault="003D4537" w:rsidP="00C52E97">
            <w:pPr>
              <w:pStyle w:val="TableText0"/>
              <w:ind w:left="130"/>
            </w:pPr>
            <w:r>
              <w:t>Met</w:t>
            </w:r>
          </w:p>
        </w:tc>
      </w:tr>
      <w:tr w:rsidR="003D4537" w14:paraId="55077917" w14:textId="77777777" w:rsidTr="00082CAC">
        <w:trPr>
          <w:trHeight w:val="54"/>
        </w:trPr>
        <w:tc>
          <w:tcPr>
            <w:tcW w:w="984" w:type="dxa"/>
            <w:vMerge/>
          </w:tcPr>
          <w:p w14:paraId="3F47D23C" w14:textId="77777777" w:rsidR="003D4537" w:rsidRDefault="003D4537" w:rsidP="00C52E97">
            <w:pPr>
              <w:pStyle w:val="TableText0"/>
              <w:ind w:left="144"/>
              <w:rPr>
                <w:b/>
              </w:rPr>
            </w:pPr>
          </w:p>
        </w:tc>
        <w:tc>
          <w:tcPr>
            <w:tcW w:w="1008" w:type="dxa"/>
            <w:tcBorders>
              <w:top w:val="nil"/>
            </w:tcBorders>
          </w:tcPr>
          <w:p w14:paraId="41592EF9" w14:textId="77777777" w:rsidR="003D4537" w:rsidRDefault="003D4537" w:rsidP="00C52E97">
            <w:pPr>
              <w:pStyle w:val="TableText0"/>
              <w:ind w:left="156"/>
              <w:rPr>
                <w:rFonts w:ascii="Times New Roman"/>
                <w:sz w:val="2"/>
              </w:rPr>
            </w:pPr>
          </w:p>
        </w:tc>
        <w:tc>
          <w:tcPr>
            <w:tcW w:w="1559" w:type="dxa"/>
            <w:tcBorders>
              <w:top w:val="nil"/>
            </w:tcBorders>
          </w:tcPr>
          <w:p w14:paraId="156BE4DF" w14:textId="77777777" w:rsidR="003D4537" w:rsidRDefault="003D4537" w:rsidP="00C52E97">
            <w:pPr>
              <w:pStyle w:val="TableText0"/>
              <w:ind w:left="158"/>
              <w:rPr>
                <w:rFonts w:ascii="Times New Roman"/>
                <w:sz w:val="2"/>
              </w:rPr>
            </w:pPr>
          </w:p>
        </w:tc>
        <w:tc>
          <w:tcPr>
            <w:tcW w:w="965" w:type="dxa"/>
            <w:tcBorders>
              <w:top w:val="nil"/>
            </w:tcBorders>
          </w:tcPr>
          <w:p w14:paraId="6737ED64" w14:textId="77777777" w:rsidR="003D4537" w:rsidRDefault="003D4537" w:rsidP="00C52E97">
            <w:pPr>
              <w:pStyle w:val="TableText0"/>
              <w:ind w:left="156"/>
              <w:rPr>
                <w:rFonts w:ascii="Times New Roman"/>
                <w:sz w:val="2"/>
              </w:rPr>
            </w:pPr>
          </w:p>
        </w:tc>
        <w:tc>
          <w:tcPr>
            <w:tcW w:w="1019" w:type="dxa"/>
            <w:tcBorders>
              <w:top w:val="nil"/>
            </w:tcBorders>
          </w:tcPr>
          <w:p w14:paraId="679AFFE0" w14:textId="77777777" w:rsidR="003D4537" w:rsidRDefault="003D4537" w:rsidP="00C52E97">
            <w:pPr>
              <w:pStyle w:val="TableText0"/>
              <w:ind w:left="156"/>
              <w:rPr>
                <w:rFonts w:ascii="Times New Roman"/>
                <w:sz w:val="2"/>
              </w:rPr>
            </w:pPr>
          </w:p>
        </w:tc>
        <w:tc>
          <w:tcPr>
            <w:tcW w:w="1606" w:type="dxa"/>
            <w:tcBorders>
              <w:top w:val="nil"/>
            </w:tcBorders>
          </w:tcPr>
          <w:p w14:paraId="40571974" w14:textId="77777777" w:rsidR="003D4537" w:rsidRDefault="003D4537" w:rsidP="00C52E97">
            <w:pPr>
              <w:pStyle w:val="TableText0"/>
              <w:ind w:left="170" w:right="-194"/>
              <w:rPr>
                <w:rFonts w:ascii="Times New Roman"/>
                <w:sz w:val="2"/>
              </w:rPr>
            </w:pPr>
          </w:p>
        </w:tc>
        <w:tc>
          <w:tcPr>
            <w:tcW w:w="953" w:type="dxa"/>
            <w:tcBorders>
              <w:top w:val="nil"/>
            </w:tcBorders>
          </w:tcPr>
          <w:p w14:paraId="68785240" w14:textId="77777777" w:rsidR="003D4537" w:rsidRDefault="003D4537" w:rsidP="00C52E97">
            <w:pPr>
              <w:pStyle w:val="TableText0"/>
              <w:ind w:firstLine="184"/>
              <w:rPr>
                <w:rFonts w:ascii="Times New Roman"/>
                <w:sz w:val="2"/>
              </w:rPr>
            </w:pPr>
          </w:p>
        </w:tc>
        <w:tc>
          <w:tcPr>
            <w:tcW w:w="929" w:type="dxa"/>
            <w:tcBorders>
              <w:top w:val="nil"/>
            </w:tcBorders>
          </w:tcPr>
          <w:p w14:paraId="6AF85CA8" w14:textId="77777777" w:rsidR="003D4537" w:rsidRDefault="003D4537" w:rsidP="00C52E97">
            <w:pPr>
              <w:pStyle w:val="TableText0"/>
              <w:ind w:left="130"/>
              <w:rPr>
                <w:rFonts w:ascii="Times New Roman"/>
                <w:sz w:val="2"/>
              </w:rPr>
            </w:pPr>
          </w:p>
        </w:tc>
      </w:tr>
      <w:tr w:rsidR="003D4537" w14:paraId="2DC7EA9E" w14:textId="77777777" w:rsidTr="00082CAC">
        <w:trPr>
          <w:trHeight w:val="383"/>
        </w:trPr>
        <w:tc>
          <w:tcPr>
            <w:tcW w:w="984" w:type="dxa"/>
            <w:vMerge/>
          </w:tcPr>
          <w:p w14:paraId="1ABD3C1A" w14:textId="77777777" w:rsidR="003D4537" w:rsidRDefault="003D4537" w:rsidP="00C52E97">
            <w:pPr>
              <w:pStyle w:val="TableText0"/>
              <w:ind w:left="144"/>
              <w:rPr>
                <w:sz w:val="2"/>
                <w:szCs w:val="2"/>
              </w:rPr>
            </w:pPr>
          </w:p>
        </w:tc>
        <w:tc>
          <w:tcPr>
            <w:tcW w:w="1008" w:type="dxa"/>
          </w:tcPr>
          <w:p w14:paraId="68B775A1" w14:textId="77777777" w:rsidR="003D4537" w:rsidRDefault="003D4537" w:rsidP="00C52E97">
            <w:pPr>
              <w:pStyle w:val="TableText0"/>
              <w:ind w:left="156"/>
            </w:pPr>
            <w:r>
              <w:t>IPV1</w:t>
            </w:r>
          </w:p>
        </w:tc>
        <w:tc>
          <w:tcPr>
            <w:tcW w:w="1559" w:type="dxa"/>
          </w:tcPr>
          <w:p w14:paraId="6631D3F9" w14:textId="77777777" w:rsidR="00CF3A84" w:rsidRDefault="003D4537" w:rsidP="00C52E97">
            <w:pPr>
              <w:pStyle w:val="TableText0"/>
              <w:ind w:left="158"/>
            </w:pPr>
            <w:r>
              <w:t>%</w:t>
            </w:r>
            <w:r>
              <w:rPr>
                <w:spacing w:val="-1"/>
              </w:rPr>
              <w:t xml:space="preserve"> </w:t>
            </w:r>
            <w:r>
              <w:t>with</w:t>
            </w:r>
            <w:r>
              <w:rPr>
                <w:spacing w:val="-3"/>
              </w:rPr>
              <w:t xml:space="preserve"> </w:t>
            </w:r>
            <w:r>
              <w:t xml:space="preserve">Nab </w:t>
            </w:r>
          </w:p>
          <w:p w14:paraId="61288691" w14:textId="2A1441EC" w:rsidR="003D4537" w:rsidRDefault="003D4537" w:rsidP="00C52E97">
            <w:pPr>
              <w:pStyle w:val="TableText0"/>
              <w:ind w:left="158"/>
            </w:pPr>
            <w:r>
              <w:t>≥1:8</w:t>
            </w:r>
            <w:r>
              <w:rPr>
                <w:spacing w:val="-2"/>
              </w:rPr>
              <w:t xml:space="preserve"> </w:t>
            </w:r>
            <w:r>
              <w:t>dilution</w:t>
            </w:r>
          </w:p>
        </w:tc>
        <w:tc>
          <w:tcPr>
            <w:tcW w:w="965" w:type="dxa"/>
          </w:tcPr>
          <w:p w14:paraId="6ABF43C9" w14:textId="77777777" w:rsidR="003D4537" w:rsidRDefault="003D4537" w:rsidP="00C52E97">
            <w:pPr>
              <w:pStyle w:val="TableText0"/>
              <w:ind w:left="156"/>
            </w:pPr>
            <w:r>
              <w:t>547 (100.00)</w:t>
            </w:r>
          </w:p>
        </w:tc>
        <w:tc>
          <w:tcPr>
            <w:tcW w:w="1019" w:type="dxa"/>
          </w:tcPr>
          <w:p w14:paraId="4698716D" w14:textId="77777777" w:rsidR="003D4537" w:rsidRDefault="003D4537" w:rsidP="00C52E97">
            <w:pPr>
              <w:pStyle w:val="TableText0"/>
              <w:ind w:left="156"/>
            </w:pPr>
            <w:r>
              <w:t>528</w:t>
            </w:r>
            <w:r>
              <w:rPr>
                <w:spacing w:val="-1"/>
              </w:rPr>
              <w:t xml:space="preserve"> </w:t>
            </w:r>
            <w:r>
              <w:t>(99.81)</w:t>
            </w:r>
          </w:p>
        </w:tc>
        <w:tc>
          <w:tcPr>
            <w:tcW w:w="1606" w:type="dxa"/>
          </w:tcPr>
          <w:p w14:paraId="614442A7" w14:textId="77777777" w:rsidR="003D4537" w:rsidRDefault="003D4537" w:rsidP="00C52E97">
            <w:pPr>
              <w:pStyle w:val="TableText0"/>
              <w:ind w:left="170" w:right="-194"/>
            </w:pPr>
            <w:r>
              <w:t>0.19</w:t>
            </w:r>
            <w:r>
              <w:rPr>
                <w:spacing w:val="-1"/>
              </w:rPr>
              <w:t xml:space="preserve"> </w:t>
            </w:r>
            <w:r>
              <w:t>(-0.15,</w:t>
            </w:r>
            <w:r>
              <w:rPr>
                <w:spacing w:val="-1"/>
              </w:rPr>
              <w:t xml:space="preserve"> </w:t>
            </w:r>
            <w:r>
              <w:t>1.07)</w:t>
            </w:r>
          </w:p>
        </w:tc>
        <w:tc>
          <w:tcPr>
            <w:tcW w:w="953" w:type="dxa"/>
          </w:tcPr>
          <w:p w14:paraId="12BDFBA1" w14:textId="77777777" w:rsidR="003D4537" w:rsidRDefault="003D4537" w:rsidP="00C52E97">
            <w:pPr>
              <w:pStyle w:val="TableText0"/>
              <w:ind w:firstLine="184"/>
            </w:pPr>
            <w:r>
              <w:t>-5</w:t>
            </w:r>
          </w:p>
        </w:tc>
        <w:tc>
          <w:tcPr>
            <w:tcW w:w="929" w:type="dxa"/>
          </w:tcPr>
          <w:p w14:paraId="1D6B05BD" w14:textId="77777777" w:rsidR="003D4537" w:rsidRDefault="003D4537" w:rsidP="00C52E97">
            <w:pPr>
              <w:pStyle w:val="TableText0"/>
              <w:ind w:left="130"/>
            </w:pPr>
            <w:r>
              <w:t>Met</w:t>
            </w:r>
          </w:p>
        </w:tc>
      </w:tr>
      <w:tr w:rsidR="003D4537" w14:paraId="724E1ACD" w14:textId="77777777" w:rsidTr="00082CAC">
        <w:trPr>
          <w:trHeight w:val="21"/>
        </w:trPr>
        <w:tc>
          <w:tcPr>
            <w:tcW w:w="984" w:type="dxa"/>
            <w:vMerge/>
          </w:tcPr>
          <w:p w14:paraId="698089C2" w14:textId="77777777" w:rsidR="003D4537" w:rsidRDefault="003D4537" w:rsidP="00C52E97">
            <w:pPr>
              <w:pStyle w:val="TableText0"/>
              <w:ind w:left="144"/>
              <w:rPr>
                <w:sz w:val="2"/>
                <w:szCs w:val="2"/>
              </w:rPr>
            </w:pPr>
          </w:p>
        </w:tc>
        <w:tc>
          <w:tcPr>
            <w:tcW w:w="1008" w:type="dxa"/>
            <w:tcBorders>
              <w:bottom w:val="nil"/>
            </w:tcBorders>
          </w:tcPr>
          <w:p w14:paraId="0331D9EE" w14:textId="77777777" w:rsidR="003D4537" w:rsidRDefault="003D4537" w:rsidP="00C52E97">
            <w:pPr>
              <w:pStyle w:val="TableText0"/>
              <w:ind w:left="156"/>
              <w:rPr>
                <w:rFonts w:ascii="Times New Roman"/>
                <w:sz w:val="2"/>
              </w:rPr>
            </w:pPr>
          </w:p>
        </w:tc>
        <w:tc>
          <w:tcPr>
            <w:tcW w:w="1559" w:type="dxa"/>
            <w:tcBorders>
              <w:bottom w:val="nil"/>
            </w:tcBorders>
          </w:tcPr>
          <w:p w14:paraId="2A823C01" w14:textId="77777777" w:rsidR="003D4537" w:rsidRDefault="003D4537" w:rsidP="00C52E97">
            <w:pPr>
              <w:pStyle w:val="TableText0"/>
              <w:ind w:left="158"/>
              <w:rPr>
                <w:rFonts w:ascii="Times New Roman"/>
                <w:sz w:val="2"/>
              </w:rPr>
            </w:pPr>
          </w:p>
        </w:tc>
        <w:tc>
          <w:tcPr>
            <w:tcW w:w="965" w:type="dxa"/>
            <w:tcBorders>
              <w:bottom w:val="nil"/>
            </w:tcBorders>
          </w:tcPr>
          <w:p w14:paraId="6144C336" w14:textId="77777777" w:rsidR="003D4537" w:rsidRDefault="003D4537" w:rsidP="00C52E97">
            <w:pPr>
              <w:pStyle w:val="TableText0"/>
              <w:ind w:left="156"/>
              <w:rPr>
                <w:rFonts w:ascii="Times New Roman"/>
                <w:sz w:val="2"/>
              </w:rPr>
            </w:pPr>
          </w:p>
        </w:tc>
        <w:tc>
          <w:tcPr>
            <w:tcW w:w="1019" w:type="dxa"/>
            <w:tcBorders>
              <w:bottom w:val="nil"/>
            </w:tcBorders>
          </w:tcPr>
          <w:p w14:paraId="2601DF16" w14:textId="77777777" w:rsidR="003D4537" w:rsidRDefault="003D4537" w:rsidP="00C52E97">
            <w:pPr>
              <w:pStyle w:val="TableText0"/>
              <w:ind w:left="156"/>
              <w:rPr>
                <w:rFonts w:ascii="Times New Roman"/>
                <w:sz w:val="2"/>
              </w:rPr>
            </w:pPr>
          </w:p>
        </w:tc>
        <w:tc>
          <w:tcPr>
            <w:tcW w:w="1606" w:type="dxa"/>
            <w:tcBorders>
              <w:bottom w:val="nil"/>
            </w:tcBorders>
          </w:tcPr>
          <w:p w14:paraId="30D81B1F" w14:textId="77777777" w:rsidR="003D4537" w:rsidRDefault="003D4537" w:rsidP="00C52E97">
            <w:pPr>
              <w:pStyle w:val="TableText0"/>
              <w:ind w:left="170" w:right="-194"/>
              <w:rPr>
                <w:rFonts w:ascii="Times New Roman"/>
                <w:sz w:val="2"/>
              </w:rPr>
            </w:pPr>
          </w:p>
        </w:tc>
        <w:tc>
          <w:tcPr>
            <w:tcW w:w="953" w:type="dxa"/>
            <w:tcBorders>
              <w:bottom w:val="nil"/>
            </w:tcBorders>
          </w:tcPr>
          <w:p w14:paraId="6D953CB7" w14:textId="77777777" w:rsidR="003D4537" w:rsidRDefault="003D4537" w:rsidP="00C52E97">
            <w:pPr>
              <w:pStyle w:val="TableText0"/>
              <w:ind w:firstLine="184"/>
              <w:rPr>
                <w:rFonts w:ascii="Times New Roman"/>
                <w:sz w:val="2"/>
              </w:rPr>
            </w:pPr>
          </w:p>
        </w:tc>
        <w:tc>
          <w:tcPr>
            <w:tcW w:w="929" w:type="dxa"/>
            <w:tcBorders>
              <w:bottom w:val="nil"/>
            </w:tcBorders>
          </w:tcPr>
          <w:p w14:paraId="11472B20" w14:textId="77777777" w:rsidR="003D4537" w:rsidRDefault="003D4537" w:rsidP="00C52E97">
            <w:pPr>
              <w:pStyle w:val="TableText0"/>
              <w:ind w:left="130"/>
              <w:rPr>
                <w:rFonts w:ascii="Times New Roman"/>
                <w:sz w:val="2"/>
              </w:rPr>
            </w:pPr>
          </w:p>
        </w:tc>
      </w:tr>
      <w:tr w:rsidR="003D4537" w14:paraId="7518AC4C" w14:textId="77777777" w:rsidTr="00082CAC">
        <w:trPr>
          <w:trHeight w:val="345"/>
        </w:trPr>
        <w:tc>
          <w:tcPr>
            <w:tcW w:w="984" w:type="dxa"/>
            <w:vMerge/>
          </w:tcPr>
          <w:p w14:paraId="396722CF" w14:textId="77777777" w:rsidR="003D4537" w:rsidRDefault="003D4537" w:rsidP="00C52E97">
            <w:pPr>
              <w:pStyle w:val="TableText0"/>
              <w:ind w:left="144"/>
              <w:rPr>
                <w:b/>
              </w:rPr>
            </w:pPr>
          </w:p>
        </w:tc>
        <w:tc>
          <w:tcPr>
            <w:tcW w:w="1008" w:type="dxa"/>
            <w:tcBorders>
              <w:top w:val="nil"/>
            </w:tcBorders>
          </w:tcPr>
          <w:p w14:paraId="44AF2E40" w14:textId="77777777" w:rsidR="003D4537" w:rsidRDefault="003D4537" w:rsidP="00C52E97">
            <w:pPr>
              <w:pStyle w:val="TableText0"/>
              <w:ind w:left="156"/>
            </w:pPr>
            <w:r>
              <w:t>IPV2</w:t>
            </w:r>
          </w:p>
        </w:tc>
        <w:tc>
          <w:tcPr>
            <w:tcW w:w="1559" w:type="dxa"/>
            <w:tcBorders>
              <w:top w:val="nil"/>
            </w:tcBorders>
          </w:tcPr>
          <w:p w14:paraId="68158B8E" w14:textId="77777777" w:rsidR="00CF3A84" w:rsidRDefault="003D4537" w:rsidP="00C52E97">
            <w:pPr>
              <w:pStyle w:val="TableText0"/>
              <w:ind w:left="158"/>
            </w:pPr>
            <w:r>
              <w:t>%</w:t>
            </w:r>
            <w:r>
              <w:rPr>
                <w:spacing w:val="-1"/>
              </w:rPr>
              <w:t xml:space="preserve"> </w:t>
            </w:r>
            <w:r>
              <w:t>with</w:t>
            </w:r>
            <w:r>
              <w:rPr>
                <w:spacing w:val="-3"/>
              </w:rPr>
              <w:t xml:space="preserve"> </w:t>
            </w:r>
            <w:r>
              <w:t xml:space="preserve">Nab </w:t>
            </w:r>
          </w:p>
          <w:p w14:paraId="0F8E18EE" w14:textId="5A862A67" w:rsidR="003D4537" w:rsidRDefault="003D4537" w:rsidP="00C52E97">
            <w:pPr>
              <w:pStyle w:val="TableText0"/>
              <w:ind w:left="158"/>
            </w:pPr>
            <w:r>
              <w:t>≥1:8</w:t>
            </w:r>
            <w:r>
              <w:rPr>
                <w:spacing w:val="-2"/>
              </w:rPr>
              <w:t xml:space="preserve"> </w:t>
            </w:r>
            <w:r>
              <w:t>dilution</w:t>
            </w:r>
          </w:p>
        </w:tc>
        <w:tc>
          <w:tcPr>
            <w:tcW w:w="965" w:type="dxa"/>
            <w:tcBorders>
              <w:top w:val="nil"/>
            </w:tcBorders>
          </w:tcPr>
          <w:p w14:paraId="595F2778" w14:textId="77777777" w:rsidR="003D4537" w:rsidRDefault="003D4537" w:rsidP="00C52E97">
            <w:pPr>
              <w:pStyle w:val="TableText0"/>
              <w:ind w:left="156"/>
            </w:pPr>
            <w:r>
              <w:t>547</w:t>
            </w:r>
            <w:r>
              <w:rPr>
                <w:spacing w:val="-1"/>
              </w:rPr>
              <w:t xml:space="preserve"> </w:t>
            </w:r>
            <w:r>
              <w:t>(99.82)</w:t>
            </w:r>
          </w:p>
        </w:tc>
        <w:tc>
          <w:tcPr>
            <w:tcW w:w="1019" w:type="dxa"/>
            <w:tcBorders>
              <w:top w:val="nil"/>
            </w:tcBorders>
          </w:tcPr>
          <w:p w14:paraId="327A0B99" w14:textId="77777777" w:rsidR="003D4537" w:rsidRDefault="003D4537" w:rsidP="00C52E97">
            <w:pPr>
              <w:pStyle w:val="TableText0"/>
              <w:ind w:left="156"/>
            </w:pPr>
            <w:r>
              <w:t>530</w:t>
            </w:r>
            <w:r>
              <w:rPr>
                <w:spacing w:val="-1"/>
              </w:rPr>
              <w:t xml:space="preserve"> </w:t>
            </w:r>
            <w:r>
              <w:t>(99.62)</w:t>
            </w:r>
          </w:p>
        </w:tc>
        <w:tc>
          <w:tcPr>
            <w:tcW w:w="1606" w:type="dxa"/>
            <w:tcBorders>
              <w:top w:val="nil"/>
            </w:tcBorders>
          </w:tcPr>
          <w:p w14:paraId="0F1BC0BB" w14:textId="77777777" w:rsidR="003D4537" w:rsidRDefault="003D4537" w:rsidP="00C52E97">
            <w:pPr>
              <w:pStyle w:val="TableText0"/>
              <w:ind w:left="170" w:right="-194"/>
            </w:pPr>
            <w:r>
              <w:t>0.19</w:t>
            </w:r>
            <w:r>
              <w:rPr>
                <w:spacing w:val="-1"/>
              </w:rPr>
              <w:t xml:space="preserve"> </w:t>
            </w:r>
            <w:r>
              <w:t>(-0.69,</w:t>
            </w:r>
            <w:r>
              <w:rPr>
                <w:spacing w:val="-1"/>
              </w:rPr>
              <w:t xml:space="preserve"> </w:t>
            </w:r>
            <w:r>
              <w:t>1.21)</w:t>
            </w:r>
          </w:p>
        </w:tc>
        <w:tc>
          <w:tcPr>
            <w:tcW w:w="953" w:type="dxa"/>
            <w:tcBorders>
              <w:top w:val="nil"/>
            </w:tcBorders>
          </w:tcPr>
          <w:p w14:paraId="36BD78BC" w14:textId="77777777" w:rsidR="003D4537" w:rsidRDefault="003D4537" w:rsidP="00C52E97">
            <w:pPr>
              <w:pStyle w:val="TableText0"/>
              <w:ind w:firstLine="184"/>
            </w:pPr>
            <w:r>
              <w:t>-5</w:t>
            </w:r>
          </w:p>
        </w:tc>
        <w:tc>
          <w:tcPr>
            <w:tcW w:w="929" w:type="dxa"/>
            <w:tcBorders>
              <w:top w:val="nil"/>
            </w:tcBorders>
          </w:tcPr>
          <w:p w14:paraId="1DCDA3FC" w14:textId="77777777" w:rsidR="003D4537" w:rsidRDefault="003D4537" w:rsidP="00C52E97">
            <w:pPr>
              <w:pStyle w:val="TableText0"/>
              <w:ind w:left="130"/>
            </w:pPr>
            <w:r>
              <w:t>Met</w:t>
            </w:r>
          </w:p>
        </w:tc>
      </w:tr>
      <w:tr w:rsidR="003D4537" w14:paraId="69912B98" w14:textId="77777777" w:rsidTr="00082CAC">
        <w:trPr>
          <w:trHeight w:val="299"/>
        </w:trPr>
        <w:tc>
          <w:tcPr>
            <w:tcW w:w="984" w:type="dxa"/>
            <w:vMerge/>
          </w:tcPr>
          <w:p w14:paraId="4E96D0D3" w14:textId="77777777" w:rsidR="003D4537" w:rsidRDefault="003D4537" w:rsidP="00C52E97">
            <w:pPr>
              <w:pStyle w:val="TableText0"/>
              <w:ind w:left="144"/>
              <w:rPr>
                <w:rFonts w:ascii="Times New Roman"/>
              </w:rPr>
            </w:pPr>
          </w:p>
        </w:tc>
        <w:tc>
          <w:tcPr>
            <w:tcW w:w="1008" w:type="dxa"/>
          </w:tcPr>
          <w:p w14:paraId="0AD61A2E" w14:textId="77777777" w:rsidR="003D4537" w:rsidRDefault="003D4537" w:rsidP="00C52E97">
            <w:pPr>
              <w:pStyle w:val="TableText0"/>
              <w:ind w:left="156"/>
            </w:pPr>
            <w:r>
              <w:t>IPV3</w:t>
            </w:r>
          </w:p>
        </w:tc>
        <w:tc>
          <w:tcPr>
            <w:tcW w:w="1559" w:type="dxa"/>
          </w:tcPr>
          <w:p w14:paraId="797C73E1" w14:textId="77777777" w:rsidR="00CF3A84" w:rsidRDefault="003D4537" w:rsidP="00C52E97">
            <w:pPr>
              <w:pStyle w:val="TableText0"/>
              <w:ind w:left="158"/>
            </w:pPr>
            <w:r>
              <w:t>%</w:t>
            </w:r>
            <w:r>
              <w:rPr>
                <w:spacing w:val="-1"/>
              </w:rPr>
              <w:t xml:space="preserve"> </w:t>
            </w:r>
            <w:r>
              <w:t>with</w:t>
            </w:r>
            <w:r>
              <w:rPr>
                <w:spacing w:val="-3"/>
              </w:rPr>
              <w:t xml:space="preserve"> </w:t>
            </w:r>
            <w:r>
              <w:t xml:space="preserve">Nab </w:t>
            </w:r>
          </w:p>
          <w:p w14:paraId="52B6FCEC" w14:textId="7DBA91E8" w:rsidR="003D4537" w:rsidRDefault="003D4537" w:rsidP="00C52E97">
            <w:pPr>
              <w:pStyle w:val="TableText0"/>
              <w:ind w:left="158"/>
            </w:pPr>
            <w:r>
              <w:t>≥1:8</w:t>
            </w:r>
            <w:r>
              <w:rPr>
                <w:spacing w:val="-2"/>
              </w:rPr>
              <w:t xml:space="preserve"> </w:t>
            </w:r>
            <w:r>
              <w:t>dilution</w:t>
            </w:r>
          </w:p>
        </w:tc>
        <w:tc>
          <w:tcPr>
            <w:tcW w:w="965" w:type="dxa"/>
          </w:tcPr>
          <w:p w14:paraId="5111DC00" w14:textId="77777777" w:rsidR="003D4537" w:rsidRDefault="003D4537" w:rsidP="00C52E97">
            <w:pPr>
              <w:pStyle w:val="TableText0"/>
              <w:ind w:left="156"/>
            </w:pPr>
            <w:r>
              <w:t>545 (100.00)</w:t>
            </w:r>
          </w:p>
        </w:tc>
        <w:tc>
          <w:tcPr>
            <w:tcW w:w="1019" w:type="dxa"/>
          </w:tcPr>
          <w:p w14:paraId="3531C5EA" w14:textId="77777777" w:rsidR="003D4537" w:rsidRDefault="003D4537" w:rsidP="00C52E97">
            <w:pPr>
              <w:pStyle w:val="TableText0"/>
              <w:ind w:left="156"/>
            </w:pPr>
            <w:r>
              <w:t>525 (100.00)</w:t>
            </w:r>
          </w:p>
        </w:tc>
        <w:tc>
          <w:tcPr>
            <w:tcW w:w="1606" w:type="dxa"/>
          </w:tcPr>
          <w:p w14:paraId="51827AA6" w14:textId="77777777" w:rsidR="003D4537" w:rsidRDefault="003D4537" w:rsidP="00C52E97">
            <w:pPr>
              <w:pStyle w:val="TableText0"/>
              <w:ind w:left="170" w:right="-194"/>
            </w:pPr>
            <w:r>
              <w:t>0.00</w:t>
            </w:r>
            <w:r>
              <w:rPr>
                <w:spacing w:val="-1"/>
              </w:rPr>
              <w:t xml:space="preserve"> </w:t>
            </w:r>
            <w:r>
              <w:t>(-0.70,</w:t>
            </w:r>
            <w:r>
              <w:rPr>
                <w:spacing w:val="-1"/>
              </w:rPr>
              <w:t xml:space="preserve"> </w:t>
            </w:r>
            <w:r>
              <w:t>0.73)</w:t>
            </w:r>
          </w:p>
        </w:tc>
        <w:tc>
          <w:tcPr>
            <w:tcW w:w="953" w:type="dxa"/>
          </w:tcPr>
          <w:p w14:paraId="15A80793" w14:textId="77777777" w:rsidR="003D4537" w:rsidRDefault="003D4537" w:rsidP="00C52E97">
            <w:pPr>
              <w:pStyle w:val="TableText0"/>
              <w:ind w:firstLine="184"/>
            </w:pPr>
            <w:r>
              <w:t>-5</w:t>
            </w:r>
          </w:p>
        </w:tc>
        <w:tc>
          <w:tcPr>
            <w:tcW w:w="929" w:type="dxa"/>
          </w:tcPr>
          <w:p w14:paraId="6A376100" w14:textId="77777777" w:rsidR="003D4537" w:rsidRDefault="003D4537" w:rsidP="00C52E97">
            <w:pPr>
              <w:pStyle w:val="TableText0"/>
              <w:ind w:left="130"/>
            </w:pPr>
            <w:r>
              <w:t>Met</w:t>
            </w:r>
          </w:p>
        </w:tc>
      </w:tr>
      <w:tr w:rsidR="003D4537" w14:paraId="6CF56007" w14:textId="77777777" w:rsidTr="00082CAC">
        <w:trPr>
          <w:trHeight w:val="262"/>
        </w:trPr>
        <w:tc>
          <w:tcPr>
            <w:tcW w:w="984" w:type="dxa"/>
            <w:vMerge w:val="restart"/>
          </w:tcPr>
          <w:p w14:paraId="014243F5" w14:textId="2E53F6E3" w:rsidR="003D4537" w:rsidRDefault="003D4537" w:rsidP="00E46328">
            <w:pPr>
              <w:pStyle w:val="TableText0"/>
              <w:ind w:left="144"/>
              <w:rPr>
                <w:rFonts w:ascii="Times New Roman"/>
              </w:rPr>
            </w:pPr>
            <w:proofErr w:type="gramStart"/>
            <w:r>
              <w:rPr>
                <w:b/>
                <w:spacing w:val="-1"/>
              </w:rPr>
              <w:t>1 month</w:t>
            </w:r>
            <w:proofErr w:type="gramEnd"/>
            <w:r>
              <w:rPr>
                <w:b/>
                <w:spacing w:val="-38"/>
              </w:rPr>
              <w:t xml:space="preserve"> </w:t>
            </w:r>
            <w:r w:rsidR="00587E0A">
              <w:rPr>
                <w:b/>
              </w:rPr>
              <w:t>p</w:t>
            </w:r>
            <w:r>
              <w:rPr>
                <w:b/>
              </w:rPr>
              <w:t>ost-</w:t>
            </w:r>
            <w:r w:rsidR="00E46328">
              <w:rPr>
                <w:b/>
              </w:rPr>
              <w:t>T</w:t>
            </w:r>
            <w:r>
              <w:rPr>
                <w:b/>
                <w:spacing w:val="-1"/>
              </w:rPr>
              <w:t>oddler</w:t>
            </w:r>
            <w:r>
              <w:rPr>
                <w:b/>
                <w:spacing w:val="-38"/>
              </w:rPr>
              <w:t xml:space="preserve"> </w:t>
            </w:r>
            <w:r>
              <w:rPr>
                <w:b/>
              </w:rPr>
              <w:t>dose</w:t>
            </w:r>
          </w:p>
        </w:tc>
        <w:tc>
          <w:tcPr>
            <w:tcW w:w="1008" w:type="dxa"/>
          </w:tcPr>
          <w:p w14:paraId="6635CA65" w14:textId="77777777" w:rsidR="003D4537" w:rsidRDefault="003D4537" w:rsidP="00C52E97">
            <w:pPr>
              <w:pStyle w:val="TableText0"/>
              <w:ind w:left="156"/>
            </w:pPr>
            <w:r>
              <w:t>HBsAg</w:t>
            </w:r>
          </w:p>
        </w:tc>
        <w:tc>
          <w:tcPr>
            <w:tcW w:w="1559" w:type="dxa"/>
          </w:tcPr>
          <w:p w14:paraId="652F53C1" w14:textId="77777777" w:rsidR="00CF3A84" w:rsidRDefault="003D4537" w:rsidP="00C52E97">
            <w:pPr>
              <w:pStyle w:val="TableText0"/>
              <w:ind w:left="158"/>
            </w:pPr>
            <w:r>
              <w:t>%</w:t>
            </w:r>
            <w:r>
              <w:rPr>
                <w:spacing w:val="-2"/>
              </w:rPr>
              <w:t xml:space="preserve"> </w:t>
            </w:r>
            <w:r>
              <w:t>with</w:t>
            </w:r>
            <w:r>
              <w:rPr>
                <w:spacing w:val="-4"/>
              </w:rPr>
              <w:t xml:space="preserve"> </w:t>
            </w:r>
            <w:r w:rsidR="00465BD7">
              <w:t>titre</w:t>
            </w:r>
            <w:r>
              <w:t xml:space="preserve"> </w:t>
            </w:r>
          </w:p>
          <w:p w14:paraId="38A26DF8" w14:textId="6A735275" w:rsidR="003D4537" w:rsidRDefault="003D4537" w:rsidP="00C52E97">
            <w:pPr>
              <w:pStyle w:val="TableText0"/>
              <w:ind w:left="158"/>
            </w:pPr>
            <w:r>
              <w:t>≥10</w:t>
            </w:r>
            <w:r>
              <w:rPr>
                <w:spacing w:val="-2"/>
              </w:rPr>
              <w:t xml:space="preserve"> </w:t>
            </w:r>
            <w:proofErr w:type="spellStart"/>
            <w:r>
              <w:t>mIU</w:t>
            </w:r>
            <w:proofErr w:type="spellEnd"/>
            <w:r>
              <w:t>/mL</w:t>
            </w:r>
          </w:p>
        </w:tc>
        <w:tc>
          <w:tcPr>
            <w:tcW w:w="965" w:type="dxa"/>
          </w:tcPr>
          <w:p w14:paraId="4A6189E7" w14:textId="77777777" w:rsidR="003D4537" w:rsidRDefault="003D4537" w:rsidP="00C52E97">
            <w:pPr>
              <w:pStyle w:val="TableText0"/>
              <w:ind w:left="156"/>
            </w:pPr>
            <w:r>
              <w:t>551</w:t>
            </w:r>
            <w:r>
              <w:rPr>
                <w:spacing w:val="-1"/>
              </w:rPr>
              <w:t xml:space="preserve"> </w:t>
            </w:r>
            <w:r>
              <w:t>(99.64)</w:t>
            </w:r>
          </w:p>
        </w:tc>
        <w:tc>
          <w:tcPr>
            <w:tcW w:w="1019" w:type="dxa"/>
          </w:tcPr>
          <w:p w14:paraId="1AF42F59" w14:textId="77777777" w:rsidR="003D4537" w:rsidRDefault="003D4537" w:rsidP="00C52E97">
            <w:pPr>
              <w:pStyle w:val="TableText0"/>
              <w:ind w:left="156"/>
            </w:pPr>
            <w:r>
              <w:t>531</w:t>
            </w:r>
            <w:r>
              <w:rPr>
                <w:spacing w:val="-1"/>
              </w:rPr>
              <w:t xml:space="preserve"> </w:t>
            </w:r>
            <w:r>
              <w:t>(99.06)</w:t>
            </w:r>
          </w:p>
        </w:tc>
        <w:tc>
          <w:tcPr>
            <w:tcW w:w="1606" w:type="dxa"/>
          </w:tcPr>
          <w:p w14:paraId="24C9274D" w14:textId="77777777" w:rsidR="003D4537" w:rsidRDefault="003D4537" w:rsidP="00C52E97">
            <w:pPr>
              <w:pStyle w:val="TableText0"/>
              <w:ind w:left="170" w:right="-194"/>
            </w:pPr>
            <w:r>
              <w:t>0.58</w:t>
            </w:r>
            <w:r>
              <w:rPr>
                <w:spacing w:val="-1"/>
              </w:rPr>
              <w:t xml:space="preserve"> </w:t>
            </w:r>
            <w:r>
              <w:t>(-0.49,</w:t>
            </w:r>
            <w:r>
              <w:rPr>
                <w:spacing w:val="-1"/>
              </w:rPr>
              <w:t xml:space="preserve"> </w:t>
            </w:r>
            <w:r>
              <w:t>1.85)</w:t>
            </w:r>
          </w:p>
        </w:tc>
        <w:tc>
          <w:tcPr>
            <w:tcW w:w="953" w:type="dxa"/>
          </w:tcPr>
          <w:p w14:paraId="53F570C4" w14:textId="77777777" w:rsidR="003D4537" w:rsidRDefault="003D4537" w:rsidP="00C52E97">
            <w:pPr>
              <w:pStyle w:val="TableText0"/>
              <w:ind w:firstLine="184"/>
            </w:pPr>
            <w:r>
              <w:t>-10</w:t>
            </w:r>
          </w:p>
        </w:tc>
        <w:tc>
          <w:tcPr>
            <w:tcW w:w="929" w:type="dxa"/>
          </w:tcPr>
          <w:p w14:paraId="09F3E719" w14:textId="77777777" w:rsidR="003D4537" w:rsidRDefault="003D4537" w:rsidP="00C52E97">
            <w:pPr>
              <w:pStyle w:val="TableText0"/>
              <w:ind w:left="130"/>
            </w:pPr>
            <w:r>
              <w:t>Met</w:t>
            </w:r>
          </w:p>
        </w:tc>
      </w:tr>
      <w:tr w:rsidR="003D4537" w14:paraId="0343F41E" w14:textId="77777777" w:rsidTr="00082CAC">
        <w:trPr>
          <w:trHeight w:val="227"/>
        </w:trPr>
        <w:tc>
          <w:tcPr>
            <w:tcW w:w="984" w:type="dxa"/>
            <w:vMerge/>
          </w:tcPr>
          <w:p w14:paraId="1C71E45B" w14:textId="77777777" w:rsidR="003D4537" w:rsidRDefault="003D4537" w:rsidP="00C52E97">
            <w:pPr>
              <w:pStyle w:val="TableText0"/>
              <w:ind w:left="144"/>
              <w:rPr>
                <w:b/>
              </w:rPr>
            </w:pPr>
          </w:p>
        </w:tc>
        <w:tc>
          <w:tcPr>
            <w:tcW w:w="1008" w:type="dxa"/>
          </w:tcPr>
          <w:p w14:paraId="58523B9E" w14:textId="77777777" w:rsidR="003D4537" w:rsidRDefault="003D4537" w:rsidP="00C52E97">
            <w:pPr>
              <w:pStyle w:val="TableText0"/>
              <w:ind w:left="156"/>
            </w:pPr>
            <w:r>
              <w:t>PT</w:t>
            </w:r>
          </w:p>
        </w:tc>
        <w:tc>
          <w:tcPr>
            <w:tcW w:w="1559" w:type="dxa"/>
          </w:tcPr>
          <w:p w14:paraId="65C5FDF4" w14:textId="751C4811" w:rsidR="003D4537" w:rsidRDefault="003D4537" w:rsidP="00465BD7">
            <w:pPr>
              <w:pStyle w:val="TableText0"/>
              <w:ind w:left="158"/>
            </w:pPr>
            <w:r>
              <w:t xml:space="preserve">% </w:t>
            </w:r>
            <w:proofErr w:type="spellStart"/>
            <w:r w:rsidR="00587E0A">
              <w:t>s</w:t>
            </w:r>
            <w:r>
              <w:t>eroresponse</w:t>
            </w:r>
            <w:r>
              <w:rPr>
                <w:vertAlign w:val="superscript"/>
              </w:rPr>
              <w:t>a</w:t>
            </w:r>
            <w:proofErr w:type="spellEnd"/>
          </w:p>
        </w:tc>
        <w:tc>
          <w:tcPr>
            <w:tcW w:w="965" w:type="dxa"/>
          </w:tcPr>
          <w:p w14:paraId="77AC6682" w14:textId="77777777" w:rsidR="003D4537" w:rsidRDefault="003D4537" w:rsidP="00C52E97">
            <w:pPr>
              <w:pStyle w:val="TableText0"/>
              <w:ind w:left="156"/>
            </w:pPr>
            <w:r>
              <w:t>543</w:t>
            </w:r>
            <w:r>
              <w:rPr>
                <w:spacing w:val="-1"/>
              </w:rPr>
              <w:t xml:space="preserve"> </w:t>
            </w:r>
            <w:r>
              <w:t>(99.82)</w:t>
            </w:r>
          </w:p>
        </w:tc>
        <w:tc>
          <w:tcPr>
            <w:tcW w:w="1019" w:type="dxa"/>
          </w:tcPr>
          <w:p w14:paraId="2BE58682" w14:textId="77777777" w:rsidR="003D4537" w:rsidRDefault="003D4537" w:rsidP="00C52E97">
            <w:pPr>
              <w:pStyle w:val="TableText0"/>
              <w:ind w:left="156"/>
            </w:pPr>
            <w:r>
              <w:t>523</w:t>
            </w:r>
            <w:r>
              <w:rPr>
                <w:spacing w:val="-1"/>
              </w:rPr>
              <w:t xml:space="preserve"> </w:t>
            </w:r>
            <w:r>
              <w:t>(98.49)</w:t>
            </w:r>
          </w:p>
        </w:tc>
        <w:tc>
          <w:tcPr>
            <w:tcW w:w="1606" w:type="dxa"/>
          </w:tcPr>
          <w:p w14:paraId="1F65F7AE" w14:textId="77777777" w:rsidR="003D4537" w:rsidRDefault="003D4537" w:rsidP="00C52E97">
            <w:pPr>
              <w:pStyle w:val="TableText0"/>
              <w:ind w:left="170" w:right="-194"/>
            </w:pPr>
            <w:r>
              <w:t>1.33</w:t>
            </w:r>
            <w:r>
              <w:rPr>
                <w:spacing w:val="-1"/>
              </w:rPr>
              <w:t xml:space="preserve"> </w:t>
            </w:r>
            <w:r>
              <w:t>(0.32,</w:t>
            </w:r>
            <w:r>
              <w:rPr>
                <w:spacing w:val="-1"/>
              </w:rPr>
              <w:t xml:space="preserve"> </w:t>
            </w:r>
            <w:r>
              <w:t>2.86)</w:t>
            </w:r>
          </w:p>
        </w:tc>
        <w:tc>
          <w:tcPr>
            <w:tcW w:w="953" w:type="dxa"/>
          </w:tcPr>
          <w:p w14:paraId="25DB8882" w14:textId="77777777" w:rsidR="003D4537" w:rsidRDefault="003D4537" w:rsidP="00C52E97">
            <w:pPr>
              <w:pStyle w:val="TableText0"/>
              <w:ind w:firstLine="184"/>
            </w:pPr>
            <w:r>
              <w:t>-10</w:t>
            </w:r>
          </w:p>
        </w:tc>
        <w:tc>
          <w:tcPr>
            <w:tcW w:w="929" w:type="dxa"/>
          </w:tcPr>
          <w:p w14:paraId="7210A2D7" w14:textId="77777777" w:rsidR="003D4537" w:rsidRDefault="003D4537" w:rsidP="00C52E97">
            <w:pPr>
              <w:pStyle w:val="TableText0"/>
              <w:ind w:left="130"/>
            </w:pPr>
            <w:r>
              <w:t>Met</w:t>
            </w:r>
          </w:p>
        </w:tc>
      </w:tr>
      <w:tr w:rsidR="003D4537" w14:paraId="73BEB913" w14:textId="77777777" w:rsidTr="00082CAC">
        <w:trPr>
          <w:trHeight w:val="177"/>
        </w:trPr>
        <w:tc>
          <w:tcPr>
            <w:tcW w:w="984" w:type="dxa"/>
            <w:vMerge/>
          </w:tcPr>
          <w:p w14:paraId="60F8C67D" w14:textId="77777777" w:rsidR="003D4537" w:rsidRDefault="003D4537" w:rsidP="00C52E97">
            <w:pPr>
              <w:pStyle w:val="TableText0"/>
              <w:ind w:left="144"/>
              <w:rPr>
                <w:b/>
              </w:rPr>
            </w:pPr>
          </w:p>
        </w:tc>
        <w:tc>
          <w:tcPr>
            <w:tcW w:w="1008" w:type="dxa"/>
          </w:tcPr>
          <w:p w14:paraId="42E38DF7" w14:textId="77777777" w:rsidR="003D4537" w:rsidRDefault="003D4537" w:rsidP="00C52E97">
            <w:pPr>
              <w:pStyle w:val="TableText0"/>
              <w:ind w:left="156"/>
            </w:pPr>
            <w:r>
              <w:t>FHA</w:t>
            </w:r>
          </w:p>
        </w:tc>
        <w:tc>
          <w:tcPr>
            <w:tcW w:w="1559" w:type="dxa"/>
          </w:tcPr>
          <w:p w14:paraId="2ECA246F" w14:textId="5905B401" w:rsidR="003D4537" w:rsidRDefault="003D4537" w:rsidP="00465BD7">
            <w:pPr>
              <w:pStyle w:val="TableText0"/>
              <w:ind w:left="158"/>
            </w:pPr>
            <w:r>
              <w:t xml:space="preserve">% </w:t>
            </w:r>
            <w:proofErr w:type="spellStart"/>
            <w:r w:rsidR="00587E0A">
              <w:t>s</w:t>
            </w:r>
            <w:r>
              <w:t>eroresponse</w:t>
            </w:r>
            <w:r w:rsidRPr="00771C60">
              <w:rPr>
                <w:vertAlign w:val="superscript"/>
              </w:rPr>
              <w:t>a</w:t>
            </w:r>
            <w:proofErr w:type="spellEnd"/>
          </w:p>
        </w:tc>
        <w:tc>
          <w:tcPr>
            <w:tcW w:w="965" w:type="dxa"/>
          </w:tcPr>
          <w:p w14:paraId="1BE478CA" w14:textId="77777777" w:rsidR="003D4537" w:rsidRDefault="003D4537" w:rsidP="00C52E97">
            <w:pPr>
              <w:pStyle w:val="TableText0"/>
              <w:ind w:left="156"/>
            </w:pPr>
            <w:r>
              <w:t>542</w:t>
            </w:r>
            <w:r>
              <w:rPr>
                <w:spacing w:val="-1"/>
              </w:rPr>
              <w:t xml:space="preserve"> </w:t>
            </w:r>
            <w:r>
              <w:t>(97.22)</w:t>
            </w:r>
          </w:p>
        </w:tc>
        <w:tc>
          <w:tcPr>
            <w:tcW w:w="1019" w:type="dxa"/>
          </w:tcPr>
          <w:p w14:paraId="26FA9548" w14:textId="77777777" w:rsidR="003D4537" w:rsidRDefault="003D4537" w:rsidP="00C52E97">
            <w:pPr>
              <w:pStyle w:val="TableText0"/>
              <w:ind w:left="156"/>
            </w:pPr>
            <w:r>
              <w:t>524</w:t>
            </w:r>
            <w:r>
              <w:rPr>
                <w:spacing w:val="-1"/>
              </w:rPr>
              <w:t xml:space="preserve"> </w:t>
            </w:r>
            <w:r>
              <w:t>(99.81)</w:t>
            </w:r>
          </w:p>
        </w:tc>
        <w:tc>
          <w:tcPr>
            <w:tcW w:w="1606" w:type="dxa"/>
          </w:tcPr>
          <w:p w14:paraId="763DB1F6" w14:textId="77777777" w:rsidR="003D4537" w:rsidRDefault="003D4537" w:rsidP="00C52E97">
            <w:pPr>
              <w:pStyle w:val="TableText0"/>
              <w:ind w:left="170" w:right="-194"/>
            </w:pPr>
            <w:r>
              <w:t>-2.59</w:t>
            </w:r>
            <w:r>
              <w:rPr>
                <w:spacing w:val="-1"/>
              </w:rPr>
              <w:t xml:space="preserve"> </w:t>
            </w:r>
            <w:r>
              <w:t>(-4.39,</w:t>
            </w:r>
            <w:r>
              <w:rPr>
                <w:spacing w:val="-1"/>
              </w:rPr>
              <w:t xml:space="preserve"> </w:t>
            </w:r>
            <w:r>
              <w:t>-1.29)</w:t>
            </w:r>
          </w:p>
        </w:tc>
        <w:tc>
          <w:tcPr>
            <w:tcW w:w="953" w:type="dxa"/>
          </w:tcPr>
          <w:p w14:paraId="37E11D28" w14:textId="77777777" w:rsidR="003D4537" w:rsidRDefault="003D4537" w:rsidP="00C52E97">
            <w:pPr>
              <w:pStyle w:val="TableText0"/>
              <w:ind w:firstLine="184"/>
            </w:pPr>
            <w:r>
              <w:t>-10</w:t>
            </w:r>
          </w:p>
        </w:tc>
        <w:tc>
          <w:tcPr>
            <w:tcW w:w="929" w:type="dxa"/>
          </w:tcPr>
          <w:p w14:paraId="52286BDC" w14:textId="77777777" w:rsidR="003D4537" w:rsidRDefault="003D4537" w:rsidP="00C52E97">
            <w:pPr>
              <w:pStyle w:val="TableText0"/>
              <w:ind w:left="130"/>
            </w:pPr>
            <w:r>
              <w:t>Met</w:t>
            </w:r>
          </w:p>
        </w:tc>
      </w:tr>
      <w:tr w:rsidR="003D4537" w14:paraId="099A9EE6" w14:textId="77777777" w:rsidTr="00082CAC">
        <w:trPr>
          <w:trHeight w:val="82"/>
        </w:trPr>
        <w:tc>
          <w:tcPr>
            <w:tcW w:w="984" w:type="dxa"/>
            <w:vMerge/>
          </w:tcPr>
          <w:p w14:paraId="76CF0C27" w14:textId="77777777" w:rsidR="003D4537" w:rsidRDefault="003D4537" w:rsidP="00C52E97">
            <w:pPr>
              <w:pStyle w:val="TableText0"/>
              <w:ind w:left="144"/>
              <w:rPr>
                <w:rFonts w:ascii="Times New Roman"/>
              </w:rPr>
            </w:pPr>
          </w:p>
        </w:tc>
        <w:tc>
          <w:tcPr>
            <w:tcW w:w="1008" w:type="dxa"/>
          </w:tcPr>
          <w:p w14:paraId="001236EC" w14:textId="77777777" w:rsidR="003D4537" w:rsidRDefault="003D4537" w:rsidP="00C52E97">
            <w:pPr>
              <w:pStyle w:val="TableText0"/>
              <w:ind w:left="156"/>
            </w:pPr>
            <w:r>
              <w:t>PRN</w:t>
            </w:r>
          </w:p>
        </w:tc>
        <w:tc>
          <w:tcPr>
            <w:tcW w:w="1559" w:type="dxa"/>
          </w:tcPr>
          <w:p w14:paraId="55D1ADDC" w14:textId="4AD75FB5" w:rsidR="003D4537" w:rsidRDefault="003D4537" w:rsidP="00C52E97">
            <w:pPr>
              <w:pStyle w:val="TableText0"/>
              <w:ind w:left="158"/>
            </w:pPr>
            <w:r>
              <w:t xml:space="preserve">% </w:t>
            </w:r>
            <w:proofErr w:type="spellStart"/>
            <w:r w:rsidR="00587E0A">
              <w:t>s</w:t>
            </w:r>
            <w:r>
              <w:t>eroresponse</w:t>
            </w:r>
            <w:r>
              <w:rPr>
                <w:vertAlign w:val="superscript"/>
              </w:rPr>
              <w:t>a</w:t>
            </w:r>
            <w:proofErr w:type="spellEnd"/>
          </w:p>
        </w:tc>
        <w:tc>
          <w:tcPr>
            <w:tcW w:w="965" w:type="dxa"/>
          </w:tcPr>
          <w:p w14:paraId="6807BE9E" w14:textId="77777777" w:rsidR="003D4537" w:rsidRDefault="003D4537" w:rsidP="00C52E97">
            <w:pPr>
              <w:pStyle w:val="TableText0"/>
              <w:ind w:left="156"/>
            </w:pPr>
            <w:r>
              <w:t>543</w:t>
            </w:r>
            <w:r>
              <w:rPr>
                <w:spacing w:val="-1"/>
              </w:rPr>
              <w:t xml:space="preserve"> </w:t>
            </w:r>
            <w:r>
              <w:t>(98.89)</w:t>
            </w:r>
          </w:p>
        </w:tc>
        <w:tc>
          <w:tcPr>
            <w:tcW w:w="1019" w:type="dxa"/>
          </w:tcPr>
          <w:p w14:paraId="0C2897E1" w14:textId="77777777" w:rsidR="003D4537" w:rsidRDefault="003D4537" w:rsidP="00C52E97">
            <w:pPr>
              <w:pStyle w:val="TableText0"/>
              <w:ind w:left="156"/>
            </w:pPr>
            <w:r>
              <w:t>523</w:t>
            </w:r>
            <w:r>
              <w:rPr>
                <w:spacing w:val="-1"/>
              </w:rPr>
              <w:t xml:space="preserve"> </w:t>
            </w:r>
            <w:r>
              <w:t>(98.86)</w:t>
            </w:r>
          </w:p>
        </w:tc>
        <w:tc>
          <w:tcPr>
            <w:tcW w:w="1606" w:type="dxa"/>
          </w:tcPr>
          <w:p w14:paraId="0C575C79" w14:textId="77777777" w:rsidR="003D4537" w:rsidRDefault="003D4537" w:rsidP="00C52E97">
            <w:pPr>
              <w:pStyle w:val="TableText0"/>
              <w:ind w:left="170" w:right="-194"/>
            </w:pPr>
            <w:r>
              <w:t>0.03</w:t>
            </w:r>
            <w:r>
              <w:rPr>
                <w:spacing w:val="-1"/>
              </w:rPr>
              <w:t xml:space="preserve"> </w:t>
            </w:r>
            <w:r>
              <w:t>(-1.40,</w:t>
            </w:r>
            <w:r>
              <w:rPr>
                <w:spacing w:val="-1"/>
              </w:rPr>
              <w:t xml:space="preserve"> </w:t>
            </w:r>
            <w:r>
              <w:t>1.52)</w:t>
            </w:r>
          </w:p>
        </w:tc>
        <w:tc>
          <w:tcPr>
            <w:tcW w:w="953" w:type="dxa"/>
          </w:tcPr>
          <w:p w14:paraId="0E83373F" w14:textId="77777777" w:rsidR="003D4537" w:rsidRDefault="003D4537" w:rsidP="00C52E97">
            <w:pPr>
              <w:pStyle w:val="TableText0"/>
              <w:ind w:firstLine="184"/>
            </w:pPr>
            <w:r>
              <w:t>-10</w:t>
            </w:r>
          </w:p>
        </w:tc>
        <w:tc>
          <w:tcPr>
            <w:tcW w:w="929" w:type="dxa"/>
          </w:tcPr>
          <w:p w14:paraId="5AEB2295" w14:textId="77777777" w:rsidR="003D4537" w:rsidRDefault="003D4537" w:rsidP="00C52E97">
            <w:pPr>
              <w:pStyle w:val="TableText0"/>
              <w:ind w:left="130"/>
            </w:pPr>
            <w:r>
              <w:t>Met</w:t>
            </w:r>
          </w:p>
        </w:tc>
      </w:tr>
    </w:tbl>
    <w:p w14:paraId="36FF4128" w14:textId="2579D86D" w:rsidR="00772731" w:rsidRDefault="00772731" w:rsidP="00772731">
      <w:pPr>
        <w:pStyle w:val="TableFigureFooter"/>
      </w:pPr>
      <w:r>
        <w:t>Source: Table 2.20, p42 of the submission</w:t>
      </w:r>
      <w:r w:rsidR="00351C7B">
        <w:t>.</w:t>
      </w:r>
    </w:p>
    <w:p w14:paraId="5BDDE107" w14:textId="340B22A9" w:rsidR="00772731" w:rsidRDefault="00772731" w:rsidP="00772731">
      <w:pPr>
        <w:pStyle w:val="TableFigureFooter"/>
      </w:pPr>
      <w:proofErr w:type="spellStart"/>
      <w:r>
        <w:rPr>
          <w:vertAlign w:val="superscript"/>
        </w:rPr>
        <w:t>a</w:t>
      </w:r>
      <w:r>
        <w:t>Seroresponse</w:t>
      </w:r>
      <w:proofErr w:type="spellEnd"/>
      <w:r>
        <w:t xml:space="preserve"> was defined as follows: if pre-vaccination antibody concentration was &lt;4X LLOQ, then the post-vaccination antibody</w:t>
      </w:r>
      <w:r>
        <w:rPr>
          <w:spacing w:val="1"/>
        </w:rPr>
        <w:t xml:space="preserve"> </w:t>
      </w:r>
      <w:r>
        <w:t>concentration was ≥4X LLOQ; If pre-vaccination antibody concentration was ≥4X LLOQ, then the post-vaccination antibody concentration</w:t>
      </w:r>
      <w:r>
        <w:rPr>
          <w:spacing w:val="1"/>
        </w:rPr>
        <w:t xml:space="preserve"> </w:t>
      </w:r>
      <w:r>
        <w:t>was</w:t>
      </w:r>
      <w:r>
        <w:rPr>
          <w:spacing w:val="-2"/>
        </w:rPr>
        <w:t xml:space="preserve"> </w:t>
      </w:r>
      <w:r>
        <w:t>≥pre- vaccination</w:t>
      </w:r>
      <w:r>
        <w:rPr>
          <w:spacing w:val="1"/>
        </w:rPr>
        <w:t xml:space="preserve"> </w:t>
      </w:r>
      <w:r>
        <w:t>levels</w:t>
      </w:r>
      <w:r w:rsidR="00183D37">
        <w:t>.</w:t>
      </w:r>
    </w:p>
    <w:p w14:paraId="6A0EC28D" w14:textId="61D000E3" w:rsidR="00772731" w:rsidRPr="00635D38" w:rsidRDefault="00772731" w:rsidP="00772731">
      <w:pPr>
        <w:pStyle w:val="TableFigureFooter"/>
      </w:pPr>
      <w:r>
        <w:t>CI = Confidence interval; FHA = Filamentous hemagglutinin; FIM = Fimbriae types 2 and 3; HBsAg = Hepatitis B surface antigen; IPV = Inactivated</w:t>
      </w:r>
      <w:r>
        <w:rPr>
          <w:spacing w:val="1"/>
        </w:rPr>
        <w:t xml:space="preserve"> </w:t>
      </w:r>
      <w:r>
        <w:t xml:space="preserve">poliovirus; IU = International unit; Nab = Neutralizing antibodies; NI = Non-inferiority; </w:t>
      </w:r>
      <w:r w:rsidR="00791F28">
        <w:t xml:space="preserve">PP-RW = Per-protocol-revised window population; </w:t>
      </w:r>
      <w:r>
        <w:t>PRN = Pertactin;</w:t>
      </w:r>
      <w:r>
        <w:rPr>
          <w:spacing w:val="1"/>
        </w:rPr>
        <w:t xml:space="preserve"> </w:t>
      </w:r>
      <w:r>
        <w:t xml:space="preserve">PRP = </w:t>
      </w:r>
      <w:proofErr w:type="spellStart"/>
      <w:r>
        <w:t>Polyribose</w:t>
      </w:r>
      <w:proofErr w:type="spellEnd"/>
      <w:r>
        <w:rPr>
          <w:spacing w:val="-3"/>
        </w:rPr>
        <w:t xml:space="preserve"> </w:t>
      </w:r>
      <w:proofErr w:type="spellStart"/>
      <w:r>
        <w:t>ribitol</w:t>
      </w:r>
      <w:proofErr w:type="spellEnd"/>
      <w:r>
        <w:rPr>
          <w:spacing w:val="-4"/>
        </w:rPr>
        <w:t xml:space="preserve"> </w:t>
      </w:r>
      <w:r>
        <w:t>phosphate (</w:t>
      </w:r>
      <w:r w:rsidRPr="001543C4">
        <w:t>Haemophilus B conjugate</w:t>
      </w:r>
      <w:r>
        <w:t>);</w:t>
      </w:r>
      <w:r>
        <w:rPr>
          <w:spacing w:val="-1"/>
        </w:rPr>
        <w:t xml:space="preserve"> </w:t>
      </w:r>
      <w:r>
        <w:t>PT = Pertussis</w:t>
      </w:r>
      <w:r>
        <w:rPr>
          <w:spacing w:val="-1"/>
        </w:rPr>
        <w:t xml:space="preserve"> </w:t>
      </w:r>
      <w:r w:rsidR="003D4537">
        <w:t>toxin; LLOQ = lower limit of quantification.</w:t>
      </w:r>
    </w:p>
    <w:p w14:paraId="534A8279" w14:textId="117B24DB" w:rsidR="00772731" w:rsidRPr="006B1B88" w:rsidRDefault="00772731" w:rsidP="00772731">
      <w:pPr>
        <w:pStyle w:val="3-BodyText"/>
      </w:pPr>
      <w:r w:rsidRPr="006B1B88">
        <w:t>For the primary analyses, the group difference (</w:t>
      </w:r>
      <w:proofErr w:type="spellStart"/>
      <w:r w:rsidRPr="006B1B88">
        <w:t>Vaxelis</w:t>
      </w:r>
      <w:proofErr w:type="spellEnd"/>
      <w:r w:rsidRPr="006B1B88">
        <w:t xml:space="preserve"> group minus Infanrix </w:t>
      </w:r>
      <w:proofErr w:type="spellStart"/>
      <w:r w:rsidR="00AE2917">
        <w:t>Hexa</w:t>
      </w:r>
      <w:proofErr w:type="spellEnd"/>
      <w:r w:rsidRPr="006B1B88">
        <w:t xml:space="preserve"> group) </w:t>
      </w:r>
      <w:r w:rsidR="00FA314A">
        <w:t xml:space="preserve">met the </w:t>
      </w:r>
      <w:r w:rsidR="006B1B88" w:rsidRPr="006B1B88">
        <w:t>prespecified</w:t>
      </w:r>
      <w:r w:rsidRPr="006B1B88">
        <w:t xml:space="preserve"> non-inferiority margin for all </w:t>
      </w:r>
      <w:r w:rsidR="006B1B88" w:rsidRPr="006B1B88">
        <w:t>prespecified</w:t>
      </w:r>
      <w:r w:rsidRPr="006B1B88">
        <w:t xml:space="preserve"> endpoints</w:t>
      </w:r>
      <w:r w:rsidR="00587E0A">
        <w:t>,</w:t>
      </w:r>
      <w:r w:rsidRPr="006B1B88">
        <w:t xml:space="preserve"> indicating that </w:t>
      </w:r>
      <w:proofErr w:type="spellStart"/>
      <w:r w:rsidRPr="006B1B88">
        <w:t>Vaxelis</w:t>
      </w:r>
      <w:proofErr w:type="spellEnd"/>
      <w:r w:rsidRPr="006B1B88">
        <w:t xml:space="preserve"> was non-inferior to Infanrix </w:t>
      </w:r>
      <w:proofErr w:type="spellStart"/>
      <w:r w:rsidR="00AE2917">
        <w:t>Hexa</w:t>
      </w:r>
      <w:proofErr w:type="spellEnd"/>
      <w:r w:rsidRPr="006B1B88">
        <w:t xml:space="preserve"> group.</w:t>
      </w:r>
      <w:r w:rsidR="009A720C">
        <w:t xml:space="preserve"> </w:t>
      </w:r>
    </w:p>
    <w:p w14:paraId="6C7C4155" w14:textId="4A18B94B" w:rsidR="00772731" w:rsidRPr="00910346" w:rsidRDefault="00772731" w:rsidP="00772731">
      <w:pPr>
        <w:pStyle w:val="3-BodyText"/>
      </w:pPr>
      <w:r w:rsidRPr="00910346">
        <w:t xml:space="preserve">For the primary analysis of Hib (PRP), the group difference in response rate (anti-PRP ≥0.15 </w:t>
      </w:r>
      <w:proofErr w:type="spellStart"/>
      <w:r w:rsidRPr="00910346">
        <w:t>μg</w:t>
      </w:r>
      <w:proofErr w:type="spellEnd"/>
      <w:r w:rsidRPr="00910346">
        <w:t xml:space="preserve">/mL) between </w:t>
      </w:r>
      <w:proofErr w:type="spellStart"/>
      <w:r w:rsidRPr="00910346">
        <w:t>Vaxelis</w:t>
      </w:r>
      <w:proofErr w:type="spellEnd"/>
      <w:r w:rsidRPr="00910346">
        <w:t xml:space="preserve"> and Infanrix </w:t>
      </w:r>
      <w:proofErr w:type="spellStart"/>
      <w:r w:rsidR="00AE2917">
        <w:t>Hexa</w:t>
      </w:r>
      <w:proofErr w:type="spellEnd"/>
      <w:r w:rsidRPr="00910346">
        <w:t xml:space="preserve"> (at </w:t>
      </w:r>
      <w:proofErr w:type="gramStart"/>
      <w:r w:rsidRPr="00910346">
        <w:t>one month</w:t>
      </w:r>
      <w:proofErr w:type="gramEnd"/>
      <w:r w:rsidRPr="00910346">
        <w:t xml:space="preserve"> </w:t>
      </w:r>
      <w:r w:rsidR="00587E0A" w:rsidRPr="00910346">
        <w:t>p</w:t>
      </w:r>
      <w:r w:rsidRPr="00910346">
        <w:t>ost-Dose 3) was 11.37% (95% CI: 8.44%, 14.68%; p &lt;0.001)</w:t>
      </w:r>
      <w:r w:rsidR="00587E0A" w:rsidRPr="00910346">
        <w:t>,</w:t>
      </w:r>
      <w:r w:rsidRPr="00910346">
        <w:t xml:space="preserve"> favouring </w:t>
      </w:r>
      <w:proofErr w:type="spellStart"/>
      <w:r w:rsidRPr="00910346">
        <w:t>Vaxelis</w:t>
      </w:r>
      <w:proofErr w:type="spellEnd"/>
      <w:r w:rsidRPr="00910346">
        <w:t xml:space="preserve"> over Infanrix </w:t>
      </w:r>
      <w:proofErr w:type="spellStart"/>
      <w:r w:rsidR="00AE2917">
        <w:t>Hexa</w:t>
      </w:r>
      <w:proofErr w:type="spellEnd"/>
      <w:r w:rsidRPr="00910346">
        <w:t xml:space="preserve">. It is unclear whether this was </w:t>
      </w:r>
      <w:r w:rsidR="001143DF" w:rsidRPr="00910346">
        <w:t>due to</w:t>
      </w:r>
      <w:r w:rsidRPr="00910346">
        <w:t xml:space="preserve"> the different PRP antigen forms between the two hexavalent vaccines. In </w:t>
      </w:r>
      <w:proofErr w:type="spellStart"/>
      <w:r w:rsidRPr="00910346">
        <w:t>Vaxelis</w:t>
      </w:r>
      <w:proofErr w:type="spellEnd"/>
      <w:r w:rsidRPr="00910346">
        <w:t xml:space="preserve">, PRP (3 µg) was conjugated to the outer membrane protein complex (OMPC 50 µg) of Neisseria meningitides compared to Infanrix </w:t>
      </w:r>
      <w:proofErr w:type="spellStart"/>
      <w:r w:rsidR="00AE2917">
        <w:t>Hexa</w:t>
      </w:r>
      <w:proofErr w:type="spellEnd"/>
      <w:r w:rsidRPr="00910346">
        <w:t xml:space="preserve"> where PRP (10 µg) was bound to tetanus toxoid (TT ~25 µg).</w:t>
      </w:r>
    </w:p>
    <w:p w14:paraId="75E350DD" w14:textId="6591D7D1" w:rsidR="00772731" w:rsidRPr="00910346" w:rsidRDefault="00772731" w:rsidP="00D21E03">
      <w:pPr>
        <w:pStyle w:val="3-BodyText"/>
      </w:pPr>
      <w:r w:rsidRPr="00910346">
        <w:t>Tertiary immunogenicity analyses showed that the anti-PRP</w:t>
      </w:r>
      <w:r w:rsidR="008169BB" w:rsidRPr="00910346">
        <w:t xml:space="preserve"> geometric mean titre</w:t>
      </w:r>
      <w:r w:rsidRPr="00910346">
        <w:t xml:space="preserve"> </w:t>
      </w:r>
      <w:r w:rsidR="008169BB" w:rsidRPr="00910346">
        <w:t>(</w:t>
      </w:r>
      <w:r w:rsidRPr="00910346">
        <w:t>GMT</w:t>
      </w:r>
      <w:r w:rsidR="008169BB" w:rsidRPr="00910346">
        <w:t>)</w:t>
      </w:r>
      <w:r w:rsidRPr="00910346">
        <w:t xml:space="preserve"> was significantly higher in subjects who received </w:t>
      </w:r>
      <w:proofErr w:type="spellStart"/>
      <w:r w:rsidRPr="00910346">
        <w:t>Vaxelis</w:t>
      </w:r>
      <w:proofErr w:type="spellEnd"/>
      <w:r w:rsidRPr="00910346">
        <w:t xml:space="preserve"> compared to subjects </w:t>
      </w:r>
      <w:r w:rsidRPr="00910346">
        <w:lastRenderedPageBreak/>
        <w:t xml:space="preserve">who received Infanrix </w:t>
      </w:r>
      <w:proofErr w:type="spellStart"/>
      <w:r w:rsidR="00AE2917">
        <w:t>Hexa</w:t>
      </w:r>
      <w:proofErr w:type="spellEnd"/>
      <w:r w:rsidRPr="00910346">
        <w:t xml:space="preserve"> at </w:t>
      </w:r>
      <w:proofErr w:type="gramStart"/>
      <w:r w:rsidRPr="00910346">
        <w:t>one month</w:t>
      </w:r>
      <w:proofErr w:type="gramEnd"/>
      <w:r w:rsidRPr="00910346">
        <w:t xml:space="preserve"> post-Dose 3 (3.90 vs 0.65) and at Month 12 pre-Toddler dose (1.19 vs 0.24). However, the higher anti-PRP GMT in </w:t>
      </w:r>
      <w:proofErr w:type="spellStart"/>
      <w:r w:rsidRPr="00910346">
        <w:t>Vaxelis</w:t>
      </w:r>
      <w:proofErr w:type="spellEnd"/>
      <w:r w:rsidRPr="00910346">
        <w:t xml:space="preserve"> was not sustained after the post-Toddler</w:t>
      </w:r>
      <w:r w:rsidR="00F714DD" w:rsidRPr="00910346">
        <w:t xml:space="preserve"> (booster)</w:t>
      </w:r>
      <w:r w:rsidRPr="00910346">
        <w:t xml:space="preserve"> dose</w:t>
      </w:r>
      <w:r w:rsidR="009A720C" w:rsidRPr="00910346">
        <w:t>;</w:t>
      </w:r>
      <w:r w:rsidRPr="00910346">
        <w:t xml:space="preserve"> the anti-PRP GMT was lower in subjects who received </w:t>
      </w:r>
      <w:proofErr w:type="spellStart"/>
      <w:r w:rsidR="006B1B88" w:rsidRPr="00910346">
        <w:t>Vaxelis</w:t>
      </w:r>
      <w:proofErr w:type="spellEnd"/>
      <w:r w:rsidRPr="00910346">
        <w:t xml:space="preserve"> </w:t>
      </w:r>
      <w:r w:rsidR="009A720C" w:rsidRPr="00910346">
        <w:t>(6.79 (95% CI: 6.11 to 7.54)) versus</w:t>
      </w:r>
      <w:r w:rsidRPr="00910346">
        <w:t xml:space="preserve"> subjects who received Infanrix </w:t>
      </w:r>
      <w:proofErr w:type="spellStart"/>
      <w:r w:rsidR="00AE2917">
        <w:t>Hexa</w:t>
      </w:r>
      <w:proofErr w:type="spellEnd"/>
      <w:r w:rsidR="009A720C" w:rsidRPr="00910346">
        <w:t xml:space="preserve"> (21.39 (95% CI: 18.77 to 24.37)).</w:t>
      </w:r>
      <w:r w:rsidRPr="00910346">
        <w:t xml:space="preserve"> This may be indicative of more rapid waning of immunity against PRP </w:t>
      </w:r>
      <w:r w:rsidR="009A720C" w:rsidRPr="00910346">
        <w:t xml:space="preserve">in the </w:t>
      </w:r>
      <w:proofErr w:type="spellStart"/>
      <w:r w:rsidR="009A720C" w:rsidRPr="00910346">
        <w:t>Vaxelis</w:t>
      </w:r>
      <w:proofErr w:type="spellEnd"/>
      <w:r w:rsidR="009A720C" w:rsidRPr="00910346">
        <w:t xml:space="preserve"> group</w:t>
      </w:r>
      <w:r w:rsidRPr="00910346">
        <w:t>.</w:t>
      </w:r>
      <w:r w:rsidR="00D21E03" w:rsidRPr="00910346">
        <w:t xml:space="preserve"> However, an early high Hib response with an OMPC-based vaccine may benefit </w:t>
      </w:r>
      <w:r w:rsidR="000601CA" w:rsidRPr="00910346">
        <w:t xml:space="preserve">indigenous </w:t>
      </w:r>
      <w:r w:rsidR="00D21E03" w:rsidRPr="00910346">
        <w:t>infants in whom the disease burden is higher at an early age.</w:t>
      </w:r>
    </w:p>
    <w:p w14:paraId="2CA21936" w14:textId="271155AD" w:rsidR="00772731" w:rsidRPr="00910346" w:rsidRDefault="009A720C" w:rsidP="00772731">
      <w:pPr>
        <w:pStyle w:val="3-BodyText"/>
      </w:pPr>
      <w:r w:rsidRPr="00910346">
        <w:t>Additional t</w:t>
      </w:r>
      <w:r w:rsidR="00772731" w:rsidRPr="00910346">
        <w:t xml:space="preserve">ertiary immunogenicity analyses, </w:t>
      </w:r>
      <w:r w:rsidR="00772731" w:rsidRPr="00910346">
        <w:rPr>
          <w:u w:val="single"/>
        </w:rPr>
        <w:t xml:space="preserve">at </w:t>
      </w:r>
      <w:proofErr w:type="gramStart"/>
      <w:r w:rsidR="00772731" w:rsidRPr="00910346">
        <w:rPr>
          <w:u w:val="single"/>
        </w:rPr>
        <w:t>one month</w:t>
      </w:r>
      <w:proofErr w:type="gramEnd"/>
      <w:r w:rsidR="00772731" w:rsidRPr="00910346">
        <w:rPr>
          <w:u w:val="single"/>
        </w:rPr>
        <w:t xml:space="preserve"> post-Dose 3</w:t>
      </w:r>
      <w:r w:rsidR="00772731" w:rsidRPr="00910346">
        <w:t xml:space="preserve"> (post primary series), were also presented in the CSR</w:t>
      </w:r>
      <w:r w:rsidRPr="00910346">
        <w:t xml:space="preserve"> for Study 007</w:t>
      </w:r>
      <w:r w:rsidR="00772731" w:rsidRPr="00910346">
        <w:t xml:space="preserve">. </w:t>
      </w:r>
      <w:proofErr w:type="spellStart"/>
      <w:r w:rsidR="00772731" w:rsidRPr="00910346">
        <w:t>Seroresponse</w:t>
      </w:r>
      <w:proofErr w:type="spellEnd"/>
      <w:r w:rsidR="00772731" w:rsidRPr="00910346">
        <w:t xml:space="preserve"> rates were significantly lower in the </w:t>
      </w:r>
      <w:proofErr w:type="spellStart"/>
      <w:r w:rsidR="00772731" w:rsidRPr="00910346">
        <w:t>Vaxelis</w:t>
      </w:r>
      <w:proofErr w:type="spellEnd"/>
      <w:r w:rsidR="00772731" w:rsidRPr="00910346">
        <w:t xml:space="preserve"> group compared to the Infanrix </w:t>
      </w:r>
      <w:proofErr w:type="spellStart"/>
      <w:r w:rsidR="00AE2917">
        <w:t>Hexa</w:t>
      </w:r>
      <w:proofErr w:type="spellEnd"/>
      <w:r w:rsidR="00772731" w:rsidRPr="00910346">
        <w:t xml:space="preserve"> group (with non-overlapping 95% CIs) for</w:t>
      </w:r>
      <w:r w:rsidR="00720B76" w:rsidRPr="00910346">
        <w:t xml:space="preserve"> the following pertussis components</w:t>
      </w:r>
      <w:r w:rsidR="00772731" w:rsidRPr="00910346">
        <w:t>:</w:t>
      </w:r>
    </w:p>
    <w:p w14:paraId="61ADE7E2" w14:textId="1C9C2102" w:rsidR="00772731" w:rsidRPr="00910346" w:rsidRDefault="00772731" w:rsidP="009A0C3B">
      <w:pPr>
        <w:pStyle w:val="3-BodyText"/>
        <w:numPr>
          <w:ilvl w:val="0"/>
          <w:numId w:val="7"/>
        </w:numPr>
        <w:ind w:left="1148" w:hanging="439"/>
        <w:rPr>
          <w:iCs/>
          <w:snapToGrid/>
        </w:rPr>
      </w:pPr>
      <w:r w:rsidRPr="00910346">
        <w:rPr>
          <w:iCs/>
          <w:snapToGrid/>
        </w:rPr>
        <w:t xml:space="preserve">PRN: </w:t>
      </w:r>
      <w:proofErr w:type="spellStart"/>
      <w:r w:rsidR="008169BB" w:rsidRPr="00910346">
        <w:t>Vaxelis</w:t>
      </w:r>
      <w:proofErr w:type="spellEnd"/>
      <w:r w:rsidR="008169BB" w:rsidRPr="00910346">
        <w:t xml:space="preserve"> </w:t>
      </w:r>
      <w:r w:rsidRPr="00910346">
        <w:rPr>
          <w:iCs/>
          <w:snapToGrid/>
        </w:rPr>
        <w:t xml:space="preserve">86.74% (95% CI: 83.55%, 89.52%) versus </w:t>
      </w:r>
      <w:r w:rsidR="008169BB" w:rsidRPr="00910346">
        <w:t xml:space="preserve">Infanrix </w:t>
      </w:r>
      <w:proofErr w:type="spellStart"/>
      <w:r w:rsidR="00AE2917">
        <w:t>Hexa</w:t>
      </w:r>
      <w:proofErr w:type="spellEnd"/>
      <w:r w:rsidR="008169BB" w:rsidRPr="00910346">
        <w:rPr>
          <w:iCs/>
          <w:snapToGrid/>
        </w:rPr>
        <w:t xml:space="preserve"> </w:t>
      </w:r>
      <w:r w:rsidRPr="00910346">
        <w:rPr>
          <w:iCs/>
          <w:snapToGrid/>
        </w:rPr>
        <w:t>92.32% (95% CI: 89.65%, 94.48%); and</w:t>
      </w:r>
    </w:p>
    <w:p w14:paraId="67A5BCF0" w14:textId="3A6F5B25" w:rsidR="00772731" w:rsidRPr="00910346" w:rsidRDefault="00772731" w:rsidP="009A0C3B">
      <w:pPr>
        <w:pStyle w:val="3-BodyText"/>
        <w:numPr>
          <w:ilvl w:val="0"/>
          <w:numId w:val="7"/>
        </w:numPr>
        <w:ind w:left="1148" w:hanging="439"/>
        <w:rPr>
          <w:iCs/>
          <w:snapToGrid/>
        </w:rPr>
      </w:pPr>
      <w:r w:rsidRPr="00910346">
        <w:rPr>
          <w:iCs/>
          <w:snapToGrid/>
        </w:rPr>
        <w:t xml:space="preserve">FHA: </w:t>
      </w:r>
      <w:proofErr w:type="spellStart"/>
      <w:r w:rsidR="008169BB" w:rsidRPr="00910346">
        <w:t>Vaxelis</w:t>
      </w:r>
      <w:proofErr w:type="spellEnd"/>
      <w:r w:rsidR="008169BB" w:rsidRPr="00910346">
        <w:t xml:space="preserve"> </w:t>
      </w:r>
      <w:r w:rsidRPr="00910346">
        <w:rPr>
          <w:iCs/>
          <w:snapToGrid/>
        </w:rPr>
        <w:t xml:space="preserve">89.02% (95% CI: 86.03%, 91.55%) versus </w:t>
      </w:r>
      <w:r w:rsidR="008169BB" w:rsidRPr="00910346">
        <w:t xml:space="preserve">Infanrix </w:t>
      </w:r>
      <w:proofErr w:type="spellStart"/>
      <w:r w:rsidR="00AE2917">
        <w:t>Hexa</w:t>
      </w:r>
      <w:proofErr w:type="spellEnd"/>
      <w:r w:rsidR="008169BB" w:rsidRPr="00910346">
        <w:rPr>
          <w:iCs/>
          <w:snapToGrid/>
        </w:rPr>
        <w:t xml:space="preserve"> </w:t>
      </w:r>
      <w:r w:rsidRPr="00910346">
        <w:rPr>
          <w:iCs/>
          <w:snapToGrid/>
        </w:rPr>
        <w:t>96.65% (95% CI: 94.70%, 98.04%).</w:t>
      </w:r>
    </w:p>
    <w:p w14:paraId="3A5B0BD9" w14:textId="5D086AD7" w:rsidR="0026744D" w:rsidRPr="0026744D" w:rsidRDefault="0026744D" w:rsidP="0026744D">
      <w:pPr>
        <w:pStyle w:val="3-BodyText"/>
        <w:rPr>
          <w:snapToGrid/>
        </w:rPr>
      </w:pPr>
      <w:r w:rsidRPr="0026744D">
        <w:rPr>
          <w:snapToGrid/>
        </w:rPr>
        <w:t xml:space="preserve">Secondary analysis for the concomitant administration with </w:t>
      </w:r>
      <w:proofErr w:type="spellStart"/>
      <w:r w:rsidRPr="0026744D">
        <w:rPr>
          <w:snapToGrid/>
        </w:rPr>
        <w:t>ProQuad</w:t>
      </w:r>
      <w:proofErr w:type="spellEnd"/>
      <w:r w:rsidRPr="0026744D">
        <w:rPr>
          <w:snapToGrid/>
        </w:rPr>
        <w:t xml:space="preserve"> (</w:t>
      </w:r>
      <w:r w:rsidR="008169BB">
        <w:rPr>
          <w:snapToGrid/>
        </w:rPr>
        <w:t>MMRV</w:t>
      </w:r>
      <w:r w:rsidRPr="0026744D">
        <w:rPr>
          <w:snapToGrid/>
        </w:rPr>
        <w:t xml:space="preserve"> combination vaccine) indicated that</w:t>
      </w:r>
      <w:r w:rsidRPr="0026744D">
        <w:rPr>
          <w:iCs/>
          <w:snapToGrid/>
        </w:rPr>
        <w:t xml:space="preserve"> the group difference in rates (</w:t>
      </w:r>
      <w:proofErr w:type="spellStart"/>
      <w:r w:rsidRPr="0026744D">
        <w:rPr>
          <w:iCs/>
          <w:snapToGrid/>
        </w:rPr>
        <w:t>Vaxelis</w:t>
      </w:r>
      <w:proofErr w:type="spellEnd"/>
      <w:r w:rsidRPr="0026744D">
        <w:rPr>
          <w:iCs/>
          <w:snapToGrid/>
        </w:rPr>
        <w:t xml:space="preserve"> with </w:t>
      </w:r>
      <w:proofErr w:type="spellStart"/>
      <w:r w:rsidRPr="0026744D">
        <w:rPr>
          <w:iCs/>
          <w:snapToGrid/>
        </w:rPr>
        <w:t>ProQuad</w:t>
      </w:r>
      <w:proofErr w:type="spellEnd"/>
      <w:r w:rsidRPr="0026744D">
        <w:rPr>
          <w:iCs/>
          <w:snapToGrid/>
        </w:rPr>
        <w:t xml:space="preserve"> group vs. Infanrix </w:t>
      </w:r>
      <w:proofErr w:type="spellStart"/>
      <w:r w:rsidR="00A80250">
        <w:rPr>
          <w:iCs/>
          <w:snapToGrid/>
        </w:rPr>
        <w:t>H</w:t>
      </w:r>
      <w:r w:rsidRPr="0026744D">
        <w:rPr>
          <w:iCs/>
          <w:snapToGrid/>
        </w:rPr>
        <w:t>exa</w:t>
      </w:r>
      <w:proofErr w:type="spellEnd"/>
      <w:r w:rsidRPr="0026744D">
        <w:rPr>
          <w:iCs/>
          <w:snapToGrid/>
        </w:rPr>
        <w:t xml:space="preserve"> with </w:t>
      </w:r>
      <w:proofErr w:type="spellStart"/>
      <w:r w:rsidRPr="0026744D">
        <w:rPr>
          <w:iCs/>
          <w:snapToGrid/>
        </w:rPr>
        <w:t>ProQuad</w:t>
      </w:r>
      <w:proofErr w:type="spellEnd"/>
      <w:r w:rsidRPr="0026744D">
        <w:rPr>
          <w:iCs/>
          <w:snapToGrid/>
        </w:rPr>
        <w:t xml:space="preserve"> group)</w:t>
      </w:r>
      <w:r w:rsidR="00FA314A">
        <w:rPr>
          <w:iCs/>
          <w:snapToGrid/>
        </w:rPr>
        <w:t xml:space="preserve"> met the prespecified non-inferiority criteria</w:t>
      </w:r>
      <w:r w:rsidRPr="0026744D">
        <w:rPr>
          <w:iCs/>
          <w:snapToGrid/>
        </w:rPr>
        <w:t xml:space="preserve"> </w:t>
      </w:r>
      <w:r w:rsidR="00AB477A">
        <w:rPr>
          <w:iCs/>
          <w:snapToGrid/>
        </w:rPr>
        <w:t>for all</w:t>
      </w:r>
      <w:r w:rsidRPr="0026744D">
        <w:rPr>
          <w:iCs/>
          <w:snapToGrid/>
        </w:rPr>
        <w:t xml:space="preserve"> prespecified endpoints, indicating that </w:t>
      </w:r>
      <w:proofErr w:type="spellStart"/>
      <w:r w:rsidRPr="0026744D">
        <w:rPr>
          <w:iCs/>
          <w:snapToGrid/>
        </w:rPr>
        <w:t>Vaxelis</w:t>
      </w:r>
      <w:proofErr w:type="spellEnd"/>
      <w:r w:rsidRPr="0026744D">
        <w:rPr>
          <w:iCs/>
          <w:snapToGrid/>
        </w:rPr>
        <w:t xml:space="preserve"> was non-inferior to Infanrix </w:t>
      </w:r>
      <w:proofErr w:type="spellStart"/>
      <w:r w:rsidR="00AE2917">
        <w:rPr>
          <w:iCs/>
          <w:snapToGrid/>
        </w:rPr>
        <w:t>Hexa</w:t>
      </w:r>
      <w:proofErr w:type="spellEnd"/>
      <w:r w:rsidRPr="0026744D">
        <w:rPr>
          <w:iCs/>
          <w:snapToGrid/>
        </w:rPr>
        <w:t xml:space="preserve"> </w:t>
      </w:r>
      <w:r w:rsidR="00465BD7">
        <w:rPr>
          <w:iCs/>
          <w:snapToGrid/>
        </w:rPr>
        <w:t>when used concomitantly</w:t>
      </w:r>
      <w:r w:rsidRPr="0026744D">
        <w:rPr>
          <w:iCs/>
          <w:snapToGrid/>
        </w:rPr>
        <w:t xml:space="preserve"> with </w:t>
      </w:r>
      <w:proofErr w:type="spellStart"/>
      <w:r w:rsidRPr="0026744D">
        <w:rPr>
          <w:iCs/>
          <w:snapToGrid/>
        </w:rPr>
        <w:t>ProQuad</w:t>
      </w:r>
      <w:proofErr w:type="spellEnd"/>
      <w:r w:rsidR="00700FE6">
        <w:rPr>
          <w:iCs/>
          <w:snapToGrid/>
        </w:rPr>
        <w:t>.</w:t>
      </w:r>
    </w:p>
    <w:p w14:paraId="406DF128" w14:textId="77777777" w:rsidR="00772731" w:rsidRDefault="00772731" w:rsidP="00772731">
      <w:pPr>
        <w:pStyle w:val="5-SubsectionSubheading"/>
      </w:pPr>
      <w:bookmarkStart w:id="25" w:name="_Toc93503676"/>
      <w:r>
        <w:t>Study 008</w:t>
      </w:r>
      <w:bookmarkEnd w:id="25"/>
    </w:p>
    <w:p w14:paraId="58F50511" w14:textId="1B22CA61" w:rsidR="00351C7B" w:rsidRDefault="00574AB4" w:rsidP="00574AB4">
      <w:pPr>
        <w:pStyle w:val="3-BodyText"/>
      </w:pPr>
      <w:r w:rsidRPr="00574AB4">
        <w:t>Immunogenicity analyses were</w:t>
      </w:r>
      <w:r>
        <w:t xml:space="preserve"> based on the PP-RW population</w:t>
      </w:r>
      <w:r>
        <w:rPr>
          <w:rStyle w:val="FootnoteReference"/>
        </w:rPr>
        <w:footnoteReference w:id="8"/>
      </w:r>
      <w:r>
        <w:t>.</w:t>
      </w:r>
      <w:r w:rsidR="000315F7">
        <w:t xml:space="preserve"> </w:t>
      </w:r>
      <w:r w:rsidR="0032505C">
        <w:t xml:space="preserve">Response was reported at </w:t>
      </w:r>
      <w:proofErr w:type="gramStart"/>
      <w:r w:rsidR="0032505C">
        <w:t>one</w:t>
      </w:r>
      <w:r w:rsidR="000315F7">
        <w:t xml:space="preserve"> month</w:t>
      </w:r>
      <w:proofErr w:type="gramEnd"/>
      <w:r w:rsidR="000315F7">
        <w:t xml:space="preserve"> post-Dose 2 (i.e. 5 months) and </w:t>
      </w:r>
      <w:r w:rsidR="0032505C">
        <w:t>one</w:t>
      </w:r>
      <w:r w:rsidR="000315F7">
        <w:t xml:space="preserve"> month post-Toddler dose (i.e. about 12 months).</w:t>
      </w:r>
    </w:p>
    <w:p w14:paraId="54C968AB" w14:textId="261BC824" w:rsidR="00772731" w:rsidRDefault="00772731" w:rsidP="00772731">
      <w:pPr>
        <w:pStyle w:val="3-BodyText"/>
      </w:pPr>
      <w:r>
        <w:t xml:space="preserve">In </w:t>
      </w:r>
      <w:r w:rsidR="00E46328">
        <w:t>S</w:t>
      </w:r>
      <w:r>
        <w:t>tudy 008, t</w:t>
      </w:r>
      <w:r w:rsidRPr="005038D9">
        <w:t xml:space="preserve">he proportion of subjects with anti-PRP ≥1.0 </w:t>
      </w:r>
      <w:proofErr w:type="spellStart"/>
      <w:r w:rsidRPr="005038D9">
        <w:t>μg</w:t>
      </w:r>
      <w:proofErr w:type="spellEnd"/>
      <w:r w:rsidRPr="005038D9">
        <w:t xml:space="preserve">/mL, at one month post-Dose 2, was 72.86% for the </w:t>
      </w:r>
      <w:proofErr w:type="spellStart"/>
      <w:r w:rsidRPr="005038D9">
        <w:t>Vaxelis</w:t>
      </w:r>
      <w:proofErr w:type="spellEnd"/>
      <w:r w:rsidRPr="005038D9">
        <w:t xml:space="preserve"> group versus 26.66% for the Infanrix </w:t>
      </w:r>
      <w:proofErr w:type="spellStart"/>
      <w:r w:rsidR="00AE2917">
        <w:t>Hexa</w:t>
      </w:r>
      <w:proofErr w:type="spellEnd"/>
      <w:r w:rsidRPr="005038D9">
        <w:t xml:space="preserve"> group ( </w:t>
      </w:r>
      <w:proofErr w:type="spellStart"/>
      <w:r w:rsidRPr="005038D9">
        <w:t>Vaxelis</w:t>
      </w:r>
      <w:proofErr w:type="spellEnd"/>
      <w:r w:rsidRPr="005038D9">
        <w:t xml:space="preserve"> group minus Infanrix </w:t>
      </w:r>
      <w:proofErr w:type="spellStart"/>
      <w:r w:rsidR="00AE2917">
        <w:t>Hexa</w:t>
      </w:r>
      <w:proofErr w:type="spellEnd"/>
      <w:r w:rsidRPr="005038D9">
        <w:t xml:space="preserve"> group: 46.20% (95% CI: 41.05, 51.06); p-value &lt;0.001); the lower limit of the 2-sided 95% CI for the difference in response rates </w:t>
      </w:r>
      <w:r w:rsidR="00AB477A">
        <w:t xml:space="preserve">was </w:t>
      </w:r>
      <w:r w:rsidRPr="005038D9">
        <w:t>&gt; 0, thus &gt; -10%, indicating that both non-inferiority and superiority criteria were met</w:t>
      </w:r>
      <w:r>
        <w:t>.</w:t>
      </w:r>
    </w:p>
    <w:p w14:paraId="366BBB90" w14:textId="12D9E6D8" w:rsidR="0073556A" w:rsidRPr="00910346" w:rsidRDefault="00772731" w:rsidP="0073556A">
      <w:pPr>
        <w:pStyle w:val="3-BodyText"/>
      </w:pPr>
      <w:r w:rsidRPr="00472AAB">
        <w:t xml:space="preserve">Non-inferiority analysis of </w:t>
      </w:r>
      <w:proofErr w:type="spellStart"/>
      <w:r w:rsidRPr="00472AAB">
        <w:t>Vaxelis</w:t>
      </w:r>
      <w:proofErr w:type="spellEnd"/>
      <w:r w:rsidRPr="00472AAB">
        <w:t xml:space="preserve"> antigen </w:t>
      </w:r>
      <w:r w:rsidRPr="0073556A">
        <w:t xml:space="preserve">responses versus Infanrix </w:t>
      </w:r>
      <w:proofErr w:type="spellStart"/>
      <w:r w:rsidR="00A80250">
        <w:t>H</w:t>
      </w:r>
      <w:r w:rsidRPr="0073556A">
        <w:t>exa</w:t>
      </w:r>
      <w:proofErr w:type="spellEnd"/>
      <w:r w:rsidRPr="0073556A">
        <w:t xml:space="preserve">, </w:t>
      </w:r>
      <w:proofErr w:type="gramStart"/>
      <w:r w:rsidRPr="0073556A">
        <w:t>one month</w:t>
      </w:r>
      <w:proofErr w:type="gramEnd"/>
      <w:r w:rsidRPr="0073556A">
        <w:t xml:space="preserve"> post-Toddler dose</w:t>
      </w:r>
      <w:r w:rsidR="0073556A" w:rsidRPr="0073556A">
        <w:t xml:space="preserve"> (about 12 months)</w:t>
      </w:r>
      <w:r w:rsidR="004543F8" w:rsidRPr="0073556A">
        <w:t xml:space="preserve">, </w:t>
      </w:r>
      <w:r w:rsidRPr="0073556A">
        <w:t xml:space="preserve">is presented </w:t>
      </w:r>
      <w:r w:rsidR="002B16A5">
        <w:t xml:space="preserve">in Table </w:t>
      </w:r>
      <w:r w:rsidR="009B7F56">
        <w:t>5</w:t>
      </w:r>
      <w:r w:rsidRPr="0073556A">
        <w:t xml:space="preserve">. </w:t>
      </w:r>
      <w:r w:rsidR="004543F8" w:rsidRPr="00910346">
        <w:t>In</w:t>
      </w:r>
      <w:r w:rsidRPr="00910346">
        <w:t xml:space="preserve"> the </w:t>
      </w:r>
      <w:r w:rsidR="0073556A" w:rsidRPr="00910346">
        <w:t xml:space="preserve">current Australian clinical practice </w:t>
      </w:r>
      <w:r w:rsidRPr="00910346">
        <w:t>setting</w:t>
      </w:r>
      <w:r w:rsidR="0073556A" w:rsidRPr="00910346">
        <w:t xml:space="preserve"> (NIP)</w:t>
      </w:r>
      <w:r w:rsidRPr="00910346">
        <w:t xml:space="preserve">, </w:t>
      </w:r>
      <w:r w:rsidR="0073556A" w:rsidRPr="00910346">
        <w:t xml:space="preserve">booster doses </w:t>
      </w:r>
      <w:r w:rsidR="00F16DF6" w:rsidRPr="00910346">
        <w:t>limited to</w:t>
      </w:r>
      <w:r w:rsidR="0073556A" w:rsidRPr="00910346">
        <w:t xml:space="preserve"> </w:t>
      </w:r>
      <w:proofErr w:type="spellStart"/>
      <w:r w:rsidR="0073556A" w:rsidRPr="00910346">
        <w:t>DTPa</w:t>
      </w:r>
      <w:proofErr w:type="spellEnd"/>
      <w:r w:rsidR="0073556A" w:rsidRPr="00910346">
        <w:t xml:space="preserve"> and monovalent Hib are administered at 18 months</w:t>
      </w:r>
      <w:r w:rsidR="00262058" w:rsidRPr="00910346">
        <w:t xml:space="preserve"> only</w:t>
      </w:r>
      <w:r w:rsidR="0073556A" w:rsidRPr="00910346">
        <w:t>.</w:t>
      </w:r>
    </w:p>
    <w:p w14:paraId="08C77AA8" w14:textId="0E71FE0C" w:rsidR="00772731" w:rsidRDefault="00772731" w:rsidP="00772731">
      <w:pPr>
        <w:pStyle w:val="TableFigureHeading"/>
      </w:pPr>
      <w:r>
        <w:lastRenderedPageBreak/>
        <w:t xml:space="preserve">Table </w:t>
      </w:r>
      <w:fldSimple w:instr=" SEQ Table \* ARABIC ">
        <w:r w:rsidR="00B5627B">
          <w:rPr>
            <w:noProof/>
          </w:rPr>
          <w:t>5</w:t>
        </w:r>
      </w:fldSimple>
      <w:r>
        <w:t xml:space="preserve">: </w:t>
      </w:r>
      <w:r w:rsidRPr="00472AAB">
        <w:t xml:space="preserve">Study 008: Antigen immunogenicity of </w:t>
      </w:r>
      <w:proofErr w:type="spellStart"/>
      <w:r w:rsidRPr="00472AAB">
        <w:t>Vaxelis</w:t>
      </w:r>
      <w:proofErr w:type="spellEnd"/>
      <w:r w:rsidRPr="00472AAB">
        <w:t xml:space="preserve"> vs Infanrix </w:t>
      </w:r>
      <w:proofErr w:type="spellStart"/>
      <w:r w:rsidR="00AE2917">
        <w:t>Hexa</w:t>
      </w:r>
      <w:proofErr w:type="spellEnd"/>
      <w:r w:rsidRPr="00472AAB">
        <w:t xml:space="preserve">, </w:t>
      </w:r>
      <w:proofErr w:type="gramStart"/>
      <w:r w:rsidRPr="00472AAB">
        <w:t>1 month</w:t>
      </w:r>
      <w:proofErr w:type="gramEnd"/>
      <w:r w:rsidRPr="00472AAB">
        <w:t xml:space="preserve"> post-Toddler dose</w:t>
      </w:r>
      <w:r w:rsidR="0073556A">
        <w:t xml:space="preserve"> (around 12 months</w:t>
      </w:r>
      <w:r w:rsidR="00351C7B">
        <w:t xml:space="preserve"> of age</w:t>
      </w:r>
      <w:r w:rsidR="0073556A">
        <w:t>)</w:t>
      </w:r>
      <w:r w:rsidR="00351C7B">
        <w:t xml:space="preserve"> (PP-RW population)</w:t>
      </w:r>
    </w:p>
    <w:tbl>
      <w:tblPr>
        <w:tblStyle w:val="TableGrid1"/>
        <w:tblW w:w="5000" w:type="pct"/>
        <w:tblLook w:val="01E0" w:firstRow="1" w:lastRow="1" w:firstColumn="1" w:lastColumn="1" w:noHBand="0" w:noVBand="0"/>
        <w:tblCaption w:val="Table 5: Study 008: Antigen immunogenicity of Vaxelis vs Infanrix Hexa, 1 month post-Toddler dose (around 12 months of age) (PP-RW population)"/>
      </w:tblPr>
      <w:tblGrid>
        <w:gridCol w:w="818"/>
        <w:gridCol w:w="964"/>
        <w:gridCol w:w="2249"/>
        <w:gridCol w:w="1119"/>
        <w:gridCol w:w="1261"/>
        <w:gridCol w:w="1671"/>
        <w:gridCol w:w="938"/>
      </w:tblGrid>
      <w:tr w:rsidR="00772731" w:rsidRPr="00472AAB" w14:paraId="636E190D" w14:textId="77777777" w:rsidTr="00F87292">
        <w:trPr>
          <w:cantSplit/>
          <w:trHeight w:val="340"/>
          <w:tblHeader/>
        </w:trPr>
        <w:tc>
          <w:tcPr>
            <w:tcW w:w="399" w:type="pct"/>
            <w:vMerge w:val="restart"/>
          </w:tcPr>
          <w:p w14:paraId="67B93760"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Time</w:t>
            </w:r>
          </w:p>
        </w:tc>
        <w:tc>
          <w:tcPr>
            <w:tcW w:w="542" w:type="pct"/>
            <w:vMerge w:val="restart"/>
          </w:tcPr>
          <w:p w14:paraId="478E4E7E"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Antigen</w:t>
            </w:r>
          </w:p>
        </w:tc>
        <w:tc>
          <w:tcPr>
            <w:tcW w:w="1258" w:type="pct"/>
            <w:vMerge w:val="restart"/>
          </w:tcPr>
          <w:p w14:paraId="396611D7"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Endpoint</w:t>
            </w:r>
          </w:p>
        </w:tc>
        <w:tc>
          <w:tcPr>
            <w:tcW w:w="1337" w:type="pct"/>
            <w:gridSpan w:val="2"/>
          </w:tcPr>
          <w:p w14:paraId="1BC72552"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Estimated</w:t>
            </w:r>
            <w:r w:rsidRPr="00472AAB">
              <w:rPr>
                <w:rFonts w:ascii="Arial Narrow" w:hAnsi="Arial Narrow" w:cs="Times New Roman"/>
                <w:b/>
                <w:spacing w:val="-3"/>
                <w:sz w:val="20"/>
              </w:rPr>
              <w:t xml:space="preserve"> </w:t>
            </w:r>
            <w:r w:rsidRPr="00472AAB">
              <w:rPr>
                <w:rFonts w:ascii="Arial Narrow" w:hAnsi="Arial Narrow" w:cs="Times New Roman"/>
                <w:b/>
                <w:sz w:val="20"/>
              </w:rPr>
              <w:t>response,</w:t>
            </w:r>
            <w:r w:rsidRPr="00472AAB">
              <w:rPr>
                <w:rFonts w:ascii="Arial Narrow" w:hAnsi="Arial Narrow" w:cs="Times New Roman"/>
                <w:b/>
                <w:spacing w:val="-2"/>
                <w:sz w:val="20"/>
              </w:rPr>
              <w:t xml:space="preserve"> </w:t>
            </w:r>
            <w:r w:rsidRPr="00472AAB">
              <w:rPr>
                <w:rFonts w:ascii="Arial Narrow" w:hAnsi="Arial Narrow" w:cs="Times New Roman"/>
                <w:b/>
                <w:sz w:val="20"/>
              </w:rPr>
              <w:t>n (%)</w:t>
            </w:r>
          </w:p>
        </w:tc>
        <w:tc>
          <w:tcPr>
            <w:tcW w:w="935" w:type="pct"/>
            <w:vMerge w:val="restart"/>
          </w:tcPr>
          <w:p w14:paraId="3B440604" w14:textId="77777777" w:rsidR="007C5066" w:rsidRDefault="00772731" w:rsidP="00F87292">
            <w:pPr>
              <w:jc w:val="left"/>
              <w:rPr>
                <w:rFonts w:ascii="Arial Narrow" w:hAnsi="Arial Narrow" w:cs="Times New Roman"/>
                <w:b/>
                <w:spacing w:val="-1"/>
                <w:sz w:val="20"/>
              </w:rPr>
            </w:pPr>
            <w:r w:rsidRPr="00472AAB">
              <w:rPr>
                <w:rFonts w:ascii="Arial Narrow" w:hAnsi="Arial Narrow" w:cs="Times New Roman"/>
                <w:b/>
                <w:sz w:val="20"/>
              </w:rPr>
              <w:t>Estimated</w:t>
            </w:r>
            <w:r w:rsidRPr="00472AAB">
              <w:rPr>
                <w:rFonts w:ascii="Arial Narrow" w:hAnsi="Arial Narrow" w:cs="Times New Roman"/>
                <w:b/>
                <w:spacing w:val="1"/>
                <w:sz w:val="20"/>
              </w:rPr>
              <w:t xml:space="preserve"> </w:t>
            </w:r>
            <w:r w:rsidRPr="00472AAB">
              <w:rPr>
                <w:rFonts w:ascii="Arial Narrow" w:hAnsi="Arial Narrow" w:cs="Times New Roman"/>
                <w:b/>
                <w:spacing w:val="-1"/>
                <w:sz w:val="20"/>
              </w:rPr>
              <w:t xml:space="preserve">difference, </w:t>
            </w:r>
          </w:p>
          <w:p w14:paraId="41EF87D1" w14:textId="4E54C4EF"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w:t>
            </w:r>
            <w:r w:rsidR="00AF5BE1">
              <w:rPr>
                <w:rFonts w:ascii="Arial Narrow" w:hAnsi="Arial Narrow" w:cs="Times New Roman"/>
                <w:b/>
                <w:sz w:val="20"/>
              </w:rPr>
              <w:t xml:space="preserve"> </w:t>
            </w:r>
            <w:r w:rsidRPr="00472AAB">
              <w:rPr>
                <w:rFonts w:ascii="Arial Narrow" w:hAnsi="Arial Narrow" w:cs="Times New Roman"/>
                <w:b/>
                <w:sz w:val="20"/>
              </w:rPr>
              <w:t>(95%</w:t>
            </w:r>
            <w:r w:rsidRPr="00472AAB">
              <w:rPr>
                <w:rFonts w:ascii="Arial Narrow" w:hAnsi="Arial Narrow" w:cs="Times New Roman"/>
                <w:b/>
                <w:spacing w:val="-1"/>
                <w:sz w:val="20"/>
              </w:rPr>
              <w:t xml:space="preserve"> </w:t>
            </w:r>
            <w:r w:rsidRPr="00472AAB">
              <w:rPr>
                <w:rFonts w:ascii="Arial Narrow" w:hAnsi="Arial Narrow" w:cs="Times New Roman"/>
                <w:b/>
                <w:sz w:val="20"/>
              </w:rPr>
              <w:t>CI)</w:t>
            </w:r>
          </w:p>
        </w:tc>
        <w:tc>
          <w:tcPr>
            <w:tcW w:w="529" w:type="pct"/>
            <w:vMerge w:val="restart"/>
          </w:tcPr>
          <w:p w14:paraId="1D3A2C47"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NI</w:t>
            </w:r>
          </w:p>
          <w:p w14:paraId="5BC160FB"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margin,</w:t>
            </w:r>
          </w:p>
          <w:p w14:paraId="24B25813" w14:textId="77777777"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w:t>
            </w:r>
          </w:p>
          <w:p w14:paraId="68E9910A" w14:textId="19A99C9F"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 xml:space="preserve">NI </w:t>
            </w:r>
            <w:r w:rsidR="003A7E2F">
              <w:rPr>
                <w:rFonts w:ascii="Arial Narrow" w:hAnsi="Arial Narrow" w:cs="Times New Roman"/>
                <w:b/>
                <w:sz w:val="20"/>
              </w:rPr>
              <w:t>criteria m</w:t>
            </w:r>
            <w:r w:rsidRPr="00472AAB">
              <w:rPr>
                <w:rFonts w:ascii="Arial Narrow" w:hAnsi="Arial Narrow" w:cs="Times New Roman"/>
                <w:b/>
                <w:sz w:val="20"/>
              </w:rPr>
              <w:t>et/</w:t>
            </w:r>
            <w:r w:rsidR="003A7E2F">
              <w:rPr>
                <w:rFonts w:ascii="Arial Narrow" w:hAnsi="Arial Narrow" w:cs="Times New Roman"/>
                <w:b/>
                <w:sz w:val="20"/>
              </w:rPr>
              <w:t>n</w:t>
            </w:r>
            <w:r w:rsidRPr="00472AAB">
              <w:rPr>
                <w:rFonts w:ascii="Arial Narrow" w:hAnsi="Arial Narrow" w:cs="Times New Roman"/>
                <w:b/>
                <w:sz w:val="20"/>
              </w:rPr>
              <w:t>ot met</w:t>
            </w:r>
          </w:p>
        </w:tc>
      </w:tr>
      <w:tr w:rsidR="00772731" w:rsidRPr="00472AAB" w14:paraId="50149C54" w14:textId="77777777" w:rsidTr="00F87292">
        <w:trPr>
          <w:cantSplit/>
          <w:trHeight w:val="779"/>
          <w:tblHeader/>
        </w:trPr>
        <w:tc>
          <w:tcPr>
            <w:tcW w:w="399" w:type="pct"/>
            <w:vMerge/>
          </w:tcPr>
          <w:p w14:paraId="11C4018F" w14:textId="77777777" w:rsidR="00772731" w:rsidRPr="00472AAB" w:rsidRDefault="00772731" w:rsidP="00F87292">
            <w:pPr>
              <w:jc w:val="left"/>
              <w:rPr>
                <w:rFonts w:ascii="Arial Narrow" w:hAnsi="Arial Narrow" w:cs="Times New Roman"/>
                <w:sz w:val="2"/>
                <w:szCs w:val="2"/>
              </w:rPr>
            </w:pPr>
          </w:p>
        </w:tc>
        <w:tc>
          <w:tcPr>
            <w:tcW w:w="542" w:type="pct"/>
            <w:vMerge/>
          </w:tcPr>
          <w:p w14:paraId="277C8BC4" w14:textId="77777777" w:rsidR="00772731" w:rsidRPr="00472AAB" w:rsidRDefault="00772731" w:rsidP="00F87292">
            <w:pPr>
              <w:jc w:val="left"/>
              <w:rPr>
                <w:rFonts w:ascii="Arial Narrow" w:hAnsi="Arial Narrow" w:cs="Times New Roman"/>
                <w:sz w:val="2"/>
                <w:szCs w:val="2"/>
              </w:rPr>
            </w:pPr>
          </w:p>
        </w:tc>
        <w:tc>
          <w:tcPr>
            <w:tcW w:w="1258" w:type="pct"/>
            <w:vMerge/>
          </w:tcPr>
          <w:p w14:paraId="700A963F" w14:textId="77777777" w:rsidR="00772731" w:rsidRPr="00472AAB" w:rsidRDefault="00772731" w:rsidP="00F87292">
            <w:pPr>
              <w:jc w:val="left"/>
              <w:rPr>
                <w:rFonts w:ascii="Arial Narrow" w:hAnsi="Arial Narrow" w:cs="Times New Roman"/>
                <w:sz w:val="2"/>
                <w:szCs w:val="2"/>
              </w:rPr>
            </w:pPr>
          </w:p>
        </w:tc>
        <w:tc>
          <w:tcPr>
            <w:tcW w:w="629" w:type="pct"/>
          </w:tcPr>
          <w:p w14:paraId="6132E9FE" w14:textId="77777777" w:rsidR="00772731" w:rsidRPr="00472AAB" w:rsidRDefault="00772731" w:rsidP="00F87292">
            <w:pPr>
              <w:jc w:val="left"/>
              <w:rPr>
                <w:rFonts w:ascii="Arial Narrow" w:hAnsi="Arial Narrow" w:cs="Times New Roman"/>
                <w:b/>
                <w:sz w:val="20"/>
              </w:rPr>
            </w:pPr>
            <w:proofErr w:type="spellStart"/>
            <w:r w:rsidRPr="00472AAB">
              <w:rPr>
                <w:rFonts w:ascii="Arial Narrow" w:hAnsi="Arial Narrow" w:cs="Times New Roman"/>
                <w:b/>
                <w:sz w:val="20"/>
              </w:rPr>
              <w:t>Vaxelis</w:t>
            </w:r>
            <w:proofErr w:type="spellEnd"/>
            <w:r w:rsidRPr="00472AAB">
              <w:rPr>
                <w:rFonts w:ascii="Arial Narrow" w:hAnsi="Arial Narrow" w:cs="Times New Roman"/>
                <w:b/>
                <w:spacing w:val="-38"/>
                <w:sz w:val="20"/>
              </w:rPr>
              <w:t xml:space="preserve"> </w:t>
            </w:r>
            <w:r w:rsidRPr="00472AAB">
              <w:rPr>
                <w:rFonts w:ascii="Arial Narrow" w:hAnsi="Arial Narrow" w:cs="Times New Roman"/>
                <w:b/>
                <w:sz w:val="20"/>
              </w:rPr>
              <w:t>(N=638)</w:t>
            </w:r>
          </w:p>
        </w:tc>
        <w:tc>
          <w:tcPr>
            <w:tcW w:w="708" w:type="pct"/>
          </w:tcPr>
          <w:p w14:paraId="79479FE5" w14:textId="23F37824" w:rsidR="00772731" w:rsidRPr="00472AAB" w:rsidRDefault="00772731" w:rsidP="00F87292">
            <w:pPr>
              <w:jc w:val="left"/>
              <w:rPr>
                <w:rFonts w:ascii="Arial Narrow" w:hAnsi="Arial Narrow" w:cs="Times New Roman"/>
                <w:b/>
                <w:sz w:val="20"/>
              </w:rPr>
            </w:pPr>
            <w:r w:rsidRPr="00472AAB">
              <w:rPr>
                <w:rFonts w:ascii="Arial Narrow" w:hAnsi="Arial Narrow" w:cs="Times New Roman"/>
                <w:b/>
                <w:sz w:val="20"/>
              </w:rPr>
              <w:t>Infanrix</w:t>
            </w:r>
            <w:r w:rsidR="00AF5BE1">
              <w:rPr>
                <w:rFonts w:ascii="Arial Narrow" w:hAnsi="Arial Narrow" w:cs="Times New Roman"/>
                <w:b/>
                <w:sz w:val="20"/>
              </w:rPr>
              <w:t xml:space="preserve"> </w:t>
            </w:r>
            <w:proofErr w:type="spellStart"/>
            <w:r w:rsidR="00AE2917">
              <w:rPr>
                <w:rFonts w:ascii="Arial Narrow" w:hAnsi="Arial Narrow" w:cs="Times New Roman"/>
                <w:b/>
                <w:sz w:val="20"/>
              </w:rPr>
              <w:t>Hexa</w:t>
            </w:r>
            <w:proofErr w:type="spellEnd"/>
            <w:r w:rsidRPr="00472AAB">
              <w:rPr>
                <w:rFonts w:ascii="Arial Narrow" w:hAnsi="Arial Narrow" w:cs="Times New Roman"/>
                <w:b/>
                <w:spacing w:val="1"/>
                <w:sz w:val="20"/>
              </w:rPr>
              <w:t xml:space="preserve"> </w:t>
            </w:r>
            <w:r w:rsidRPr="00472AAB">
              <w:rPr>
                <w:rFonts w:ascii="Arial Narrow" w:hAnsi="Arial Narrow" w:cs="Times New Roman"/>
                <w:b/>
                <w:sz w:val="20"/>
              </w:rPr>
              <w:t>(N=642)</w:t>
            </w:r>
          </w:p>
        </w:tc>
        <w:tc>
          <w:tcPr>
            <w:tcW w:w="935" w:type="pct"/>
            <w:vMerge/>
          </w:tcPr>
          <w:p w14:paraId="4BCE003D" w14:textId="77777777" w:rsidR="00772731" w:rsidRPr="00472AAB" w:rsidRDefault="00772731" w:rsidP="00F87292">
            <w:pPr>
              <w:jc w:val="left"/>
              <w:rPr>
                <w:rFonts w:ascii="Arial Narrow" w:hAnsi="Arial Narrow" w:cs="Times New Roman"/>
                <w:sz w:val="2"/>
                <w:szCs w:val="2"/>
              </w:rPr>
            </w:pPr>
          </w:p>
        </w:tc>
        <w:tc>
          <w:tcPr>
            <w:tcW w:w="529" w:type="pct"/>
            <w:vMerge/>
          </w:tcPr>
          <w:p w14:paraId="38EBFB4D" w14:textId="77777777" w:rsidR="00772731" w:rsidRPr="00472AAB" w:rsidRDefault="00772731" w:rsidP="00F87292">
            <w:pPr>
              <w:jc w:val="left"/>
              <w:rPr>
                <w:rFonts w:ascii="Arial Narrow" w:hAnsi="Arial Narrow" w:cs="Times New Roman"/>
                <w:sz w:val="2"/>
                <w:szCs w:val="2"/>
              </w:rPr>
            </w:pPr>
          </w:p>
        </w:tc>
      </w:tr>
      <w:tr w:rsidR="00772731" w:rsidRPr="00472AAB" w14:paraId="7740998F" w14:textId="77777777" w:rsidTr="00F87292">
        <w:trPr>
          <w:cantSplit/>
          <w:trHeight w:val="215"/>
          <w:tblHeader/>
        </w:trPr>
        <w:tc>
          <w:tcPr>
            <w:tcW w:w="399" w:type="pct"/>
            <w:vMerge w:val="restart"/>
          </w:tcPr>
          <w:p w14:paraId="41BE16CF" w14:textId="1AEA2FDF" w:rsidR="00772731" w:rsidRPr="003A7E2F" w:rsidRDefault="00772731" w:rsidP="00F87292">
            <w:pPr>
              <w:jc w:val="left"/>
              <w:rPr>
                <w:rFonts w:ascii="Arial Narrow" w:hAnsi="Arial Narrow" w:cs="Times New Roman"/>
                <w:b/>
                <w:sz w:val="20"/>
              </w:rPr>
            </w:pPr>
            <w:proofErr w:type="gramStart"/>
            <w:r w:rsidRPr="003A7E2F">
              <w:rPr>
                <w:rFonts w:ascii="Arial Narrow" w:hAnsi="Arial Narrow" w:cs="Times New Roman"/>
                <w:b/>
                <w:spacing w:val="-1"/>
                <w:sz w:val="20"/>
              </w:rPr>
              <w:t>1 month</w:t>
            </w:r>
            <w:proofErr w:type="gramEnd"/>
            <w:r w:rsidRPr="003A7E2F">
              <w:rPr>
                <w:rFonts w:ascii="Arial Narrow" w:hAnsi="Arial Narrow" w:cs="Times New Roman"/>
                <w:b/>
                <w:spacing w:val="-38"/>
                <w:sz w:val="20"/>
              </w:rPr>
              <w:t xml:space="preserve"> </w:t>
            </w:r>
            <w:r w:rsidRPr="003A7E2F">
              <w:rPr>
                <w:rFonts w:ascii="Arial Narrow" w:hAnsi="Arial Narrow" w:cs="Times New Roman"/>
                <w:b/>
                <w:sz w:val="20"/>
              </w:rPr>
              <w:t>post-</w:t>
            </w:r>
            <w:r w:rsidRPr="003A7E2F">
              <w:rPr>
                <w:rFonts w:ascii="Arial Narrow" w:hAnsi="Arial Narrow" w:cs="Times New Roman"/>
                <w:b/>
                <w:spacing w:val="1"/>
                <w:sz w:val="20"/>
              </w:rPr>
              <w:t xml:space="preserve"> </w:t>
            </w:r>
            <w:r w:rsidR="007C5066" w:rsidRPr="003A7E2F">
              <w:rPr>
                <w:rFonts w:ascii="Arial Narrow" w:hAnsi="Arial Narrow" w:cs="Times New Roman"/>
                <w:b/>
                <w:sz w:val="20"/>
              </w:rPr>
              <w:t>T</w:t>
            </w:r>
            <w:r w:rsidRPr="003A7E2F">
              <w:rPr>
                <w:rFonts w:ascii="Arial Narrow" w:hAnsi="Arial Narrow" w:cs="Times New Roman"/>
                <w:b/>
                <w:sz w:val="20"/>
              </w:rPr>
              <w:t>oddler</w:t>
            </w:r>
            <w:r w:rsidRPr="003A7E2F">
              <w:rPr>
                <w:rFonts w:ascii="Arial Narrow" w:hAnsi="Arial Narrow" w:cs="Times New Roman"/>
                <w:b/>
                <w:spacing w:val="1"/>
                <w:sz w:val="20"/>
              </w:rPr>
              <w:t xml:space="preserve"> </w:t>
            </w:r>
            <w:r w:rsidRPr="003A7E2F">
              <w:rPr>
                <w:rFonts w:ascii="Arial Narrow" w:hAnsi="Arial Narrow" w:cs="Times New Roman"/>
                <w:b/>
                <w:sz w:val="20"/>
              </w:rPr>
              <w:t>dose</w:t>
            </w:r>
          </w:p>
        </w:tc>
        <w:tc>
          <w:tcPr>
            <w:tcW w:w="542" w:type="pct"/>
          </w:tcPr>
          <w:p w14:paraId="347DEA4D"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PRP</w:t>
            </w:r>
          </w:p>
        </w:tc>
        <w:tc>
          <w:tcPr>
            <w:tcW w:w="1258" w:type="pct"/>
          </w:tcPr>
          <w:p w14:paraId="5D92636A" w14:textId="4ADB6ECD"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3"/>
                <w:sz w:val="20"/>
              </w:rPr>
              <w:t xml:space="preserve"> </w:t>
            </w:r>
            <w:r w:rsidRPr="00472AAB">
              <w:rPr>
                <w:rFonts w:ascii="Arial Narrow" w:hAnsi="Arial Narrow" w:cs="Times New Roman"/>
                <w:sz w:val="20"/>
              </w:rPr>
              <w:t>with</w:t>
            </w:r>
            <w:r w:rsidRPr="00472AAB">
              <w:rPr>
                <w:rFonts w:ascii="Arial Narrow" w:hAnsi="Arial Narrow" w:cs="Times New Roman"/>
                <w:spacing w:val="-4"/>
                <w:sz w:val="20"/>
              </w:rPr>
              <w:t xml:space="preserve"> </w:t>
            </w:r>
            <w:proofErr w:type="spellStart"/>
            <w:r w:rsidR="00465BD7">
              <w:rPr>
                <w:rFonts w:ascii="Arial Narrow" w:hAnsi="Arial Narrow" w:cs="Times New Roman"/>
                <w:sz w:val="20"/>
              </w:rPr>
              <w:t>titre</w:t>
            </w:r>
            <w:proofErr w:type="spellEnd"/>
            <w:r w:rsidRPr="00472AAB">
              <w:rPr>
                <w:rFonts w:ascii="Arial Narrow" w:hAnsi="Arial Narrow" w:cs="Times New Roman"/>
                <w:sz w:val="20"/>
              </w:rPr>
              <w:t xml:space="preserve"> ≥1.0</w:t>
            </w:r>
            <w:r w:rsidRPr="00472AAB">
              <w:rPr>
                <w:rFonts w:ascii="Arial Narrow" w:hAnsi="Arial Narrow" w:cs="Times New Roman"/>
                <w:spacing w:val="-5"/>
                <w:sz w:val="20"/>
              </w:rPr>
              <w:t xml:space="preserve"> </w:t>
            </w:r>
            <w:r w:rsidRPr="00472AAB">
              <w:rPr>
                <w:rFonts w:ascii="Arial Narrow" w:hAnsi="Arial Narrow" w:cs="Times New Roman"/>
                <w:sz w:val="20"/>
              </w:rPr>
              <w:t>µg/mL</w:t>
            </w:r>
          </w:p>
        </w:tc>
        <w:tc>
          <w:tcPr>
            <w:tcW w:w="629" w:type="pct"/>
          </w:tcPr>
          <w:p w14:paraId="53FCB25F"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454</w:t>
            </w:r>
            <w:r w:rsidRPr="00472AAB">
              <w:rPr>
                <w:rFonts w:ascii="Arial Narrow" w:hAnsi="Arial Narrow" w:cs="Times New Roman"/>
                <w:spacing w:val="-1"/>
                <w:sz w:val="20"/>
              </w:rPr>
              <w:t xml:space="preserve"> </w:t>
            </w:r>
            <w:r w:rsidRPr="00472AAB">
              <w:rPr>
                <w:rFonts w:ascii="Arial Narrow" w:hAnsi="Arial Narrow" w:cs="Times New Roman"/>
                <w:sz w:val="20"/>
              </w:rPr>
              <w:t>(89.80)</w:t>
            </w:r>
          </w:p>
        </w:tc>
        <w:tc>
          <w:tcPr>
            <w:tcW w:w="708" w:type="pct"/>
          </w:tcPr>
          <w:p w14:paraId="2053D0B0"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478</w:t>
            </w:r>
            <w:r w:rsidRPr="00472AAB">
              <w:rPr>
                <w:rFonts w:ascii="Arial Narrow" w:hAnsi="Arial Narrow" w:cs="Times New Roman"/>
                <w:spacing w:val="-1"/>
                <w:sz w:val="20"/>
              </w:rPr>
              <w:t xml:space="preserve"> </w:t>
            </w:r>
            <w:r w:rsidRPr="00472AAB">
              <w:rPr>
                <w:rFonts w:ascii="Arial Narrow" w:hAnsi="Arial Narrow" w:cs="Times New Roman"/>
                <w:sz w:val="20"/>
              </w:rPr>
              <w:t>(91.06)</w:t>
            </w:r>
          </w:p>
        </w:tc>
        <w:tc>
          <w:tcPr>
            <w:tcW w:w="935" w:type="pct"/>
          </w:tcPr>
          <w:p w14:paraId="4A79B22C"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-1.27</w:t>
            </w:r>
            <w:r w:rsidRPr="00472AAB">
              <w:rPr>
                <w:rFonts w:ascii="Arial Narrow" w:hAnsi="Arial Narrow" w:cs="Times New Roman"/>
                <w:spacing w:val="-1"/>
                <w:sz w:val="20"/>
              </w:rPr>
              <w:t xml:space="preserve"> </w:t>
            </w:r>
            <w:r w:rsidRPr="00472AAB">
              <w:rPr>
                <w:rFonts w:ascii="Arial Narrow" w:hAnsi="Arial Narrow" w:cs="Times New Roman"/>
                <w:sz w:val="20"/>
              </w:rPr>
              <w:t>(-5.13,</w:t>
            </w:r>
            <w:r w:rsidRPr="00472AAB">
              <w:rPr>
                <w:rFonts w:ascii="Arial Narrow" w:hAnsi="Arial Narrow" w:cs="Times New Roman"/>
                <w:spacing w:val="-1"/>
                <w:sz w:val="20"/>
              </w:rPr>
              <w:t xml:space="preserve"> </w:t>
            </w:r>
            <w:r w:rsidRPr="00472AAB">
              <w:rPr>
                <w:rFonts w:ascii="Arial Narrow" w:hAnsi="Arial Narrow" w:cs="Times New Roman"/>
                <w:sz w:val="20"/>
              </w:rPr>
              <w:t>2.52)</w:t>
            </w:r>
          </w:p>
        </w:tc>
        <w:tc>
          <w:tcPr>
            <w:tcW w:w="529" w:type="pct"/>
          </w:tcPr>
          <w:p w14:paraId="39B531B4"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-10, Met</w:t>
            </w:r>
          </w:p>
        </w:tc>
      </w:tr>
      <w:tr w:rsidR="00772731" w:rsidRPr="00472AAB" w14:paraId="51300D8C" w14:textId="77777777" w:rsidTr="00F87292">
        <w:trPr>
          <w:cantSplit/>
          <w:trHeight w:val="261"/>
          <w:tblHeader/>
        </w:trPr>
        <w:tc>
          <w:tcPr>
            <w:tcW w:w="399" w:type="pct"/>
            <w:vMerge/>
          </w:tcPr>
          <w:p w14:paraId="044FF49F" w14:textId="77777777" w:rsidR="00772731" w:rsidRPr="00472AAB" w:rsidRDefault="00772731" w:rsidP="00F87292">
            <w:pPr>
              <w:jc w:val="left"/>
              <w:rPr>
                <w:rFonts w:ascii="Arial Narrow" w:hAnsi="Arial Narrow" w:cs="Times New Roman"/>
                <w:sz w:val="2"/>
                <w:szCs w:val="2"/>
              </w:rPr>
            </w:pPr>
          </w:p>
        </w:tc>
        <w:tc>
          <w:tcPr>
            <w:tcW w:w="542" w:type="pct"/>
          </w:tcPr>
          <w:p w14:paraId="0A681A02"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Diphtheria</w:t>
            </w:r>
          </w:p>
        </w:tc>
        <w:tc>
          <w:tcPr>
            <w:tcW w:w="1258" w:type="pct"/>
          </w:tcPr>
          <w:p w14:paraId="56BA7293" w14:textId="47D0B0FD"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3"/>
                <w:sz w:val="20"/>
              </w:rPr>
              <w:t xml:space="preserve"> </w:t>
            </w:r>
            <w:r w:rsidRPr="00472AAB">
              <w:rPr>
                <w:rFonts w:ascii="Arial Narrow" w:hAnsi="Arial Narrow" w:cs="Times New Roman"/>
                <w:sz w:val="20"/>
              </w:rPr>
              <w:t>with</w:t>
            </w:r>
            <w:r w:rsidRPr="00472AAB">
              <w:rPr>
                <w:rFonts w:ascii="Arial Narrow" w:hAnsi="Arial Narrow" w:cs="Times New Roman"/>
                <w:spacing w:val="-4"/>
                <w:sz w:val="20"/>
              </w:rPr>
              <w:t xml:space="preserve"> </w:t>
            </w:r>
            <w:proofErr w:type="spellStart"/>
            <w:r w:rsidR="00465BD7">
              <w:rPr>
                <w:rFonts w:ascii="Arial Narrow" w:hAnsi="Arial Narrow" w:cs="Times New Roman"/>
                <w:sz w:val="20"/>
              </w:rPr>
              <w:t>titre</w:t>
            </w:r>
            <w:proofErr w:type="spellEnd"/>
            <w:r w:rsidRPr="00472AAB">
              <w:rPr>
                <w:rFonts w:ascii="Arial Narrow" w:hAnsi="Arial Narrow" w:cs="Times New Roman"/>
                <w:sz w:val="20"/>
              </w:rPr>
              <w:t xml:space="preserve"> ≥0.1</w:t>
            </w:r>
            <w:r w:rsidRPr="00472AAB">
              <w:rPr>
                <w:rFonts w:ascii="Arial Narrow" w:hAnsi="Arial Narrow" w:cs="Times New Roman"/>
                <w:spacing w:val="-4"/>
                <w:sz w:val="20"/>
              </w:rPr>
              <w:t xml:space="preserve"> </w:t>
            </w:r>
            <w:r w:rsidRPr="00472AAB">
              <w:rPr>
                <w:rFonts w:ascii="Arial Narrow" w:hAnsi="Arial Narrow" w:cs="Times New Roman"/>
                <w:sz w:val="20"/>
              </w:rPr>
              <w:t xml:space="preserve">IU/mL </w:t>
            </w:r>
          </w:p>
        </w:tc>
        <w:tc>
          <w:tcPr>
            <w:tcW w:w="629" w:type="pct"/>
          </w:tcPr>
          <w:p w14:paraId="49CA65EA"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590</w:t>
            </w:r>
            <w:r w:rsidRPr="00472AAB">
              <w:rPr>
                <w:rFonts w:ascii="Arial Narrow" w:hAnsi="Arial Narrow" w:cs="Times New Roman"/>
                <w:spacing w:val="-1"/>
                <w:sz w:val="20"/>
              </w:rPr>
              <w:t xml:space="preserve"> </w:t>
            </w:r>
            <w:r w:rsidRPr="00472AAB">
              <w:rPr>
                <w:rFonts w:ascii="Arial Narrow" w:hAnsi="Arial Narrow" w:cs="Times New Roman"/>
                <w:sz w:val="20"/>
              </w:rPr>
              <w:t>(98.62)</w:t>
            </w:r>
          </w:p>
        </w:tc>
        <w:tc>
          <w:tcPr>
            <w:tcW w:w="708" w:type="pct"/>
          </w:tcPr>
          <w:p w14:paraId="74B4AD27"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578</w:t>
            </w:r>
            <w:r w:rsidRPr="00472AAB">
              <w:rPr>
                <w:rFonts w:ascii="Arial Narrow" w:hAnsi="Arial Narrow" w:cs="Times New Roman"/>
                <w:spacing w:val="-1"/>
                <w:sz w:val="20"/>
              </w:rPr>
              <w:t xml:space="preserve"> </w:t>
            </w:r>
            <w:r w:rsidRPr="00472AAB">
              <w:rPr>
                <w:rFonts w:ascii="Arial Narrow" w:hAnsi="Arial Narrow" w:cs="Times New Roman"/>
                <w:sz w:val="20"/>
              </w:rPr>
              <w:t>(99.83)</w:t>
            </w:r>
          </w:p>
        </w:tc>
        <w:tc>
          <w:tcPr>
            <w:tcW w:w="935" w:type="pct"/>
          </w:tcPr>
          <w:p w14:paraId="5263A7A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-1.21</w:t>
            </w:r>
            <w:r w:rsidRPr="00472AAB">
              <w:rPr>
                <w:rFonts w:ascii="Arial Narrow" w:hAnsi="Arial Narrow" w:cs="Times New Roman"/>
                <w:spacing w:val="-1"/>
                <w:sz w:val="20"/>
              </w:rPr>
              <w:t xml:space="preserve"> </w:t>
            </w:r>
            <w:r w:rsidRPr="00472AAB">
              <w:rPr>
                <w:rFonts w:ascii="Arial Narrow" w:hAnsi="Arial Narrow" w:cs="Times New Roman"/>
                <w:sz w:val="20"/>
              </w:rPr>
              <w:t>(-2.54,</w:t>
            </w:r>
            <w:r w:rsidRPr="00472AAB">
              <w:rPr>
                <w:rFonts w:ascii="Arial Narrow" w:hAnsi="Arial Narrow" w:cs="Times New Roman"/>
                <w:spacing w:val="-1"/>
                <w:sz w:val="20"/>
              </w:rPr>
              <w:t xml:space="preserve"> </w:t>
            </w:r>
            <w:r w:rsidRPr="00472AAB">
              <w:rPr>
                <w:rFonts w:ascii="Arial Narrow" w:hAnsi="Arial Narrow" w:cs="Times New Roman"/>
                <w:sz w:val="20"/>
              </w:rPr>
              <w:t>-0.22)</w:t>
            </w:r>
          </w:p>
        </w:tc>
        <w:tc>
          <w:tcPr>
            <w:tcW w:w="529" w:type="pct"/>
          </w:tcPr>
          <w:p w14:paraId="5422AC12" w14:textId="1167B8BE" w:rsidR="00772731" w:rsidRPr="00472AAB" w:rsidRDefault="00772731" w:rsidP="00465BD7">
            <w:pPr>
              <w:jc w:val="left"/>
              <w:rPr>
                <w:rFonts w:ascii="Arial Narrow" w:hAnsi="Arial Narrow" w:cs="Times New Roman"/>
                <w:sz w:val="20"/>
              </w:rPr>
            </w:pPr>
            <w:r w:rsidRPr="00472AAB">
              <w:rPr>
                <w:rFonts w:ascii="Arial Narrow" w:hAnsi="Arial Narrow" w:cs="Times New Roman"/>
                <w:sz w:val="20"/>
              </w:rPr>
              <w:t>-10, Met</w:t>
            </w:r>
          </w:p>
        </w:tc>
      </w:tr>
      <w:tr w:rsidR="00772731" w:rsidRPr="00472AAB" w14:paraId="3E14D18E" w14:textId="77777777" w:rsidTr="00F87292">
        <w:trPr>
          <w:cantSplit/>
          <w:trHeight w:val="137"/>
          <w:tblHeader/>
        </w:trPr>
        <w:tc>
          <w:tcPr>
            <w:tcW w:w="399" w:type="pct"/>
            <w:vMerge/>
          </w:tcPr>
          <w:p w14:paraId="3B8499FD" w14:textId="77777777" w:rsidR="00772731" w:rsidRPr="00472AAB" w:rsidRDefault="00772731" w:rsidP="00F87292">
            <w:pPr>
              <w:jc w:val="left"/>
              <w:rPr>
                <w:rFonts w:ascii="Arial Narrow" w:hAnsi="Arial Narrow" w:cs="Times New Roman"/>
                <w:sz w:val="2"/>
                <w:szCs w:val="2"/>
              </w:rPr>
            </w:pPr>
          </w:p>
        </w:tc>
        <w:tc>
          <w:tcPr>
            <w:tcW w:w="542" w:type="pct"/>
          </w:tcPr>
          <w:p w14:paraId="6914487D"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Tetanus</w:t>
            </w:r>
          </w:p>
        </w:tc>
        <w:tc>
          <w:tcPr>
            <w:tcW w:w="1258" w:type="pct"/>
          </w:tcPr>
          <w:p w14:paraId="4A2DCB7C" w14:textId="4928CC00"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3"/>
                <w:sz w:val="20"/>
              </w:rPr>
              <w:t xml:space="preserve"> </w:t>
            </w:r>
            <w:r w:rsidRPr="00472AAB">
              <w:rPr>
                <w:rFonts w:ascii="Arial Narrow" w:hAnsi="Arial Narrow" w:cs="Times New Roman"/>
                <w:sz w:val="20"/>
              </w:rPr>
              <w:t>with</w:t>
            </w:r>
            <w:r w:rsidRPr="00472AAB">
              <w:rPr>
                <w:rFonts w:ascii="Arial Narrow" w:hAnsi="Arial Narrow" w:cs="Times New Roman"/>
                <w:spacing w:val="-4"/>
                <w:sz w:val="20"/>
              </w:rPr>
              <w:t xml:space="preserve"> </w:t>
            </w:r>
            <w:proofErr w:type="spellStart"/>
            <w:r w:rsidR="00465BD7">
              <w:rPr>
                <w:rFonts w:ascii="Arial Narrow" w:hAnsi="Arial Narrow" w:cs="Times New Roman"/>
                <w:sz w:val="20"/>
              </w:rPr>
              <w:t>titre</w:t>
            </w:r>
            <w:proofErr w:type="spellEnd"/>
            <w:r w:rsidRPr="00472AAB">
              <w:rPr>
                <w:rFonts w:ascii="Arial Narrow" w:hAnsi="Arial Narrow" w:cs="Times New Roman"/>
                <w:sz w:val="20"/>
              </w:rPr>
              <w:t xml:space="preserve"> ≥0.1</w:t>
            </w:r>
            <w:r w:rsidRPr="00472AAB">
              <w:rPr>
                <w:rFonts w:ascii="Arial Narrow" w:hAnsi="Arial Narrow" w:cs="Times New Roman"/>
                <w:spacing w:val="-4"/>
                <w:sz w:val="20"/>
              </w:rPr>
              <w:t xml:space="preserve"> </w:t>
            </w:r>
            <w:r w:rsidRPr="00472AAB">
              <w:rPr>
                <w:rFonts w:ascii="Arial Narrow" w:hAnsi="Arial Narrow" w:cs="Times New Roman"/>
                <w:sz w:val="20"/>
              </w:rPr>
              <w:t>IU/mL</w:t>
            </w:r>
          </w:p>
        </w:tc>
        <w:tc>
          <w:tcPr>
            <w:tcW w:w="629" w:type="pct"/>
          </w:tcPr>
          <w:p w14:paraId="59E43959"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589</w:t>
            </w:r>
            <w:r w:rsidRPr="00472AAB">
              <w:rPr>
                <w:rFonts w:ascii="Arial Narrow" w:hAnsi="Arial Narrow" w:cs="Times New Roman"/>
                <w:spacing w:val="-1"/>
                <w:sz w:val="20"/>
              </w:rPr>
              <w:t xml:space="preserve"> </w:t>
            </w:r>
            <w:r w:rsidRPr="00472AAB">
              <w:rPr>
                <w:rFonts w:ascii="Arial Narrow" w:hAnsi="Arial Narrow" w:cs="Times New Roman"/>
                <w:sz w:val="20"/>
              </w:rPr>
              <w:t>(99.83)</w:t>
            </w:r>
          </w:p>
        </w:tc>
        <w:tc>
          <w:tcPr>
            <w:tcW w:w="708" w:type="pct"/>
          </w:tcPr>
          <w:p w14:paraId="2378FB5A"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577 (100.00)</w:t>
            </w:r>
          </w:p>
        </w:tc>
        <w:tc>
          <w:tcPr>
            <w:tcW w:w="935" w:type="pct"/>
          </w:tcPr>
          <w:p w14:paraId="734F745F"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-0.17</w:t>
            </w:r>
            <w:r w:rsidRPr="00472AAB">
              <w:rPr>
                <w:rFonts w:ascii="Arial Narrow" w:hAnsi="Arial Narrow" w:cs="Times New Roman"/>
                <w:spacing w:val="-1"/>
                <w:sz w:val="20"/>
              </w:rPr>
              <w:t xml:space="preserve"> </w:t>
            </w:r>
            <w:r w:rsidRPr="00472AAB">
              <w:rPr>
                <w:rFonts w:ascii="Arial Narrow" w:hAnsi="Arial Narrow" w:cs="Times New Roman"/>
                <w:sz w:val="20"/>
              </w:rPr>
              <w:t>(-0.95,</w:t>
            </w:r>
            <w:r w:rsidRPr="00472AAB">
              <w:rPr>
                <w:rFonts w:ascii="Arial Narrow" w:hAnsi="Arial Narrow" w:cs="Times New Roman"/>
                <w:spacing w:val="-1"/>
                <w:sz w:val="20"/>
              </w:rPr>
              <w:t xml:space="preserve"> </w:t>
            </w:r>
            <w:r w:rsidRPr="00472AAB">
              <w:rPr>
                <w:rFonts w:ascii="Arial Narrow" w:hAnsi="Arial Narrow" w:cs="Times New Roman"/>
                <w:sz w:val="20"/>
              </w:rPr>
              <w:t>0.50)</w:t>
            </w:r>
          </w:p>
        </w:tc>
        <w:tc>
          <w:tcPr>
            <w:tcW w:w="529" w:type="pct"/>
          </w:tcPr>
          <w:p w14:paraId="4A30680F"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 Met</w:t>
            </w:r>
          </w:p>
        </w:tc>
      </w:tr>
      <w:tr w:rsidR="00772731" w:rsidRPr="00472AAB" w14:paraId="63C8626B" w14:textId="77777777" w:rsidTr="00F87292">
        <w:trPr>
          <w:cantSplit/>
          <w:trHeight w:val="70"/>
          <w:tblHeader/>
        </w:trPr>
        <w:tc>
          <w:tcPr>
            <w:tcW w:w="399" w:type="pct"/>
            <w:vMerge/>
          </w:tcPr>
          <w:p w14:paraId="3FB800B7" w14:textId="77777777" w:rsidR="00772731" w:rsidRPr="00472AAB" w:rsidRDefault="00772731" w:rsidP="00F87292">
            <w:pPr>
              <w:jc w:val="left"/>
              <w:rPr>
                <w:rFonts w:ascii="Arial Narrow" w:hAnsi="Arial Narrow" w:cs="Times New Roman"/>
                <w:sz w:val="2"/>
                <w:szCs w:val="2"/>
              </w:rPr>
            </w:pPr>
          </w:p>
        </w:tc>
        <w:tc>
          <w:tcPr>
            <w:tcW w:w="542" w:type="pct"/>
          </w:tcPr>
          <w:p w14:paraId="110034F0"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IPV1</w:t>
            </w:r>
          </w:p>
        </w:tc>
        <w:tc>
          <w:tcPr>
            <w:tcW w:w="1258" w:type="pct"/>
          </w:tcPr>
          <w:p w14:paraId="4FFBA777"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1"/>
                <w:sz w:val="20"/>
              </w:rPr>
              <w:t xml:space="preserve"> </w:t>
            </w:r>
            <w:r w:rsidRPr="00472AAB">
              <w:rPr>
                <w:rFonts w:ascii="Arial Narrow" w:hAnsi="Arial Narrow" w:cs="Times New Roman"/>
                <w:sz w:val="20"/>
              </w:rPr>
              <w:t>with</w:t>
            </w:r>
            <w:r w:rsidRPr="00472AAB">
              <w:rPr>
                <w:rFonts w:ascii="Arial Narrow" w:hAnsi="Arial Narrow" w:cs="Times New Roman"/>
                <w:spacing w:val="-3"/>
                <w:sz w:val="20"/>
              </w:rPr>
              <w:t xml:space="preserve"> </w:t>
            </w:r>
            <w:r w:rsidRPr="00472AAB">
              <w:rPr>
                <w:rFonts w:ascii="Arial Narrow" w:hAnsi="Arial Narrow" w:cs="Times New Roman"/>
                <w:sz w:val="20"/>
              </w:rPr>
              <w:t>Nab ≥1:8</w:t>
            </w:r>
            <w:r w:rsidRPr="00472AAB">
              <w:rPr>
                <w:rFonts w:ascii="Arial Narrow" w:hAnsi="Arial Narrow" w:cs="Times New Roman"/>
                <w:spacing w:val="-2"/>
                <w:sz w:val="20"/>
              </w:rPr>
              <w:t xml:space="preserve"> </w:t>
            </w:r>
            <w:r w:rsidRPr="00472AAB">
              <w:rPr>
                <w:rFonts w:ascii="Arial Narrow" w:hAnsi="Arial Narrow" w:cs="Times New Roman"/>
                <w:sz w:val="20"/>
              </w:rPr>
              <w:t>dilution</w:t>
            </w:r>
          </w:p>
        </w:tc>
        <w:tc>
          <w:tcPr>
            <w:tcW w:w="629" w:type="pct"/>
          </w:tcPr>
          <w:p w14:paraId="045456A0"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591</w:t>
            </w:r>
            <w:r w:rsidRPr="00472AAB">
              <w:rPr>
                <w:rFonts w:ascii="Arial Narrow" w:hAnsi="Arial Narrow" w:cs="Times New Roman"/>
                <w:spacing w:val="-1"/>
                <w:sz w:val="20"/>
              </w:rPr>
              <w:t xml:space="preserve"> </w:t>
            </w:r>
            <w:r w:rsidRPr="00472AAB">
              <w:rPr>
                <w:rFonts w:ascii="Arial Narrow" w:hAnsi="Arial Narrow" w:cs="Times New Roman"/>
                <w:sz w:val="20"/>
              </w:rPr>
              <w:t>(99.32)</w:t>
            </w:r>
          </w:p>
        </w:tc>
        <w:tc>
          <w:tcPr>
            <w:tcW w:w="708" w:type="pct"/>
          </w:tcPr>
          <w:p w14:paraId="328BFC29"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580</w:t>
            </w:r>
            <w:r w:rsidRPr="00472AAB">
              <w:rPr>
                <w:rFonts w:ascii="Arial Narrow" w:hAnsi="Arial Narrow" w:cs="Times New Roman"/>
                <w:spacing w:val="-1"/>
                <w:sz w:val="20"/>
              </w:rPr>
              <w:t xml:space="preserve"> </w:t>
            </w:r>
            <w:r w:rsidRPr="00472AAB">
              <w:rPr>
                <w:rFonts w:ascii="Arial Narrow" w:hAnsi="Arial Narrow" w:cs="Times New Roman"/>
                <w:sz w:val="20"/>
              </w:rPr>
              <w:t>(99.83)</w:t>
            </w:r>
          </w:p>
        </w:tc>
        <w:tc>
          <w:tcPr>
            <w:tcW w:w="935" w:type="pct"/>
          </w:tcPr>
          <w:p w14:paraId="3F558809"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-0.51</w:t>
            </w:r>
            <w:r w:rsidRPr="00472AAB">
              <w:rPr>
                <w:rFonts w:ascii="Arial Narrow" w:hAnsi="Arial Narrow" w:cs="Times New Roman"/>
                <w:spacing w:val="-1"/>
                <w:sz w:val="20"/>
              </w:rPr>
              <w:t xml:space="preserve"> </w:t>
            </w:r>
            <w:r w:rsidRPr="00472AAB">
              <w:rPr>
                <w:rFonts w:ascii="Arial Narrow" w:hAnsi="Arial Narrow" w:cs="Times New Roman"/>
                <w:sz w:val="20"/>
              </w:rPr>
              <w:t>(-1.59,</w:t>
            </w:r>
            <w:r w:rsidRPr="00472AAB">
              <w:rPr>
                <w:rFonts w:ascii="Arial Narrow" w:hAnsi="Arial Narrow" w:cs="Times New Roman"/>
                <w:spacing w:val="-1"/>
                <w:sz w:val="20"/>
              </w:rPr>
              <w:t xml:space="preserve"> </w:t>
            </w:r>
            <w:r w:rsidRPr="00472AAB">
              <w:rPr>
                <w:rFonts w:ascii="Arial Narrow" w:hAnsi="Arial Narrow" w:cs="Times New Roman"/>
                <w:sz w:val="20"/>
              </w:rPr>
              <w:t>0.34)</w:t>
            </w:r>
          </w:p>
        </w:tc>
        <w:tc>
          <w:tcPr>
            <w:tcW w:w="529" w:type="pct"/>
          </w:tcPr>
          <w:p w14:paraId="4F50A4A0"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 Met</w:t>
            </w:r>
          </w:p>
        </w:tc>
      </w:tr>
      <w:tr w:rsidR="00772731" w:rsidRPr="00472AAB" w14:paraId="49D121BA" w14:textId="77777777" w:rsidTr="00F87292">
        <w:trPr>
          <w:cantSplit/>
          <w:trHeight w:val="183"/>
          <w:tblHeader/>
        </w:trPr>
        <w:tc>
          <w:tcPr>
            <w:tcW w:w="399" w:type="pct"/>
            <w:vMerge/>
          </w:tcPr>
          <w:p w14:paraId="197489FA" w14:textId="77777777" w:rsidR="00772731" w:rsidRPr="00472AAB" w:rsidRDefault="00772731" w:rsidP="00F87292">
            <w:pPr>
              <w:jc w:val="left"/>
              <w:rPr>
                <w:rFonts w:ascii="Arial Narrow" w:hAnsi="Arial Narrow" w:cs="Times New Roman"/>
                <w:sz w:val="2"/>
                <w:szCs w:val="2"/>
              </w:rPr>
            </w:pPr>
          </w:p>
        </w:tc>
        <w:tc>
          <w:tcPr>
            <w:tcW w:w="542" w:type="pct"/>
          </w:tcPr>
          <w:p w14:paraId="26DDECE6"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IPV2</w:t>
            </w:r>
          </w:p>
        </w:tc>
        <w:tc>
          <w:tcPr>
            <w:tcW w:w="1258" w:type="pct"/>
          </w:tcPr>
          <w:p w14:paraId="2AD60C6C"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1"/>
                <w:sz w:val="20"/>
              </w:rPr>
              <w:t xml:space="preserve"> </w:t>
            </w:r>
            <w:r w:rsidRPr="00472AAB">
              <w:rPr>
                <w:rFonts w:ascii="Arial Narrow" w:hAnsi="Arial Narrow" w:cs="Times New Roman"/>
                <w:sz w:val="20"/>
              </w:rPr>
              <w:t>with</w:t>
            </w:r>
            <w:r w:rsidRPr="00472AAB">
              <w:rPr>
                <w:rFonts w:ascii="Arial Narrow" w:hAnsi="Arial Narrow" w:cs="Times New Roman"/>
                <w:spacing w:val="-3"/>
                <w:sz w:val="20"/>
              </w:rPr>
              <w:t xml:space="preserve"> </w:t>
            </w:r>
            <w:r w:rsidRPr="00472AAB">
              <w:rPr>
                <w:rFonts w:ascii="Arial Narrow" w:hAnsi="Arial Narrow" w:cs="Times New Roman"/>
                <w:sz w:val="20"/>
              </w:rPr>
              <w:t>Nab ≥1:8</w:t>
            </w:r>
            <w:r w:rsidRPr="00472AAB">
              <w:rPr>
                <w:rFonts w:ascii="Arial Narrow" w:hAnsi="Arial Narrow" w:cs="Times New Roman"/>
                <w:spacing w:val="-2"/>
                <w:sz w:val="20"/>
              </w:rPr>
              <w:t xml:space="preserve"> </w:t>
            </w:r>
            <w:r w:rsidRPr="00472AAB">
              <w:rPr>
                <w:rFonts w:ascii="Arial Narrow" w:hAnsi="Arial Narrow" w:cs="Times New Roman"/>
                <w:sz w:val="20"/>
              </w:rPr>
              <w:t>dilution</w:t>
            </w:r>
          </w:p>
        </w:tc>
        <w:tc>
          <w:tcPr>
            <w:tcW w:w="629" w:type="pct"/>
          </w:tcPr>
          <w:p w14:paraId="70A74F0B"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591</w:t>
            </w:r>
            <w:r w:rsidRPr="00472AAB">
              <w:rPr>
                <w:rFonts w:ascii="Arial Narrow" w:hAnsi="Arial Narrow" w:cs="Times New Roman"/>
                <w:spacing w:val="-1"/>
                <w:sz w:val="20"/>
              </w:rPr>
              <w:t xml:space="preserve"> </w:t>
            </w:r>
            <w:r w:rsidRPr="00472AAB">
              <w:rPr>
                <w:rFonts w:ascii="Arial Narrow" w:hAnsi="Arial Narrow" w:cs="Times New Roman"/>
                <w:sz w:val="20"/>
              </w:rPr>
              <w:t>(99.83)</w:t>
            </w:r>
          </w:p>
        </w:tc>
        <w:tc>
          <w:tcPr>
            <w:tcW w:w="708" w:type="pct"/>
          </w:tcPr>
          <w:p w14:paraId="5D904198"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579 (100.00)</w:t>
            </w:r>
          </w:p>
        </w:tc>
        <w:tc>
          <w:tcPr>
            <w:tcW w:w="935" w:type="pct"/>
          </w:tcPr>
          <w:p w14:paraId="023153F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-0.17</w:t>
            </w:r>
            <w:r w:rsidRPr="00472AAB">
              <w:rPr>
                <w:rFonts w:ascii="Arial Narrow" w:hAnsi="Arial Narrow" w:cs="Times New Roman"/>
                <w:spacing w:val="-1"/>
                <w:sz w:val="20"/>
              </w:rPr>
              <w:t xml:space="preserve"> </w:t>
            </w:r>
            <w:r w:rsidRPr="00472AAB">
              <w:rPr>
                <w:rFonts w:ascii="Arial Narrow" w:hAnsi="Arial Narrow" w:cs="Times New Roman"/>
                <w:sz w:val="20"/>
              </w:rPr>
              <w:t>(-0.96,</w:t>
            </w:r>
            <w:r w:rsidRPr="00472AAB">
              <w:rPr>
                <w:rFonts w:ascii="Arial Narrow" w:hAnsi="Arial Narrow" w:cs="Times New Roman"/>
                <w:spacing w:val="-1"/>
                <w:sz w:val="20"/>
              </w:rPr>
              <w:t xml:space="preserve"> </w:t>
            </w:r>
            <w:r w:rsidRPr="00472AAB">
              <w:rPr>
                <w:rFonts w:ascii="Arial Narrow" w:hAnsi="Arial Narrow" w:cs="Times New Roman"/>
                <w:sz w:val="20"/>
              </w:rPr>
              <w:t>0.49)</w:t>
            </w:r>
          </w:p>
        </w:tc>
        <w:tc>
          <w:tcPr>
            <w:tcW w:w="529" w:type="pct"/>
          </w:tcPr>
          <w:p w14:paraId="396DF15C"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 Met</w:t>
            </w:r>
          </w:p>
        </w:tc>
      </w:tr>
      <w:tr w:rsidR="00772731" w:rsidRPr="00472AAB" w14:paraId="40FE1223" w14:textId="77777777" w:rsidTr="00F87292">
        <w:trPr>
          <w:cantSplit/>
          <w:trHeight w:val="119"/>
          <w:tblHeader/>
        </w:trPr>
        <w:tc>
          <w:tcPr>
            <w:tcW w:w="399" w:type="pct"/>
            <w:vMerge/>
          </w:tcPr>
          <w:p w14:paraId="7707BC1A" w14:textId="77777777" w:rsidR="00772731" w:rsidRPr="00472AAB" w:rsidRDefault="00772731" w:rsidP="00F87292">
            <w:pPr>
              <w:jc w:val="left"/>
              <w:rPr>
                <w:rFonts w:ascii="Arial Narrow" w:hAnsi="Arial Narrow" w:cs="Times New Roman"/>
                <w:sz w:val="2"/>
                <w:szCs w:val="2"/>
              </w:rPr>
            </w:pPr>
          </w:p>
        </w:tc>
        <w:tc>
          <w:tcPr>
            <w:tcW w:w="542" w:type="pct"/>
          </w:tcPr>
          <w:p w14:paraId="7EC821FC"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IPV3</w:t>
            </w:r>
          </w:p>
        </w:tc>
        <w:tc>
          <w:tcPr>
            <w:tcW w:w="1258" w:type="pct"/>
          </w:tcPr>
          <w:p w14:paraId="5ECCBA27"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1"/>
                <w:sz w:val="20"/>
              </w:rPr>
              <w:t xml:space="preserve"> </w:t>
            </w:r>
            <w:r w:rsidRPr="00472AAB">
              <w:rPr>
                <w:rFonts w:ascii="Arial Narrow" w:hAnsi="Arial Narrow" w:cs="Times New Roman"/>
                <w:sz w:val="20"/>
              </w:rPr>
              <w:t>with</w:t>
            </w:r>
            <w:r w:rsidRPr="00472AAB">
              <w:rPr>
                <w:rFonts w:ascii="Arial Narrow" w:hAnsi="Arial Narrow" w:cs="Times New Roman"/>
                <w:spacing w:val="-3"/>
                <w:sz w:val="20"/>
              </w:rPr>
              <w:t xml:space="preserve"> </w:t>
            </w:r>
            <w:r w:rsidRPr="00472AAB">
              <w:rPr>
                <w:rFonts w:ascii="Arial Narrow" w:hAnsi="Arial Narrow" w:cs="Times New Roman"/>
                <w:sz w:val="20"/>
              </w:rPr>
              <w:t>Nab ≥1:8</w:t>
            </w:r>
            <w:r w:rsidRPr="00472AAB">
              <w:rPr>
                <w:rFonts w:ascii="Arial Narrow" w:hAnsi="Arial Narrow" w:cs="Times New Roman"/>
                <w:spacing w:val="-2"/>
                <w:sz w:val="20"/>
              </w:rPr>
              <w:t xml:space="preserve"> </w:t>
            </w:r>
            <w:r w:rsidRPr="00472AAB">
              <w:rPr>
                <w:rFonts w:ascii="Arial Narrow" w:hAnsi="Arial Narrow" w:cs="Times New Roman"/>
                <w:sz w:val="20"/>
              </w:rPr>
              <w:t>dilution</w:t>
            </w:r>
          </w:p>
        </w:tc>
        <w:tc>
          <w:tcPr>
            <w:tcW w:w="629" w:type="pct"/>
          </w:tcPr>
          <w:p w14:paraId="6F0E62E0"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590</w:t>
            </w:r>
            <w:r w:rsidRPr="00472AAB">
              <w:rPr>
                <w:rFonts w:ascii="Arial Narrow" w:hAnsi="Arial Narrow" w:cs="Times New Roman"/>
                <w:spacing w:val="-1"/>
                <w:sz w:val="20"/>
              </w:rPr>
              <w:t xml:space="preserve"> </w:t>
            </w:r>
            <w:r w:rsidRPr="00472AAB">
              <w:rPr>
                <w:rFonts w:ascii="Arial Narrow" w:hAnsi="Arial Narrow" w:cs="Times New Roman"/>
                <w:sz w:val="20"/>
              </w:rPr>
              <w:t>(99.49)</w:t>
            </w:r>
          </w:p>
        </w:tc>
        <w:tc>
          <w:tcPr>
            <w:tcW w:w="708" w:type="pct"/>
          </w:tcPr>
          <w:p w14:paraId="15F41D1E"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579</w:t>
            </w:r>
            <w:r w:rsidRPr="00472AAB">
              <w:rPr>
                <w:rFonts w:ascii="Arial Narrow" w:hAnsi="Arial Narrow" w:cs="Times New Roman"/>
                <w:spacing w:val="-1"/>
                <w:sz w:val="20"/>
              </w:rPr>
              <w:t xml:space="preserve"> </w:t>
            </w:r>
            <w:r w:rsidRPr="00472AAB">
              <w:rPr>
                <w:rFonts w:ascii="Arial Narrow" w:hAnsi="Arial Narrow" w:cs="Times New Roman"/>
                <w:sz w:val="20"/>
              </w:rPr>
              <w:t>(99.65)</w:t>
            </w:r>
          </w:p>
        </w:tc>
        <w:tc>
          <w:tcPr>
            <w:tcW w:w="935" w:type="pct"/>
          </w:tcPr>
          <w:p w14:paraId="510DD78C"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-0.16</w:t>
            </w:r>
            <w:r w:rsidRPr="00472AAB">
              <w:rPr>
                <w:rFonts w:ascii="Arial Narrow" w:hAnsi="Arial Narrow" w:cs="Times New Roman"/>
                <w:spacing w:val="-1"/>
                <w:sz w:val="20"/>
              </w:rPr>
              <w:t xml:space="preserve"> </w:t>
            </w:r>
            <w:r w:rsidRPr="00472AAB">
              <w:rPr>
                <w:rFonts w:ascii="Arial Narrow" w:hAnsi="Arial Narrow" w:cs="Times New Roman"/>
                <w:sz w:val="20"/>
              </w:rPr>
              <w:t>(-1.20,</w:t>
            </w:r>
            <w:r w:rsidRPr="00472AAB">
              <w:rPr>
                <w:rFonts w:ascii="Arial Narrow" w:hAnsi="Arial Narrow" w:cs="Times New Roman"/>
                <w:spacing w:val="-1"/>
                <w:sz w:val="20"/>
              </w:rPr>
              <w:t xml:space="preserve"> </w:t>
            </w:r>
            <w:r w:rsidRPr="00472AAB">
              <w:rPr>
                <w:rFonts w:ascii="Arial Narrow" w:hAnsi="Arial Narrow" w:cs="Times New Roman"/>
                <w:sz w:val="20"/>
              </w:rPr>
              <w:t>0.82)</w:t>
            </w:r>
          </w:p>
        </w:tc>
        <w:tc>
          <w:tcPr>
            <w:tcW w:w="529" w:type="pct"/>
          </w:tcPr>
          <w:p w14:paraId="1B12F2EC"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 Met</w:t>
            </w:r>
          </w:p>
        </w:tc>
      </w:tr>
      <w:tr w:rsidR="00772731" w:rsidRPr="00472AAB" w14:paraId="60F2426D" w14:textId="77777777" w:rsidTr="00F87292">
        <w:trPr>
          <w:cantSplit/>
          <w:trHeight w:val="85"/>
          <w:tblHeader/>
        </w:trPr>
        <w:tc>
          <w:tcPr>
            <w:tcW w:w="399" w:type="pct"/>
            <w:vMerge/>
          </w:tcPr>
          <w:p w14:paraId="6E0AB0B6" w14:textId="77777777" w:rsidR="00772731" w:rsidRPr="00472AAB" w:rsidRDefault="00772731" w:rsidP="00F87292">
            <w:pPr>
              <w:jc w:val="left"/>
              <w:rPr>
                <w:rFonts w:ascii="Arial Narrow" w:hAnsi="Arial Narrow" w:cs="Times New Roman"/>
                <w:sz w:val="2"/>
                <w:szCs w:val="2"/>
              </w:rPr>
            </w:pPr>
          </w:p>
        </w:tc>
        <w:tc>
          <w:tcPr>
            <w:tcW w:w="542" w:type="pct"/>
          </w:tcPr>
          <w:p w14:paraId="2B2A3AD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HBsAg</w:t>
            </w:r>
          </w:p>
        </w:tc>
        <w:tc>
          <w:tcPr>
            <w:tcW w:w="1258" w:type="pct"/>
          </w:tcPr>
          <w:p w14:paraId="0E1F31C8" w14:textId="1C3BD910"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w:t>
            </w:r>
            <w:r w:rsidRPr="00472AAB">
              <w:rPr>
                <w:rFonts w:ascii="Arial Narrow" w:hAnsi="Arial Narrow" w:cs="Times New Roman"/>
                <w:spacing w:val="-2"/>
                <w:sz w:val="20"/>
              </w:rPr>
              <w:t xml:space="preserve"> </w:t>
            </w:r>
            <w:r w:rsidRPr="00472AAB">
              <w:rPr>
                <w:rFonts w:ascii="Arial Narrow" w:hAnsi="Arial Narrow" w:cs="Times New Roman"/>
                <w:sz w:val="20"/>
              </w:rPr>
              <w:t>with</w:t>
            </w:r>
            <w:r w:rsidRPr="00472AAB">
              <w:rPr>
                <w:rFonts w:ascii="Arial Narrow" w:hAnsi="Arial Narrow" w:cs="Times New Roman"/>
                <w:spacing w:val="-4"/>
                <w:sz w:val="20"/>
              </w:rPr>
              <w:t xml:space="preserve"> </w:t>
            </w:r>
            <w:proofErr w:type="spellStart"/>
            <w:r w:rsidR="00465BD7">
              <w:rPr>
                <w:rFonts w:ascii="Arial Narrow" w:hAnsi="Arial Narrow" w:cs="Times New Roman"/>
                <w:sz w:val="20"/>
              </w:rPr>
              <w:t>titre</w:t>
            </w:r>
            <w:proofErr w:type="spellEnd"/>
            <w:r w:rsidRPr="00472AAB">
              <w:rPr>
                <w:rFonts w:ascii="Arial Narrow" w:hAnsi="Arial Narrow" w:cs="Times New Roman"/>
                <w:sz w:val="20"/>
              </w:rPr>
              <w:t xml:space="preserve"> ≥10</w:t>
            </w:r>
            <w:r w:rsidRPr="00472AAB">
              <w:rPr>
                <w:rFonts w:ascii="Arial Narrow" w:hAnsi="Arial Narrow" w:cs="Times New Roman"/>
                <w:spacing w:val="-2"/>
                <w:sz w:val="20"/>
              </w:rPr>
              <w:t xml:space="preserve"> </w:t>
            </w:r>
            <w:proofErr w:type="spellStart"/>
            <w:r w:rsidRPr="00472AAB">
              <w:rPr>
                <w:rFonts w:ascii="Arial Narrow" w:hAnsi="Arial Narrow" w:cs="Times New Roman"/>
                <w:sz w:val="20"/>
              </w:rPr>
              <w:t>mIU</w:t>
            </w:r>
            <w:proofErr w:type="spellEnd"/>
            <w:r w:rsidRPr="00472AAB">
              <w:rPr>
                <w:rFonts w:ascii="Arial Narrow" w:hAnsi="Arial Narrow" w:cs="Times New Roman"/>
                <w:sz w:val="20"/>
              </w:rPr>
              <w:t>/mL</w:t>
            </w:r>
          </w:p>
        </w:tc>
        <w:tc>
          <w:tcPr>
            <w:tcW w:w="629" w:type="pct"/>
          </w:tcPr>
          <w:p w14:paraId="5DC56E9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377</w:t>
            </w:r>
            <w:r w:rsidRPr="00472AAB">
              <w:rPr>
                <w:rFonts w:ascii="Arial Narrow" w:hAnsi="Arial Narrow" w:cs="Times New Roman"/>
                <w:spacing w:val="-1"/>
                <w:sz w:val="20"/>
              </w:rPr>
              <w:t xml:space="preserve"> </w:t>
            </w:r>
            <w:r w:rsidRPr="00472AAB">
              <w:rPr>
                <w:rFonts w:ascii="Arial Narrow" w:hAnsi="Arial Narrow" w:cs="Times New Roman"/>
                <w:sz w:val="20"/>
              </w:rPr>
              <w:t>(98.14)</w:t>
            </w:r>
          </w:p>
        </w:tc>
        <w:tc>
          <w:tcPr>
            <w:tcW w:w="708" w:type="pct"/>
          </w:tcPr>
          <w:p w14:paraId="7A2F914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391</w:t>
            </w:r>
            <w:r w:rsidRPr="00472AAB">
              <w:rPr>
                <w:rFonts w:ascii="Arial Narrow" w:hAnsi="Arial Narrow" w:cs="Times New Roman"/>
                <w:spacing w:val="-1"/>
                <w:sz w:val="20"/>
              </w:rPr>
              <w:t xml:space="preserve"> </w:t>
            </w:r>
            <w:r w:rsidRPr="00472AAB">
              <w:rPr>
                <w:rFonts w:ascii="Arial Narrow" w:hAnsi="Arial Narrow" w:cs="Times New Roman"/>
                <w:sz w:val="20"/>
              </w:rPr>
              <w:t>(98.73)</w:t>
            </w:r>
          </w:p>
        </w:tc>
        <w:tc>
          <w:tcPr>
            <w:tcW w:w="935" w:type="pct"/>
          </w:tcPr>
          <w:p w14:paraId="0DE46FFD"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-0.59</w:t>
            </w:r>
            <w:r w:rsidRPr="00472AAB">
              <w:rPr>
                <w:rFonts w:ascii="Arial Narrow" w:hAnsi="Arial Narrow" w:cs="Times New Roman"/>
                <w:spacing w:val="-1"/>
                <w:sz w:val="20"/>
              </w:rPr>
              <w:t xml:space="preserve"> </w:t>
            </w:r>
            <w:r w:rsidRPr="00472AAB">
              <w:rPr>
                <w:rFonts w:ascii="Arial Narrow" w:hAnsi="Arial Narrow" w:cs="Times New Roman"/>
                <w:sz w:val="20"/>
              </w:rPr>
              <w:t>(-2.66,</w:t>
            </w:r>
            <w:r w:rsidRPr="00472AAB">
              <w:rPr>
                <w:rFonts w:ascii="Arial Narrow" w:hAnsi="Arial Narrow" w:cs="Times New Roman"/>
                <w:spacing w:val="-1"/>
                <w:sz w:val="20"/>
              </w:rPr>
              <w:t xml:space="preserve"> </w:t>
            </w:r>
            <w:r w:rsidRPr="00472AAB">
              <w:rPr>
                <w:rFonts w:ascii="Arial Narrow" w:hAnsi="Arial Narrow" w:cs="Times New Roman"/>
                <w:sz w:val="20"/>
              </w:rPr>
              <w:t>1.35)</w:t>
            </w:r>
          </w:p>
        </w:tc>
        <w:tc>
          <w:tcPr>
            <w:tcW w:w="529" w:type="pct"/>
          </w:tcPr>
          <w:p w14:paraId="0FA8FCAD"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-10, Met</w:t>
            </w:r>
          </w:p>
        </w:tc>
      </w:tr>
      <w:tr w:rsidR="00772731" w:rsidRPr="00472AAB" w14:paraId="392AA962" w14:textId="77777777" w:rsidTr="00F87292">
        <w:trPr>
          <w:cantSplit/>
          <w:trHeight w:val="221"/>
          <w:tblHeader/>
        </w:trPr>
        <w:tc>
          <w:tcPr>
            <w:tcW w:w="399" w:type="pct"/>
            <w:vMerge/>
          </w:tcPr>
          <w:p w14:paraId="48EB37AC" w14:textId="77777777" w:rsidR="00772731" w:rsidRPr="00472AAB" w:rsidRDefault="00772731" w:rsidP="00F87292">
            <w:pPr>
              <w:jc w:val="left"/>
              <w:rPr>
                <w:rFonts w:ascii="Arial Narrow" w:hAnsi="Arial Narrow" w:cs="Times New Roman"/>
                <w:sz w:val="2"/>
                <w:szCs w:val="2"/>
              </w:rPr>
            </w:pPr>
          </w:p>
        </w:tc>
        <w:tc>
          <w:tcPr>
            <w:tcW w:w="542" w:type="pct"/>
          </w:tcPr>
          <w:p w14:paraId="02C3A6CB"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PT</w:t>
            </w:r>
          </w:p>
        </w:tc>
        <w:tc>
          <w:tcPr>
            <w:tcW w:w="1258" w:type="pct"/>
          </w:tcPr>
          <w:p w14:paraId="26E25D0A" w14:textId="253B2E28"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 xml:space="preserve">% </w:t>
            </w:r>
            <w:proofErr w:type="spellStart"/>
            <w:r w:rsidR="003A7E2F">
              <w:rPr>
                <w:rFonts w:ascii="Arial Narrow" w:hAnsi="Arial Narrow" w:cs="Times New Roman"/>
                <w:sz w:val="20"/>
              </w:rPr>
              <w:t>s</w:t>
            </w:r>
            <w:r w:rsidRPr="00472AAB">
              <w:rPr>
                <w:rFonts w:ascii="Arial Narrow" w:hAnsi="Arial Narrow" w:cs="Times New Roman"/>
                <w:sz w:val="20"/>
              </w:rPr>
              <w:t>eroresponse</w:t>
            </w:r>
            <w:r w:rsidRPr="00472AAB">
              <w:rPr>
                <w:rFonts w:ascii="Arial Narrow" w:hAnsi="Arial Narrow" w:cs="Times New Roman"/>
                <w:sz w:val="20"/>
                <w:vertAlign w:val="superscript"/>
              </w:rPr>
              <w:t>a</w:t>
            </w:r>
            <w:proofErr w:type="spellEnd"/>
          </w:p>
        </w:tc>
        <w:tc>
          <w:tcPr>
            <w:tcW w:w="629" w:type="pct"/>
          </w:tcPr>
          <w:p w14:paraId="5518115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566</w:t>
            </w:r>
            <w:r w:rsidRPr="00472AAB">
              <w:rPr>
                <w:rFonts w:ascii="Arial Narrow" w:hAnsi="Arial Narrow" w:cs="Times New Roman"/>
                <w:spacing w:val="-1"/>
                <w:sz w:val="20"/>
              </w:rPr>
              <w:t xml:space="preserve"> </w:t>
            </w:r>
            <w:r w:rsidRPr="00472AAB">
              <w:rPr>
                <w:rFonts w:ascii="Arial Narrow" w:hAnsi="Arial Narrow" w:cs="Times New Roman"/>
                <w:sz w:val="20"/>
              </w:rPr>
              <w:t>(99.11)</w:t>
            </w:r>
          </w:p>
        </w:tc>
        <w:tc>
          <w:tcPr>
            <w:tcW w:w="708" w:type="pct"/>
          </w:tcPr>
          <w:p w14:paraId="175D2240"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561</w:t>
            </w:r>
            <w:r w:rsidRPr="00472AAB">
              <w:rPr>
                <w:rFonts w:ascii="Arial Narrow" w:hAnsi="Arial Narrow" w:cs="Times New Roman"/>
                <w:spacing w:val="-1"/>
                <w:sz w:val="20"/>
              </w:rPr>
              <w:t xml:space="preserve"> </w:t>
            </w:r>
            <w:r w:rsidRPr="00472AAB">
              <w:rPr>
                <w:rFonts w:ascii="Arial Narrow" w:hAnsi="Arial Narrow" w:cs="Times New Roman"/>
                <w:sz w:val="20"/>
              </w:rPr>
              <w:t>(99.64)</w:t>
            </w:r>
          </w:p>
        </w:tc>
        <w:tc>
          <w:tcPr>
            <w:tcW w:w="935" w:type="pct"/>
          </w:tcPr>
          <w:p w14:paraId="6AF7B236"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-0.54</w:t>
            </w:r>
            <w:r w:rsidRPr="00472AAB">
              <w:rPr>
                <w:rFonts w:ascii="Arial Narrow" w:hAnsi="Arial Narrow" w:cs="Times New Roman"/>
                <w:spacing w:val="-1"/>
                <w:sz w:val="20"/>
              </w:rPr>
              <w:t xml:space="preserve"> </w:t>
            </w:r>
            <w:r w:rsidRPr="00472AAB">
              <w:rPr>
                <w:rFonts w:ascii="Arial Narrow" w:hAnsi="Arial Narrow" w:cs="Times New Roman"/>
                <w:sz w:val="20"/>
              </w:rPr>
              <w:t>(-1.79,</w:t>
            </w:r>
            <w:r w:rsidRPr="00472AAB">
              <w:rPr>
                <w:rFonts w:ascii="Arial Narrow" w:hAnsi="Arial Narrow" w:cs="Times New Roman"/>
                <w:spacing w:val="-1"/>
                <w:sz w:val="20"/>
              </w:rPr>
              <w:t xml:space="preserve"> </w:t>
            </w:r>
            <w:r w:rsidRPr="00472AAB">
              <w:rPr>
                <w:rFonts w:ascii="Arial Narrow" w:hAnsi="Arial Narrow" w:cs="Times New Roman"/>
                <w:sz w:val="20"/>
              </w:rPr>
              <w:t>0.49)</w:t>
            </w:r>
          </w:p>
        </w:tc>
        <w:tc>
          <w:tcPr>
            <w:tcW w:w="529" w:type="pct"/>
          </w:tcPr>
          <w:p w14:paraId="3B7CADF7"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-10, Met</w:t>
            </w:r>
          </w:p>
        </w:tc>
      </w:tr>
      <w:tr w:rsidR="00772731" w:rsidRPr="00472AAB" w14:paraId="475AF813" w14:textId="77777777" w:rsidTr="00F87292">
        <w:trPr>
          <w:cantSplit/>
          <w:trHeight w:val="95"/>
          <w:tblHeader/>
        </w:trPr>
        <w:tc>
          <w:tcPr>
            <w:tcW w:w="399" w:type="pct"/>
            <w:vMerge/>
          </w:tcPr>
          <w:p w14:paraId="34B0E779" w14:textId="77777777" w:rsidR="00772731" w:rsidRPr="00472AAB" w:rsidRDefault="00772731" w:rsidP="00F87292">
            <w:pPr>
              <w:jc w:val="left"/>
              <w:rPr>
                <w:rFonts w:ascii="Arial Narrow" w:hAnsi="Arial Narrow" w:cs="Times New Roman"/>
                <w:sz w:val="2"/>
                <w:szCs w:val="2"/>
              </w:rPr>
            </w:pPr>
          </w:p>
        </w:tc>
        <w:tc>
          <w:tcPr>
            <w:tcW w:w="542" w:type="pct"/>
          </w:tcPr>
          <w:p w14:paraId="01ACE2C1"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FHA</w:t>
            </w:r>
          </w:p>
        </w:tc>
        <w:tc>
          <w:tcPr>
            <w:tcW w:w="1258" w:type="pct"/>
          </w:tcPr>
          <w:p w14:paraId="6083B8C3"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 xml:space="preserve">% </w:t>
            </w:r>
            <w:proofErr w:type="spellStart"/>
            <w:r w:rsidRPr="00472AAB">
              <w:rPr>
                <w:rFonts w:ascii="Arial Narrow" w:hAnsi="Arial Narrow" w:cs="Times New Roman"/>
                <w:sz w:val="20"/>
              </w:rPr>
              <w:t>seroresponse</w:t>
            </w:r>
            <w:r w:rsidRPr="00472AAB">
              <w:rPr>
                <w:rFonts w:ascii="Arial Narrow" w:hAnsi="Arial Narrow" w:cs="Times New Roman"/>
                <w:sz w:val="20"/>
                <w:vertAlign w:val="superscript"/>
              </w:rPr>
              <w:t>a</w:t>
            </w:r>
            <w:proofErr w:type="spellEnd"/>
          </w:p>
        </w:tc>
        <w:tc>
          <w:tcPr>
            <w:tcW w:w="629" w:type="pct"/>
          </w:tcPr>
          <w:p w14:paraId="385408F4"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582</w:t>
            </w:r>
            <w:r w:rsidRPr="00472AAB">
              <w:rPr>
                <w:rFonts w:ascii="Arial Narrow" w:hAnsi="Arial Narrow" w:cs="Times New Roman"/>
                <w:spacing w:val="-1"/>
                <w:sz w:val="20"/>
              </w:rPr>
              <w:t xml:space="preserve"> </w:t>
            </w:r>
            <w:r w:rsidRPr="00472AAB">
              <w:rPr>
                <w:rFonts w:ascii="Arial Narrow" w:hAnsi="Arial Narrow" w:cs="Times New Roman"/>
                <w:sz w:val="20"/>
              </w:rPr>
              <w:t>(97.40)</w:t>
            </w:r>
          </w:p>
        </w:tc>
        <w:tc>
          <w:tcPr>
            <w:tcW w:w="708" w:type="pct"/>
          </w:tcPr>
          <w:p w14:paraId="0AE849A4"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571</w:t>
            </w:r>
            <w:r w:rsidRPr="00472AAB">
              <w:rPr>
                <w:rFonts w:ascii="Arial Narrow" w:hAnsi="Arial Narrow" w:cs="Times New Roman"/>
                <w:spacing w:val="-1"/>
                <w:sz w:val="20"/>
              </w:rPr>
              <w:t xml:space="preserve"> </w:t>
            </w:r>
            <w:r w:rsidRPr="00472AAB">
              <w:rPr>
                <w:rFonts w:ascii="Arial Narrow" w:hAnsi="Arial Narrow" w:cs="Times New Roman"/>
                <w:sz w:val="20"/>
              </w:rPr>
              <w:t>(99.13)</w:t>
            </w:r>
          </w:p>
        </w:tc>
        <w:tc>
          <w:tcPr>
            <w:tcW w:w="935" w:type="pct"/>
          </w:tcPr>
          <w:p w14:paraId="0C5DD99F"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-1.73</w:t>
            </w:r>
            <w:r w:rsidRPr="00472AAB">
              <w:rPr>
                <w:rFonts w:ascii="Arial Narrow" w:hAnsi="Arial Narrow" w:cs="Times New Roman"/>
                <w:spacing w:val="-1"/>
                <w:sz w:val="20"/>
              </w:rPr>
              <w:t xml:space="preserve"> </w:t>
            </w:r>
            <w:r w:rsidRPr="00472AAB">
              <w:rPr>
                <w:rFonts w:ascii="Arial Narrow" w:hAnsi="Arial Narrow" w:cs="Times New Roman"/>
                <w:sz w:val="20"/>
              </w:rPr>
              <w:t>(-3.47,</w:t>
            </w:r>
            <w:r w:rsidRPr="00472AAB">
              <w:rPr>
                <w:rFonts w:ascii="Arial Narrow" w:hAnsi="Arial Narrow" w:cs="Times New Roman"/>
                <w:spacing w:val="-1"/>
                <w:sz w:val="20"/>
              </w:rPr>
              <w:t xml:space="preserve"> </w:t>
            </w:r>
            <w:r w:rsidRPr="00472AAB">
              <w:rPr>
                <w:rFonts w:ascii="Arial Narrow" w:hAnsi="Arial Narrow" w:cs="Times New Roman"/>
                <w:sz w:val="20"/>
              </w:rPr>
              <w:t>-0.26)</w:t>
            </w:r>
          </w:p>
        </w:tc>
        <w:tc>
          <w:tcPr>
            <w:tcW w:w="529" w:type="pct"/>
          </w:tcPr>
          <w:p w14:paraId="07724F5B"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-10, Met</w:t>
            </w:r>
          </w:p>
        </w:tc>
      </w:tr>
      <w:tr w:rsidR="00772731" w:rsidRPr="00472AAB" w14:paraId="600C0C0F" w14:textId="77777777" w:rsidTr="00F87292">
        <w:trPr>
          <w:cantSplit/>
          <w:trHeight w:val="283"/>
          <w:tblHeader/>
        </w:trPr>
        <w:tc>
          <w:tcPr>
            <w:tcW w:w="399" w:type="pct"/>
            <w:vMerge/>
          </w:tcPr>
          <w:p w14:paraId="07EBDC94" w14:textId="77777777" w:rsidR="00772731" w:rsidRPr="00472AAB" w:rsidRDefault="00772731" w:rsidP="00F87292">
            <w:pPr>
              <w:jc w:val="left"/>
              <w:rPr>
                <w:rFonts w:ascii="Arial Narrow" w:hAnsi="Arial Narrow" w:cs="Times New Roman"/>
                <w:sz w:val="2"/>
                <w:szCs w:val="2"/>
              </w:rPr>
            </w:pPr>
          </w:p>
        </w:tc>
        <w:tc>
          <w:tcPr>
            <w:tcW w:w="542" w:type="pct"/>
          </w:tcPr>
          <w:p w14:paraId="7E79CDEA"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PRN</w:t>
            </w:r>
          </w:p>
        </w:tc>
        <w:tc>
          <w:tcPr>
            <w:tcW w:w="1258" w:type="pct"/>
          </w:tcPr>
          <w:p w14:paraId="21DD7409" w14:textId="6A666FD6"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 xml:space="preserve">% </w:t>
            </w:r>
            <w:proofErr w:type="spellStart"/>
            <w:r w:rsidR="003A7E2F">
              <w:rPr>
                <w:rFonts w:ascii="Arial Narrow" w:hAnsi="Arial Narrow" w:cs="Times New Roman"/>
                <w:sz w:val="20"/>
              </w:rPr>
              <w:t>s</w:t>
            </w:r>
            <w:r w:rsidRPr="00472AAB">
              <w:rPr>
                <w:rFonts w:ascii="Arial Narrow" w:hAnsi="Arial Narrow" w:cs="Times New Roman"/>
                <w:sz w:val="20"/>
              </w:rPr>
              <w:t>eroresponse</w:t>
            </w:r>
            <w:r w:rsidRPr="00472AAB">
              <w:rPr>
                <w:rFonts w:ascii="Arial Narrow" w:hAnsi="Arial Narrow" w:cs="Times New Roman"/>
                <w:sz w:val="20"/>
                <w:vertAlign w:val="superscript"/>
              </w:rPr>
              <w:t>a</w:t>
            </w:r>
            <w:proofErr w:type="spellEnd"/>
          </w:p>
        </w:tc>
        <w:tc>
          <w:tcPr>
            <w:tcW w:w="629" w:type="pct"/>
          </w:tcPr>
          <w:p w14:paraId="47B931A5"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582</w:t>
            </w:r>
            <w:r w:rsidRPr="00472AAB">
              <w:rPr>
                <w:rFonts w:ascii="Arial Narrow" w:hAnsi="Arial Narrow" w:cs="Times New Roman"/>
                <w:spacing w:val="-1"/>
                <w:sz w:val="20"/>
              </w:rPr>
              <w:t xml:space="preserve"> </w:t>
            </w:r>
            <w:r w:rsidRPr="00472AAB">
              <w:rPr>
                <w:rFonts w:ascii="Arial Narrow" w:hAnsi="Arial Narrow" w:cs="Times New Roman"/>
                <w:sz w:val="20"/>
              </w:rPr>
              <w:t>(96.86)</w:t>
            </w:r>
          </w:p>
        </w:tc>
        <w:tc>
          <w:tcPr>
            <w:tcW w:w="708" w:type="pct"/>
          </w:tcPr>
          <w:p w14:paraId="26B25F82"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572</w:t>
            </w:r>
            <w:r w:rsidRPr="00472AAB">
              <w:rPr>
                <w:rFonts w:ascii="Arial Narrow" w:hAnsi="Arial Narrow" w:cs="Times New Roman"/>
                <w:spacing w:val="-1"/>
                <w:sz w:val="20"/>
              </w:rPr>
              <w:t xml:space="preserve"> </w:t>
            </w:r>
            <w:r w:rsidRPr="00472AAB">
              <w:rPr>
                <w:rFonts w:ascii="Arial Narrow" w:hAnsi="Arial Narrow" w:cs="Times New Roman"/>
                <w:sz w:val="20"/>
              </w:rPr>
              <w:t>(98.28)</w:t>
            </w:r>
          </w:p>
        </w:tc>
        <w:tc>
          <w:tcPr>
            <w:tcW w:w="935" w:type="pct"/>
          </w:tcPr>
          <w:p w14:paraId="2406CC87"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-1.42</w:t>
            </w:r>
            <w:r w:rsidRPr="00472AAB">
              <w:rPr>
                <w:rFonts w:ascii="Arial Narrow" w:hAnsi="Arial Narrow" w:cs="Times New Roman"/>
                <w:spacing w:val="-1"/>
                <w:sz w:val="20"/>
              </w:rPr>
              <w:t xml:space="preserve"> </w:t>
            </w:r>
            <w:r w:rsidRPr="00472AAB">
              <w:rPr>
                <w:rFonts w:ascii="Arial Narrow" w:hAnsi="Arial Narrow" w:cs="Times New Roman"/>
                <w:sz w:val="20"/>
              </w:rPr>
              <w:t>(-3.42,</w:t>
            </w:r>
            <w:r w:rsidRPr="00472AAB">
              <w:rPr>
                <w:rFonts w:ascii="Arial Narrow" w:hAnsi="Arial Narrow" w:cs="Times New Roman"/>
                <w:spacing w:val="-1"/>
                <w:sz w:val="20"/>
              </w:rPr>
              <w:t xml:space="preserve"> </w:t>
            </w:r>
            <w:r w:rsidRPr="00472AAB">
              <w:rPr>
                <w:rFonts w:ascii="Arial Narrow" w:hAnsi="Arial Narrow" w:cs="Times New Roman"/>
                <w:sz w:val="20"/>
              </w:rPr>
              <w:t>0.39)</w:t>
            </w:r>
          </w:p>
        </w:tc>
        <w:tc>
          <w:tcPr>
            <w:tcW w:w="529" w:type="pct"/>
          </w:tcPr>
          <w:p w14:paraId="33E129C4" w14:textId="77777777" w:rsidR="00772731" w:rsidRPr="00472AAB" w:rsidRDefault="00772731" w:rsidP="00F87292">
            <w:pPr>
              <w:jc w:val="left"/>
              <w:rPr>
                <w:rFonts w:ascii="Arial Narrow" w:hAnsi="Arial Narrow" w:cs="Times New Roman"/>
                <w:sz w:val="20"/>
              </w:rPr>
            </w:pPr>
            <w:r w:rsidRPr="00472AAB">
              <w:rPr>
                <w:rFonts w:ascii="Arial Narrow" w:hAnsi="Arial Narrow" w:cs="Times New Roman"/>
                <w:sz w:val="20"/>
              </w:rPr>
              <w:t>-10, Met</w:t>
            </w:r>
          </w:p>
        </w:tc>
      </w:tr>
    </w:tbl>
    <w:p w14:paraId="49377CB5" w14:textId="77777777" w:rsidR="00772731" w:rsidRDefault="00772731" w:rsidP="00772731">
      <w:pPr>
        <w:pStyle w:val="TableFigureFooter"/>
      </w:pPr>
      <w:r>
        <w:t>Source: Table 2.36, p58 of the submission</w:t>
      </w:r>
    </w:p>
    <w:p w14:paraId="70B7FCC0" w14:textId="77777777" w:rsidR="00772731" w:rsidRDefault="00772731" w:rsidP="00772731">
      <w:pPr>
        <w:pStyle w:val="TableFigureFooter"/>
      </w:pPr>
      <w:r>
        <w:t>PP-RW (Per-protocol-revised window) population.</w:t>
      </w:r>
    </w:p>
    <w:p w14:paraId="5D683926" w14:textId="77777777" w:rsidR="00772731" w:rsidRDefault="00772731" w:rsidP="00772731">
      <w:pPr>
        <w:pStyle w:val="TableFigureFooter"/>
      </w:pPr>
      <w:proofErr w:type="spellStart"/>
      <w:r w:rsidRPr="00472AAB">
        <w:rPr>
          <w:vertAlign w:val="superscript"/>
        </w:rPr>
        <w:t>a</w:t>
      </w:r>
      <w:r>
        <w:t>Seroresponse</w:t>
      </w:r>
      <w:proofErr w:type="spellEnd"/>
      <w:r>
        <w:t xml:space="preserve"> was defined as follows: if pre-vaccination antibody concentration was &lt;LLOQ, then the post-vaccination antibody concentration was ≥LLOQ; If pre-vaccination antibody concentration was ≥LLOQ, then the post-vaccination antibody concentration was</w:t>
      </w:r>
    </w:p>
    <w:p w14:paraId="02655A20" w14:textId="700BEC93" w:rsidR="00772731" w:rsidRDefault="00772731" w:rsidP="00772731">
      <w:pPr>
        <w:pStyle w:val="TableFigureFooter"/>
      </w:pPr>
      <w:r>
        <w:t xml:space="preserve">≥pre-vaccination levels (the pre-vaccination level was defined as the antibody </w:t>
      </w:r>
      <w:r w:rsidR="00465BD7">
        <w:t>titre</w:t>
      </w:r>
      <w:r>
        <w:t xml:space="preserve"> at pre-Dose 1)</w:t>
      </w:r>
    </w:p>
    <w:p w14:paraId="053F1FA5" w14:textId="6A54EB06" w:rsidR="00772731" w:rsidRPr="00472AAB" w:rsidRDefault="00772731" w:rsidP="00772731">
      <w:pPr>
        <w:pStyle w:val="TableFigureFooter"/>
      </w:pPr>
      <w:r>
        <w:t>FHA</w:t>
      </w:r>
      <w:r w:rsidR="00791F28">
        <w:t xml:space="preserve"> </w:t>
      </w:r>
      <w:r>
        <w:t>=</w:t>
      </w:r>
      <w:r w:rsidR="00791F28">
        <w:t xml:space="preserve"> </w:t>
      </w:r>
      <w:r>
        <w:t>Filamentous hemagglutinin; FIM</w:t>
      </w:r>
      <w:r w:rsidR="00791F28">
        <w:t xml:space="preserve"> </w:t>
      </w:r>
      <w:r>
        <w:t>=</w:t>
      </w:r>
      <w:r w:rsidR="00791F28">
        <w:t xml:space="preserve"> </w:t>
      </w:r>
      <w:r>
        <w:t>Fimbriae types 2 and 3; HBsAg</w:t>
      </w:r>
      <w:r w:rsidR="00791F28">
        <w:t xml:space="preserve"> </w:t>
      </w:r>
      <w:r>
        <w:t>=</w:t>
      </w:r>
      <w:r w:rsidR="00791F28">
        <w:t xml:space="preserve"> </w:t>
      </w:r>
      <w:r>
        <w:t>Hepatitis B surface antigen; IPV</w:t>
      </w:r>
      <w:r w:rsidR="00791F28">
        <w:t xml:space="preserve"> </w:t>
      </w:r>
      <w:r>
        <w:t>=</w:t>
      </w:r>
      <w:r w:rsidR="00791F28">
        <w:t xml:space="preserve"> </w:t>
      </w:r>
      <w:r>
        <w:t>Inactivated poliovirus; IU</w:t>
      </w:r>
      <w:r w:rsidR="00791F28">
        <w:t xml:space="preserve"> </w:t>
      </w:r>
      <w:r>
        <w:t>=</w:t>
      </w:r>
      <w:r w:rsidR="00791F28">
        <w:t xml:space="preserve"> </w:t>
      </w:r>
      <w:r>
        <w:t>International unit; LLOQ</w:t>
      </w:r>
      <w:r w:rsidR="00791F28">
        <w:t xml:space="preserve"> </w:t>
      </w:r>
      <w:r>
        <w:t>=</w:t>
      </w:r>
      <w:r w:rsidR="00791F28">
        <w:t xml:space="preserve"> </w:t>
      </w:r>
      <w:r>
        <w:t>Lower limit of quantification; Nab</w:t>
      </w:r>
      <w:r w:rsidR="00791F28">
        <w:t xml:space="preserve"> </w:t>
      </w:r>
      <w:r>
        <w:t>=</w:t>
      </w:r>
      <w:r w:rsidR="00791F28">
        <w:t xml:space="preserve"> </w:t>
      </w:r>
      <w:r>
        <w:t>Neutralising antibodies; NI</w:t>
      </w:r>
      <w:r w:rsidR="00791F28">
        <w:t xml:space="preserve"> </w:t>
      </w:r>
      <w:r>
        <w:t>=</w:t>
      </w:r>
      <w:r w:rsidR="00791F28">
        <w:t xml:space="preserve"> </w:t>
      </w:r>
      <w:r>
        <w:t>Non-inferiority PRN</w:t>
      </w:r>
      <w:r w:rsidR="00791F28">
        <w:t xml:space="preserve"> </w:t>
      </w:r>
      <w:r>
        <w:t>=</w:t>
      </w:r>
      <w:r w:rsidR="00791F28">
        <w:t xml:space="preserve"> </w:t>
      </w:r>
      <w:r>
        <w:t>Pertactin; PRP</w:t>
      </w:r>
      <w:r w:rsidR="00791F28">
        <w:t xml:space="preserve"> </w:t>
      </w:r>
      <w:r>
        <w:t>=</w:t>
      </w:r>
      <w:r w:rsidR="00791F28">
        <w:t xml:space="preserve"> </w:t>
      </w:r>
      <w:proofErr w:type="spellStart"/>
      <w:r>
        <w:t>Polyribose</w:t>
      </w:r>
      <w:proofErr w:type="spellEnd"/>
      <w:r>
        <w:t xml:space="preserve"> </w:t>
      </w:r>
      <w:proofErr w:type="spellStart"/>
      <w:r>
        <w:t>ribitol</w:t>
      </w:r>
      <w:proofErr w:type="spellEnd"/>
      <w:r>
        <w:t xml:space="preserve"> phosphate; PT</w:t>
      </w:r>
      <w:r w:rsidR="00791F28">
        <w:t xml:space="preserve"> </w:t>
      </w:r>
      <w:r>
        <w:t>=</w:t>
      </w:r>
      <w:r w:rsidR="00791F28">
        <w:t xml:space="preserve"> </w:t>
      </w:r>
      <w:r>
        <w:t>Pertussis toxin.</w:t>
      </w:r>
    </w:p>
    <w:p w14:paraId="61ADC240" w14:textId="0971DEC2" w:rsidR="00772731" w:rsidRDefault="00772731" w:rsidP="00772731">
      <w:pPr>
        <w:pStyle w:val="3-BodyText"/>
      </w:pPr>
      <w:r w:rsidRPr="00BF2D47">
        <w:t>The difference in response rates (</w:t>
      </w:r>
      <w:proofErr w:type="spellStart"/>
      <w:r w:rsidRPr="00BF2D47">
        <w:t>Vaxelis</w:t>
      </w:r>
      <w:proofErr w:type="spellEnd"/>
      <w:r w:rsidRPr="00BF2D47">
        <w:t xml:space="preserve"> group minus Infanrix </w:t>
      </w:r>
      <w:proofErr w:type="spellStart"/>
      <w:r w:rsidR="00AE2917">
        <w:t>Hexa</w:t>
      </w:r>
      <w:proofErr w:type="spellEnd"/>
      <w:r w:rsidRPr="00BF2D47">
        <w:t xml:space="preserve"> group) was</w:t>
      </w:r>
      <w:r w:rsidR="00FA314A">
        <w:t xml:space="preserve"> met the </w:t>
      </w:r>
      <w:r w:rsidR="006B1B88">
        <w:t>prespecified</w:t>
      </w:r>
      <w:r w:rsidRPr="00BF2D47">
        <w:t xml:space="preserve"> non-inferiority margin</w:t>
      </w:r>
      <w:r w:rsidR="00FA314A">
        <w:t xml:space="preserve"> for</w:t>
      </w:r>
      <w:r w:rsidRPr="00BF2D47">
        <w:t xml:space="preserve"> all </w:t>
      </w:r>
      <w:r w:rsidR="006B1B88">
        <w:t>prespecified</w:t>
      </w:r>
      <w:r w:rsidRPr="00BF2D47">
        <w:t xml:space="preserve"> endpoints, indicating that </w:t>
      </w:r>
      <w:proofErr w:type="spellStart"/>
      <w:r w:rsidRPr="00BF2D47">
        <w:t>Vaxelis</w:t>
      </w:r>
      <w:proofErr w:type="spellEnd"/>
      <w:r w:rsidRPr="00BF2D47">
        <w:t xml:space="preserve"> was non-inferior to Infanrix </w:t>
      </w:r>
      <w:proofErr w:type="spellStart"/>
      <w:r w:rsidR="00AE2917">
        <w:t>Hexa</w:t>
      </w:r>
      <w:proofErr w:type="spellEnd"/>
      <w:r w:rsidR="0073556A">
        <w:t xml:space="preserve"> at </w:t>
      </w:r>
      <w:proofErr w:type="gramStart"/>
      <w:r w:rsidR="0073556A">
        <w:t>one month</w:t>
      </w:r>
      <w:proofErr w:type="gramEnd"/>
      <w:r w:rsidR="0073556A">
        <w:t xml:space="preserve"> post-Toddler dose</w:t>
      </w:r>
      <w:r w:rsidRPr="00BF2D47">
        <w:t>.</w:t>
      </w:r>
    </w:p>
    <w:p w14:paraId="620202C1" w14:textId="4BD4D6B3" w:rsidR="00772731" w:rsidRPr="00910346" w:rsidRDefault="00772731" w:rsidP="00772731">
      <w:pPr>
        <w:pStyle w:val="3-BodyText"/>
      </w:pPr>
      <w:r w:rsidRPr="00910346">
        <w:t xml:space="preserve">The Committee for Medicinal Products for Human Use (CHMP, European Medicines Agency (EMA)) assessment report for </w:t>
      </w:r>
      <w:proofErr w:type="spellStart"/>
      <w:r w:rsidRPr="00910346">
        <w:t>Vaxelis</w:t>
      </w:r>
      <w:proofErr w:type="spellEnd"/>
      <w:r w:rsidRPr="00910346">
        <w:t>; EMA/CHMP/72003/2016) presented data from Study 008 on anti-pertussis responses (</w:t>
      </w:r>
      <w:r w:rsidR="0073556A" w:rsidRPr="00910346">
        <w:t>FH</w:t>
      </w:r>
      <w:r w:rsidRPr="00910346">
        <w:t xml:space="preserve">A, PRN, FIM antigens) for </w:t>
      </w:r>
      <w:proofErr w:type="spellStart"/>
      <w:r w:rsidRPr="00910346">
        <w:t>Vaxelis</w:t>
      </w:r>
      <w:proofErr w:type="spellEnd"/>
      <w:r w:rsidRPr="00910346">
        <w:t xml:space="preserve"> and Infanrix </w:t>
      </w:r>
      <w:proofErr w:type="spellStart"/>
      <w:r w:rsidR="00AE2917">
        <w:t>Hexa</w:t>
      </w:r>
      <w:proofErr w:type="spellEnd"/>
      <w:r w:rsidRPr="00910346">
        <w:t xml:space="preserve"> at various timepoints, and noted that prior to the Toddler dose, the pertussis response rates for all shared antigens were lower in the </w:t>
      </w:r>
      <w:proofErr w:type="spellStart"/>
      <w:r w:rsidRPr="00910346">
        <w:t>Vaxelis</w:t>
      </w:r>
      <w:proofErr w:type="spellEnd"/>
      <w:r w:rsidRPr="00910346">
        <w:t xml:space="preserve"> group compared to </w:t>
      </w:r>
      <w:r w:rsidR="0073556A" w:rsidRPr="00910346">
        <w:t xml:space="preserve">those in the </w:t>
      </w:r>
      <w:r w:rsidRPr="00910346">
        <w:t xml:space="preserve">Infanrix </w:t>
      </w:r>
      <w:proofErr w:type="spellStart"/>
      <w:r w:rsidR="00AE2917">
        <w:t>Hexa</w:t>
      </w:r>
      <w:proofErr w:type="spellEnd"/>
      <w:r w:rsidRPr="00910346">
        <w:t xml:space="preserve"> group. After the Toddler dose</w:t>
      </w:r>
      <w:r w:rsidR="00465BD7" w:rsidRPr="00910346">
        <w:t xml:space="preserve"> (booster)</w:t>
      </w:r>
      <w:r w:rsidRPr="00910346">
        <w:t>, the pertussis antibody response rates were similar between the groups.</w:t>
      </w:r>
    </w:p>
    <w:p w14:paraId="02309E27" w14:textId="47150C0A" w:rsidR="00772731" w:rsidRPr="00910346" w:rsidRDefault="007D7612" w:rsidP="00772731">
      <w:pPr>
        <w:pStyle w:val="3-BodyText"/>
      </w:pPr>
      <w:r w:rsidRPr="00910346">
        <w:t>A s</w:t>
      </w:r>
      <w:r w:rsidR="00772731" w:rsidRPr="00910346">
        <w:t xml:space="preserve">imilar trend was observed </w:t>
      </w:r>
      <w:r w:rsidR="00F04906" w:rsidRPr="00910346">
        <w:t>for</w:t>
      </w:r>
      <w:r w:rsidR="00772731" w:rsidRPr="00910346">
        <w:t xml:space="preserve"> the response rates and GMTs of IPV1 and IPV3. At </w:t>
      </w:r>
      <w:proofErr w:type="gramStart"/>
      <w:r w:rsidR="00772731" w:rsidRPr="00910346">
        <w:t>one month</w:t>
      </w:r>
      <w:proofErr w:type="gramEnd"/>
      <w:r w:rsidR="00772731" w:rsidRPr="00910346">
        <w:t xml:space="preserve"> post-Dose 2, the response rates and GMTs of IPV1 and IPV3 were lower in the </w:t>
      </w:r>
      <w:proofErr w:type="spellStart"/>
      <w:r w:rsidR="00772731" w:rsidRPr="00910346">
        <w:t>Vaxelis</w:t>
      </w:r>
      <w:proofErr w:type="spellEnd"/>
      <w:r w:rsidR="00772731" w:rsidRPr="00910346">
        <w:t xml:space="preserve"> group. However, the response rates to all three poliovirus antigens were </w:t>
      </w:r>
      <w:r w:rsidRPr="00910346">
        <w:t xml:space="preserve">similarly high (&gt;99%) in </w:t>
      </w:r>
      <w:r w:rsidR="00772731" w:rsidRPr="00910346">
        <w:t>both groups</w:t>
      </w:r>
      <w:r w:rsidR="00F04906" w:rsidRPr="00910346">
        <w:t xml:space="preserve"> </w:t>
      </w:r>
      <w:proofErr w:type="gramStart"/>
      <w:r w:rsidR="00F04906" w:rsidRPr="00910346">
        <w:t>one month</w:t>
      </w:r>
      <w:proofErr w:type="gramEnd"/>
      <w:r w:rsidR="00F04906" w:rsidRPr="00910346">
        <w:t xml:space="preserve"> post-Toddler dose</w:t>
      </w:r>
      <w:r w:rsidR="00772731" w:rsidRPr="00910346">
        <w:t>.</w:t>
      </w:r>
    </w:p>
    <w:p w14:paraId="1E2FF132" w14:textId="3F3D6B04" w:rsidR="00772731" w:rsidRPr="00910346" w:rsidRDefault="00772731" w:rsidP="00772731">
      <w:pPr>
        <w:pStyle w:val="3-BodyText"/>
      </w:pPr>
      <w:r w:rsidRPr="00910346">
        <w:t xml:space="preserve">Regarding concomitant use of Rotarix, immune responses to Rotarix in subjects who received </w:t>
      </w:r>
      <w:proofErr w:type="spellStart"/>
      <w:r w:rsidRPr="00910346">
        <w:t>Vaxelis</w:t>
      </w:r>
      <w:proofErr w:type="spellEnd"/>
      <w:r w:rsidRPr="00910346">
        <w:t xml:space="preserve"> were non-inferior to those observed for Rotarix plus Infanrix </w:t>
      </w:r>
      <w:proofErr w:type="spellStart"/>
      <w:r w:rsidR="00AE2917">
        <w:t>Hexa</w:t>
      </w:r>
      <w:proofErr w:type="spellEnd"/>
      <w:r w:rsidRPr="00910346">
        <w:t xml:space="preserve"> at </w:t>
      </w:r>
      <w:proofErr w:type="gramStart"/>
      <w:r w:rsidRPr="00910346">
        <w:t>one month</w:t>
      </w:r>
      <w:proofErr w:type="gramEnd"/>
      <w:r w:rsidRPr="00910346">
        <w:t xml:space="preserve"> post</w:t>
      </w:r>
      <w:r w:rsidR="000315F7" w:rsidRPr="00910346">
        <w:t>-</w:t>
      </w:r>
      <w:r w:rsidRPr="00910346">
        <w:t xml:space="preserve">Dose 2. </w:t>
      </w:r>
    </w:p>
    <w:p w14:paraId="3044D965" w14:textId="2AA50E50" w:rsidR="00772731" w:rsidRPr="00910346" w:rsidRDefault="00772731" w:rsidP="00772731">
      <w:pPr>
        <w:pStyle w:val="3-BodyText"/>
      </w:pPr>
      <w:r w:rsidRPr="00910346">
        <w:t xml:space="preserve">At </w:t>
      </w:r>
      <w:proofErr w:type="gramStart"/>
      <w:r w:rsidRPr="00910346">
        <w:t>one month</w:t>
      </w:r>
      <w:proofErr w:type="gramEnd"/>
      <w:r w:rsidRPr="00910346">
        <w:t xml:space="preserve"> post-Dose 2, the anti-HBsAg GMT was lower in the </w:t>
      </w:r>
      <w:proofErr w:type="spellStart"/>
      <w:r w:rsidRPr="00910346">
        <w:t>Vaxelis</w:t>
      </w:r>
      <w:proofErr w:type="spellEnd"/>
      <w:r w:rsidRPr="00910346">
        <w:t xml:space="preserve"> group compared to the Infanrix </w:t>
      </w:r>
      <w:proofErr w:type="spellStart"/>
      <w:r w:rsidR="00AE2917">
        <w:t>Hexa</w:t>
      </w:r>
      <w:proofErr w:type="spellEnd"/>
      <w:r w:rsidRPr="00910346">
        <w:t xml:space="preserve"> group and </w:t>
      </w:r>
      <w:r w:rsidR="00802393" w:rsidRPr="00910346">
        <w:t xml:space="preserve">was </w:t>
      </w:r>
      <w:r w:rsidRPr="00910346">
        <w:t xml:space="preserve">also </w:t>
      </w:r>
      <w:r w:rsidR="00802393" w:rsidRPr="00910346">
        <w:t xml:space="preserve">lower </w:t>
      </w:r>
      <w:r w:rsidRPr="00910346">
        <w:t xml:space="preserve">than </w:t>
      </w:r>
      <w:r w:rsidR="00802393" w:rsidRPr="00910346">
        <w:t xml:space="preserve">that </w:t>
      </w:r>
      <w:r w:rsidRPr="00910346">
        <w:t>observed in study 007. There was a trend towards lower anti</w:t>
      </w:r>
      <w:r w:rsidR="00BA5AB8" w:rsidRPr="00910346">
        <w:t>-</w:t>
      </w:r>
      <w:r w:rsidRPr="00910346">
        <w:t xml:space="preserve">HB immune responses in the </w:t>
      </w:r>
      <w:proofErr w:type="spellStart"/>
      <w:r w:rsidRPr="00910346">
        <w:t>Vaxelis</w:t>
      </w:r>
      <w:proofErr w:type="spellEnd"/>
      <w:r w:rsidRPr="00910346">
        <w:t xml:space="preserve"> group </w:t>
      </w:r>
      <w:r w:rsidRPr="00910346">
        <w:lastRenderedPageBreak/>
        <w:t xml:space="preserve">compared to the Infanrix </w:t>
      </w:r>
      <w:proofErr w:type="spellStart"/>
      <w:r w:rsidR="00AE2917">
        <w:t>Hexa</w:t>
      </w:r>
      <w:proofErr w:type="spellEnd"/>
      <w:r w:rsidRPr="00910346">
        <w:t xml:space="preserve"> group. The TGA clinical evaluator noted that the clinical significance of this is unclear since immunological memory persists beyond the detection of antibodies and the persistence of anti-HBs antibodies may therefore not be the most appropriate surrogate of </w:t>
      </w:r>
      <w:proofErr w:type="gramStart"/>
      <w:r w:rsidRPr="00910346">
        <w:t>long term</w:t>
      </w:r>
      <w:proofErr w:type="gramEnd"/>
      <w:r w:rsidRPr="00910346">
        <w:t xml:space="preserve"> protection (p35, </w:t>
      </w:r>
      <w:r w:rsidR="00B66E5C" w:rsidRPr="00910346">
        <w:t xml:space="preserve">TGA </w:t>
      </w:r>
      <w:r w:rsidR="00457F1D">
        <w:t>CER</w:t>
      </w:r>
      <w:r w:rsidRPr="00910346">
        <w:t xml:space="preserve">). The </w:t>
      </w:r>
      <w:proofErr w:type="gramStart"/>
      <w:r w:rsidRPr="00910346">
        <w:t>long term</w:t>
      </w:r>
      <w:proofErr w:type="gramEnd"/>
      <w:r w:rsidRPr="00910346">
        <w:t xml:space="preserve"> persistence of anti-HBs immunity may need to be evaluated in future studies.</w:t>
      </w:r>
    </w:p>
    <w:p w14:paraId="5C54B415" w14:textId="0A2FF406" w:rsidR="00772731" w:rsidRPr="00AD4716" w:rsidRDefault="00772731" w:rsidP="00772731">
      <w:pPr>
        <w:pStyle w:val="5-SubsectionSubheading"/>
      </w:pPr>
      <w:bookmarkStart w:id="26" w:name="_Toc93503677"/>
      <w:r>
        <w:t xml:space="preserve">Supportive </w:t>
      </w:r>
      <w:r w:rsidR="000F2686">
        <w:t xml:space="preserve">extension </w:t>
      </w:r>
      <w:r>
        <w:t xml:space="preserve">study - </w:t>
      </w:r>
      <w:r w:rsidRPr="001B6251">
        <w:t>PRI03C</w:t>
      </w:r>
      <w:bookmarkEnd w:id="26"/>
    </w:p>
    <w:p w14:paraId="388D72E7" w14:textId="1ACCF0B9" w:rsidR="00772731" w:rsidRPr="00910346" w:rsidRDefault="00772731" w:rsidP="00772731">
      <w:pPr>
        <w:pStyle w:val="3-BodyText"/>
      </w:pPr>
      <w:r w:rsidRPr="00910346">
        <w:t xml:space="preserve">The proportion of </w:t>
      </w:r>
      <w:r w:rsidR="00BF04DC" w:rsidRPr="00910346">
        <w:t xml:space="preserve">individuals </w:t>
      </w:r>
      <w:r w:rsidRPr="00910346">
        <w:t>who showed ≥10</w:t>
      </w:r>
      <w:r w:rsidR="00BA5AB8" w:rsidRPr="00910346">
        <w:t xml:space="preserve"> </w:t>
      </w:r>
      <w:proofErr w:type="spellStart"/>
      <w:r w:rsidRPr="00910346">
        <w:t>mIU</w:t>
      </w:r>
      <w:proofErr w:type="spellEnd"/>
      <w:r w:rsidRPr="00910346">
        <w:t xml:space="preserve">/mL of anti-HBsAg antibody </w:t>
      </w:r>
      <w:r w:rsidR="00162829" w:rsidRPr="00910346">
        <w:t>was</w:t>
      </w:r>
      <w:r w:rsidRPr="00910346">
        <w:t xml:space="preserve"> lower in the </w:t>
      </w:r>
      <w:proofErr w:type="spellStart"/>
      <w:r w:rsidRPr="00910346">
        <w:t>Vaxelis</w:t>
      </w:r>
      <w:proofErr w:type="spellEnd"/>
      <w:r w:rsidRPr="00910346">
        <w:t xml:space="preserve"> group compared to Infanrix </w:t>
      </w:r>
      <w:proofErr w:type="spellStart"/>
      <w:r w:rsidR="00AE2917">
        <w:t>Hexa</w:t>
      </w:r>
      <w:proofErr w:type="spellEnd"/>
      <w:r w:rsidRPr="00910346">
        <w:t xml:space="preserve"> group. The difference was not statistically significant in those who were previously immunised with the 3+1 schedule from Study 007 (noting there was </w:t>
      </w:r>
      <w:r w:rsidR="00700FE6" w:rsidRPr="00910346">
        <w:t>marginal</w:t>
      </w:r>
      <w:r w:rsidRPr="00910346">
        <w:t xml:space="preserve"> overlap between the 95% CIs), but statistically significant (</w:t>
      </w:r>
      <w:proofErr w:type="gramStart"/>
      <w:r w:rsidRPr="00910346">
        <w:t>i.e.</w:t>
      </w:r>
      <w:proofErr w:type="gramEnd"/>
      <w:r w:rsidRPr="00910346">
        <w:t xml:space="preserve"> non-overlapping 95% CIs) in those previously immunised with the 2+1 schedule from Study 008.</w:t>
      </w:r>
    </w:p>
    <w:p w14:paraId="257DE9A0" w14:textId="7B95C168" w:rsidR="00772731" w:rsidRPr="00910346" w:rsidRDefault="00772731" w:rsidP="00772731">
      <w:pPr>
        <w:pStyle w:val="3-BodyText"/>
      </w:pPr>
      <w:r w:rsidRPr="00910346">
        <w:t xml:space="preserve">In the TGA application to register </w:t>
      </w:r>
      <w:proofErr w:type="spellStart"/>
      <w:r w:rsidRPr="00910346">
        <w:t>Vaxelis</w:t>
      </w:r>
      <w:proofErr w:type="spellEnd"/>
      <w:r w:rsidRPr="00910346">
        <w:t xml:space="preserve">, the Sponsor argued that the lower anti-HBsAg antibody levels, observed in the </w:t>
      </w:r>
      <w:proofErr w:type="spellStart"/>
      <w:r w:rsidRPr="00910346">
        <w:t>Vaxelis</w:t>
      </w:r>
      <w:proofErr w:type="spellEnd"/>
      <w:r w:rsidRPr="00910346">
        <w:t xml:space="preserve"> group from Study PRI03C, was unlikely to be clinically significant, given that hepatitis B vaccine responders exhibit immune memory against the disease even in the absence of circulating antibody years after initial vaccination. Upon request from the TGA clinical evaluator for further details on this issue (p59, </w:t>
      </w:r>
      <w:r w:rsidR="002C24AB" w:rsidRPr="00910346">
        <w:t>TGA CER</w:t>
      </w:r>
      <w:r w:rsidRPr="00910346">
        <w:t xml:space="preserve"> Round 2), the Sponsor provided further </w:t>
      </w:r>
      <w:r w:rsidR="00CD1891" w:rsidRPr="00910346">
        <w:t>information and data</w:t>
      </w:r>
      <w:r w:rsidRPr="00910346">
        <w:t xml:space="preserve"> which w</w:t>
      </w:r>
      <w:r w:rsidR="00CD1891" w:rsidRPr="00910346">
        <w:t>ere</w:t>
      </w:r>
      <w:r w:rsidRPr="00910346">
        <w:t xml:space="preserve"> deemed acceptable to the TGA clinical evaluator. </w:t>
      </w:r>
    </w:p>
    <w:p w14:paraId="6A787391" w14:textId="6766020F" w:rsidR="00772731" w:rsidRDefault="00772731" w:rsidP="00772731">
      <w:pPr>
        <w:pStyle w:val="3-BodyText"/>
      </w:pPr>
      <w:r w:rsidRPr="00910346">
        <w:t>The percentage of children showing anti-pertussis antibodies</w:t>
      </w:r>
      <w:r w:rsidR="00AF2884" w:rsidRPr="00910346">
        <w:t xml:space="preserve"> based on ≥ lower limit of quantification</w:t>
      </w:r>
      <w:r w:rsidRPr="00910346">
        <w:t xml:space="preserve"> (≥LLOQ) to PT was significantly higher in the </w:t>
      </w:r>
      <w:proofErr w:type="spellStart"/>
      <w:r w:rsidRPr="00910346">
        <w:t>Vaxelis</w:t>
      </w:r>
      <w:proofErr w:type="spellEnd"/>
      <w:r w:rsidRPr="00910346">
        <w:t xml:space="preserve"> group than in the Infanrix </w:t>
      </w:r>
      <w:proofErr w:type="spellStart"/>
      <w:r w:rsidR="00AE2917">
        <w:t>Hexa</w:t>
      </w:r>
      <w:proofErr w:type="spellEnd"/>
      <w:r w:rsidRPr="00910346">
        <w:t xml:space="preserve"> group. </w:t>
      </w:r>
      <w:r w:rsidR="007D7612" w:rsidRPr="00910346">
        <w:t>However, t</w:t>
      </w:r>
      <w:r w:rsidRPr="00910346">
        <w:t xml:space="preserve">here were lower percentages of subjects with antibodies to FHA and PRN antigens in the </w:t>
      </w:r>
      <w:proofErr w:type="spellStart"/>
      <w:r w:rsidRPr="00910346">
        <w:t>Vaxelis</w:t>
      </w:r>
      <w:proofErr w:type="spellEnd"/>
      <w:r w:rsidRPr="00910346">
        <w:t xml:space="preserve"> group compared to the Infanrix </w:t>
      </w:r>
      <w:proofErr w:type="spellStart"/>
      <w:r w:rsidR="00AE2917">
        <w:t>Hexa</w:t>
      </w:r>
      <w:proofErr w:type="spellEnd"/>
      <w:r w:rsidRPr="00910346">
        <w:t xml:space="preserve"> group, although the differences were not statistically significant.</w:t>
      </w:r>
    </w:p>
    <w:p w14:paraId="4F69ED36" w14:textId="3868D59C" w:rsidR="002852A6" w:rsidRPr="00910346" w:rsidRDefault="00553C2A" w:rsidP="00772731">
      <w:pPr>
        <w:pStyle w:val="3-BodyText"/>
      </w:pPr>
      <w:r>
        <w:t xml:space="preserve">The Pre-PBAC Response  noted the TGA clinical evaluator </w:t>
      </w:r>
      <w:r w:rsidR="0003370A">
        <w:t xml:space="preserve">considered that the </w:t>
      </w:r>
      <w:r w:rsidR="0003370A" w:rsidRPr="0003370A">
        <w:t xml:space="preserve">waning of </w:t>
      </w:r>
      <w:proofErr w:type="spellStart"/>
      <w:r w:rsidR="0003370A" w:rsidRPr="0003370A">
        <w:t>seroresponse</w:t>
      </w:r>
      <w:proofErr w:type="spellEnd"/>
      <w:r w:rsidR="0003370A" w:rsidRPr="0003370A">
        <w:t xml:space="preserve"> against some of </w:t>
      </w:r>
      <w:r w:rsidR="0003370A">
        <w:t xml:space="preserve">the antigens in </w:t>
      </w:r>
      <w:proofErr w:type="spellStart"/>
      <w:r w:rsidR="0003370A">
        <w:t>Vaxelis</w:t>
      </w:r>
      <w:proofErr w:type="spellEnd"/>
      <w:r w:rsidR="0003370A">
        <w:t xml:space="preserve"> </w:t>
      </w:r>
      <w:r w:rsidR="0003370A" w:rsidRPr="0003370A">
        <w:t>is likely to be a feature of all hexavalent vaccines and is not thought to be of significant clinical consequence at this stage</w:t>
      </w:r>
      <w:r w:rsidR="0003370A">
        <w:t xml:space="preserve"> (p59</w:t>
      </w:r>
      <w:r w:rsidR="00457F1D">
        <w:t>,</w:t>
      </w:r>
      <w:r w:rsidR="0003370A">
        <w:t xml:space="preserve"> TGA CER).</w:t>
      </w:r>
    </w:p>
    <w:p w14:paraId="30B396AF" w14:textId="3EA99ED7" w:rsidR="00A227ED" w:rsidRPr="00AD4716" w:rsidRDefault="00A227ED" w:rsidP="00A227ED">
      <w:pPr>
        <w:pStyle w:val="5-SubsectionSubheading"/>
      </w:pPr>
      <w:bookmarkStart w:id="27" w:name="_Toc93503678"/>
      <w:r>
        <w:t>Supportive studies 005 and 006</w:t>
      </w:r>
      <w:bookmarkEnd w:id="27"/>
    </w:p>
    <w:p w14:paraId="6ECAE8BC" w14:textId="7D748361" w:rsidR="0073556A" w:rsidRPr="00910346" w:rsidRDefault="00A227ED" w:rsidP="00B66E5C">
      <w:pPr>
        <w:pStyle w:val="3-BodyText"/>
      </w:pPr>
      <w:r w:rsidRPr="00A227ED">
        <w:t>In the two supporting trials</w:t>
      </w:r>
      <w:r>
        <w:t>,</w:t>
      </w:r>
      <w:r w:rsidRPr="00A227ED">
        <w:t xml:space="preserve"> </w:t>
      </w:r>
      <w:proofErr w:type="spellStart"/>
      <w:r w:rsidRPr="00A227ED">
        <w:t>Vaxelis</w:t>
      </w:r>
      <w:proofErr w:type="spellEnd"/>
      <w:r w:rsidRPr="00A227ED">
        <w:t xml:space="preserve"> was administered at 2, 4 and 6 months of age, which is the timing more relevant to the Australia schedule, with a booster dose at 15 months of age</w:t>
      </w:r>
      <w:r>
        <w:t xml:space="preserve">. </w:t>
      </w:r>
      <w:r w:rsidRPr="00910346">
        <w:t xml:space="preserve">However, </w:t>
      </w:r>
      <w:r w:rsidR="00B66E5C" w:rsidRPr="00910346">
        <w:t>the results have limited applicability in terms of the comparator</w:t>
      </w:r>
      <w:r w:rsidR="00BA5AB8" w:rsidRPr="00910346">
        <w:t xml:space="preserve"> (</w:t>
      </w:r>
      <w:bookmarkStart w:id="28" w:name="_Hlk93070676"/>
      <w:proofErr w:type="spellStart"/>
      <w:r w:rsidR="00BA5AB8" w:rsidRPr="00910346">
        <w:rPr>
          <w:snapToGrid/>
        </w:rPr>
        <w:t>Pentacel</w:t>
      </w:r>
      <w:proofErr w:type="spellEnd"/>
      <w:r w:rsidR="00BA5AB8" w:rsidRPr="00910346">
        <w:rPr>
          <w:snapToGrid/>
        </w:rPr>
        <w:t xml:space="preserve"> and </w:t>
      </w:r>
      <w:proofErr w:type="spellStart"/>
      <w:r w:rsidR="00BA5AB8" w:rsidRPr="00910346">
        <w:rPr>
          <w:snapToGrid/>
        </w:rPr>
        <w:t>Recombivax</w:t>
      </w:r>
      <w:proofErr w:type="spellEnd"/>
      <w:r w:rsidR="00BA5AB8" w:rsidRPr="00910346">
        <w:rPr>
          <w:snapToGrid/>
        </w:rPr>
        <w:t xml:space="preserve"> HB</w:t>
      </w:r>
      <w:bookmarkEnd w:id="28"/>
      <w:r w:rsidR="00BA5AB8" w:rsidRPr="00910346">
        <w:t>)</w:t>
      </w:r>
      <w:r w:rsidR="00B66E5C" w:rsidRPr="00910346">
        <w:t xml:space="preserve"> used in the studies</w:t>
      </w:r>
      <w:r w:rsidRPr="00910346">
        <w:t>.</w:t>
      </w:r>
      <w:r w:rsidR="00EE6934">
        <w:t xml:space="preserve"> </w:t>
      </w:r>
    </w:p>
    <w:p w14:paraId="42943B2E" w14:textId="0BE5E860" w:rsidR="00AE04E2" w:rsidRPr="00D76D29" w:rsidRDefault="00915CCF" w:rsidP="00D76D29">
      <w:pPr>
        <w:pStyle w:val="3-BodyText"/>
        <w:rPr>
          <w:i/>
        </w:rPr>
      </w:pPr>
      <w:r>
        <w:t>The difference in a</w:t>
      </w:r>
      <w:r w:rsidR="00315ED3" w:rsidRPr="00315ED3">
        <w:t xml:space="preserve">ntibody response rates for </w:t>
      </w:r>
      <w:proofErr w:type="spellStart"/>
      <w:r w:rsidR="00315ED3" w:rsidRPr="00315ED3">
        <w:t>Vaxelis</w:t>
      </w:r>
      <w:proofErr w:type="spellEnd"/>
      <w:r>
        <w:t xml:space="preserve"> compared with </w:t>
      </w:r>
      <w:proofErr w:type="spellStart"/>
      <w:r>
        <w:t>Pentacel</w:t>
      </w:r>
      <w:proofErr w:type="spellEnd"/>
      <w:r w:rsidR="00DB31FB">
        <w:t xml:space="preserve"> and </w:t>
      </w:r>
      <w:proofErr w:type="spellStart"/>
      <w:r w:rsidR="00DB31FB">
        <w:t>Recombivax</w:t>
      </w:r>
      <w:proofErr w:type="spellEnd"/>
      <w:r w:rsidR="00DB31FB">
        <w:t xml:space="preserve"> HB</w:t>
      </w:r>
      <w:r w:rsidR="00315ED3" w:rsidRPr="00315ED3">
        <w:t xml:space="preserve">, measured one month following the three-dose </w:t>
      </w:r>
      <w:r w:rsidR="00DF54BB">
        <w:t>primary</w:t>
      </w:r>
      <w:r w:rsidR="00315ED3" w:rsidRPr="00315ED3">
        <w:t xml:space="preserve"> vaccinations series, </w:t>
      </w:r>
      <w:r w:rsidR="00DF54BB">
        <w:t xml:space="preserve">met the non-inferiority criteria for all antigens </w:t>
      </w:r>
      <w:r>
        <w:t xml:space="preserve">of </w:t>
      </w:r>
      <w:proofErr w:type="spellStart"/>
      <w:r>
        <w:t>Vaxelis</w:t>
      </w:r>
      <w:proofErr w:type="spellEnd"/>
      <w:r w:rsidR="00D76D29">
        <w:t xml:space="preserve"> except for the FHA pertussis component</w:t>
      </w:r>
      <w:r w:rsidR="00AE04E2" w:rsidRPr="00D76D29">
        <w:rPr>
          <w:i/>
        </w:rPr>
        <w:t>:</w:t>
      </w:r>
    </w:p>
    <w:p w14:paraId="3F78FB4C" w14:textId="3A915F2C" w:rsidR="00AE04E2" w:rsidRPr="00910346" w:rsidRDefault="00AE04E2" w:rsidP="009A0C3B">
      <w:pPr>
        <w:pStyle w:val="3-BodyText"/>
        <w:numPr>
          <w:ilvl w:val="0"/>
          <w:numId w:val="11"/>
        </w:numPr>
      </w:pPr>
      <w:r w:rsidRPr="00910346">
        <w:t xml:space="preserve">Study 005: GMT ratio </w:t>
      </w:r>
      <w:proofErr w:type="spellStart"/>
      <w:r w:rsidRPr="00910346">
        <w:t>Vaxelis</w:t>
      </w:r>
      <w:proofErr w:type="spellEnd"/>
      <w:r w:rsidRPr="00910346">
        <w:t>/Control</w:t>
      </w:r>
      <w:r w:rsidR="00802393" w:rsidRPr="00910346">
        <w:t xml:space="preserve"> (</w:t>
      </w:r>
      <w:proofErr w:type="spellStart"/>
      <w:r w:rsidR="00802393" w:rsidRPr="00910346">
        <w:t>Pentacel</w:t>
      </w:r>
      <w:proofErr w:type="spellEnd"/>
      <w:r w:rsidR="00802393" w:rsidRPr="00910346">
        <w:t xml:space="preserve"> + </w:t>
      </w:r>
      <w:proofErr w:type="spellStart"/>
      <w:r w:rsidR="00802393" w:rsidRPr="00910346">
        <w:t>Recombivax</w:t>
      </w:r>
      <w:proofErr w:type="spellEnd"/>
      <w:r w:rsidR="00802393" w:rsidRPr="00910346">
        <w:t xml:space="preserve"> HB)</w:t>
      </w:r>
      <w:r w:rsidRPr="00910346">
        <w:t>: 0.64 (95% CI: 0.59, 0.70); NI margin=0.67).</w:t>
      </w:r>
    </w:p>
    <w:p w14:paraId="341F6A22" w14:textId="2F120D9D" w:rsidR="00AE04E2" w:rsidRPr="00910346" w:rsidRDefault="00E0331B" w:rsidP="009A0C3B">
      <w:pPr>
        <w:pStyle w:val="3-BodyText"/>
        <w:numPr>
          <w:ilvl w:val="0"/>
          <w:numId w:val="11"/>
        </w:numPr>
      </w:pPr>
      <w:r w:rsidRPr="00910346">
        <w:lastRenderedPageBreak/>
        <w:t>Study 006:</w:t>
      </w:r>
      <w:r w:rsidR="00AE04E2" w:rsidRPr="00910346">
        <w:t xml:space="preserve"> GMT ratio </w:t>
      </w:r>
      <w:proofErr w:type="spellStart"/>
      <w:r w:rsidR="00AE04E2" w:rsidRPr="00910346">
        <w:t>Vaxelis</w:t>
      </w:r>
      <w:proofErr w:type="spellEnd"/>
      <w:r w:rsidR="00AE04E2" w:rsidRPr="00910346">
        <w:t>/</w:t>
      </w:r>
      <w:proofErr w:type="spellStart"/>
      <w:r w:rsidR="00785028" w:rsidRPr="00910346">
        <w:t>Pentacel</w:t>
      </w:r>
      <w:proofErr w:type="spellEnd"/>
      <w:r w:rsidR="00AE04E2" w:rsidRPr="00910346">
        <w:t>: 0.67 (95% CI: 0.62, 0.73); NI margin=0.67)</w:t>
      </w:r>
      <w:r w:rsidRPr="00910346">
        <w:t>.</w:t>
      </w:r>
    </w:p>
    <w:p w14:paraId="65EE7017" w14:textId="72F0A28B" w:rsidR="00785028" w:rsidRPr="00910346" w:rsidRDefault="00785028" w:rsidP="00785028">
      <w:pPr>
        <w:pStyle w:val="3-BodyText"/>
      </w:pPr>
      <w:r w:rsidRPr="00910346">
        <w:t xml:space="preserve">In Study 006, </w:t>
      </w:r>
      <w:proofErr w:type="spellStart"/>
      <w:r w:rsidRPr="00910346">
        <w:t>Vaxelis</w:t>
      </w:r>
      <w:proofErr w:type="spellEnd"/>
      <w:r w:rsidRPr="00910346">
        <w:t xml:space="preserve"> did not meet the non-inferiority criteria versus </w:t>
      </w:r>
      <w:proofErr w:type="spellStart"/>
      <w:r w:rsidRPr="00910346">
        <w:t>Pentacel</w:t>
      </w:r>
      <w:proofErr w:type="spellEnd"/>
      <w:r w:rsidRPr="00910346">
        <w:t xml:space="preserve"> following post-Toddler dose for </w:t>
      </w:r>
      <w:r w:rsidR="00BA5AB8" w:rsidRPr="00910346">
        <w:t>geometric mean concentration (</w:t>
      </w:r>
      <w:r w:rsidRPr="00910346">
        <w:t>GMC</w:t>
      </w:r>
      <w:r w:rsidR="00BA5AB8" w:rsidRPr="00910346">
        <w:t>)</w:t>
      </w:r>
      <w:r w:rsidRPr="00910346">
        <w:t xml:space="preserve"> values of PRN. </w:t>
      </w:r>
    </w:p>
    <w:p w14:paraId="5807DC4F" w14:textId="192EA1F2" w:rsidR="00AE04E2" w:rsidRPr="00910346" w:rsidRDefault="00785028" w:rsidP="00785028">
      <w:pPr>
        <w:pStyle w:val="3-BodyText"/>
      </w:pPr>
      <w:r w:rsidRPr="00910346">
        <w:t xml:space="preserve">Notably, the ATAGI pre-submission advice stated that </w:t>
      </w:r>
      <w:r w:rsidR="00F230EB" w:rsidRPr="00910346">
        <w:t>in</w:t>
      </w:r>
      <w:r w:rsidRPr="00910346">
        <w:t xml:space="preserve"> Study 006, higher anti-PRP GMCs</w:t>
      </w:r>
      <w:r w:rsidR="00BA5AB8" w:rsidRPr="00910346">
        <w:t xml:space="preserve"> for the</w:t>
      </w:r>
      <w:r w:rsidRPr="00910346">
        <w:t xml:space="preserve"> post-toddler dose were demonstrated when </w:t>
      </w:r>
      <w:proofErr w:type="spellStart"/>
      <w:r w:rsidRPr="00910346">
        <w:t>Vaxelis</w:t>
      </w:r>
      <w:proofErr w:type="spellEnd"/>
      <w:r w:rsidRPr="00910346">
        <w:t xml:space="preserve"> (PRP-OMPC), used in the primary series, was boosted with PRP-TT in the </w:t>
      </w:r>
      <w:r w:rsidR="00BA5AB8" w:rsidRPr="00910346">
        <w:t xml:space="preserve">second </w:t>
      </w:r>
      <w:r w:rsidRPr="00910346">
        <w:t>year of life, in comparison with an infant series containing PRP-TT conjugates only (</w:t>
      </w:r>
      <w:proofErr w:type="spellStart"/>
      <w:r w:rsidRPr="00910346">
        <w:t>Pentacel</w:t>
      </w:r>
      <w:proofErr w:type="spellEnd"/>
      <w:r w:rsidRPr="00910346">
        <w:t xml:space="preserve"> has PRP-T</w:t>
      </w:r>
      <w:r w:rsidR="00AB3DAC">
        <w:t>T</w:t>
      </w:r>
      <w:r w:rsidRPr="00910346">
        <w:t xml:space="preserve"> rather than PRP-OMPC).</w:t>
      </w:r>
    </w:p>
    <w:p w14:paraId="6F3519AD" w14:textId="77777777" w:rsidR="00772731" w:rsidRPr="00C9624D" w:rsidRDefault="00772731" w:rsidP="00772731">
      <w:pPr>
        <w:pStyle w:val="4-SubsectionHeading"/>
      </w:pPr>
      <w:bookmarkStart w:id="29" w:name="_Toc22897642"/>
      <w:bookmarkStart w:id="30" w:name="_Toc93503679"/>
      <w:r w:rsidRPr="00C9624D">
        <w:t>Comparative harms</w:t>
      </w:r>
      <w:bookmarkEnd w:id="29"/>
      <w:bookmarkEnd w:id="30"/>
    </w:p>
    <w:p w14:paraId="632701D3" w14:textId="29448F62" w:rsidR="00772731" w:rsidRDefault="00772731" w:rsidP="00772731">
      <w:pPr>
        <w:pStyle w:val="3-BodyText"/>
      </w:pPr>
      <w:r>
        <w:t xml:space="preserve">The results for overall adverse events (AEs) from a pooled analysis of safety data from Study 007 and Study 008 are summarised </w:t>
      </w:r>
      <w:r w:rsidR="002B16A5">
        <w:t xml:space="preserve">in Table </w:t>
      </w:r>
      <w:r w:rsidR="009B7F56">
        <w:t>6</w:t>
      </w:r>
      <w:r>
        <w:t>.</w:t>
      </w:r>
    </w:p>
    <w:p w14:paraId="6A7DDEC8" w14:textId="1FF46ACF" w:rsidR="00772731" w:rsidRDefault="00772731" w:rsidP="007C300A">
      <w:pPr>
        <w:pStyle w:val="TableFigureHeading"/>
        <w:keepLines/>
      </w:pPr>
      <w:r>
        <w:t xml:space="preserve">Table </w:t>
      </w:r>
      <w:fldSimple w:instr=" SEQ Table \* ARABIC ">
        <w:r w:rsidR="00B5627B">
          <w:rPr>
            <w:noProof/>
          </w:rPr>
          <w:t>6</w:t>
        </w:r>
      </w:fldSimple>
      <w:r>
        <w:t xml:space="preserve">: </w:t>
      </w:r>
      <w:r w:rsidRPr="00165368">
        <w:t>Summary of pooled analysis of safety</w:t>
      </w:r>
      <w:r>
        <w:t xml:space="preserve"> – Study 007 and Study 008</w:t>
      </w:r>
    </w:p>
    <w:tbl>
      <w:tblPr>
        <w:tblStyle w:val="TableGrid1"/>
        <w:tblW w:w="5000" w:type="pct"/>
        <w:tblLook w:val="0620" w:firstRow="1" w:lastRow="0" w:firstColumn="0" w:lastColumn="0" w:noHBand="1" w:noVBand="1"/>
        <w:tblCaption w:val="Table 6: Summary of pooled analysis of safety – Study 007 and Study 008"/>
      </w:tblPr>
      <w:tblGrid>
        <w:gridCol w:w="4676"/>
        <w:gridCol w:w="713"/>
        <w:gridCol w:w="851"/>
        <w:gridCol w:w="716"/>
        <w:gridCol w:w="707"/>
        <w:gridCol w:w="1357"/>
      </w:tblGrid>
      <w:tr w:rsidR="00772731" w:rsidRPr="00165368" w14:paraId="78CE2915" w14:textId="77777777" w:rsidTr="004154DF">
        <w:tc>
          <w:tcPr>
            <w:tcW w:w="2592" w:type="pct"/>
            <w:vMerge w:val="restart"/>
            <w:hideMark/>
          </w:tcPr>
          <w:p w14:paraId="79D88468" w14:textId="77777777" w:rsidR="00772731" w:rsidRPr="00165368" w:rsidRDefault="00772731" w:rsidP="007C300A">
            <w:pPr>
              <w:keepNext/>
              <w:keepLines/>
              <w:jc w:val="left"/>
              <w:rPr>
                <w:rFonts w:ascii="Arial Narrow" w:hAnsi="Arial Narrow" w:cs="Times New Roman"/>
                <w:b/>
                <w:sz w:val="20"/>
              </w:rPr>
            </w:pPr>
            <w:bookmarkStart w:id="31" w:name="_Hlk83927203"/>
            <w:r w:rsidRPr="00165368">
              <w:rPr>
                <w:rFonts w:ascii="Arial Narrow" w:hAnsi="Arial Narrow" w:cs="Times New Roman"/>
                <w:b/>
                <w:sz w:val="20"/>
              </w:rPr>
              <w:t>AEs after any dose</w:t>
            </w:r>
          </w:p>
        </w:tc>
        <w:tc>
          <w:tcPr>
            <w:tcW w:w="867" w:type="pct"/>
            <w:gridSpan w:val="2"/>
            <w:hideMark/>
          </w:tcPr>
          <w:p w14:paraId="025C7D40" w14:textId="42353965" w:rsidR="00772731" w:rsidRPr="00165368" w:rsidRDefault="00772731" w:rsidP="007C300A">
            <w:pPr>
              <w:keepNext/>
              <w:keepLines/>
              <w:jc w:val="center"/>
              <w:rPr>
                <w:rFonts w:ascii="Arial Narrow" w:hAnsi="Arial Narrow" w:cs="Times New Roman"/>
                <w:b/>
                <w:sz w:val="20"/>
              </w:rPr>
            </w:pPr>
            <w:proofErr w:type="spellStart"/>
            <w:r w:rsidRPr="00165368">
              <w:rPr>
                <w:rFonts w:ascii="Arial Narrow" w:hAnsi="Arial Narrow" w:cs="Times New Roman"/>
                <w:b/>
                <w:sz w:val="20"/>
              </w:rPr>
              <w:t>Vaxelis</w:t>
            </w:r>
            <w:proofErr w:type="spellEnd"/>
          </w:p>
          <w:p w14:paraId="313DB048"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(N=1263)</w:t>
            </w:r>
          </w:p>
        </w:tc>
        <w:tc>
          <w:tcPr>
            <w:tcW w:w="789" w:type="pct"/>
            <w:gridSpan w:val="2"/>
            <w:hideMark/>
          </w:tcPr>
          <w:p w14:paraId="26A07E32" w14:textId="463D7699"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 xml:space="preserve">Infanrix </w:t>
            </w:r>
            <w:proofErr w:type="spellStart"/>
            <w:r w:rsidR="00AE2917">
              <w:rPr>
                <w:rFonts w:ascii="Arial Narrow" w:hAnsi="Arial Narrow" w:cs="Times New Roman"/>
                <w:b/>
                <w:sz w:val="20"/>
              </w:rPr>
              <w:t>Hexa</w:t>
            </w:r>
            <w:proofErr w:type="spellEnd"/>
            <w:r w:rsidRPr="00165368">
              <w:rPr>
                <w:rFonts w:ascii="Arial Narrow" w:hAnsi="Arial Narrow" w:cs="Times New Roman"/>
                <w:b/>
                <w:sz w:val="20"/>
              </w:rPr>
              <w:t xml:space="preserve"> (N=1264)</w:t>
            </w:r>
          </w:p>
        </w:tc>
        <w:tc>
          <w:tcPr>
            <w:tcW w:w="752" w:type="pct"/>
            <w:vMerge w:val="restart"/>
          </w:tcPr>
          <w:p w14:paraId="76160BF1"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Difference</w:t>
            </w:r>
          </w:p>
          <w:p w14:paraId="46D51D34"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(95% CI)</w:t>
            </w:r>
          </w:p>
        </w:tc>
      </w:tr>
      <w:tr w:rsidR="00772731" w:rsidRPr="00165368" w14:paraId="7A89CBCE" w14:textId="77777777" w:rsidTr="004154DF">
        <w:tc>
          <w:tcPr>
            <w:tcW w:w="2592" w:type="pct"/>
            <w:vMerge/>
            <w:hideMark/>
          </w:tcPr>
          <w:p w14:paraId="180AF8A0" w14:textId="77777777" w:rsidR="00772731" w:rsidRPr="00165368" w:rsidRDefault="00772731" w:rsidP="007C300A">
            <w:pPr>
              <w:keepNext/>
              <w:keepLines/>
              <w:jc w:val="left"/>
              <w:rPr>
                <w:rFonts w:ascii="Arial Narrow" w:hAnsi="Arial Narrow" w:cs="Times New Roman"/>
                <w:sz w:val="20"/>
              </w:rPr>
            </w:pPr>
          </w:p>
        </w:tc>
        <w:tc>
          <w:tcPr>
            <w:tcW w:w="395" w:type="pct"/>
            <w:hideMark/>
          </w:tcPr>
          <w:p w14:paraId="77F0DE79"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n</w:t>
            </w:r>
          </w:p>
        </w:tc>
        <w:tc>
          <w:tcPr>
            <w:tcW w:w="472" w:type="pct"/>
            <w:hideMark/>
          </w:tcPr>
          <w:p w14:paraId="6E93CBAE"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w:t>
            </w:r>
          </w:p>
        </w:tc>
        <w:tc>
          <w:tcPr>
            <w:tcW w:w="397" w:type="pct"/>
            <w:hideMark/>
          </w:tcPr>
          <w:p w14:paraId="36F9B8A4"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n</w:t>
            </w:r>
          </w:p>
        </w:tc>
        <w:tc>
          <w:tcPr>
            <w:tcW w:w="392" w:type="pct"/>
            <w:hideMark/>
          </w:tcPr>
          <w:p w14:paraId="252D2ABF" w14:textId="77777777" w:rsidR="00772731" w:rsidRPr="00165368" w:rsidRDefault="00772731" w:rsidP="007C300A">
            <w:pPr>
              <w:keepNext/>
              <w:keepLines/>
              <w:jc w:val="center"/>
              <w:rPr>
                <w:rFonts w:ascii="Arial Narrow" w:hAnsi="Arial Narrow" w:cs="Times New Roman"/>
                <w:b/>
                <w:sz w:val="20"/>
              </w:rPr>
            </w:pPr>
            <w:r w:rsidRPr="00165368">
              <w:rPr>
                <w:rFonts w:ascii="Arial Narrow" w:hAnsi="Arial Narrow" w:cs="Times New Roman"/>
                <w:b/>
                <w:sz w:val="20"/>
              </w:rPr>
              <w:t>%</w:t>
            </w:r>
          </w:p>
        </w:tc>
        <w:tc>
          <w:tcPr>
            <w:tcW w:w="752" w:type="pct"/>
            <w:vMerge/>
          </w:tcPr>
          <w:p w14:paraId="50CD9995" w14:textId="77777777" w:rsidR="00772731" w:rsidRPr="00165368" w:rsidRDefault="00772731" w:rsidP="007C300A">
            <w:pPr>
              <w:keepNext/>
              <w:keepLines/>
              <w:jc w:val="left"/>
              <w:rPr>
                <w:rFonts w:ascii="Arial Narrow" w:hAnsi="Arial Narrow" w:cs="Times New Roman"/>
                <w:sz w:val="20"/>
              </w:rPr>
            </w:pPr>
          </w:p>
        </w:tc>
      </w:tr>
      <w:tr w:rsidR="00772731" w:rsidRPr="00165368" w14:paraId="37A168AD" w14:textId="77777777" w:rsidTr="004154DF">
        <w:tc>
          <w:tcPr>
            <w:tcW w:w="2592" w:type="pct"/>
            <w:hideMark/>
          </w:tcPr>
          <w:p w14:paraId="135CA682"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Subjects vaccinated and had safety follow-up</w:t>
            </w:r>
          </w:p>
        </w:tc>
        <w:tc>
          <w:tcPr>
            <w:tcW w:w="395" w:type="pct"/>
          </w:tcPr>
          <w:p w14:paraId="646C88B0"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1263</w:t>
            </w:r>
          </w:p>
        </w:tc>
        <w:tc>
          <w:tcPr>
            <w:tcW w:w="472" w:type="pct"/>
          </w:tcPr>
          <w:p w14:paraId="32C4C25F" w14:textId="77777777" w:rsidR="00772731" w:rsidRPr="00165368" w:rsidRDefault="00772731" w:rsidP="007C300A">
            <w:pPr>
              <w:keepNext/>
              <w:keepLines/>
              <w:jc w:val="center"/>
              <w:rPr>
                <w:rFonts w:ascii="Arial Narrow" w:hAnsi="Arial Narrow" w:cs="Times New Roman"/>
                <w:sz w:val="20"/>
              </w:rPr>
            </w:pPr>
          </w:p>
        </w:tc>
        <w:tc>
          <w:tcPr>
            <w:tcW w:w="397" w:type="pct"/>
          </w:tcPr>
          <w:p w14:paraId="416188B5"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1262</w:t>
            </w:r>
          </w:p>
        </w:tc>
        <w:tc>
          <w:tcPr>
            <w:tcW w:w="392" w:type="pct"/>
          </w:tcPr>
          <w:p w14:paraId="55C66B8F" w14:textId="77777777" w:rsidR="00772731" w:rsidRPr="00165368" w:rsidRDefault="00772731" w:rsidP="007C300A">
            <w:pPr>
              <w:keepNext/>
              <w:keepLines/>
              <w:jc w:val="center"/>
              <w:rPr>
                <w:rFonts w:ascii="Arial Narrow" w:hAnsi="Arial Narrow" w:cs="Times New Roman"/>
                <w:sz w:val="20"/>
              </w:rPr>
            </w:pPr>
          </w:p>
        </w:tc>
        <w:tc>
          <w:tcPr>
            <w:tcW w:w="752" w:type="pct"/>
          </w:tcPr>
          <w:p w14:paraId="381924B1" w14:textId="77777777" w:rsidR="00772731" w:rsidRPr="00165368" w:rsidRDefault="00772731" w:rsidP="007C300A">
            <w:pPr>
              <w:keepNext/>
              <w:keepLines/>
              <w:jc w:val="center"/>
              <w:rPr>
                <w:rFonts w:ascii="Arial Narrow" w:hAnsi="Arial Narrow" w:cs="Times New Roman"/>
                <w:sz w:val="20"/>
              </w:rPr>
            </w:pPr>
          </w:p>
        </w:tc>
      </w:tr>
      <w:tr w:rsidR="00772731" w:rsidRPr="00165368" w14:paraId="38CEDFD1" w14:textId="77777777" w:rsidTr="004154DF">
        <w:tc>
          <w:tcPr>
            <w:tcW w:w="2592" w:type="pct"/>
            <w:hideMark/>
          </w:tcPr>
          <w:p w14:paraId="46398E89" w14:textId="71DC1C5F"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One or more AEs (day 1-15</w:t>
            </w:r>
            <w:r w:rsidR="007E5993">
              <w:rPr>
                <w:rFonts w:ascii="Arial Narrow" w:hAnsi="Arial Narrow" w:cs="Times New Roman"/>
                <w:sz w:val="20"/>
              </w:rPr>
              <w:t xml:space="preserve"> following </w:t>
            </w:r>
            <w:r w:rsidR="00CD1891">
              <w:rPr>
                <w:rFonts w:ascii="Arial Narrow" w:hAnsi="Arial Narrow" w:cs="Times New Roman"/>
                <w:sz w:val="20"/>
              </w:rPr>
              <w:t xml:space="preserve">each hexavalent </w:t>
            </w:r>
            <w:r w:rsidR="007E5993">
              <w:rPr>
                <w:rFonts w:ascii="Arial Narrow" w:hAnsi="Arial Narrow" w:cs="Times New Roman"/>
                <w:sz w:val="20"/>
              </w:rPr>
              <w:t>vaccination</w:t>
            </w:r>
            <w:r w:rsidRPr="00165368">
              <w:rPr>
                <w:rFonts w:ascii="Arial Narrow" w:hAnsi="Arial Narrow" w:cs="Times New Roman"/>
                <w:sz w:val="20"/>
              </w:rPr>
              <w:t>)</w:t>
            </w:r>
          </w:p>
        </w:tc>
        <w:tc>
          <w:tcPr>
            <w:tcW w:w="395" w:type="pct"/>
          </w:tcPr>
          <w:p w14:paraId="291E07DF" w14:textId="18E41838"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1253</w:t>
            </w:r>
          </w:p>
        </w:tc>
        <w:tc>
          <w:tcPr>
            <w:tcW w:w="472" w:type="pct"/>
          </w:tcPr>
          <w:p w14:paraId="0020B149" w14:textId="0181CC4D"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(99.2)</w:t>
            </w:r>
          </w:p>
        </w:tc>
        <w:tc>
          <w:tcPr>
            <w:tcW w:w="397" w:type="pct"/>
          </w:tcPr>
          <w:p w14:paraId="013DE4A3" w14:textId="6B876309"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1254</w:t>
            </w:r>
          </w:p>
        </w:tc>
        <w:tc>
          <w:tcPr>
            <w:tcW w:w="392" w:type="pct"/>
          </w:tcPr>
          <w:p w14:paraId="3E78EDA6" w14:textId="43EF51E6"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(99.4)</w:t>
            </w:r>
          </w:p>
        </w:tc>
        <w:tc>
          <w:tcPr>
            <w:tcW w:w="752" w:type="pct"/>
          </w:tcPr>
          <w:p w14:paraId="4041D681"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-0.2 (-0.9, 0.5)</w:t>
            </w:r>
          </w:p>
        </w:tc>
      </w:tr>
      <w:bookmarkEnd w:id="31"/>
      <w:tr w:rsidR="00772731" w:rsidRPr="00165368" w14:paraId="240DCCC5" w14:textId="77777777" w:rsidTr="004154DF">
        <w:tc>
          <w:tcPr>
            <w:tcW w:w="2592" w:type="pct"/>
            <w:hideMark/>
          </w:tcPr>
          <w:p w14:paraId="736D1D4E" w14:textId="1572853F"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Injection-site AEs (day 1–15) </w:t>
            </w:r>
          </w:p>
        </w:tc>
        <w:tc>
          <w:tcPr>
            <w:tcW w:w="395" w:type="pct"/>
          </w:tcPr>
          <w:p w14:paraId="3C0A2502" w14:textId="18C6207B"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1155</w:t>
            </w:r>
          </w:p>
        </w:tc>
        <w:tc>
          <w:tcPr>
            <w:tcW w:w="472" w:type="pct"/>
          </w:tcPr>
          <w:p w14:paraId="6C3A9850" w14:textId="03D8DBDD"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(91.4)</w:t>
            </w:r>
          </w:p>
        </w:tc>
        <w:tc>
          <w:tcPr>
            <w:tcW w:w="397" w:type="pct"/>
          </w:tcPr>
          <w:p w14:paraId="1EF2260F" w14:textId="31776435"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1130</w:t>
            </w:r>
          </w:p>
        </w:tc>
        <w:tc>
          <w:tcPr>
            <w:tcW w:w="392" w:type="pct"/>
          </w:tcPr>
          <w:p w14:paraId="4AAABDA1" w14:textId="4C4C2490"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(89.5)</w:t>
            </w:r>
          </w:p>
        </w:tc>
        <w:tc>
          <w:tcPr>
            <w:tcW w:w="752" w:type="pct"/>
          </w:tcPr>
          <w:p w14:paraId="13399B77"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1.9 (-0.4, 4.2)</w:t>
            </w:r>
          </w:p>
        </w:tc>
      </w:tr>
      <w:tr w:rsidR="00772731" w:rsidRPr="00165368" w14:paraId="23CBBBE3" w14:textId="77777777" w:rsidTr="004154DF">
        <w:tc>
          <w:tcPr>
            <w:tcW w:w="2592" w:type="pct"/>
            <w:hideMark/>
          </w:tcPr>
          <w:p w14:paraId="40755F4F"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Solicited injection-site AEs (day 1–5) </w:t>
            </w:r>
          </w:p>
        </w:tc>
        <w:tc>
          <w:tcPr>
            <w:tcW w:w="395" w:type="pct"/>
          </w:tcPr>
          <w:p w14:paraId="71D626F3"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1144</w:t>
            </w:r>
          </w:p>
        </w:tc>
        <w:tc>
          <w:tcPr>
            <w:tcW w:w="472" w:type="pct"/>
          </w:tcPr>
          <w:p w14:paraId="3FA11C88" w14:textId="202383F4"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(90.6)</w:t>
            </w:r>
          </w:p>
        </w:tc>
        <w:tc>
          <w:tcPr>
            <w:tcW w:w="397" w:type="pct"/>
          </w:tcPr>
          <w:p w14:paraId="22D068BF" w14:textId="0D89E0BD"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1121</w:t>
            </w:r>
          </w:p>
        </w:tc>
        <w:tc>
          <w:tcPr>
            <w:tcW w:w="392" w:type="pct"/>
          </w:tcPr>
          <w:p w14:paraId="304F2AF9" w14:textId="7D7F75DE"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(88.8)</w:t>
            </w:r>
          </w:p>
        </w:tc>
        <w:tc>
          <w:tcPr>
            <w:tcW w:w="752" w:type="pct"/>
          </w:tcPr>
          <w:p w14:paraId="68306626"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1.7 (-0.6, 4.1)</w:t>
            </w:r>
          </w:p>
        </w:tc>
      </w:tr>
      <w:tr w:rsidR="00772731" w:rsidRPr="00165368" w14:paraId="5FD5B500" w14:textId="77777777" w:rsidTr="004154DF">
        <w:tc>
          <w:tcPr>
            <w:tcW w:w="2592" w:type="pct"/>
            <w:hideMark/>
          </w:tcPr>
          <w:p w14:paraId="59F3C583"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Systemic AEs (day 1–15)</w:t>
            </w:r>
          </w:p>
        </w:tc>
        <w:tc>
          <w:tcPr>
            <w:tcW w:w="395" w:type="pct"/>
          </w:tcPr>
          <w:p w14:paraId="77ED0874" w14:textId="1DD9C33B"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1247</w:t>
            </w:r>
          </w:p>
        </w:tc>
        <w:tc>
          <w:tcPr>
            <w:tcW w:w="472" w:type="pct"/>
          </w:tcPr>
          <w:p w14:paraId="5B6A507C" w14:textId="46237265"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(98.7)</w:t>
            </w:r>
          </w:p>
        </w:tc>
        <w:tc>
          <w:tcPr>
            <w:tcW w:w="397" w:type="pct"/>
          </w:tcPr>
          <w:p w14:paraId="189E991D" w14:textId="58E85CDD"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1251</w:t>
            </w:r>
          </w:p>
        </w:tc>
        <w:tc>
          <w:tcPr>
            <w:tcW w:w="392" w:type="pct"/>
          </w:tcPr>
          <w:p w14:paraId="1764AEE0"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(99.1)</w:t>
            </w:r>
          </w:p>
        </w:tc>
        <w:tc>
          <w:tcPr>
            <w:tcW w:w="752" w:type="pct"/>
          </w:tcPr>
          <w:p w14:paraId="0C9589D7" w14:textId="3A2F6F00"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-0.4 (-1.3, 0.4)</w:t>
            </w:r>
          </w:p>
        </w:tc>
      </w:tr>
      <w:tr w:rsidR="00772731" w:rsidRPr="00165368" w14:paraId="789F52DF" w14:textId="77777777" w:rsidTr="004154DF">
        <w:tc>
          <w:tcPr>
            <w:tcW w:w="2592" w:type="pct"/>
            <w:hideMark/>
          </w:tcPr>
          <w:p w14:paraId="248DAE2C"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Solicited systemic AEs (day 1–5) </w:t>
            </w:r>
          </w:p>
        </w:tc>
        <w:tc>
          <w:tcPr>
            <w:tcW w:w="395" w:type="pct"/>
          </w:tcPr>
          <w:p w14:paraId="6A5F9A69" w14:textId="653F71C2"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1239</w:t>
            </w:r>
          </w:p>
        </w:tc>
        <w:tc>
          <w:tcPr>
            <w:tcW w:w="472" w:type="pct"/>
          </w:tcPr>
          <w:p w14:paraId="70B39279" w14:textId="4DFC19C2"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(98.1)</w:t>
            </w:r>
          </w:p>
        </w:tc>
        <w:tc>
          <w:tcPr>
            <w:tcW w:w="397" w:type="pct"/>
          </w:tcPr>
          <w:p w14:paraId="34070E1D" w14:textId="5B751219"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1242</w:t>
            </w:r>
          </w:p>
        </w:tc>
        <w:tc>
          <w:tcPr>
            <w:tcW w:w="392" w:type="pct"/>
          </w:tcPr>
          <w:p w14:paraId="0DB54694" w14:textId="35443521"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(98.4)</w:t>
            </w:r>
          </w:p>
        </w:tc>
        <w:tc>
          <w:tcPr>
            <w:tcW w:w="752" w:type="pct"/>
          </w:tcPr>
          <w:p w14:paraId="7E615FA6"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-0.3 (-1.4, 0.7)</w:t>
            </w:r>
          </w:p>
        </w:tc>
      </w:tr>
      <w:tr w:rsidR="00772731" w:rsidRPr="00165368" w14:paraId="2D9B8347" w14:textId="77777777" w:rsidTr="004154DF">
        <w:tc>
          <w:tcPr>
            <w:tcW w:w="2592" w:type="pct"/>
          </w:tcPr>
          <w:p w14:paraId="133B20B0"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Unsolicited systemic AEs (day 1-15)</w:t>
            </w:r>
          </w:p>
        </w:tc>
        <w:tc>
          <w:tcPr>
            <w:tcW w:w="395" w:type="pct"/>
          </w:tcPr>
          <w:p w14:paraId="5E61B429" w14:textId="14B709FC"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795</w:t>
            </w:r>
          </w:p>
        </w:tc>
        <w:tc>
          <w:tcPr>
            <w:tcW w:w="472" w:type="pct"/>
          </w:tcPr>
          <w:p w14:paraId="654979E2" w14:textId="4D06B79A"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(62.9)</w:t>
            </w:r>
          </w:p>
        </w:tc>
        <w:tc>
          <w:tcPr>
            <w:tcW w:w="397" w:type="pct"/>
          </w:tcPr>
          <w:p w14:paraId="4ED5D002" w14:textId="15BE6B7C"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777</w:t>
            </w:r>
          </w:p>
        </w:tc>
        <w:tc>
          <w:tcPr>
            <w:tcW w:w="392" w:type="pct"/>
          </w:tcPr>
          <w:p w14:paraId="7B99AEB2" w14:textId="452E3409"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(61.6)</w:t>
            </w:r>
          </w:p>
        </w:tc>
        <w:tc>
          <w:tcPr>
            <w:tcW w:w="752" w:type="pct"/>
          </w:tcPr>
          <w:p w14:paraId="51CFD7ED"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 (-2.4, 4.9)</w:t>
            </w:r>
          </w:p>
        </w:tc>
      </w:tr>
      <w:tr w:rsidR="00772731" w:rsidRPr="00165368" w14:paraId="7076608E" w14:textId="77777777" w:rsidTr="004154DF">
        <w:tc>
          <w:tcPr>
            <w:tcW w:w="2592" w:type="pct"/>
            <w:hideMark/>
          </w:tcPr>
          <w:p w14:paraId="42080F03" w14:textId="7CF15C6F"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Vaccine-related AEs (day 1–15</w:t>
            </w:r>
            <w:r w:rsidR="00CD1891">
              <w:rPr>
                <w:rFonts w:ascii="Arial Narrow" w:hAnsi="Arial Narrow" w:cs="Times New Roman"/>
                <w:sz w:val="20"/>
              </w:rPr>
              <w:t xml:space="preserve"> following each hexavalent vaccination</w:t>
            </w:r>
            <w:r w:rsidR="00CD1891" w:rsidRPr="00165368">
              <w:rPr>
                <w:rFonts w:ascii="Arial Narrow" w:hAnsi="Arial Narrow" w:cs="Times New Roman"/>
                <w:sz w:val="20"/>
              </w:rPr>
              <w:t>)</w:t>
            </w:r>
            <w:r w:rsidRPr="00165368">
              <w:rPr>
                <w:rFonts w:ascii="Arial Narrow" w:hAnsi="Arial Narrow" w:cs="Times New Roman"/>
                <w:sz w:val="20"/>
              </w:rPr>
              <w:t xml:space="preserve"> </w:t>
            </w:r>
          </w:p>
        </w:tc>
        <w:tc>
          <w:tcPr>
            <w:tcW w:w="395" w:type="pct"/>
          </w:tcPr>
          <w:p w14:paraId="4A34C639" w14:textId="188F1BC2"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1251</w:t>
            </w:r>
          </w:p>
        </w:tc>
        <w:tc>
          <w:tcPr>
            <w:tcW w:w="472" w:type="pct"/>
          </w:tcPr>
          <w:p w14:paraId="65A55444" w14:textId="452896D3"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(99.1)</w:t>
            </w:r>
          </w:p>
        </w:tc>
        <w:tc>
          <w:tcPr>
            <w:tcW w:w="397" w:type="pct"/>
          </w:tcPr>
          <w:p w14:paraId="129EB38F" w14:textId="412F0314"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1247</w:t>
            </w:r>
          </w:p>
        </w:tc>
        <w:tc>
          <w:tcPr>
            <w:tcW w:w="392" w:type="pct"/>
          </w:tcPr>
          <w:p w14:paraId="6D5B3C47" w14:textId="4395FBB8"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(98.8)</w:t>
            </w:r>
          </w:p>
        </w:tc>
        <w:tc>
          <w:tcPr>
            <w:tcW w:w="752" w:type="pct"/>
          </w:tcPr>
          <w:p w14:paraId="60246CFF"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0.2 (-0.6, 1.1)</w:t>
            </w:r>
          </w:p>
        </w:tc>
      </w:tr>
      <w:tr w:rsidR="00772731" w:rsidRPr="00165368" w14:paraId="0173A69F" w14:textId="77777777" w:rsidTr="004154DF">
        <w:tc>
          <w:tcPr>
            <w:tcW w:w="2592" w:type="pct"/>
            <w:hideMark/>
          </w:tcPr>
          <w:p w14:paraId="08631356"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Injection-site AEs (day 1–15) </w:t>
            </w:r>
          </w:p>
        </w:tc>
        <w:tc>
          <w:tcPr>
            <w:tcW w:w="395" w:type="pct"/>
          </w:tcPr>
          <w:p w14:paraId="5BE98582" w14:textId="6BE6996F"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1155</w:t>
            </w:r>
          </w:p>
        </w:tc>
        <w:tc>
          <w:tcPr>
            <w:tcW w:w="472" w:type="pct"/>
          </w:tcPr>
          <w:p w14:paraId="28B3C011" w14:textId="08991E21"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(91.4)</w:t>
            </w:r>
          </w:p>
        </w:tc>
        <w:tc>
          <w:tcPr>
            <w:tcW w:w="397" w:type="pct"/>
          </w:tcPr>
          <w:p w14:paraId="12DC1EFA" w14:textId="7525938E"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1130</w:t>
            </w:r>
          </w:p>
        </w:tc>
        <w:tc>
          <w:tcPr>
            <w:tcW w:w="392" w:type="pct"/>
          </w:tcPr>
          <w:p w14:paraId="219D0549" w14:textId="3D9A97F0"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(89.5)</w:t>
            </w:r>
          </w:p>
        </w:tc>
        <w:tc>
          <w:tcPr>
            <w:tcW w:w="752" w:type="pct"/>
          </w:tcPr>
          <w:p w14:paraId="1FE0784B"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1.9 (-0.4, 4.2)</w:t>
            </w:r>
          </w:p>
        </w:tc>
      </w:tr>
      <w:tr w:rsidR="00772731" w:rsidRPr="00165368" w14:paraId="10B0771A" w14:textId="77777777" w:rsidTr="004154DF">
        <w:tc>
          <w:tcPr>
            <w:tcW w:w="2592" w:type="pct"/>
            <w:hideMark/>
          </w:tcPr>
          <w:p w14:paraId="4CCBDF47"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Solicited injection-site AEs (day 1–5) </w:t>
            </w:r>
          </w:p>
        </w:tc>
        <w:tc>
          <w:tcPr>
            <w:tcW w:w="395" w:type="pct"/>
          </w:tcPr>
          <w:p w14:paraId="44418581" w14:textId="6EC394A5"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1144</w:t>
            </w:r>
          </w:p>
        </w:tc>
        <w:tc>
          <w:tcPr>
            <w:tcW w:w="472" w:type="pct"/>
          </w:tcPr>
          <w:p w14:paraId="20AB7B95" w14:textId="602A8290"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(90.6)</w:t>
            </w:r>
          </w:p>
        </w:tc>
        <w:tc>
          <w:tcPr>
            <w:tcW w:w="397" w:type="pct"/>
          </w:tcPr>
          <w:p w14:paraId="6DB0D52C" w14:textId="59DFBBA2"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1121</w:t>
            </w:r>
          </w:p>
        </w:tc>
        <w:tc>
          <w:tcPr>
            <w:tcW w:w="392" w:type="pct"/>
          </w:tcPr>
          <w:p w14:paraId="33EEF537" w14:textId="772E1036"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(88.8)</w:t>
            </w:r>
          </w:p>
        </w:tc>
        <w:tc>
          <w:tcPr>
            <w:tcW w:w="752" w:type="pct"/>
          </w:tcPr>
          <w:p w14:paraId="71421F1C"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1.7 (-0.6, 4.1)</w:t>
            </w:r>
          </w:p>
        </w:tc>
      </w:tr>
      <w:tr w:rsidR="00772731" w:rsidRPr="00165368" w14:paraId="713477D2" w14:textId="77777777" w:rsidTr="004154DF">
        <w:tc>
          <w:tcPr>
            <w:tcW w:w="2592" w:type="pct"/>
            <w:hideMark/>
          </w:tcPr>
          <w:p w14:paraId="5CD5D2B9"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Systemic AEs (day 1–15) </w:t>
            </w:r>
          </w:p>
        </w:tc>
        <w:tc>
          <w:tcPr>
            <w:tcW w:w="395" w:type="pct"/>
          </w:tcPr>
          <w:p w14:paraId="1201D87B" w14:textId="3D30EA11"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1230</w:t>
            </w:r>
          </w:p>
        </w:tc>
        <w:tc>
          <w:tcPr>
            <w:tcW w:w="472" w:type="pct"/>
          </w:tcPr>
          <w:p w14:paraId="6BDA8EEB" w14:textId="18907129"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(97.4)</w:t>
            </w:r>
          </w:p>
        </w:tc>
        <w:tc>
          <w:tcPr>
            <w:tcW w:w="397" w:type="pct"/>
          </w:tcPr>
          <w:p w14:paraId="3AA9BBF7"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1230</w:t>
            </w:r>
          </w:p>
        </w:tc>
        <w:tc>
          <w:tcPr>
            <w:tcW w:w="392" w:type="pct"/>
          </w:tcPr>
          <w:p w14:paraId="1C9CD078" w14:textId="7851E358"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(97.5)</w:t>
            </w:r>
          </w:p>
        </w:tc>
        <w:tc>
          <w:tcPr>
            <w:tcW w:w="752" w:type="pct"/>
          </w:tcPr>
          <w:p w14:paraId="46F647FC"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-0.1 (-1.3, 1.2)</w:t>
            </w:r>
          </w:p>
        </w:tc>
      </w:tr>
      <w:tr w:rsidR="00772731" w:rsidRPr="00165368" w14:paraId="492ED0D6" w14:textId="77777777" w:rsidTr="004154DF">
        <w:tc>
          <w:tcPr>
            <w:tcW w:w="2592" w:type="pct"/>
            <w:hideMark/>
          </w:tcPr>
          <w:p w14:paraId="04E59500"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 xml:space="preserve">Solicited systemic AEs (day 1–5) </w:t>
            </w:r>
          </w:p>
        </w:tc>
        <w:tc>
          <w:tcPr>
            <w:tcW w:w="395" w:type="pct"/>
          </w:tcPr>
          <w:p w14:paraId="7691CF14" w14:textId="788BA2AC"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1226</w:t>
            </w:r>
          </w:p>
        </w:tc>
        <w:tc>
          <w:tcPr>
            <w:tcW w:w="472" w:type="pct"/>
          </w:tcPr>
          <w:p w14:paraId="52C2274E" w14:textId="1FEC9C7E"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(97.1)</w:t>
            </w:r>
          </w:p>
        </w:tc>
        <w:tc>
          <w:tcPr>
            <w:tcW w:w="397" w:type="pct"/>
          </w:tcPr>
          <w:p w14:paraId="7D6AAAAE" w14:textId="533C58ED"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1227</w:t>
            </w:r>
          </w:p>
        </w:tc>
        <w:tc>
          <w:tcPr>
            <w:tcW w:w="392" w:type="pct"/>
          </w:tcPr>
          <w:p w14:paraId="0022E321" w14:textId="4D2C5D0E"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(97.2)</w:t>
            </w:r>
          </w:p>
        </w:tc>
        <w:tc>
          <w:tcPr>
            <w:tcW w:w="752" w:type="pct"/>
          </w:tcPr>
          <w:p w14:paraId="55701DA9"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-0.1 (-1.5, 1.2)</w:t>
            </w:r>
          </w:p>
        </w:tc>
      </w:tr>
      <w:tr w:rsidR="00772731" w:rsidRPr="00165368" w14:paraId="654E8DAF" w14:textId="77777777" w:rsidTr="004154DF">
        <w:tc>
          <w:tcPr>
            <w:tcW w:w="2592" w:type="pct"/>
          </w:tcPr>
          <w:p w14:paraId="240E6DF2"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ab/>
              <w:t>Unsolicited systemic AEs (day 1-15)</w:t>
            </w:r>
          </w:p>
        </w:tc>
        <w:tc>
          <w:tcPr>
            <w:tcW w:w="395" w:type="pct"/>
          </w:tcPr>
          <w:p w14:paraId="589CAC56" w14:textId="39FABD93"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482</w:t>
            </w:r>
          </w:p>
        </w:tc>
        <w:tc>
          <w:tcPr>
            <w:tcW w:w="472" w:type="pct"/>
          </w:tcPr>
          <w:p w14:paraId="0D8C4DC4" w14:textId="634781EC"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(38.1)</w:t>
            </w:r>
          </w:p>
        </w:tc>
        <w:tc>
          <w:tcPr>
            <w:tcW w:w="397" w:type="pct"/>
          </w:tcPr>
          <w:p w14:paraId="5A90089B" w14:textId="49502C8D"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440</w:t>
            </w:r>
          </w:p>
        </w:tc>
        <w:tc>
          <w:tcPr>
            <w:tcW w:w="392" w:type="pct"/>
          </w:tcPr>
          <w:p w14:paraId="62A7092F" w14:textId="23C9F3B1"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(34.9)</w:t>
            </w:r>
          </w:p>
        </w:tc>
        <w:tc>
          <w:tcPr>
            <w:tcW w:w="752" w:type="pct"/>
          </w:tcPr>
          <w:p w14:paraId="3D1838F9"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3.2 (-0.5, 6.8)</w:t>
            </w:r>
          </w:p>
        </w:tc>
      </w:tr>
      <w:tr w:rsidR="00772731" w:rsidRPr="00165368" w14:paraId="0558DA43" w14:textId="77777777" w:rsidTr="004154DF">
        <w:tc>
          <w:tcPr>
            <w:tcW w:w="2592" w:type="pct"/>
          </w:tcPr>
          <w:p w14:paraId="119E5BA0" w14:textId="0EC58379"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SAEs (</w:t>
            </w:r>
            <w:r w:rsidR="00926956">
              <w:rPr>
                <w:rFonts w:ascii="Arial Narrow" w:hAnsi="Arial Narrow" w:cs="Times New Roman"/>
                <w:sz w:val="20"/>
              </w:rPr>
              <w:t>d</w:t>
            </w:r>
            <w:r w:rsidRPr="00165368">
              <w:rPr>
                <w:rFonts w:ascii="Arial Narrow" w:hAnsi="Arial Narrow" w:cs="Times New Roman"/>
                <w:sz w:val="20"/>
              </w:rPr>
              <w:t>ay 1</w:t>
            </w:r>
            <w:r w:rsidR="00926956">
              <w:rPr>
                <w:rFonts w:ascii="Arial Narrow" w:hAnsi="Arial Narrow" w:cs="Times New Roman"/>
                <w:sz w:val="20"/>
              </w:rPr>
              <w:t>-</w:t>
            </w:r>
            <w:r w:rsidRPr="00165368">
              <w:rPr>
                <w:rFonts w:ascii="Arial Narrow" w:hAnsi="Arial Narrow" w:cs="Times New Roman"/>
                <w:sz w:val="20"/>
              </w:rPr>
              <w:t xml:space="preserve">15 </w:t>
            </w:r>
            <w:r w:rsidR="00CD1891">
              <w:rPr>
                <w:rFonts w:ascii="Arial Narrow" w:hAnsi="Arial Narrow" w:cs="Times New Roman"/>
                <w:sz w:val="20"/>
              </w:rPr>
              <w:t>following each hexavalent vaccination</w:t>
            </w:r>
            <w:r w:rsidR="00CD1891" w:rsidRPr="00165368">
              <w:rPr>
                <w:rFonts w:ascii="Arial Narrow" w:hAnsi="Arial Narrow" w:cs="Times New Roman"/>
                <w:sz w:val="20"/>
              </w:rPr>
              <w:t>)</w:t>
            </w:r>
          </w:p>
        </w:tc>
        <w:tc>
          <w:tcPr>
            <w:tcW w:w="395" w:type="pct"/>
          </w:tcPr>
          <w:p w14:paraId="032DD5EE" w14:textId="1596984F"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22</w:t>
            </w:r>
          </w:p>
        </w:tc>
        <w:tc>
          <w:tcPr>
            <w:tcW w:w="472" w:type="pct"/>
          </w:tcPr>
          <w:p w14:paraId="1074C5E9" w14:textId="4D5DBB5B"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(1.7)</w:t>
            </w:r>
          </w:p>
        </w:tc>
        <w:tc>
          <w:tcPr>
            <w:tcW w:w="397" w:type="pct"/>
          </w:tcPr>
          <w:p w14:paraId="6AD922D5" w14:textId="1FE975CA"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20</w:t>
            </w:r>
          </w:p>
        </w:tc>
        <w:tc>
          <w:tcPr>
            <w:tcW w:w="392" w:type="pct"/>
          </w:tcPr>
          <w:p w14:paraId="271A3626" w14:textId="5A58972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(1.6)</w:t>
            </w:r>
          </w:p>
        </w:tc>
        <w:tc>
          <w:tcPr>
            <w:tcW w:w="752" w:type="pct"/>
          </w:tcPr>
          <w:p w14:paraId="339C1185"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0.1 (-0.9, 1.2)</w:t>
            </w:r>
          </w:p>
        </w:tc>
      </w:tr>
      <w:tr w:rsidR="00772731" w:rsidRPr="00165368" w14:paraId="76EB0229" w14:textId="77777777" w:rsidTr="004154DF">
        <w:tc>
          <w:tcPr>
            <w:tcW w:w="2592" w:type="pct"/>
          </w:tcPr>
          <w:p w14:paraId="3CB9DFA2"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SAEs, any</w:t>
            </w:r>
          </w:p>
        </w:tc>
        <w:tc>
          <w:tcPr>
            <w:tcW w:w="395" w:type="pct"/>
          </w:tcPr>
          <w:p w14:paraId="41C51288" w14:textId="13ABAC08"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29</w:t>
            </w:r>
          </w:p>
        </w:tc>
        <w:tc>
          <w:tcPr>
            <w:tcW w:w="472" w:type="pct"/>
          </w:tcPr>
          <w:p w14:paraId="4064CC97" w14:textId="3BF361DC"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(2.3)</w:t>
            </w:r>
          </w:p>
        </w:tc>
        <w:tc>
          <w:tcPr>
            <w:tcW w:w="397" w:type="pct"/>
          </w:tcPr>
          <w:p w14:paraId="760986E2" w14:textId="02FDFC2F"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32</w:t>
            </w:r>
          </w:p>
        </w:tc>
        <w:tc>
          <w:tcPr>
            <w:tcW w:w="392" w:type="pct"/>
          </w:tcPr>
          <w:p w14:paraId="6688779F" w14:textId="64C04095"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(2.5)</w:t>
            </w:r>
          </w:p>
        </w:tc>
        <w:tc>
          <w:tcPr>
            <w:tcW w:w="752" w:type="pct"/>
          </w:tcPr>
          <w:p w14:paraId="1C6201C7"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-0.3 (-1.5, 1.0)</w:t>
            </w:r>
          </w:p>
        </w:tc>
      </w:tr>
      <w:tr w:rsidR="00772731" w:rsidRPr="00165368" w14:paraId="29BDDC41" w14:textId="77777777" w:rsidTr="004154DF">
        <w:tc>
          <w:tcPr>
            <w:tcW w:w="2592" w:type="pct"/>
          </w:tcPr>
          <w:p w14:paraId="30BEDB0D"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Serious vaccine-related AEs</w:t>
            </w:r>
          </w:p>
        </w:tc>
        <w:tc>
          <w:tcPr>
            <w:tcW w:w="395" w:type="pct"/>
          </w:tcPr>
          <w:p w14:paraId="24E65AD0" w14:textId="3E7A8619"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4</w:t>
            </w:r>
          </w:p>
        </w:tc>
        <w:tc>
          <w:tcPr>
            <w:tcW w:w="472" w:type="pct"/>
          </w:tcPr>
          <w:p w14:paraId="3436B647" w14:textId="7D77421F"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(0.3)</w:t>
            </w:r>
          </w:p>
        </w:tc>
        <w:tc>
          <w:tcPr>
            <w:tcW w:w="397" w:type="pct"/>
          </w:tcPr>
          <w:p w14:paraId="31FB9E08" w14:textId="6330A5AE"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4</w:t>
            </w:r>
          </w:p>
        </w:tc>
        <w:tc>
          <w:tcPr>
            <w:tcW w:w="392" w:type="pct"/>
          </w:tcPr>
          <w:p w14:paraId="1CEA6363" w14:textId="5C50FF51"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(0.3)</w:t>
            </w:r>
          </w:p>
        </w:tc>
        <w:tc>
          <w:tcPr>
            <w:tcW w:w="752" w:type="pct"/>
          </w:tcPr>
          <w:p w14:paraId="66F39591"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0.0 (-0.5, 0.5)</w:t>
            </w:r>
          </w:p>
        </w:tc>
      </w:tr>
      <w:tr w:rsidR="00772731" w:rsidRPr="00165368" w14:paraId="5B6DB537" w14:textId="77777777" w:rsidTr="004154DF">
        <w:tc>
          <w:tcPr>
            <w:tcW w:w="2592" w:type="pct"/>
          </w:tcPr>
          <w:p w14:paraId="73B777C3"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 xml:space="preserve">Deaths </w:t>
            </w:r>
          </w:p>
        </w:tc>
        <w:tc>
          <w:tcPr>
            <w:tcW w:w="395" w:type="pct"/>
          </w:tcPr>
          <w:p w14:paraId="607A5EFC" w14:textId="2A5FB0FA"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w:t>
            </w:r>
          </w:p>
        </w:tc>
        <w:tc>
          <w:tcPr>
            <w:tcW w:w="472" w:type="pct"/>
          </w:tcPr>
          <w:p w14:paraId="519AE028"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(0.0)</w:t>
            </w:r>
          </w:p>
        </w:tc>
        <w:tc>
          <w:tcPr>
            <w:tcW w:w="397" w:type="pct"/>
          </w:tcPr>
          <w:p w14:paraId="3D964CFA" w14:textId="2A4DD3E2"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w:t>
            </w:r>
          </w:p>
        </w:tc>
        <w:tc>
          <w:tcPr>
            <w:tcW w:w="392" w:type="pct"/>
          </w:tcPr>
          <w:p w14:paraId="4A13E29E" w14:textId="06C65A26"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(0.0)</w:t>
            </w:r>
          </w:p>
        </w:tc>
        <w:tc>
          <w:tcPr>
            <w:tcW w:w="752" w:type="pct"/>
          </w:tcPr>
          <w:p w14:paraId="77E9B265"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0.0 (-0.3, 0.3)</w:t>
            </w:r>
          </w:p>
        </w:tc>
      </w:tr>
      <w:tr w:rsidR="00772731" w:rsidRPr="00165368" w14:paraId="2F67F3A5" w14:textId="77777777" w:rsidTr="004154DF">
        <w:tc>
          <w:tcPr>
            <w:tcW w:w="2592" w:type="pct"/>
          </w:tcPr>
          <w:p w14:paraId="1ACDE7CF"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 xml:space="preserve">Discontinued due to an AE </w:t>
            </w:r>
          </w:p>
        </w:tc>
        <w:tc>
          <w:tcPr>
            <w:tcW w:w="395" w:type="pct"/>
          </w:tcPr>
          <w:p w14:paraId="6842A818"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w:t>
            </w:r>
          </w:p>
        </w:tc>
        <w:tc>
          <w:tcPr>
            <w:tcW w:w="472" w:type="pct"/>
          </w:tcPr>
          <w:p w14:paraId="60378DE3"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(0.1)</w:t>
            </w:r>
          </w:p>
        </w:tc>
        <w:tc>
          <w:tcPr>
            <w:tcW w:w="397" w:type="pct"/>
          </w:tcPr>
          <w:p w14:paraId="4E4B3041"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8</w:t>
            </w:r>
          </w:p>
        </w:tc>
        <w:tc>
          <w:tcPr>
            <w:tcW w:w="392" w:type="pct"/>
          </w:tcPr>
          <w:p w14:paraId="358711F1"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(0.6)</w:t>
            </w:r>
          </w:p>
        </w:tc>
        <w:tc>
          <w:tcPr>
            <w:tcW w:w="752" w:type="pct"/>
          </w:tcPr>
          <w:p w14:paraId="19C82CB6" w14:textId="77777777" w:rsidR="00772731" w:rsidRPr="00B66E5C" w:rsidRDefault="00772731" w:rsidP="007C300A">
            <w:pPr>
              <w:keepNext/>
              <w:keepLines/>
              <w:jc w:val="center"/>
              <w:rPr>
                <w:rFonts w:ascii="Arial Narrow" w:hAnsi="Arial Narrow" w:cs="Times New Roman"/>
                <w:b/>
                <w:sz w:val="20"/>
              </w:rPr>
            </w:pPr>
            <w:r w:rsidRPr="00B66E5C">
              <w:rPr>
                <w:rFonts w:ascii="Arial Narrow" w:hAnsi="Arial Narrow" w:cs="Times New Roman"/>
                <w:b/>
                <w:sz w:val="20"/>
              </w:rPr>
              <w:t>-0.6 (-1.2, -0.1)</w:t>
            </w:r>
          </w:p>
        </w:tc>
      </w:tr>
      <w:tr w:rsidR="00772731" w:rsidRPr="00165368" w14:paraId="56A9AADF" w14:textId="77777777" w:rsidTr="004154DF">
        <w:tc>
          <w:tcPr>
            <w:tcW w:w="2592" w:type="pct"/>
          </w:tcPr>
          <w:p w14:paraId="41FADD41"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 xml:space="preserve">Discontinued due to a vaccine-related AE </w:t>
            </w:r>
          </w:p>
        </w:tc>
        <w:tc>
          <w:tcPr>
            <w:tcW w:w="395" w:type="pct"/>
          </w:tcPr>
          <w:p w14:paraId="5006D80F"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w:t>
            </w:r>
          </w:p>
        </w:tc>
        <w:tc>
          <w:tcPr>
            <w:tcW w:w="472" w:type="pct"/>
          </w:tcPr>
          <w:p w14:paraId="319BA24C"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(0.0)</w:t>
            </w:r>
          </w:p>
        </w:tc>
        <w:tc>
          <w:tcPr>
            <w:tcW w:w="397" w:type="pct"/>
          </w:tcPr>
          <w:p w14:paraId="3AAE1833"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5</w:t>
            </w:r>
          </w:p>
        </w:tc>
        <w:tc>
          <w:tcPr>
            <w:tcW w:w="392" w:type="pct"/>
          </w:tcPr>
          <w:p w14:paraId="43E32728"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(0.4)</w:t>
            </w:r>
          </w:p>
        </w:tc>
        <w:tc>
          <w:tcPr>
            <w:tcW w:w="752" w:type="pct"/>
          </w:tcPr>
          <w:p w14:paraId="7C620012" w14:textId="77777777" w:rsidR="00772731" w:rsidRPr="00B66E5C" w:rsidRDefault="00772731" w:rsidP="007C300A">
            <w:pPr>
              <w:keepNext/>
              <w:keepLines/>
              <w:jc w:val="center"/>
              <w:rPr>
                <w:rFonts w:ascii="Arial Narrow" w:hAnsi="Arial Narrow" w:cs="Times New Roman"/>
                <w:b/>
                <w:sz w:val="20"/>
              </w:rPr>
            </w:pPr>
            <w:r w:rsidRPr="00B66E5C">
              <w:rPr>
                <w:rFonts w:ascii="Arial Narrow" w:hAnsi="Arial Narrow" w:cs="Times New Roman"/>
                <w:b/>
                <w:sz w:val="20"/>
              </w:rPr>
              <w:t>-0.4 (-0.9, -0.1)</w:t>
            </w:r>
          </w:p>
        </w:tc>
      </w:tr>
      <w:tr w:rsidR="00772731" w:rsidRPr="00165368" w14:paraId="35D555A6" w14:textId="77777777" w:rsidTr="004154DF">
        <w:tc>
          <w:tcPr>
            <w:tcW w:w="2592" w:type="pct"/>
          </w:tcPr>
          <w:p w14:paraId="460D226D"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 xml:space="preserve">Discontinued due to a SAE </w:t>
            </w:r>
          </w:p>
        </w:tc>
        <w:tc>
          <w:tcPr>
            <w:tcW w:w="395" w:type="pct"/>
          </w:tcPr>
          <w:p w14:paraId="00EE7B48"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1</w:t>
            </w:r>
          </w:p>
        </w:tc>
        <w:tc>
          <w:tcPr>
            <w:tcW w:w="472" w:type="pct"/>
          </w:tcPr>
          <w:p w14:paraId="57FC17CD"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(0.1)</w:t>
            </w:r>
          </w:p>
        </w:tc>
        <w:tc>
          <w:tcPr>
            <w:tcW w:w="397" w:type="pct"/>
          </w:tcPr>
          <w:p w14:paraId="7D29F879"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3</w:t>
            </w:r>
          </w:p>
        </w:tc>
        <w:tc>
          <w:tcPr>
            <w:tcW w:w="392" w:type="pct"/>
          </w:tcPr>
          <w:p w14:paraId="4E2E3FEE"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(0.2)</w:t>
            </w:r>
          </w:p>
        </w:tc>
        <w:tc>
          <w:tcPr>
            <w:tcW w:w="752" w:type="pct"/>
          </w:tcPr>
          <w:p w14:paraId="5F575E9B"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-0.2 (-0.6, 0.2)</w:t>
            </w:r>
          </w:p>
        </w:tc>
      </w:tr>
      <w:tr w:rsidR="00772731" w:rsidRPr="00165368" w14:paraId="55D8934D" w14:textId="77777777" w:rsidTr="004154DF">
        <w:tc>
          <w:tcPr>
            <w:tcW w:w="2592" w:type="pct"/>
          </w:tcPr>
          <w:p w14:paraId="54438603" w14:textId="77777777" w:rsidR="00772731" w:rsidRPr="00165368" w:rsidRDefault="00772731" w:rsidP="007C300A">
            <w:pPr>
              <w:keepNext/>
              <w:keepLines/>
              <w:jc w:val="left"/>
              <w:rPr>
                <w:rFonts w:ascii="Arial Narrow" w:hAnsi="Arial Narrow" w:cs="Times New Roman"/>
                <w:sz w:val="20"/>
              </w:rPr>
            </w:pPr>
            <w:r w:rsidRPr="00165368">
              <w:rPr>
                <w:rFonts w:ascii="Arial Narrow" w:hAnsi="Arial Narrow" w:cs="Times New Roman"/>
                <w:sz w:val="20"/>
              </w:rPr>
              <w:t>Discontinued due to a serious vaccine-related AE</w:t>
            </w:r>
          </w:p>
        </w:tc>
        <w:tc>
          <w:tcPr>
            <w:tcW w:w="395" w:type="pct"/>
          </w:tcPr>
          <w:p w14:paraId="3D791095"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w:t>
            </w:r>
          </w:p>
        </w:tc>
        <w:tc>
          <w:tcPr>
            <w:tcW w:w="472" w:type="pct"/>
          </w:tcPr>
          <w:p w14:paraId="687E08C1"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(0.0)</w:t>
            </w:r>
          </w:p>
        </w:tc>
        <w:tc>
          <w:tcPr>
            <w:tcW w:w="397" w:type="pct"/>
          </w:tcPr>
          <w:p w14:paraId="4622D225"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2</w:t>
            </w:r>
          </w:p>
        </w:tc>
        <w:tc>
          <w:tcPr>
            <w:tcW w:w="392" w:type="pct"/>
          </w:tcPr>
          <w:p w14:paraId="40E49CD9"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(0.2)</w:t>
            </w:r>
          </w:p>
        </w:tc>
        <w:tc>
          <w:tcPr>
            <w:tcW w:w="752" w:type="pct"/>
          </w:tcPr>
          <w:p w14:paraId="1D620EA5" w14:textId="77777777" w:rsidR="00772731" w:rsidRPr="00165368" w:rsidRDefault="00772731" w:rsidP="007C300A">
            <w:pPr>
              <w:keepNext/>
              <w:keepLines/>
              <w:jc w:val="center"/>
              <w:rPr>
                <w:rFonts w:ascii="Arial Narrow" w:hAnsi="Arial Narrow" w:cs="Times New Roman"/>
                <w:sz w:val="20"/>
              </w:rPr>
            </w:pPr>
            <w:r w:rsidRPr="00165368">
              <w:rPr>
                <w:rFonts w:ascii="Arial Narrow" w:hAnsi="Arial Narrow" w:cs="Times New Roman"/>
                <w:sz w:val="20"/>
              </w:rPr>
              <w:t>-0.2 (-0.6, 0.1)</w:t>
            </w:r>
          </w:p>
        </w:tc>
      </w:tr>
    </w:tbl>
    <w:p w14:paraId="6734F1AF" w14:textId="55ED92EA" w:rsidR="00262058" w:rsidRDefault="00262058" w:rsidP="007C300A">
      <w:pPr>
        <w:pStyle w:val="TableFigureFooter"/>
        <w:keepNext/>
        <w:keepLines/>
      </w:pPr>
      <w:r>
        <w:t>Values shown in bold indicate statistical significance.</w:t>
      </w:r>
    </w:p>
    <w:p w14:paraId="7097D620" w14:textId="2C9B91CB" w:rsidR="00772731" w:rsidRDefault="00772731" w:rsidP="007C300A">
      <w:pPr>
        <w:pStyle w:val="TableFigureFooter"/>
        <w:keepNext/>
        <w:keepLines/>
      </w:pPr>
      <w:r>
        <w:t>Source: Table 2.59, p72 of the submission.</w:t>
      </w:r>
    </w:p>
    <w:p w14:paraId="0BFE6BB6" w14:textId="5D5AE941" w:rsidR="00772731" w:rsidRDefault="00772731" w:rsidP="007C300A">
      <w:pPr>
        <w:pStyle w:val="TableFigureFooter"/>
        <w:keepNext/>
        <w:keepLines/>
      </w:pPr>
      <w:r>
        <w:t>AE</w:t>
      </w:r>
      <w:r w:rsidR="00791F28">
        <w:t xml:space="preserve"> </w:t>
      </w:r>
      <w:r>
        <w:t>=</w:t>
      </w:r>
      <w:r w:rsidR="00791F28">
        <w:t xml:space="preserve"> </w:t>
      </w:r>
      <w:r>
        <w:t>adverse event; SAE</w:t>
      </w:r>
      <w:r w:rsidR="00791F28">
        <w:t xml:space="preserve"> </w:t>
      </w:r>
      <w:r>
        <w:t>=</w:t>
      </w:r>
      <w:r w:rsidR="00791F28">
        <w:t xml:space="preserve"> </w:t>
      </w:r>
      <w:r>
        <w:t>serious adverse event</w:t>
      </w:r>
    </w:p>
    <w:p w14:paraId="3A76CFC1" w14:textId="045E0B4C" w:rsidR="00772731" w:rsidRPr="00910346" w:rsidRDefault="00772731" w:rsidP="00772731">
      <w:pPr>
        <w:pStyle w:val="3-BodyText"/>
      </w:pPr>
      <w:r w:rsidRPr="00910346">
        <w:t xml:space="preserve">Overall, except for </w:t>
      </w:r>
      <w:r w:rsidR="00E00637">
        <w:t>small</w:t>
      </w:r>
      <w:r w:rsidR="00E00637" w:rsidRPr="00910346">
        <w:t xml:space="preserve"> </w:t>
      </w:r>
      <w:r w:rsidRPr="00910346">
        <w:t xml:space="preserve">differences that were unlikely to be clinically meaningful, the safety data were generally similar between the </w:t>
      </w:r>
      <w:proofErr w:type="spellStart"/>
      <w:r w:rsidRPr="00910346">
        <w:t>Vaxelis</w:t>
      </w:r>
      <w:proofErr w:type="spellEnd"/>
      <w:r w:rsidRPr="00910346">
        <w:t xml:space="preserve"> and Infanrix </w:t>
      </w:r>
      <w:proofErr w:type="spellStart"/>
      <w:r w:rsidR="00AE2917">
        <w:t>Hexa</w:t>
      </w:r>
      <w:proofErr w:type="spellEnd"/>
      <w:r w:rsidRPr="00910346">
        <w:t xml:space="preserve"> groups.</w:t>
      </w:r>
    </w:p>
    <w:p w14:paraId="7B0CE026" w14:textId="77777777" w:rsidR="00772731" w:rsidRPr="00C9624D" w:rsidRDefault="00772731" w:rsidP="00772731">
      <w:pPr>
        <w:pStyle w:val="4-SubsectionHeading"/>
      </w:pPr>
      <w:bookmarkStart w:id="32" w:name="_Toc22897644"/>
      <w:bookmarkStart w:id="33" w:name="_Toc93503680"/>
      <w:r w:rsidRPr="00C9624D">
        <w:lastRenderedPageBreak/>
        <w:t>Clinical claim</w:t>
      </w:r>
      <w:bookmarkEnd w:id="32"/>
      <w:bookmarkEnd w:id="33"/>
    </w:p>
    <w:p w14:paraId="3800051F" w14:textId="77777777" w:rsidR="00772731" w:rsidRDefault="00772731" w:rsidP="00772731">
      <w:pPr>
        <w:pStyle w:val="3-BodyText"/>
        <w:rPr>
          <w:rFonts w:eastAsia="Calibri"/>
        </w:rPr>
      </w:pPr>
      <w:r>
        <w:rPr>
          <w:rFonts w:eastAsia="Calibri"/>
        </w:rPr>
        <w:t xml:space="preserve">The submission claimed that it concurred with </w:t>
      </w:r>
      <w:r w:rsidRPr="00F66720">
        <w:rPr>
          <w:rFonts w:eastAsia="Calibri"/>
        </w:rPr>
        <w:t>the ATAGI pre-submission advice</w:t>
      </w:r>
      <w:r>
        <w:rPr>
          <w:rFonts w:eastAsia="Calibri"/>
        </w:rPr>
        <w:t xml:space="preserve"> that:</w:t>
      </w:r>
    </w:p>
    <w:p w14:paraId="73D13EB7" w14:textId="145FD3FE" w:rsidR="00772731" w:rsidRPr="00F66720" w:rsidRDefault="00772731" w:rsidP="009A0C3B">
      <w:pPr>
        <w:pStyle w:val="3-BodyText"/>
        <w:numPr>
          <w:ilvl w:val="0"/>
          <w:numId w:val="7"/>
        </w:numPr>
        <w:ind w:left="1148" w:hanging="439"/>
        <w:rPr>
          <w:iCs/>
          <w:snapToGrid/>
        </w:rPr>
      </w:pPr>
      <w:proofErr w:type="spellStart"/>
      <w:r w:rsidRPr="00F66720">
        <w:rPr>
          <w:iCs/>
          <w:snapToGrid/>
        </w:rPr>
        <w:t>Vaxelis</w:t>
      </w:r>
      <w:proofErr w:type="spellEnd"/>
      <w:r w:rsidRPr="00F66720">
        <w:rPr>
          <w:iCs/>
          <w:snapToGrid/>
        </w:rPr>
        <w:t xml:space="preserve"> is a safe and suitable alternative to Infanrix </w:t>
      </w:r>
      <w:proofErr w:type="spellStart"/>
      <w:r w:rsidR="00AE2917">
        <w:rPr>
          <w:iCs/>
          <w:snapToGrid/>
        </w:rPr>
        <w:t>Hexa</w:t>
      </w:r>
      <w:proofErr w:type="spellEnd"/>
      <w:r w:rsidRPr="00F66720">
        <w:rPr>
          <w:iCs/>
          <w:snapToGrid/>
        </w:rPr>
        <w:t xml:space="preserve"> for use as primary immunisation at 2, 4 and 6 months of age, in accordance with the current NIP schedule, provided that a </w:t>
      </w:r>
      <w:proofErr w:type="spellStart"/>
      <w:r w:rsidRPr="00F66720">
        <w:rPr>
          <w:iCs/>
          <w:snapToGrid/>
        </w:rPr>
        <w:t>DTP</w:t>
      </w:r>
      <w:r w:rsidR="00B66E5C">
        <w:rPr>
          <w:iCs/>
          <w:snapToGrid/>
        </w:rPr>
        <w:t>a</w:t>
      </w:r>
      <w:proofErr w:type="spellEnd"/>
      <w:r w:rsidRPr="00F66720">
        <w:rPr>
          <w:iCs/>
          <w:snapToGrid/>
        </w:rPr>
        <w:t xml:space="preserve">/Hib booster is provided at 18 months of </w:t>
      </w:r>
      <w:proofErr w:type="gramStart"/>
      <w:r w:rsidRPr="00F66720">
        <w:rPr>
          <w:iCs/>
          <w:snapToGrid/>
        </w:rPr>
        <w:t>age;</w:t>
      </w:r>
      <w:proofErr w:type="gramEnd"/>
    </w:p>
    <w:p w14:paraId="3D5FE51F" w14:textId="4CEF0123" w:rsidR="00772731" w:rsidRPr="00F66720" w:rsidRDefault="00772731" w:rsidP="009A0C3B">
      <w:pPr>
        <w:pStyle w:val="3-BodyText"/>
        <w:numPr>
          <w:ilvl w:val="0"/>
          <w:numId w:val="7"/>
        </w:numPr>
        <w:ind w:left="1148" w:hanging="439"/>
        <w:rPr>
          <w:iCs/>
          <w:snapToGrid/>
        </w:rPr>
      </w:pPr>
      <w:r w:rsidRPr="00F66720">
        <w:rPr>
          <w:iCs/>
          <w:snapToGrid/>
        </w:rPr>
        <w:t xml:space="preserve">From an immunological perspective, </w:t>
      </w:r>
      <w:proofErr w:type="spellStart"/>
      <w:r w:rsidRPr="00F66720">
        <w:rPr>
          <w:iCs/>
          <w:snapToGrid/>
        </w:rPr>
        <w:t>Vaxelis</w:t>
      </w:r>
      <w:proofErr w:type="spellEnd"/>
      <w:r w:rsidRPr="00F66720">
        <w:rPr>
          <w:iCs/>
          <w:snapToGrid/>
        </w:rPr>
        <w:t xml:space="preserve"> is at least non inferior to Infanrix </w:t>
      </w:r>
      <w:proofErr w:type="spellStart"/>
      <w:r w:rsidRPr="00F66720">
        <w:rPr>
          <w:iCs/>
          <w:snapToGrid/>
        </w:rPr>
        <w:t>Hexa</w:t>
      </w:r>
      <w:proofErr w:type="spellEnd"/>
      <w:r w:rsidRPr="00F66720">
        <w:rPr>
          <w:iCs/>
          <w:snapToGrid/>
        </w:rPr>
        <w:t xml:space="preserve"> in eliciting immune responses against all vaccine</w:t>
      </w:r>
      <w:r w:rsidR="00F16DF6">
        <w:rPr>
          <w:iCs/>
          <w:snapToGrid/>
        </w:rPr>
        <w:t>-</w:t>
      </w:r>
      <w:r w:rsidRPr="00F66720">
        <w:rPr>
          <w:iCs/>
          <w:snapToGrid/>
        </w:rPr>
        <w:t xml:space="preserve">included antigens at the end of the primary </w:t>
      </w:r>
      <w:r w:rsidRPr="00257DEC">
        <w:rPr>
          <w:iCs/>
          <w:snapToGrid/>
        </w:rPr>
        <w:t xml:space="preserve">course </w:t>
      </w:r>
      <w:r w:rsidR="00B66E5C" w:rsidRPr="00257DEC">
        <w:rPr>
          <w:iCs/>
          <w:snapToGrid/>
        </w:rPr>
        <w:t xml:space="preserve">to 4 months </w:t>
      </w:r>
      <w:r w:rsidRPr="00257DEC">
        <w:rPr>
          <w:iCs/>
          <w:snapToGrid/>
        </w:rPr>
        <w:t>based</w:t>
      </w:r>
      <w:r w:rsidRPr="00F66720">
        <w:rPr>
          <w:iCs/>
          <w:snapToGrid/>
        </w:rPr>
        <w:t xml:space="preserve"> on presumptive correlates of protection, noting that these do not exist for </w:t>
      </w:r>
      <w:proofErr w:type="gramStart"/>
      <w:r w:rsidRPr="00F66720">
        <w:rPr>
          <w:iCs/>
          <w:snapToGrid/>
        </w:rPr>
        <w:t>pertussis;</w:t>
      </w:r>
      <w:proofErr w:type="gramEnd"/>
    </w:p>
    <w:p w14:paraId="22E5ACCE" w14:textId="746051DB" w:rsidR="00772731" w:rsidRDefault="00772731" w:rsidP="009A0C3B">
      <w:pPr>
        <w:pStyle w:val="3-BodyText"/>
        <w:numPr>
          <w:ilvl w:val="0"/>
          <w:numId w:val="7"/>
        </w:numPr>
        <w:ind w:left="1148" w:hanging="439"/>
        <w:rPr>
          <w:rFonts w:eastAsia="Calibri"/>
        </w:rPr>
      </w:pPr>
      <w:proofErr w:type="spellStart"/>
      <w:r w:rsidRPr="00F66720">
        <w:rPr>
          <w:iCs/>
          <w:snapToGrid/>
        </w:rPr>
        <w:t>Vaxelis</w:t>
      </w:r>
      <w:proofErr w:type="spellEnd"/>
      <w:r w:rsidRPr="00F66720">
        <w:rPr>
          <w:iCs/>
          <w:snapToGrid/>
        </w:rPr>
        <w:t xml:space="preserve"> can be </w:t>
      </w:r>
      <w:proofErr w:type="spellStart"/>
      <w:r w:rsidRPr="00F66720">
        <w:rPr>
          <w:iCs/>
          <w:snapToGrid/>
        </w:rPr>
        <w:t>coadministered</w:t>
      </w:r>
      <w:proofErr w:type="spellEnd"/>
      <w:r w:rsidRPr="00F66720">
        <w:rPr>
          <w:iCs/>
          <w:snapToGrid/>
        </w:rPr>
        <w:t xml:space="preserve"> with other routine paediatric vaccines, including Rotarix or </w:t>
      </w:r>
      <w:proofErr w:type="spellStart"/>
      <w:r w:rsidRPr="00F66720">
        <w:rPr>
          <w:iCs/>
          <w:snapToGrid/>
        </w:rPr>
        <w:t>RotaTeq</w:t>
      </w:r>
      <w:proofErr w:type="spellEnd"/>
      <w:r w:rsidRPr="00F66720">
        <w:rPr>
          <w:iCs/>
          <w:snapToGrid/>
        </w:rPr>
        <w:t xml:space="preserve">, Prevenar 13 and </w:t>
      </w:r>
      <w:proofErr w:type="spellStart"/>
      <w:r w:rsidRPr="00F66720">
        <w:rPr>
          <w:iCs/>
          <w:snapToGrid/>
        </w:rPr>
        <w:t>ProQuad</w:t>
      </w:r>
      <w:proofErr w:type="spellEnd"/>
      <w:r w:rsidRPr="00F66720">
        <w:rPr>
          <w:iCs/>
          <w:snapToGrid/>
        </w:rPr>
        <w:t>, however data regarding concomitant use with other potentially relevant meningococcal and influenza vaccines are not yet available.</w:t>
      </w:r>
    </w:p>
    <w:p w14:paraId="60232CCE" w14:textId="77777777" w:rsidR="00772731" w:rsidRPr="00910346" w:rsidRDefault="00772731" w:rsidP="00772731">
      <w:pPr>
        <w:pStyle w:val="3-BodyText"/>
        <w:rPr>
          <w:rFonts w:eastAsia="Calibri"/>
        </w:rPr>
      </w:pPr>
      <w:r w:rsidRPr="00910346">
        <w:rPr>
          <w:rFonts w:eastAsia="Calibri"/>
        </w:rPr>
        <w:t>The ATAGI pre-submission advice noted (p29) the following:</w:t>
      </w:r>
    </w:p>
    <w:p w14:paraId="407AD019" w14:textId="080B6872" w:rsidR="00772731" w:rsidRPr="00910346" w:rsidRDefault="00772731" w:rsidP="009A0C3B">
      <w:pPr>
        <w:pStyle w:val="3-BodyText"/>
        <w:numPr>
          <w:ilvl w:val="0"/>
          <w:numId w:val="7"/>
        </w:numPr>
        <w:ind w:left="1148" w:hanging="439"/>
        <w:rPr>
          <w:iCs/>
          <w:snapToGrid/>
        </w:rPr>
      </w:pPr>
      <w:r w:rsidRPr="00910346">
        <w:rPr>
          <w:iCs/>
          <w:snapToGrid/>
        </w:rPr>
        <w:t xml:space="preserve">Clinically relevant interference has not been observed with concomitant administration of </w:t>
      </w:r>
      <w:proofErr w:type="spellStart"/>
      <w:r w:rsidRPr="00910346">
        <w:rPr>
          <w:iCs/>
          <w:snapToGrid/>
        </w:rPr>
        <w:t>Vaxelis</w:t>
      </w:r>
      <w:proofErr w:type="spellEnd"/>
      <w:r w:rsidRPr="00910346">
        <w:rPr>
          <w:iCs/>
          <w:snapToGrid/>
        </w:rPr>
        <w:t xml:space="preserve"> and any of the following vaccines: rotavirus vaccines (RV1 and RV5), pneumococcal conjugate vaccines (7- and 13-valent), MMRV (measles, mumps, rubella, and varicella) vaccine and two different meningococcal C vaccines (</w:t>
      </w:r>
      <w:proofErr w:type="spellStart"/>
      <w:r w:rsidRPr="00910346">
        <w:rPr>
          <w:iCs/>
          <w:snapToGrid/>
        </w:rPr>
        <w:t>MenC</w:t>
      </w:r>
      <w:proofErr w:type="spellEnd"/>
      <w:r w:rsidRPr="00910346">
        <w:rPr>
          <w:iCs/>
          <w:snapToGrid/>
        </w:rPr>
        <w:t xml:space="preserve">-TT and </w:t>
      </w:r>
      <w:proofErr w:type="spellStart"/>
      <w:r w:rsidRPr="00910346">
        <w:rPr>
          <w:iCs/>
          <w:snapToGrid/>
        </w:rPr>
        <w:t>MenC</w:t>
      </w:r>
      <w:proofErr w:type="spellEnd"/>
      <w:r w:rsidRPr="00910346">
        <w:rPr>
          <w:iCs/>
          <w:snapToGrid/>
        </w:rPr>
        <w:t>- CRM).</w:t>
      </w:r>
    </w:p>
    <w:p w14:paraId="2B1E0FFF" w14:textId="7368A7C8" w:rsidR="00301B38" w:rsidRPr="00257DEC" w:rsidRDefault="00772731" w:rsidP="002C0ECF">
      <w:pPr>
        <w:pStyle w:val="3-BodyText"/>
        <w:numPr>
          <w:ilvl w:val="0"/>
          <w:numId w:val="7"/>
        </w:numPr>
        <w:rPr>
          <w:rFonts w:eastAsia="Calibri"/>
        </w:rPr>
      </w:pPr>
      <w:r w:rsidRPr="00910346">
        <w:rPr>
          <w:iCs/>
          <w:snapToGrid/>
        </w:rPr>
        <w:t xml:space="preserve">There is no evidence to support the concomitant use of </w:t>
      </w:r>
      <w:proofErr w:type="spellStart"/>
      <w:r w:rsidR="00301B38" w:rsidRPr="00910346">
        <w:rPr>
          <w:iCs/>
          <w:snapToGrid/>
        </w:rPr>
        <w:t>Vaxelis</w:t>
      </w:r>
      <w:proofErr w:type="spellEnd"/>
      <w:r w:rsidR="00301B38" w:rsidRPr="00910346">
        <w:rPr>
          <w:iCs/>
          <w:snapToGrid/>
        </w:rPr>
        <w:t xml:space="preserve"> with </w:t>
      </w:r>
      <w:proofErr w:type="spellStart"/>
      <w:r w:rsidR="00301B38" w:rsidRPr="00910346">
        <w:rPr>
          <w:iCs/>
          <w:snapToGrid/>
        </w:rPr>
        <w:t>i</w:t>
      </w:r>
      <w:proofErr w:type="spellEnd"/>
      <w:r w:rsidR="00301B38" w:rsidRPr="00910346">
        <w:rPr>
          <w:iCs/>
          <w:snapToGrid/>
        </w:rPr>
        <w:t xml:space="preserve">) </w:t>
      </w:r>
      <w:r w:rsidRPr="00910346">
        <w:rPr>
          <w:iCs/>
          <w:snapToGrid/>
        </w:rPr>
        <w:t>influenza vaccines</w:t>
      </w:r>
      <w:r w:rsidR="00301B38" w:rsidRPr="00910346">
        <w:rPr>
          <w:iCs/>
          <w:snapToGrid/>
        </w:rPr>
        <w:t xml:space="preserve">, and ii) </w:t>
      </w:r>
      <w:proofErr w:type="spellStart"/>
      <w:r w:rsidR="00301B38" w:rsidRPr="00910346">
        <w:rPr>
          <w:iCs/>
          <w:snapToGrid/>
        </w:rPr>
        <w:t>MenACWY</w:t>
      </w:r>
      <w:proofErr w:type="spellEnd"/>
      <w:r w:rsidR="00301B38" w:rsidRPr="00910346">
        <w:rPr>
          <w:iCs/>
          <w:snapToGrid/>
        </w:rPr>
        <w:t xml:space="preserve"> and 4CMenB.</w:t>
      </w:r>
      <w:r w:rsidR="002C0ECF" w:rsidRPr="002C0ECF">
        <w:t xml:space="preserve"> </w:t>
      </w:r>
      <w:r w:rsidR="002C0ECF" w:rsidRPr="002C0ECF">
        <w:rPr>
          <w:iCs/>
          <w:snapToGrid/>
        </w:rPr>
        <w:t xml:space="preserve">Concomitant use of </w:t>
      </w:r>
      <w:proofErr w:type="spellStart"/>
      <w:r w:rsidR="002C0ECF" w:rsidRPr="002C0ECF">
        <w:rPr>
          <w:iCs/>
          <w:snapToGrid/>
        </w:rPr>
        <w:t>Vaxelis</w:t>
      </w:r>
      <w:proofErr w:type="spellEnd"/>
      <w:r w:rsidR="002C0ECF" w:rsidRPr="002C0ECF">
        <w:rPr>
          <w:iCs/>
          <w:snapToGrid/>
        </w:rPr>
        <w:t xml:space="preserve"> in infants with 4CMenB is currently being</w:t>
      </w:r>
      <w:r w:rsidR="002C0ECF">
        <w:rPr>
          <w:iCs/>
          <w:snapToGrid/>
        </w:rPr>
        <w:t xml:space="preserve"> investigated.</w:t>
      </w:r>
      <w:r w:rsidR="002B16A5">
        <w:rPr>
          <w:iCs/>
          <w:snapToGrid/>
        </w:rPr>
        <w:t xml:space="preserve"> </w:t>
      </w:r>
    </w:p>
    <w:p w14:paraId="76ED13CA" w14:textId="179E7F01" w:rsidR="002C0ECF" w:rsidRDefault="002C0ECF" w:rsidP="00ED7458">
      <w:pPr>
        <w:pStyle w:val="3-BodyText"/>
      </w:pPr>
      <w:r>
        <w:t>The Pre-Sub Committee Response (p</w:t>
      </w:r>
      <w:r w:rsidR="001817CC">
        <w:t xml:space="preserve">1) noted that the investigation into concomitant use with 4cMenB has been completed and data are expected to be published in May 2022. </w:t>
      </w:r>
    </w:p>
    <w:p w14:paraId="6FF328DE" w14:textId="69442930" w:rsidR="00ED7458" w:rsidRPr="00910346" w:rsidRDefault="00ED7458" w:rsidP="00ED7458">
      <w:pPr>
        <w:pStyle w:val="3-BodyText"/>
      </w:pPr>
      <w:r w:rsidRPr="00910346">
        <w:t>Overall, the therapeutic conclusion was consistent with the ATAGI pre-submission advice with additional issues worth noting:</w:t>
      </w:r>
    </w:p>
    <w:p w14:paraId="4EB19A55" w14:textId="77E6E52F" w:rsidR="00ED7458" w:rsidRPr="00910346" w:rsidRDefault="00ED7458" w:rsidP="00ED7458">
      <w:pPr>
        <w:pStyle w:val="3-BodyText"/>
        <w:numPr>
          <w:ilvl w:val="0"/>
          <w:numId w:val="0"/>
        </w:numPr>
        <w:ind w:left="720"/>
      </w:pPr>
      <w:r w:rsidRPr="00910346">
        <w:t xml:space="preserve">Across the key studies (Study 007: 3+1 schedule; Study 008: 2+1 schedule), </w:t>
      </w:r>
      <w:proofErr w:type="spellStart"/>
      <w:r w:rsidRPr="00910346">
        <w:t>Vaxelis</w:t>
      </w:r>
      <w:proofErr w:type="spellEnd"/>
      <w:r w:rsidRPr="00910346">
        <w:t xml:space="preserve"> demonstrated:</w:t>
      </w:r>
    </w:p>
    <w:p w14:paraId="0E7A9190" w14:textId="2E840086" w:rsidR="00ED7458" w:rsidRPr="00910346" w:rsidRDefault="00ED7458" w:rsidP="009A0C3B">
      <w:pPr>
        <w:pStyle w:val="3-BodyText"/>
        <w:numPr>
          <w:ilvl w:val="0"/>
          <w:numId w:val="7"/>
        </w:numPr>
        <w:ind w:left="1148" w:hanging="439"/>
      </w:pPr>
      <w:r w:rsidRPr="00910346">
        <w:rPr>
          <w:iCs/>
          <w:snapToGrid/>
        </w:rPr>
        <w:t xml:space="preserve">For the </w:t>
      </w:r>
      <w:proofErr w:type="gramStart"/>
      <w:r w:rsidRPr="00910346">
        <w:rPr>
          <w:iCs/>
          <w:snapToGrid/>
        </w:rPr>
        <w:t>one month</w:t>
      </w:r>
      <w:proofErr w:type="gramEnd"/>
      <w:r w:rsidRPr="00910346">
        <w:rPr>
          <w:iCs/>
          <w:snapToGrid/>
        </w:rPr>
        <w:t xml:space="preserve"> post-primary series (5 </w:t>
      </w:r>
      <w:r w:rsidR="00F16DF6" w:rsidRPr="00910346">
        <w:rPr>
          <w:iCs/>
          <w:snapToGrid/>
        </w:rPr>
        <w:t>m</w:t>
      </w:r>
      <w:r w:rsidRPr="00910346">
        <w:rPr>
          <w:iCs/>
          <w:snapToGrid/>
        </w:rPr>
        <w:t>onths of age)</w:t>
      </w:r>
    </w:p>
    <w:p w14:paraId="0F2EFD42" w14:textId="77777777" w:rsidR="00ED7458" w:rsidRPr="00910346" w:rsidRDefault="00ED7458" w:rsidP="009A0C3B">
      <w:pPr>
        <w:pStyle w:val="ListParagraph"/>
        <w:numPr>
          <w:ilvl w:val="1"/>
          <w:numId w:val="10"/>
        </w:numPr>
        <w:spacing w:after="0"/>
      </w:pPr>
      <w:r w:rsidRPr="00910346">
        <w:t xml:space="preserve">Acceptable </w:t>
      </w:r>
      <w:proofErr w:type="spellStart"/>
      <w:r w:rsidRPr="00910346">
        <w:t>seroresponses</w:t>
      </w:r>
      <w:proofErr w:type="spellEnd"/>
      <w:r w:rsidRPr="00910346">
        <w:t xml:space="preserve"> to D, T, IPV, Hib antigens (Study 007</w:t>
      </w:r>
      <w:proofErr w:type="gramStart"/>
      <w:r w:rsidRPr="00910346">
        <w:t>);</w:t>
      </w:r>
      <w:proofErr w:type="gramEnd"/>
    </w:p>
    <w:p w14:paraId="18B68C72" w14:textId="68F6FC2C" w:rsidR="00ED7458" w:rsidRPr="00910346" w:rsidRDefault="00ED7458" w:rsidP="009A0C3B">
      <w:pPr>
        <w:pStyle w:val="ListParagraph"/>
        <w:numPr>
          <w:ilvl w:val="1"/>
          <w:numId w:val="10"/>
        </w:numPr>
        <w:spacing w:after="0"/>
      </w:pPr>
      <w:r w:rsidRPr="00910346">
        <w:t xml:space="preserve">Non-inferiority of D, T, IPV, Hib antigen response compared to Infanrix </w:t>
      </w:r>
      <w:proofErr w:type="spellStart"/>
      <w:r w:rsidR="00AE2917">
        <w:t>Hexa</w:t>
      </w:r>
      <w:proofErr w:type="spellEnd"/>
      <w:r w:rsidRPr="00910346">
        <w:t xml:space="preserve"> (Study 007); and</w:t>
      </w:r>
    </w:p>
    <w:p w14:paraId="2E369F1F" w14:textId="6635254F" w:rsidR="00ED7458" w:rsidRPr="00910346" w:rsidRDefault="00ED7458" w:rsidP="009A0C3B">
      <w:pPr>
        <w:pStyle w:val="ListParagraph"/>
        <w:numPr>
          <w:ilvl w:val="1"/>
          <w:numId w:val="10"/>
        </w:numPr>
        <w:spacing w:after="0"/>
      </w:pPr>
      <w:r w:rsidRPr="00910346">
        <w:t xml:space="preserve">Potential superiority of Hib PRP antigen response compared to Infanrix </w:t>
      </w:r>
      <w:proofErr w:type="spellStart"/>
      <w:r w:rsidR="00AE2917">
        <w:t>Hexa</w:t>
      </w:r>
      <w:proofErr w:type="spellEnd"/>
      <w:r w:rsidRPr="00910346">
        <w:t xml:space="preserve"> (Study 007, 008).</w:t>
      </w:r>
    </w:p>
    <w:p w14:paraId="00833A76" w14:textId="2724BEAB" w:rsidR="00ED7458" w:rsidRPr="00257DEC" w:rsidRDefault="00ED7458" w:rsidP="009A0C3B">
      <w:pPr>
        <w:pStyle w:val="ListParagraph"/>
        <w:numPr>
          <w:ilvl w:val="1"/>
          <w:numId w:val="10"/>
        </w:numPr>
        <w:ind w:left="1434" w:hanging="357"/>
      </w:pPr>
      <w:r w:rsidRPr="00910346">
        <w:t xml:space="preserve">Lower FHA and PRN </w:t>
      </w:r>
      <w:proofErr w:type="spellStart"/>
      <w:r w:rsidRPr="00910346">
        <w:t>seroresponses</w:t>
      </w:r>
      <w:proofErr w:type="spellEnd"/>
      <w:r w:rsidRPr="00910346">
        <w:t xml:space="preserve"> compared to Infanrix </w:t>
      </w:r>
      <w:proofErr w:type="spellStart"/>
      <w:r w:rsidR="00AE2917">
        <w:t>Hexa</w:t>
      </w:r>
      <w:proofErr w:type="spellEnd"/>
      <w:r w:rsidRPr="00910346">
        <w:t xml:space="preserve"> (95% CI not overlapping) post-primary series (tertiary analysis from Study 007). </w:t>
      </w:r>
      <w:r w:rsidR="00A3702A" w:rsidRPr="00257DEC">
        <w:t>While</w:t>
      </w:r>
      <w:r w:rsidR="00A3702A">
        <w:t xml:space="preserve"> t</w:t>
      </w:r>
      <w:r w:rsidRPr="00910346">
        <w:t>he clinical relevance of the pertussis data remain</w:t>
      </w:r>
      <w:r w:rsidR="00445AC2">
        <w:t>s</w:t>
      </w:r>
      <w:r w:rsidRPr="00910346">
        <w:t xml:space="preserve"> uncertain in the absence of a</w:t>
      </w:r>
      <w:r w:rsidR="00276B6C" w:rsidRPr="00910346">
        <w:t xml:space="preserve">n </w:t>
      </w:r>
      <w:r w:rsidR="00276B6C" w:rsidRPr="00910346">
        <w:lastRenderedPageBreak/>
        <w:t>established</w:t>
      </w:r>
      <w:r w:rsidRPr="00910346">
        <w:t xml:space="preserve"> correlate of </w:t>
      </w:r>
      <w:r w:rsidRPr="00257DEC">
        <w:t>protection,</w:t>
      </w:r>
      <w:r w:rsidR="00A3702A" w:rsidRPr="00257DEC">
        <w:t xml:space="preserve"> the ESC noted that</w:t>
      </w:r>
      <w:r w:rsidRPr="00257DEC">
        <w:t xml:space="preserve"> a booster dose in the second year of life</w:t>
      </w:r>
      <w:r w:rsidR="00A3702A" w:rsidRPr="00257DEC">
        <w:t xml:space="preserve"> (available at 18 months of age in Australia) complements the primary vaccination scheme</w:t>
      </w:r>
      <w:r w:rsidRPr="00257DEC">
        <w:t>.</w:t>
      </w:r>
    </w:p>
    <w:p w14:paraId="45667E4F" w14:textId="1A007975" w:rsidR="00ED7458" w:rsidRPr="00910346" w:rsidRDefault="00ED7458" w:rsidP="009A0C3B">
      <w:pPr>
        <w:pStyle w:val="3-BodyText"/>
        <w:numPr>
          <w:ilvl w:val="0"/>
          <w:numId w:val="7"/>
        </w:numPr>
        <w:ind w:left="1148" w:hanging="439"/>
      </w:pPr>
      <w:r w:rsidRPr="00910346">
        <w:rPr>
          <w:iCs/>
          <w:snapToGrid/>
        </w:rPr>
        <w:t xml:space="preserve">For the </w:t>
      </w:r>
      <w:proofErr w:type="gramStart"/>
      <w:r w:rsidRPr="00910346">
        <w:rPr>
          <w:iCs/>
          <w:snapToGrid/>
        </w:rPr>
        <w:t>one month</w:t>
      </w:r>
      <w:proofErr w:type="gramEnd"/>
      <w:r w:rsidRPr="00910346">
        <w:rPr>
          <w:iCs/>
          <w:snapToGrid/>
        </w:rPr>
        <w:t xml:space="preserve"> post-</w:t>
      </w:r>
      <w:r w:rsidR="00E00637">
        <w:rPr>
          <w:iCs/>
          <w:snapToGrid/>
        </w:rPr>
        <w:t>t</w:t>
      </w:r>
      <w:r w:rsidR="00E23B33">
        <w:rPr>
          <w:iCs/>
          <w:snapToGrid/>
        </w:rPr>
        <w:t>oddler</w:t>
      </w:r>
      <w:r w:rsidRPr="00910346">
        <w:rPr>
          <w:iCs/>
          <w:snapToGrid/>
        </w:rPr>
        <w:t xml:space="preserve"> dose (</w:t>
      </w:r>
      <w:r w:rsidR="00F16DF6" w:rsidRPr="00910346">
        <w:rPr>
          <w:iCs/>
          <w:snapToGrid/>
        </w:rPr>
        <w:t xml:space="preserve">about </w:t>
      </w:r>
      <w:r w:rsidRPr="00910346">
        <w:rPr>
          <w:iCs/>
          <w:snapToGrid/>
        </w:rPr>
        <w:t xml:space="preserve">12 </w:t>
      </w:r>
      <w:r w:rsidR="00F16DF6" w:rsidRPr="00910346">
        <w:rPr>
          <w:iCs/>
          <w:snapToGrid/>
        </w:rPr>
        <w:t>m</w:t>
      </w:r>
      <w:r w:rsidRPr="00910346">
        <w:rPr>
          <w:iCs/>
          <w:snapToGrid/>
        </w:rPr>
        <w:t>onths of age), noting that a booster dose</w:t>
      </w:r>
      <w:r w:rsidR="00F16DF6" w:rsidRPr="00910346">
        <w:rPr>
          <w:iCs/>
          <w:snapToGrid/>
        </w:rPr>
        <w:t xml:space="preserve"> limited to </w:t>
      </w:r>
      <w:proofErr w:type="spellStart"/>
      <w:r w:rsidR="00F16DF6" w:rsidRPr="00910346">
        <w:rPr>
          <w:iCs/>
          <w:snapToGrid/>
        </w:rPr>
        <w:t>DTPa</w:t>
      </w:r>
      <w:proofErr w:type="spellEnd"/>
      <w:r w:rsidR="00F16DF6" w:rsidRPr="00910346">
        <w:rPr>
          <w:iCs/>
          <w:snapToGrid/>
        </w:rPr>
        <w:t>/Hib</w:t>
      </w:r>
      <w:r w:rsidRPr="00910346">
        <w:rPr>
          <w:iCs/>
          <w:snapToGrid/>
        </w:rPr>
        <w:t xml:space="preserve"> is available at 18 months</w:t>
      </w:r>
      <w:r w:rsidR="0068084F" w:rsidRPr="00910346">
        <w:rPr>
          <w:iCs/>
          <w:snapToGrid/>
        </w:rPr>
        <w:t xml:space="preserve"> only</w:t>
      </w:r>
      <w:r w:rsidRPr="00910346">
        <w:rPr>
          <w:iCs/>
          <w:snapToGrid/>
        </w:rPr>
        <w:t xml:space="preserve"> in Australia,</w:t>
      </w:r>
    </w:p>
    <w:p w14:paraId="08087472" w14:textId="77777777" w:rsidR="00ED7458" w:rsidRPr="00910346" w:rsidRDefault="00ED7458" w:rsidP="009A0C3B">
      <w:pPr>
        <w:pStyle w:val="ListParagraph"/>
        <w:numPr>
          <w:ilvl w:val="1"/>
          <w:numId w:val="10"/>
        </w:numPr>
        <w:spacing w:after="0"/>
      </w:pPr>
      <w:r w:rsidRPr="00910346">
        <w:t xml:space="preserve">Acceptable </w:t>
      </w:r>
      <w:proofErr w:type="spellStart"/>
      <w:r w:rsidRPr="00910346">
        <w:t>seroresponses</w:t>
      </w:r>
      <w:proofErr w:type="spellEnd"/>
      <w:r w:rsidRPr="00910346">
        <w:t xml:space="preserve"> to all </w:t>
      </w:r>
      <w:proofErr w:type="spellStart"/>
      <w:r w:rsidRPr="00910346">
        <w:t>Vaxelis</w:t>
      </w:r>
      <w:proofErr w:type="spellEnd"/>
      <w:r w:rsidRPr="00910346">
        <w:t xml:space="preserve"> antigens (Study 007, 008</w:t>
      </w:r>
      <w:proofErr w:type="gramStart"/>
      <w:r w:rsidRPr="00910346">
        <w:t>);</w:t>
      </w:r>
      <w:proofErr w:type="gramEnd"/>
    </w:p>
    <w:p w14:paraId="4767ECE4" w14:textId="2F406F39" w:rsidR="00ED7458" w:rsidRPr="00910346" w:rsidRDefault="00ED7458" w:rsidP="009A0C3B">
      <w:pPr>
        <w:pStyle w:val="ListParagraph"/>
        <w:numPr>
          <w:ilvl w:val="1"/>
          <w:numId w:val="10"/>
        </w:numPr>
        <w:spacing w:after="0"/>
      </w:pPr>
      <w:r w:rsidRPr="00910346">
        <w:t xml:space="preserve">Non-inferiority for all pertussis antigens and Hepatitis B response (HBsAg) compared to Infanrix </w:t>
      </w:r>
      <w:proofErr w:type="spellStart"/>
      <w:r w:rsidR="00AE2917">
        <w:t>Hexa</w:t>
      </w:r>
      <w:proofErr w:type="spellEnd"/>
      <w:r w:rsidRPr="00910346">
        <w:t xml:space="preserve"> (Study 007, 008); and</w:t>
      </w:r>
    </w:p>
    <w:p w14:paraId="78F7B87F" w14:textId="55F7AE2E" w:rsidR="00ED7458" w:rsidRPr="00910346" w:rsidRDefault="00ED7458" w:rsidP="009A0C3B">
      <w:pPr>
        <w:pStyle w:val="ListParagraph"/>
        <w:numPr>
          <w:ilvl w:val="1"/>
          <w:numId w:val="10"/>
        </w:numPr>
        <w:ind w:left="1434" w:hanging="357"/>
      </w:pPr>
      <w:r w:rsidRPr="00910346">
        <w:t xml:space="preserve">Non-inferiority of all </w:t>
      </w:r>
      <w:proofErr w:type="spellStart"/>
      <w:r w:rsidRPr="00910346">
        <w:t>Vaxelis</w:t>
      </w:r>
      <w:proofErr w:type="spellEnd"/>
      <w:r w:rsidRPr="00910346">
        <w:t xml:space="preserve"> responses compared to Infanrix </w:t>
      </w:r>
      <w:proofErr w:type="spellStart"/>
      <w:r w:rsidR="00AE2917">
        <w:t>Hexa</w:t>
      </w:r>
      <w:proofErr w:type="spellEnd"/>
      <w:r w:rsidRPr="00910346">
        <w:t xml:space="preserve"> (Study 008).</w:t>
      </w:r>
    </w:p>
    <w:p w14:paraId="526DDFE3" w14:textId="19E1F7B3" w:rsidR="00ED7458" w:rsidRPr="00910346" w:rsidRDefault="00ED7458" w:rsidP="009A0C3B">
      <w:pPr>
        <w:pStyle w:val="3-BodyText"/>
        <w:numPr>
          <w:ilvl w:val="0"/>
          <w:numId w:val="7"/>
        </w:numPr>
        <w:ind w:left="1148" w:hanging="439"/>
        <w:rPr>
          <w:iCs/>
          <w:snapToGrid/>
        </w:rPr>
      </w:pPr>
      <w:r w:rsidRPr="00910346">
        <w:rPr>
          <w:iCs/>
          <w:snapToGrid/>
        </w:rPr>
        <w:t xml:space="preserve">Superior </w:t>
      </w:r>
      <w:proofErr w:type="spellStart"/>
      <w:r w:rsidRPr="00910346">
        <w:rPr>
          <w:iCs/>
          <w:snapToGrid/>
        </w:rPr>
        <w:t>seroresponse</w:t>
      </w:r>
      <w:proofErr w:type="spellEnd"/>
      <w:r w:rsidRPr="00910346">
        <w:rPr>
          <w:iCs/>
          <w:snapToGrid/>
        </w:rPr>
        <w:t xml:space="preserve"> to the Hib PRP-OMPC antigen (</w:t>
      </w:r>
      <w:proofErr w:type="spellStart"/>
      <w:r w:rsidRPr="00910346">
        <w:rPr>
          <w:iCs/>
          <w:snapToGrid/>
        </w:rPr>
        <w:t>Vaxelis</w:t>
      </w:r>
      <w:proofErr w:type="spellEnd"/>
      <w:r w:rsidRPr="00910346">
        <w:rPr>
          <w:iCs/>
          <w:snapToGrid/>
        </w:rPr>
        <w:t xml:space="preserve">) compared with PRP-TT (Infanrix </w:t>
      </w:r>
      <w:proofErr w:type="spellStart"/>
      <w:r w:rsidR="00AE2917">
        <w:rPr>
          <w:iCs/>
          <w:snapToGrid/>
        </w:rPr>
        <w:t>Hexa</w:t>
      </w:r>
      <w:proofErr w:type="spellEnd"/>
      <w:r w:rsidRPr="00910346">
        <w:rPr>
          <w:iCs/>
          <w:snapToGrid/>
        </w:rPr>
        <w:t xml:space="preserve">) after the primary series, but similar or lower </w:t>
      </w:r>
      <w:proofErr w:type="spellStart"/>
      <w:r w:rsidRPr="00910346">
        <w:rPr>
          <w:iCs/>
          <w:snapToGrid/>
        </w:rPr>
        <w:t>seroresponses</w:t>
      </w:r>
      <w:proofErr w:type="spellEnd"/>
      <w:r w:rsidRPr="00910346">
        <w:rPr>
          <w:iCs/>
          <w:snapToGrid/>
        </w:rPr>
        <w:t xml:space="preserve"> after the booster dose. However, earlier antibody response with OMPC-based vaccines may benefit </w:t>
      </w:r>
      <w:r w:rsidR="00ED1C82" w:rsidRPr="00910346">
        <w:rPr>
          <w:iCs/>
          <w:snapToGrid/>
        </w:rPr>
        <w:t xml:space="preserve">indigenous </w:t>
      </w:r>
      <w:r w:rsidRPr="00910346">
        <w:rPr>
          <w:iCs/>
          <w:snapToGrid/>
        </w:rPr>
        <w:t>infants in Australia where the disease burden is higher at an early age.</w:t>
      </w:r>
    </w:p>
    <w:p w14:paraId="1A5DE8D8" w14:textId="28D79B83" w:rsidR="00772731" w:rsidRPr="00910346" w:rsidRDefault="00ED7458" w:rsidP="009A0C3B">
      <w:pPr>
        <w:pStyle w:val="3-BodyText"/>
        <w:numPr>
          <w:ilvl w:val="0"/>
          <w:numId w:val="7"/>
        </w:numPr>
        <w:ind w:left="1148" w:hanging="439"/>
        <w:rPr>
          <w:rFonts w:eastAsia="Calibri"/>
        </w:rPr>
      </w:pPr>
      <w:r w:rsidRPr="00910346">
        <w:rPr>
          <w:iCs/>
          <w:snapToGrid/>
        </w:rPr>
        <w:t xml:space="preserve">AEs generally appeared similar between the </w:t>
      </w:r>
      <w:proofErr w:type="spellStart"/>
      <w:r w:rsidRPr="00910346">
        <w:rPr>
          <w:iCs/>
          <w:snapToGrid/>
        </w:rPr>
        <w:t>Vaxelis</w:t>
      </w:r>
      <w:proofErr w:type="spellEnd"/>
      <w:r w:rsidRPr="00910346">
        <w:rPr>
          <w:iCs/>
          <w:snapToGrid/>
        </w:rPr>
        <w:t xml:space="preserve"> and Infanrix </w:t>
      </w:r>
      <w:proofErr w:type="spellStart"/>
      <w:r w:rsidR="00AE2917">
        <w:rPr>
          <w:iCs/>
          <w:snapToGrid/>
        </w:rPr>
        <w:t>Hexa</w:t>
      </w:r>
      <w:proofErr w:type="spellEnd"/>
      <w:r w:rsidRPr="00910346">
        <w:rPr>
          <w:iCs/>
          <w:snapToGrid/>
        </w:rPr>
        <w:t xml:space="preserve"> groups. However, there were no safety data on the use of </w:t>
      </w:r>
      <w:proofErr w:type="spellStart"/>
      <w:r w:rsidRPr="00910346">
        <w:rPr>
          <w:iCs/>
          <w:snapToGrid/>
        </w:rPr>
        <w:t>Vaxelis</w:t>
      </w:r>
      <w:proofErr w:type="spellEnd"/>
      <w:r w:rsidRPr="00910346">
        <w:rPr>
          <w:iCs/>
          <w:snapToGrid/>
        </w:rPr>
        <w:t xml:space="preserve"> in children &gt; 15 months. The ATAGI pre-submission advice </w:t>
      </w:r>
      <w:proofErr w:type="spellStart"/>
      <w:r w:rsidRPr="00910346">
        <w:rPr>
          <w:iCs/>
          <w:snapToGrid/>
        </w:rPr>
        <w:t>i</w:t>
      </w:r>
      <w:proofErr w:type="spellEnd"/>
      <w:r w:rsidRPr="00910346">
        <w:rPr>
          <w:iCs/>
          <w:snapToGrid/>
        </w:rPr>
        <w:t xml:space="preserve">) noted that this will be relevant if the vaccine is used in a catch-up schedule for children under ten years of age, and ii) recommended that if </w:t>
      </w:r>
      <w:proofErr w:type="spellStart"/>
      <w:r w:rsidRPr="00910346">
        <w:rPr>
          <w:iCs/>
          <w:snapToGrid/>
        </w:rPr>
        <w:t>Vaxelis</w:t>
      </w:r>
      <w:proofErr w:type="spellEnd"/>
      <w:r w:rsidRPr="00910346">
        <w:rPr>
          <w:iCs/>
          <w:snapToGrid/>
        </w:rPr>
        <w:t xml:space="preserve"> is included on the NIP, ongoing monitoring of vaccine safety and efficacy is required</w:t>
      </w:r>
      <w:r w:rsidR="00772731" w:rsidRPr="00910346">
        <w:rPr>
          <w:iCs/>
          <w:snapToGrid/>
        </w:rPr>
        <w:t>.</w:t>
      </w:r>
      <w:r w:rsidR="0074759C">
        <w:rPr>
          <w:iCs/>
          <w:snapToGrid/>
        </w:rPr>
        <w:t xml:space="preserve"> The pre-PBAC Response  </w:t>
      </w:r>
      <w:r w:rsidR="00200A8D">
        <w:rPr>
          <w:iCs/>
          <w:snapToGrid/>
        </w:rPr>
        <w:t xml:space="preserve">noted that to </w:t>
      </w:r>
      <w:r w:rsidR="00200A8D" w:rsidRPr="00200A8D">
        <w:rPr>
          <w:iCs/>
          <w:snapToGrid/>
        </w:rPr>
        <w:t xml:space="preserve">date, no specific safety signals have been reported in the EU in relation to use in children over 15 months. </w:t>
      </w:r>
    </w:p>
    <w:p w14:paraId="0424FAB4" w14:textId="6E8E022C" w:rsidR="00BD13E1" w:rsidRPr="00910346" w:rsidRDefault="00BD13E1" w:rsidP="00BD13E1">
      <w:pPr>
        <w:pStyle w:val="3-BodyText"/>
        <w:rPr>
          <w:rFonts w:eastAsia="Calibri"/>
        </w:rPr>
      </w:pPr>
      <w:r w:rsidRPr="00910346">
        <w:rPr>
          <w:rFonts w:eastAsia="Calibri"/>
        </w:rPr>
        <w:t xml:space="preserve">In the March 2015 PBAC consideration of </w:t>
      </w:r>
      <w:proofErr w:type="spellStart"/>
      <w:r w:rsidRPr="00910346">
        <w:rPr>
          <w:rFonts w:eastAsia="Calibri"/>
        </w:rPr>
        <w:t>Hexaxim</w:t>
      </w:r>
      <w:proofErr w:type="spellEnd"/>
      <w:r w:rsidRPr="00910346">
        <w:rPr>
          <w:rFonts w:eastAsia="Calibri"/>
        </w:rPr>
        <w:t>, the PBAC noted the following:</w:t>
      </w:r>
    </w:p>
    <w:p w14:paraId="6F2A2157" w14:textId="2245E2A5" w:rsidR="00BD13E1" w:rsidRPr="00910346" w:rsidRDefault="00BD13E1" w:rsidP="009A0C3B">
      <w:pPr>
        <w:pStyle w:val="3-BodyText"/>
        <w:numPr>
          <w:ilvl w:val="0"/>
          <w:numId w:val="7"/>
        </w:numPr>
        <w:ind w:left="1148" w:hanging="439"/>
        <w:rPr>
          <w:rFonts w:eastAsia="Calibri"/>
        </w:rPr>
      </w:pPr>
      <w:r w:rsidRPr="00910346">
        <w:rPr>
          <w:rFonts w:eastAsia="Calibri"/>
        </w:rPr>
        <w:t xml:space="preserve">Based on the clinical evidence available, the ATAGI advised that it could not conclude with certainty that a primary series using </w:t>
      </w:r>
      <w:proofErr w:type="spellStart"/>
      <w:r w:rsidRPr="00910346">
        <w:rPr>
          <w:rFonts w:eastAsia="Calibri"/>
        </w:rPr>
        <w:t>Hexaxim</w:t>
      </w:r>
      <w:proofErr w:type="spellEnd"/>
      <w:r w:rsidRPr="00910346">
        <w:rPr>
          <w:rFonts w:eastAsia="Calibri"/>
        </w:rPr>
        <w:t xml:space="preserve"> will be equally efficacious compared to a primary series of Infanrix </w:t>
      </w:r>
      <w:proofErr w:type="spellStart"/>
      <w:r w:rsidR="00AE2917">
        <w:rPr>
          <w:rFonts w:eastAsia="Calibri"/>
        </w:rPr>
        <w:t>Hexa</w:t>
      </w:r>
      <w:proofErr w:type="spellEnd"/>
      <w:r w:rsidRPr="00910346">
        <w:rPr>
          <w:rFonts w:eastAsia="Calibri"/>
        </w:rPr>
        <w:t xml:space="preserve"> in the Australian setting, particularly for protection against pertussis, and notes that it is difficult to be definitive in relation to this issue due to the limited evidence available. The </w:t>
      </w:r>
      <w:r w:rsidR="00454993" w:rsidRPr="00910346">
        <w:rPr>
          <w:rFonts w:eastAsia="Calibri"/>
        </w:rPr>
        <w:t>reasons</w:t>
      </w:r>
      <w:r w:rsidRPr="00910346">
        <w:rPr>
          <w:rFonts w:eastAsia="Calibri"/>
        </w:rPr>
        <w:t xml:space="preserve"> for this uncertainty </w:t>
      </w:r>
      <w:r w:rsidR="00454993" w:rsidRPr="00910346">
        <w:rPr>
          <w:rFonts w:eastAsia="Calibri"/>
        </w:rPr>
        <w:t xml:space="preserve">included </w:t>
      </w:r>
      <w:r w:rsidRPr="00910346">
        <w:rPr>
          <w:rFonts w:eastAsia="Calibri"/>
        </w:rPr>
        <w:t xml:space="preserve">the </w:t>
      </w:r>
      <w:r w:rsidR="00454993" w:rsidRPr="00910346">
        <w:rPr>
          <w:rFonts w:eastAsia="Calibri"/>
        </w:rPr>
        <w:t xml:space="preserve">lower number of pertussis antigens (two rather than three) in the vaccine and the lower </w:t>
      </w:r>
      <w:r w:rsidRPr="00910346">
        <w:rPr>
          <w:rFonts w:eastAsia="Calibri"/>
        </w:rPr>
        <w:t>diphtheria toxoid content</w:t>
      </w:r>
      <w:r w:rsidR="00454993" w:rsidRPr="00910346">
        <w:rPr>
          <w:rFonts w:eastAsia="Calibri"/>
        </w:rPr>
        <w:t>,</w:t>
      </w:r>
      <w:r w:rsidRPr="00910346">
        <w:rPr>
          <w:rFonts w:eastAsia="Calibri"/>
        </w:rPr>
        <w:t xml:space="preserve"> </w:t>
      </w:r>
      <w:r w:rsidR="00454993" w:rsidRPr="00910346">
        <w:rPr>
          <w:rFonts w:eastAsia="Calibri"/>
        </w:rPr>
        <w:t>compared to</w:t>
      </w:r>
      <w:r w:rsidRPr="00910346">
        <w:rPr>
          <w:rFonts w:eastAsia="Calibri"/>
        </w:rPr>
        <w:t xml:space="preserve"> the comparator</w:t>
      </w:r>
      <w:r w:rsidR="00454993" w:rsidRPr="00910346">
        <w:rPr>
          <w:rFonts w:eastAsia="Calibri"/>
        </w:rPr>
        <w:t xml:space="preserve"> Infanrix </w:t>
      </w:r>
      <w:proofErr w:type="spellStart"/>
      <w:r w:rsidR="00AE2917">
        <w:rPr>
          <w:rFonts w:eastAsia="Calibri"/>
        </w:rPr>
        <w:t>Hexa</w:t>
      </w:r>
      <w:proofErr w:type="spellEnd"/>
      <w:r w:rsidR="00454993" w:rsidRPr="00910346">
        <w:rPr>
          <w:rFonts w:eastAsia="Calibri"/>
        </w:rPr>
        <w:t>. ATAGI also noted that l</w:t>
      </w:r>
      <w:r w:rsidRPr="00910346">
        <w:rPr>
          <w:rFonts w:eastAsia="Calibri"/>
        </w:rPr>
        <w:t>imited evidence from persistence</w:t>
      </w:r>
      <w:r w:rsidR="00454993" w:rsidRPr="00910346">
        <w:rPr>
          <w:rFonts w:eastAsia="Calibri"/>
        </w:rPr>
        <w:t>,</w:t>
      </w:r>
      <w:r w:rsidRPr="00910346">
        <w:rPr>
          <w:rFonts w:eastAsia="Calibri"/>
        </w:rPr>
        <w:t xml:space="preserve"> booster, and post-marketing studies of similar products, suggest</w:t>
      </w:r>
      <w:r w:rsidR="00454993" w:rsidRPr="00910346">
        <w:rPr>
          <w:rFonts w:eastAsia="Calibri"/>
        </w:rPr>
        <w:t>ed</w:t>
      </w:r>
      <w:r w:rsidRPr="00910346">
        <w:rPr>
          <w:rFonts w:eastAsia="Calibri"/>
        </w:rPr>
        <w:t xml:space="preserve"> that over the longer term, any potential reduction in efficacy following a primary series of </w:t>
      </w:r>
      <w:proofErr w:type="spellStart"/>
      <w:r w:rsidRPr="00910346">
        <w:rPr>
          <w:rFonts w:eastAsia="Calibri"/>
        </w:rPr>
        <w:t>Hexaxim</w:t>
      </w:r>
      <w:proofErr w:type="spellEnd"/>
      <w:r w:rsidRPr="00910346">
        <w:rPr>
          <w:rFonts w:eastAsia="Calibri"/>
        </w:rPr>
        <w:t xml:space="preserve"> would be best mitigated by inclusion of a routine </w:t>
      </w:r>
      <w:proofErr w:type="gramStart"/>
      <w:r w:rsidRPr="00910346">
        <w:rPr>
          <w:rFonts w:eastAsia="Calibri"/>
        </w:rPr>
        <w:t>18 month</w:t>
      </w:r>
      <w:proofErr w:type="gramEnd"/>
      <w:r w:rsidRPr="00910346">
        <w:rPr>
          <w:rFonts w:eastAsia="Calibri"/>
        </w:rPr>
        <w:t xml:space="preserve"> booster dose of a DTP-containing vaccine</w:t>
      </w:r>
      <w:r w:rsidR="00454993" w:rsidRPr="00910346">
        <w:rPr>
          <w:rFonts w:eastAsia="Calibri"/>
        </w:rPr>
        <w:t xml:space="preserve"> (Paragraph 7.7, </w:t>
      </w:r>
      <w:r w:rsidR="007B1212">
        <w:rPr>
          <w:rFonts w:eastAsia="Calibri"/>
        </w:rPr>
        <w:t>Public Summary Document (</w:t>
      </w:r>
      <w:r w:rsidR="00454993" w:rsidRPr="00910346">
        <w:rPr>
          <w:rFonts w:eastAsia="Calibri"/>
        </w:rPr>
        <w:t>PSD</w:t>
      </w:r>
      <w:r w:rsidR="007B1212">
        <w:rPr>
          <w:rFonts w:eastAsia="Calibri"/>
        </w:rPr>
        <w:t>)</w:t>
      </w:r>
      <w:r w:rsidR="00454993" w:rsidRPr="00910346">
        <w:rPr>
          <w:rFonts w:eastAsia="Calibri"/>
        </w:rPr>
        <w:t xml:space="preserve"> for </w:t>
      </w:r>
      <w:proofErr w:type="spellStart"/>
      <w:r w:rsidR="00454993" w:rsidRPr="00910346">
        <w:rPr>
          <w:rFonts w:eastAsia="Calibri"/>
        </w:rPr>
        <w:t>Hexaxim</w:t>
      </w:r>
      <w:proofErr w:type="spellEnd"/>
      <w:r w:rsidR="00454993" w:rsidRPr="00910346">
        <w:rPr>
          <w:rFonts w:eastAsia="Calibri"/>
        </w:rPr>
        <w:t>, March 2015 PBAC Meeting)</w:t>
      </w:r>
      <w:r w:rsidRPr="00910346">
        <w:rPr>
          <w:rFonts w:eastAsia="Calibri"/>
        </w:rPr>
        <w:t xml:space="preserve">. </w:t>
      </w:r>
    </w:p>
    <w:p w14:paraId="58E887F0" w14:textId="2D4090BF" w:rsidR="00BD13E1" w:rsidRPr="00B24ED5" w:rsidRDefault="00BD13E1" w:rsidP="009A0C3B">
      <w:pPr>
        <w:pStyle w:val="3-BodyText"/>
        <w:numPr>
          <w:ilvl w:val="0"/>
          <w:numId w:val="7"/>
        </w:numPr>
        <w:ind w:left="1148" w:hanging="439"/>
        <w:rPr>
          <w:rFonts w:eastAsia="Calibri"/>
        </w:rPr>
      </w:pPr>
      <w:r w:rsidRPr="00910346">
        <w:rPr>
          <w:rFonts w:eastAsia="Calibri"/>
        </w:rPr>
        <w:t xml:space="preserve">The PBAC </w:t>
      </w:r>
      <w:r w:rsidR="00454993" w:rsidRPr="00910346">
        <w:rPr>
          <w:rFonts w:eastAsia="Calibri"/>
        </w:rPr>
        <w:t xml:space="preserve">also </w:t>
      </w:r>
      <w:r w:rsidRPr="00910346">
        <w:rPr>
          <w:rFonts w:eastAsia="Calibri"/>
        </w:rPr>
        <w:t>recalled that it recommend</w:t>
      </w:r>
      <w:r w:rsidR="00454993" w:rsidRPr="00910346">
        <w:rPr>
          <w:rFonts w:eastAsia="Calibri"/>
        </w:rPr>
        <w:t>ed</w:t>
      </w:r>
      <w:r w:rsidRPr="00910346">
        <w:rPr>
          <w:rFonts w:eastAsia="Calibri"/>
        </w:rPr>
        <w:t xml:space="preserve"> an 18-month DTP-containing vaccine booster at its November 2014 PBAC meeting and agreed with ATAGI that </w:t>
      </w:r>
      <w:proofErr w:type="spellStart"/>
      <w:r w:rsidRPr="00910346">
        <w:rPr>
          <w:rFonts w:eastAsia="Calibri"/>
        </w:rPr>
        <w:t>Hexaxim</w:t>
      </w:r>
      <w:proofErr w:type="spellEnd"/>
      <w:r w:rsidRPr="00910346">
        <w:rPr>
          <w:rFonts w:eastAsia="Calibri"/>
        </w:rPr>
        <w:t xml:space="preserve"> should only be made available on the NIP where a DTP-containing vaccine is </w:t>
      </w:r>
      <w:r w:rsidRPr="00B24ED5">
        <w:rPr>
          <w:rFonts w:eastAsia="Calibri"/>
        </w:rPr>
        <w:t>available at the 18-month schedule point.</w:t>
      </w:r>
    </w:p>
    <w:p w14:paraId="257446DF" w14:textId="4859F6C9" w:rsidR="0039129A" w:rsidRPr="00B24ED5" w:rsidRDefault="00B24ED5" w:rsidP="0039129A">
      <w:pPr>
        <w:widowControl w:val="0"/>
        <w:numPr>
          <w:ilvl w:val="1"/>
          <w:numId w:val="1"/>
        </w:numPr>
        <w:spacing w:after="120"/>
        <w:rPr>
          <w:rFonts w:asciiTheme="minorHAnsi" w:hAnsiTheme="minorHAnsi"/>
          <w:snapToGrid w:val="0"/>
          <w:szCs w:val="20"/>
        </w:rPr>
      </w:pPr>
      <w:r w:rsidRPr="00B24ED5">
        <w:rPr>
          <w:lang w:val="en-GB"/>
        </w:rPr>
        <w:lastRenderedPageBreak/>
        <w:t xml:space="preserve">The PBAC noted that </w:t>
      </w:r>
      <w:proofErr w:type="spellStart"/>
      <w:r w:rsidRPr="00B24ED5">
        <w:rPr>
          <w:lang w:val="en-GB"/>
        </w:rPr>
        <w:t>Vaxelis</w:t>
      </w:r>
      <w:proofErr w:type="spellEnd"/>
      <w:r w:rsidRPr="00B24ED5">
        <w:rPr>
          <w:lang w:val="en-GB"/>
        </w:rPr>
        <w:t xml:space="preserve"> met the pre-specified non-inferiority criteria for all pre-specified endpoints for the primary analyses in Study 007 and Study 008, at </w:t>
      </w:r>
      <w:proofErr w:type="gramStart"/>
      <w:r w:rsidRPr="00B24ED5">
        <w:rPr>
          <w:lang w:val="en-GB"/>
        </w:rPr>
        <w:t>1 month</w:t>
      </w:r>
      <w:proofErr w:type="gramEnd"/>
      <w:r w:rsidRPr="00B24ED5">
        <w:rPr>
          <w:lang w:val="en-GB"/>
        </w:rPr>
        <w:t xml:space="preserve"> post-dose 3 and 1 month post-toddler dose timepoints. Overall, the PBAC considered it was reasonable to conclude that </w:t>
      </w:r>
      <w:proofErr w:type="spellStart"/>
      <w:r w:rsidRPr="00B24ED5">
        <w:rPr>
          <w:lang w:val="en-GB"/>
        </w:rPr>
        <w:t>Vaxelis</w:t>
      </w:r>
      <w:proofErr w:type="spellEnd"/>
      <w:r w:rsidRPr="00B24ED5">
        <w:rPr>
          <w:lang w:val="en-GB"/>
        </w:rPr>
        <w:t xml:space="preserve"> was non-inferior to Infanrix </w:t>
      </w:r>
      <w:proofErr w:type="spellStart"/>
      <w:r w:rsidRPr="00B24ED5">
        <w:rPr>
          <w:lang w:val="en-GB"/>
        </w:rPr>
        <w:t>Hexa</w:t>
      </w:r>
      <w:proofErr w:type="spellEnd"/>
      <w:r w:rsidRPr="00B24ED5">
        <w:rPr>
          <w:lang w:val="en-GB"/>
        </w:rPr>
        <w:t xml:space="preserve"> in terms of effectiveness.</w:t>
      </w:r>
    </w:p>
    <w:p w14:paraId="20FDB1C7" w14:textId="1113C6D7" w:rsidR="0039129A" w:rsidRPr="00910346" w:rsidRDefault="00565CCB" w:rsidP="0039129A">
      <w:pPr>
        <w:pStyle w:val="3-BodyText"/>
        <w:rPr>
          <w:rFonts w:eastAsia="Calibri"/>
        </w:rPr>
      </w:pPr>
      <w:r>
        <w:t xml:space="preserve">The </w:t>
      </w:r>
      <w:r w:rsidRPr="00A317C5">
        <w:t xml:space="preserve">PBAC considered that the clinical data provided supported the claim of noninferior safety of </w:t>
      </w:r>
      <w:proofErr w:type="spellStart"/>
      <w:r>
        <w:t>Vaxelis</w:t>
      </w:r>
      <w:proofErr w:type="spellEnd"/>
      <w:r w:rsidRPr="00A317C5">
        <w:t xml:space="preserve"> compared to</w:t>
      </w:r>
      <w:r>
        <w:t xml:space="preserve"> Infanrix </w:t>
      </w:r>
      <w:proofErr w:type="spellStart"/>
      <w:r>
        <w:t>Hexa</w:t>
      </w:r>
      <w:proofErr w:type="spellEnd"/>
      <w:r>
        <w:t>.</w:t>
      </w:r>
    </w:p>
    <w:p w14:paraId="068007E6" w14:textId="77777777" w:rsidR="007B5BF7" w:rsidRPr="00C9624D" w:rsidRDefault="007B5BF7" w:rsidP="007B5BF7">
      <w:pPr>
        <w:pStyle w:val="4-SubsectionHeading"/>
      </w:pPr>
      <w:bookmarkStart w:id="34" w:name="_Toc22897645"/>
      <w:bookmarkStart w:id="35" w:name="_Toc93503681"/>
      <w:r w:rsidRPr="00C9624D">
        <w:t>Economic analysis</w:t>
      </w:r>
      <w:bookmarkEnd w:id="34"/>
      <w:bookmarkEnd w:id="35"/>
      <w:r w:rsidRPr="00C9624D">
        <w:t xml:space="preserve"> </w:t>
      </w:r>
    </w:p>
    <w:p w14:paraId="78BBAF49" w14:textId="70E02A9B" w:rsidR="007B5BF7" w:rsidRPr="009337BF" w:rsidRDefault="007B5BF7" w:rsidP="007B5BF7">
      <w:pPr>
        <w:pStyle w:val="3-BodyText"/>
        <w:rPr>
          <w:bCs/>
          <w:lang w:val="en-US"/>
        </w:rPr>
      </w:pPr>
      <w:r w:rsidRPr="009337BF">
        <w:rPr>
          <w:bCs/>
        </w:rPr>
        <w:t xml:space="preserve">The submission </w:t>
      </w:r>
      <w:r w:rsidR="00975DB6">
        <w:rPr>
          <w:bCs/>
        </w:rPr>
        <w:t>used</w:t>
      </w:r>
      <w:r w:rsidR="00975DB6" w:rsidRPr="009337BF">
        <w:rPr>
          <w:bCs/>
        </w:rPr>
        <w:t xml:space="preserve"> </w:t>
      </w:r>
      <w:r w:rsidRPr="009337BF">
        <w:rPr>
          <w:bCs/>
        </w:rPr>
        <w:t>a cost-minimisation</w:t>
      </w:r>
      <w:r w:rsidR="00975DB6">
        <w:rPr>
          <w:bCs/>
        </w:rPr>
        <w:t xml:space="preserve"> approach (CMA)</w:t>
      </w:r>
      <w:r w:rsidRPr="009337BF">
        <w:rPr>
          <w:bCs/>
        </w:rPr>
        <w:t xml:space="preserve"> comparing </w:t>
      </w:r>
      <w:proofErr w:type="spellStart"/>
      <w:r>
        <w:rPr>
          <w:bCs/>
        </w:rPr>
        <w:t>Vaxelis</w:t>
      </w:r>
      <w:proofErr w:type="spellEnd"/>
      <w:r w:rsidRPr="009337BF">
        <w:rPr>
          <w:bCs/>
        </w:rPr>
        <w:t xml:space="preserve"> with Infanrix </w:t>
      </w:r>
      <w:proofErr w:type="spellStart"/>
      <w:r w:rsidRPr="009337BF">
        <w:rPr>
          <w:bCs/>
        </w:rPr>
        <w:t>Hexa</w:t>
      </w:r>
      <w:proofErr w:type="spellEnd"/>
      <w:r w:rsidRPr="009337BF">
        <w:rPr>
          <w:bCs/>
        </w:rPr>
        <w:t xml:space="preserve"> when used as a three-dose primary vaccination series in infants. The </w:t>
      </w:r>
      <w:proofErr w:type="spellStart"/>
      <w:r w:rsidRPr="009337BF">
        <w:rPr>
          <w:bCs/>
        </w:rPr>
        <w:t>equi</w:t>
      </w:r>
      <w:proofErr w:type="spellEnd"/>
      <w:r w:rsidRPr="009337BF">
        <w:rPr>
          <w:bCs/>
        </w:rPr>
        <w:t xml:space="preserve">-effective doses were based on the recommended dosing regimens outlined in the relevant </w:t>
      </w:r>
      <w:r w:rsidR="0068084F">
        <w:rPr>
          <w:bCs/>
        </w:rPr>
        <w:t>P</w:t>
      </w:r>
      <w:r w:rsidRPr="009337BF">
        <w:rPr>
          <w:bCs/>
        </w:rPr>
        <w:t xml:space="preserve">roduct </w:t>
      </w:r>
      <w:r w:rsidR="0068084F">
        <w:rPr>
          <w:bCs/>
        </w:rPr>
        <w:t>I</w:t>
      </w:r>
      <w:r w:rsidRPr="009337BF">
        <w:rPr>
          <w:bCs/>
        </w:rPr>
        <w:t>nformation documents</w:t>
      </w:r>
      <w:r w:rsidR="0068084F">
        <w:rPr>
          <w:bCs/>
        </w:rPr>
        <w:t>,</w:t>
      </w:r>
      <w:r w:rsidRPr="009337BF">
        <w:rPr>
          <w:bCs/>
        </w:rPr>
        <w:t xml:space="preserve"> which are the same as the doses used in the included clinical trials:</w:t>
      </w:r>
    </w:p>
    <w:p w14:paraId="53406E37" w14:textId="4AE432F6" w:rsidR="007B5BF7" w:rsidRPr="009337BF" w:rsidRDefault="007B5BF7" w:rsidP="007B5BF7">
      <w:pPr>
        <w:pStyle w:val="3-BodyText"/>
        <w:numPr>
          <w:ilvl w:val="0"/>
          <w:numId w:val="0"/>
        </w:numPr>
        <w:ind w:left="720"/>
        <w:rPr>
          <w:bCs/>
        </w:rPr>
      </w:pPr>
      <w:r w:rsidRPr="009337BF">
        <w:rPr>
          <w:bCs/>
        </w:rPr>
        <w:t>3 x 0.5</w:t>
      </w:r>
      <w:r w:rsidR="0068084F">
        <w:rPr>
          <w:bCs/>
        </w:rPr>
        <w:t xml:space="preserve"> </w:t>
      </w:r>
      <w:r w:rsidRPr="009337BF">
        <w:rPr>
          <w:bCs/>
        </w:rPr>
        <w:t xml:space="preserve">mL doses of </w:t>
      </w:r>
      <w:proofErr w:type="spellStart"/>
      <w:r>
        <w:rPr>
          <w:bCs/>
        </w:rPr>
        <w:t>Vaxelis</w:t>
      </w:r>
      <w:proofErr w:type="spellEnd"/>
      <w:r w:rsidRPr="009337BF">
        <w:rPr>
          <w:bCs/>
        </w:rPr>
        <w:t xml:space="preserve"> = 3 x 0.5</w:t>
      </w:r>
      <w:r w:rsidR="0068084F">
        <w:rPr>
          <w:bCs/>
        </w:rPr>
        <w:t xml:space="preserve"> </w:t>
      </w:r>
      <w:r w:rsidRPr="009337BF">
        <w:rPr>
          <w:bCs/>
        </w:rPr>
        <w:t xml:space="preserve">mL doses of Infanrix </w:t>
      </w:r>
      <w:proofErr w:type="spellStart"/>
      <w:r w:rsidRPr="009337BF">
        <w:rPr>
          <w:bCs/>
        </w:rPr>
        <w:t>Hexa</w:t>
      </w:r>
      <w:proofErr w:type="spellEnd"/>
      <w:r w:rsidR="0068084F">
        <w:rPr>
          <w:bCs/>
        </w:rPr>
        <w:t>.</w:t>
      </w:r>
    </w:p>
    <w:p w14:paraId="69D126FE" w14:textId="77777777" w:rsidR="007B5BF7" w:rsidRPr="00910346" w:rsidRDefault="007B5BF7" w:rsidP="007B5BF7">
      <w:pPr>
        <w:pStyle w:val="3-BodyText"/>
        <w:numPr>
          <w:ilvl w:val="0"/>
          <w:numId w:val="0"/>
        </w:numPr>
        <w:ind w:left="720"/>
        <w:rPr>
          <w:bCs/>
          <w:lang w:val="en-US"/>
        </w:rPr>
      </w:pPr>
      <w:r w:rsidRPr="00910346">
        <w:rPr>
          <w:bCs/>
          <w:lang w:val="en-US"/>
        </w:rPr>
        <w:t xml:space="preserve">The proposed </w:t>
      </w:r>
      <w:proofErr w:type="spellStart"/>
      <w:r w:rsidRPr="00910346">
        <w:rPr>
          <w:bCs/>
          <w:lang w:val="en-US"/>
        </w:rPr>
        <w:t>equi</w:t>
      </w:r>
      <w:proofErr w:type="spellEnd"/>
      <w:r w:rsidRPr="00910346">
        <w:rPr>
          <w:bCs/>
          <w:lang w:val="en-US"/>
        </w:rPr>
        <w:t>-effective doses are reasonable.</w:t>
      </w:r>
    </w:p>
    <w:p w14:paraId="17D1D783" w14:textId="5BE9692A" w:rsidR="007B5BF7" w:rsidRDefault="00521F58" w:rsidP="007B5BF7">
      <w:pPr>
        <w:pStyle w:val="3-BodyText"/>
        <w:rPr>
          <w:bCs/>
          <w:lang w:val="en-US"/>
        </w:rPr>
      </w:pPr>
      <w:r>
        <w:rPr>
          <w:bCs/>
          <w:lang w:val="en-US"/>
        </w:rPr>
        <w:t>The submission used a proxy price of $</w:t>
      </w:r>
      <w:r w:rsidR="00A33A0E" w:rsidRPr="004154DF">
        <w:rPr>
          <w:bCs/>
          <w:color w:val="000000"/>
          <w:w w:val="61"/>
          <w:shd w:val="solid" w:color="000000" w:fill="000000"/>
          <w:fitText w:val="472" w:id="-1501807872"/>
          <w:lang w:val="en-US"/>
          <w14:textFill>
            <w14:solidFill>
              <w14:srgbClr w14:val="000000">
                <w14:alpha w14:val="100000"/>
              </w14:srgbClr>
            </w14:solidFill>
          </w14:textFill>
        </w:rPr>
        <w:t>||</w:t>
      </w:r>
      <w:proofErr w:type="gramStart"/>
      <w:r w:rsidR="00A33A0E" w:rsidRPr="004154DF">
        <w:rPr>
          <w:bCs/>
          <w:color w:val="000000"/>
          <w:w w:val="61"/>
          <w:shd w:val="solid" w:color="000000" w:fill="000000"/>
          <w:fitText w:val="472" w:id="-1501807872"/>
          <w:lang w:val="en-US"/>
          <w14:textFill>
            <w14:solidFill>
              <w14:srgbClr w14:val="000000">
                <w14:alpha w14:val="100000"/>
              </w14:srgbClr>
            </w14:solidFill>
          </w14:textFill>
        </w:rPr>
        <w:t>|  |</w:t>
      </w:r>
      <w:proofErr w:type="gramEnd"/>
      <w:r w:rsidR="00A33A0E" w:rsidRPr="004154DF">
        <w:rPr>
          <w:bCs/>
          <w:color w:val="000000"/>
          <w:w w:val="61"/>
          <w:shd w:val="solid" w:color="000000" w:fill="000000"/>
          <w:fitText w:val="472" w:id="-1501807872"/>
          <w:lang w:val="en-US"/>
          <w14:textFill>
            <w14:solidFill>
              <w14:srgbClr w14:val="000000">
                <w14:alpha w14:val="100000"/>
              </w14:srgbClr>
            </w14:solidFill>
          </w14:textFill>
        </w:rPr>
        <w:t>||</w:t>
      </w:r>
      <w:r>
        <w:rPr>
          <w:bCs/>
          <w:lang w:val="en-US"/>
        </w:rPr>
        <w:t xml:space="preserve"> in the CMA</w:t>
      </w:r>
      <w:r w:rsidR="00042316">
        <w:rPr>
          <w:bCs/>
          <w:lang w:val="en-US"/>
        </w:rPr>
        <w:t xml:space="preserve"> as the assumed NIP list price of Infanrix </w:t>
      </w:r>
      <w:proofErr w:type="spellStart"/>
      <w:r w:rsidR="00042316">
        <w:rPr>
          <w:bCs/>
          <w:lang w:val="en-US"/>
        </w:rPr>
        <w:t>Hexa</w:t>
      </w:r>
      <w:proofErr w:type="spellEnd"/>
      <w:r w:rsidR="00042316">
        <w:rPr>
          <w:bCs/>
          <w:lang w:val="en-US"/>
        </w:rPr>
        <w:t>,</w:t>
      </w:r>
      <w:r>
        <w:rPr>
          <w:bCs/>
          <w:lang w:val="en-US"/>
        </w:rPr>
        <w:t xml:space="preserve"> </w:t>
      </w:r>
      <w:r w:rsidR="007B5BF7" w:rsidRPr="009337BF">
        <w:rPr>
          <w:bCs/>
        </w:rPr>
        <w:t>which is</w:t>
      </w:r>
      <w:r>
        <w:rPr>
          <w:bCs/>
        </w:rPr>
        <w:t xml:space="preserve"> the</w:t>
      </w:r>
      <w:r w:rsidR="007B5BF7" w:rsidRPr="009337BF">
        <w:rPr>
          <w:bCs/>
        </w:rPr>
        <w:t xml:space="preserve"> current market price </w:t>
      </w:r>
      <w:r>
        <w:rPr>
          <w:bCs/>
        </w:rPr>
        <w:t xml:space="preserve">of Infanrix </w:t>
      </w:r>
      <w:proofErr w:type="spellStart"/>
      <w:r w:rsidR="00AE2917">
        <w:rPr>
          <w:bCs/>
        </w:rPr>
        <w:t>Hexa</w:t>
      </w:r>
      <w:proofErr w:type="spellEnd"/>
      <w:r>
        <w:rPr>
          <w:bCs/>
        </w:rPr>
        <w:t xml:space="preserve"> </w:t>
      </w:r>
      <w:r w:rsidR="007B5BF7" w:rsidRPr="009337BF">
        <w:rPr>
          <w:bCs/>
        </w:rPr>
        <w:t>provided by the Roya</w:t>
      </w:r>
      <w:r w:rsidR="007B5BF7">
        <w:rPr>
          <w:bCs/>
        </w:rPr>
        <w:t>l Children’s Hospital Melbourne</w:t>
      </w:r>
      <w:r w:rsidR="007B5BF7" w:rsidRPr="009337BF">
        <w:rPr>
          <w:bCs/>
          <w:lang w:val="en-US"/>
        </w:rPr>
        <w:t>.</w:t>
      </w:r>
      <w:r w:rsidR="00975DB6">
        <w:rPr>
          <w:bCs/>
          <w:lang w:val="en-US"/>
        </w:rPr>
        <w:t xml:space="preserve"> </w:t>
      </w:r>
      <w:r w:rsidR="00975DB6">
        <w:t xml:space="preserve">The results of the CMA are summarised </w:t>
      </w:r>
      <w:r w:rsidR="002B16A5">
        <w:t>in Table</w:t>
      </w:r>
      <w:r w:rsidR="00082CAC">
        <w:t> </w:t>
      </w:r>
      <w:r w:rsidR="009B7F56">
        <w:t>7</w:t>
      </w:r>
      <w:r w:rsidR="00975DB6">
        <w:t>.</w:t>
      </w:r>
    </w:p>
    <w:p w14:paraId="758A5A82" w14:textId="3D313331" w:rsidR="00D40711" w:rsidRDefault="00072202" w:rsidP="00072202">
      <w:pPr>
        <w:pStyle w:val="TableFigureHeading"/>
      </w:pPr>
      <w:r>
        <w:t xml:space="preserve">Table </w:t>
      </w:r>
      <w:fldSimple w:instr=" SEQ Table \* ARABIC ">
        <w:r w:rsidR="00B5627B">
          <w:rPr>
            <w:noProof/>
          </w:rPr>
          <w:t>7</w:t>
        </w:r>
      </w:fldSimple>
      <w:r w:rsidR="00D40711" w:rsidRPr="0018502A">
        <w:t xml:space="preserve">: </w:t>
      </w:r>
      <w:r w:rsidR="00002F11">
        <w:t>Results of the cost-</w:t>
      </w:r>
      <w:r w:rsidR="00D40711">
        <w:t xml:space="preserve">minimisation </w:t>
      </w:r>
      <w:r w:rsidR="00002F11">
        <w:t xml:space="preserve">for </w:t>
      </w:r>
      <w:r w:rsidR="00002F11" w:rsidRPr="00072202">
        <w:t>a three-dose primary vaccination series in infants</w:t>
      </w:r>
    </w:p>
    <w:tbl>
      <w:tblPr>
        <w:tblStyle w:val="TableGrid"/>
        <w:tblW w:w="5000" w:type="pct"/>
        <w:tblLook w:val="04A0" w:firstRow="1" w:lastRow="0" w:firstColumn="1" w:lastColumn="0" w:noHBand="0" w:noVBand="1"/>
        <w:tblCaption w:val="Table 7: Results of the cost-minimisation for a three-dose primary vaccination series in infants"/>
      </w:tblPr>
      <w:tblGrid>
        <w:gridCol w:w="335"/>
        <w:gridCol w:w="4638"/>
        <w:gridCol w:w="1246"/>
        <w:gridCol w:w="782"/>
        <w:gridCol w:w="2019"/>
      </w:tblGrid>
      <w:tr w:rsidR="00D40711" w:rsidRPr="00561F32" w14:paraId="097F6524" w14:textId="77777777" w:rsidTr="00027BA6">
        <w:trPr>
          <w:trHeight w:hRule="exact" w:val="565"/>
        </w:trPr>
        <w:tc>
          <w:tcPr>
            <w:tcW w:w="1569" w:type="pct"/>
            <w:gridSpan w:val="2"/>
          </w:tcPr>
          <w:p w14:paraId="57BF2808" w14:textId="77777777" w:rsidR="00D40711" w:rsidRPr="00561F32" w:rsidRDefault="00D40711" w:rsidP="004558E3">
            <w:pPr>
              <w:pStyle w:val="Tabletext"/>
              <w:keepNext/>
              <w:keepLines/>
              <w:rPr>
                <w:b/>
              </w:rPr>
            </w:pPr>
          </w:p>
        </w:tc>
        <w:tc>
          <w:tcPr>
            <w:tcW w:w="628" w:type="pct"/>
            <w:noWrap/>
            <w:hideMark/>
          </w:tcPr>
          <w:p w14:paraId="5B6FB005" w14:textId="3B1E7E55" w:rsidR="00D40711" w:rsidRPr="00561F32" w:rsidRDefault="00975DB6" w:rsidP="00975DB6">
            <w:pPr>
              <w:pStyle w:val="Tabletext"/>
              <w:keepNext/>
              <w:keepLines/>
              <w:jc w:val="center"/>
              <w:rPr>
                <w:b/>
              </w:rPr>
            </w:pPr>
            <w:r>
              <w:rPr>
                <w:b/>
              </w:rPr>
              <w:t xml:space="preserve">Infanrix </w:t>
            </w:r>
            <w:proofErr w:type="spellStart"/>
            <w:r>
              <w:rPr>
                <w:b/>
              </w:rPr>
              <w:t>Hexa</w:t>
            </w:r>
            <w:proofErr w:type="spellEnd"/>
          </w:p>
        </w:tc>
        <w:tc>
          <w:tcPr>
            <w:tcW w:w="631" w:type="pct"/>
            <w:noWrap/>
            <w:hideMark/>
          </w:tcPr>
          <w:p w14:paraId="66C085FB" w14:textId="724C5020" w:rsidR="00D40711" w:rsidRPr="00561F32" w:rsidRDefault="00975DB6" w:rsidP="00975DB6">
            <w:pPr>
              <w:pStyle w:val="Tabletext"/>
              <w:keepNext/>
              <w:keepLines/>
              <w:jc w:val="center"/>
              <w:rPr>
                <w:b/>
              </w:rPr>
            </w:pPr>
            <w:proofErr w:type="spellStart"/>
            <w:r>
              <w:rPr>
                <w:b/>
              </w:rPr>
              <w:t>Vaxelis</w:t>
            </w:r>
            <w:proofErr w:type="spellEnd"/>
          </w:p>
        </w:tc>
        <w:tc>
          <w:tcPr>
            <w:tcW w:w="2172" w:type="pct"/>
          </w:tcPr>
          <w:p w14:paraId="02E0EA0B" w14:textId="77777777" w:rsidR="00D40711" w:rsidRPr="00561F32" w:rsidRDefault="00D40711" w:rsidP="004558E3">
            <w:pPr>
              <w:pStyle w:val="Tabletext"/>
              <w:keepNext/>
              <w:keepLines/>
              <w:rPr>
                <w:b/>
              </w:rPr>
            </w:pPr>
            <w:r>
              <w:rPr>
                <w:b/>
              </w:rPr>
              <w:t>Source/c</w:t>
            </w:r>
            <w:r w:rsidRPr="00561F32">
              <w:rPr>
                <w:b/>
              </w:rPr>
              <w:t>alculation</w:t>
            </w:r>
          </w:p>
        </w:tc>
      </w:tr>
      <w:tr w:rsidR="00D40711" w:rsidRPr="00561F32" w14:paraId="70097335" w14:textId="77777777" w:rsidTr="00B51657">
        <w:tc>
          <w:tcPr>
            <w:tcW w:w="194" w:type="pct"/>
          </w:tcPr>
          <w:p w14:paraId="7757D1F2" w14:textId="77777777" w:rsidR="00D40711" w:rsidRPr="00561F32" w:rsidRDefault="00D40711" w:rsidP="004558E3">
            <w:pPr>
              <w:pStyle w:val="Tabletext"/>
              <w:keepNext/>
              <w:keepLines/>
            </w:pPr>
            <w:r w:rsidRPr="00561F32">
              <w:t>A</w:t>
            </w:r>
          </w:p>
        </w:tc>
        <w:tc>
          <w:tcPr>
            <w:tcW w:w="1375" w:type="pct"/>
            <w:noWrap/>
            <w:hideMark/>
          </w:tcPr>
          <w:p w14:paraId="7F1E26C3" w14:textId="74E6339D" w:rsidR="00D40711" w:rsidRPr="00561F32" w:rsidRDefault="00042316" w:rsidP="004558E3">
            <w:pPr>
              <w:pStyle w:val="Tabletext"/>
              <w:keepNext/>
              <w:keepLines/>
            </w:pPr>
            <w:r>
              <w:t xml:space="preserve">Vaccine cost per dose </w:t>
            </w:r>
            <w:r w:rsidR="00D40711">
              <w:t>(</w:t>
            </w:r>
            <w:r w:rsidR="00975DB6" w:rsidRPr="009337BF">
              <w:rPr>
                <w:bCs/>
              </w:rPr>
              <w:t>Roya</w:t>
            </w:r>
            <w:r w:rsidR="00975DB6">
              <w:rPr>
                <w:bCs/>
              </w:rPr>
              <w:t>l Children’s Hospital Melbourne</w:t>
            </w:r>
            <w:r w:rsidR="00D40711">
              <w:t>)</w:t>
            </w:r>
          </w:p>
        </w:tc>
        <w:tc>
          <w:tcPr>
            <w:tcW w:w="628" w:type="pct"/>
            <w:noWrap/>
            <w:hideMark/>
          </w:tcPr>
          <w:p w14:paraId="42C2137B" w14:textId="29CD95FF" w:rsidR="00D40711" w:rsidRPr="00657A1C" w:rsidRDefault="00975DB6" w:rsidP="004558E3">
            <w:pPr>
              <w:pStyle w:val="Tabletext"/>
              <w:keepNext/>
              <w:keepLines/>
              <w:jc w:val="center"/>
              <w:rPr>
                <w:highlight w:val="yellow"/>
              </w:rPr>
            </w:pPr>
            <w:r>
              <w:t>$</w:t>
            </w:r>
            <w:r w:rsidR="00A33A0E" w:rsidRPr="00A33A0E">
              <w:rPr>
                <w:rFonts w:hint="eastAsia"/>
                <w:color w:val="000000"/>
                <w:w w:val="16"/>
                <w:shd w:val="solid" w:color="000000" w:fill="000000"/>
                <w:fitText w:val="75" w:id="-1501807871"/>
                <w14:textFill>
                  <w14:solidFill>
                    <w14:srgbClr w14:val="000000">
                      <w14:alpha w14:val="100000"/>
                    </w14:srgbClr>
                  </w14:solidFill>
                </w14:textFill>
              </w:rPr>
              <w:t xml:space="preserve">　</w:t>
            </w:r>
            <w:r w:rsidR="00A33A0E" w:rsidRPr="00A33A0E">
              <w:rPr>
                <w:color w:val="000000"/>
                <w:w w:val="16"/>
                <w:shd w:val="solid" w:color="000000" w:fill="000000"/>
                <w:fitText w:val="75" w:id="-1501807871"/>
                <w14:textFill>
                  <w14:solidFill>
                    <w14:srgbClr w14:val="000000">
                      <w14:alpha w14:val="100000"/>
                    </w14:srgbClr>
                  </w14:solidFill>
                </w14:textFill>
              </w:rPr>
              <w:t>|</w:t>
            </w:r>
            <w:r w:rsidR="00A33A0E" w:rsidRPr="00A33A0E">
              <w:rPr>
                <w:rFonts w:hint="eastAsia"/>
                <w:color w:val="000000"/>
                <w:spacing w:val="5"/>
                <w:w w:val="16"/>
                <w:shd w:val="solid" w:color="000000" w:fill="000000"/>
                <w:fitText w:val="75" w:id="-1501807871"/>
                <w14:textFill>
                  <w14:solidFill>
                    <w14:srgbClr w14:val="000000">
                      <w14:alpha w14:val="100000"/>
                    </w14:srgbClr>
                  </w14:solidFill>
                </w14:textFill>
              </w:rPr>
              <w:t xml:space="preserve">　</w:t>
            </w:r>
          </w:p>
        </w:tc>
        <w:tc>
          <w:tcPr>
            <w:tcW w:w="631" w:type="pct"/>
            <w:noWrap/>
            <w:hideMark/>
          </w:tcPr>
          <w:p w14:paraId="2A722D47" w14:textId="1DCC581C" w:rsidR="00D40711" w:rsidRPr="00657A1C" w:rsidRDefault="00975DB6" w:rsidP="004558E3">
            <w:pPr>
              <w:pStyle w:val="Tabletext"/>
              <w:keepNext/>
              <w:keepLines/>
              <w:jc w:val="center"/>
              <w:rPr>
                <w:highlight w:val="yellow"/>
              </w:rPr>
            </w:pPr>
            <w:r>
              <w:t>$</w:t>
            </w:r>
            <w:r w:rsidR="00A33A0E" w:rsidRPr="00A33A0E">
              <w:rPr>
                <w:color w:val="000000"/>
                <w:spacing w:val="47"/>
                <w:shd w:val="solid" w:color="000000" w:fill="000000"/>
                <w:fitText w:val="313" w:id="-1501807870"/>
                <w14:textFill>
                  <w14:solidFill>
                    <w14:srgbClr w14:val="000000">
                      <w14:alpha w14:val="100000"/>
                    </w14:srgbClr>
                  </w14:solidFill>
                </w14:textFill>
              </w:rPr>
              <w:t>|||</w:t>
            </w:r>
            <w:r w:rsidR="00A33A0E" w:rsidRPr="00A33A0E">
              <w:rPr>
                <w:color w:val="000000"/>
                <w:spacing w:val="2"/>
                <w:shd w:val="solid" w:color="000000" w:fill="000000"/>
                <w:fitText w:val="313" w:id="-1501807870"/>
                <w14:textFill>
                  <w14:solidFill>
                    <w14:srgbClr w14:val="000000">
                      <w14:alpha w14:val="100000"/>
                    </w14:srgbClr>
                  </w14:solidFill>
                </w14:textFill>
              </w:rPr>
              <w:t>|</w:t>
            </w:r>
          </w:p>
        </w:tc>
        <w:tc>
          <w:tcPr>
            <w:tcW w:w="2172" w:type="pct"/>
          </w:tcPr>
          <w:p w14:paraId="793FBD3A" w14:textId="5A8A4327" w:rsidR="00D40711" w:rsidRPr="00EA6E83" w:rsidRDefault="00975DB6" w:rsidP="004558E3">
            <w:pPr>
              <w:pStyle w:val="Tabletext"/>
              <w:keepNext/>
              <w:keepLines/>
            </w:pPr>
            <w:r>
              <w:t xml:space="preserve">Infanrix </w:t>
            </w:r>
            <w:proofErr w:type="spellStart"/>
            <w:r>
              <w:t>Hexa</w:t>
            </w:r>
            <w:proofErr w:type="spellEnd"/>
            <w:r w:rsidR="00D40711" w:rsidRPr="00EA6E83">
              <w:t xml:space="preserve"> = </w:t>
            </w:r>
            <w:r>
              <w:t>market price</w:t>
            </w:r>
          </w:p>
          <w:p w14:paraId="1D4B625E" w14:textId="7DDE2948" w:rsidR="00D40711" w:rsidRPr="00657A1C" w:rsidRDefault="00975DB6" w:rsidP="004558E3">
            <w:pPr>
              <w:pStyle w:val="Tabletext"/>
              <w:keepNext/>
              <w:keepLines/>
              <w:rPr>
                <w:highlight w:val="yellow"/>
              </w:rPr>
            </w:pPr>
            <w:proofErr w:type="spellStart"/>
            <w:r>
              <w:t>Vaxelis</w:t>
            </w:r>
            <w:proofErr w:type="spellEnd"/>
            <w:r w:rsidR="00D40711" w:rsidRPr="00EA6E83">
              <w:t xml:space="preserve"> = C / B</w:t>
            </w:r>
          </w:p>
        </w:tc>
      </w:tr>
      <w:tr w:rsidR="00D40711" w:rsidRPr="00561F32" w14:paraId="0DED91BD" w14:textId="77777777" w:rsidTr="00B51657">
        <w:tc>
          <w:tcPr>
            <w:tcW w:w="194" w:type="pct"/>
          </w:tcPr>
          <w:p w14:paraId="3595A7E6" w14:textId="77777777" w:rsidR="00D40711" w:rsidRPr="00561F32" w:rsidRDefault="00D40711" w:rsidP="004558E3">
            <w:pPr>
              <w:pStyle w:val="Tabletext"/>
              <w:keepNext/>
              <w:keepLines/>
            </w:pPr>
            <w:r w:rsidRPr="00561F32">
              <w:t>B</w:t>
            </w:r>
          </w:p>
        </w:tc>
        <w:tc>
          <w:tcPr>
            <w:tcW w:w="1375" w:type="pct"/>
            <w:noWrap/>
            <w:hideMark/>
          </w:tcPr>
          <w:p w14:paraId="4956EEE8" w14:textId="77777777" w:rsidR="00D40711" w:rsidRPr="00561F32" w:rsidRDefault="00D40711" w:rsidP="004558E3">
            <w:pPr>
              <w:pStyle w:val="Tabletext"/>
              <w:keepNext/>
              <w:keepLines/>
            </w:pPr>
            <w:r w:rsidRPr="00561F32">
              <w:t>Injections</w:t>
            </w:r>
          </w:p>
        </w:tc>
        <w:tc>
          <w:tcPr>
            <w:tcW w:w="628" w:type="pct"/>
            <w:noWrap/>
            <w:hideMark/>
          </w:tcPr>
          <w:p w14:paraId="271817A5" w14:textId="4450F272" w:rsidR="00D40711" w:rsidRPr="00561F32" w:rsidRDefault="00975DB6" w:rsidP="004558E3">
            <w:pPr>
              <w:pStyle w:val="Tabletext"/>
              <w:keepNext/>
              <w:keepLines/>
              <w:jc w:val="center"/>
            </w:pPr>
            <w:r>
              <w:t>3</w:t>
            </w:r>
          </w:p>
        </w:tc>
        <w:tc>
          <w:tcPr>
            <w:tcW w:w="631" w:type="pct"/>
            <w:noWrap/>
            <w:hideMark/>
          </w:tcPr>
          <w:p w14:paraId="624FD4DA" w14:textId="18481F9D" w:rsidR="00D40711" w:rsidRPr="00561F32" w:rsidRDefault="00975DB6" w:rsidP="004558E3">
            <w:pPr>
              <w:pStyle w:val="Tabletext"/>
              <w:keepNext/>
              <w:keepLines/>
              <w:jc w:val="center"/>
            </w:pPr>
            <w:r>
              <w:t>3</w:t>
            </w:r>
          </w:p>
        </w:tc>
        <w:tc>
          <w:tcPr>
            <w:tcW w:w="2172" w:type="pct"/>
          </w:tcPr>
          <w:p w14:paraId="2BA5AD14" w14:textId="614D6991" w:rsidR="00D40711" w:rsidRPr="00657A1C" w:rsidRDefault="00975DB6" w:rsidP="004558E3">
            <w:pPr>
              <w:pStyle w:val="Tabletext"/>
              <w:keepNext/>
              <w:keepLines/>
              <w:rPr>
                <w:highlight w:val="yellow"/>
              </w:rPr>
            </w:pPr>
            <w:r>
              <w:rPr>
                <w:bCs/>
              </w:rPr>
              <w:t>T</w:t>
            </w:r>
            <w:r w:rsidRPr="009337BF">
              <w:rPr>
                <w:bCs/>
              </w:rPr>
              <w:t>hree-dose primary vaccination series in infants</w:t>
            </w:r>
          </w:p>
        </w:tc>
      </w:tr>
      <w:tr w:rsidR="00D40711" w:rsidRPr="00561F32" w14:paraId="1513275D" w14:textId="77777777" w:rsidTr="00B51657">
        <w:tc>
          <w:tcPr>
            <w:tcW w:w="194" w:type="pct"/>
          </w:tcPr>
          <w:p w14:paraId="6DFCBF59" w14:textId="77777777" w:rsidR="00D40711" w:rsidRPr="00561F32" w:rsidRDefault="00D40711" w:rsidP="004558E3">
            <w:pPr>
              <w:pStyle w:val="Tabletext"/>
              <w:keepNext/>
              <w:keepLines/>
            </w:pPr>
            <w:r w:rsidRPr="00561F32">
              <w:t>C</w:t>
            </w:r>
          </w:p>
        </w:tc>
        <w:tc>
          <w:tcPr>
            <w:tcW w:w="1375" w:type="pct"/>
            <w:noWrap/>
            <w:hideMark/>
          </w:tcPr>
          <w:p w14:paraId="1445A24F" w14:textId="678E520E" w:rsidR="00D40711" w:rsidRPr="00561F32" w:rsidRDefault="00042316" w:rsidP="004558E3">
            <w:pPr>
              <w:pStyle w:val="Tabletext"/>
              <w:keepNext/>
              <w:keepLines/>
            </w:pPr>
            <w:r>
              <w:t xml:space="preserve">Total cost for primary course </w:t>
            </w:r>
          </w:p>
        </w:tc>
        <w:tc>
          <w:tcPr>
            <w:tcW w:w="628" w:type="pct"/>
            <w:noWrap/>
            <w:hideMark/>
          </w:tcPr>
          <w:p w14:paraId="4E70769B" w14:textId="2D199F43" w:rsidR="00D40711" w:rsidRPr="00657A1C" w:rsidRDefault="00002F11" w:rsidP="004558E3">
            <w:pPr>
              <w:pStyle w:val="Tabletext"/>
              <w:keepNext/>
              <w:keepLines/>
              <w:jc w:val="center"/>
              <w:rPr>
                <w:highlight w:val="yellow"/>
              </w:rPr>
            </w:pPr>
            <w:r w:rsidRPr="00FD1F16">
              <w:rPr>
                <w:bCs/>
              </w:rPr>
              <w:t>$</w:t>
            </w:r>
            <w:r w:rsidR="00A33A0E" w:rsidRPr="00A33A0E">
              <w:rPr>
                <w:rFonts w:hint="eastAsia"/>
                <w:bCs/>
                <w:color w:val="000000"/>
                <w:w w:val="16"/>
                <w:shd w:val="solid" w:color="000000" w:fill="000000"/>
                <w:fitText w:val="75" w:id="-1501807869"/>
                <w14:textFill>
                  <w14:solidFill>
                    <w14:srgbClr w14:val="000000">
                      <w14:alpha w14:val="100000"/>
                    </w14:srgbClr>
                  </w14:solidFill>
                </w14:textFill>
              </w:rPr>
              <w:t xml:space="preserve">　</w:t>
            </w:r>
            <w:r w:rsidR="00A33A0E" w:rsidRPr="00A33A0E">
              <w:rPr>
                <w:bCs/>
                <w:color w:val="000000"/>
                <w:w w:val="16"/>
                <w:shd w:val="solid" w:color="000000" w:fill="000000"/>
                <w:fitText w:val="75" w:id="-1501807869"/>
                <w14:textFill>
                  <w14:solidFill>
                    <w14:srgbClr w14:val="000000">
                      <w14:alpha w14:val="100000"/>
                    </w14:srgbClr>
                  </w14:solidFill>
                </w14:textFill>
              </w:rPr>
              <w:t>|</w:t>
            </w:r>
            <w:r w:rsidR="00A33A0E" w:rsidRPr="00A33A0E">
              <w:rPr>
                <w:rFonts w:hint="eastAsia"/>
                <w:bCs/>
                <w:color w:val="000000"/>
                <w:spacing w:val="5"/>
                <w:w w:val="16"/>
                <w:shd w:val="solid" w:color="000000" w:fill="000000"/>
                <w:fitText w:val="75" w:id="-1501807869"/>
                <w14:textFill>
                  <w14:solidFill>
                    <w14:srgbClr w14:val="000000">
                      <w14:alpha w14:val="100000"/>
                    </w14:srgbClr>
                  </w14:solidFill>
                </w14:textFill>
              </w:rPr>
              <w:t xml:space="preserve">　</w:t>
            </w:r>
          </w:p>
        </w:tc>
        <w:tc>
          <w:tcPr>
            <w:tcW w:w="631" w:type="pct"/>
            <w:noWrap/>
            <w:hideMark/>
          </w:tcPr>
          <w:p w14:paraId="4B830434" w14:textId="31CE8624" w:rsidR="00D40711" w:rsidRPr="00657A1C" w:rsidRDefault="00002F11" w:rsidP="004558E3">
            <w:pPr>
              <w:pStyle w:val="Tabletext"/>
              <w:keepNext/>
              <w:keepLines/>
              <w:jc w:val="center"/>
              <w:rPr>
                <w:highlight w:val="yellow"/>
              </w:rPr>
            </w:pPr>
            <w:r w:rsidRPr="00FD1F16">
              <w:rPr>
                <w:bCs/>
              </w:rPr>
              <w:t>$</w:t>
            </w:r>
            <w:r w:rsidR="00A33A0E" w:rsidRPr="00A33A0E">
              <w:rPr>
                <w:bCs/>
                <w:color w:val="000000"/>
                <w:spacing w:val="47"/>
                <w:shd w:val="solid" w:color="000000" w:fill="000000"/>
                <w:fitText w:val="313" w:id="-1501807868"/>
                <w14:textFill>
                  <w14:solidFill>
                    <w14:srgbClr w14:val="000000">
                      <w14:alpha w14:val="100000"/>
                    </w14:srgbClr>
                  </w14:solidFill>
                </w14:textFill>
              </w:rPr>
              <w:t>|||</w:t>
            </w:r>
            <w:r w:rsidR="00A33A0E" w:rsidRPr="00A33A0E">
              <w:rPr>
                <w:bCs/>
                <w:color w:val="000000"/>
                <w:spacing w:val="2"/>
                <w:shd w:val="solid" w:color="000000" w:fill="000000"/>
                <w:fitText w:val="313" w:id="-1501807868"/>
                <w14:textFill>
                  <w14:solidFill>
                    <w14:srgbClr w14:val="000000">
                      <w14:alpha w14:val="100000"/>
                    </w14:srgbClr>
                  </w14:solidFill>
                </w14:textFill>
              </w:rPr>
              <w:t>|</w:t>
            </w:r>
          </w:p>
        </w:tc>
        <w:tc>
          <w:tcPr>
            <w:tcW w:w="2172" w:type="pct"/>
          </w:tcPr>
          <w:p w14:paraId="7C452E4E" w14:textId="56683C09" w:rsidR="00D40711" w:rsidRPr="00EA6E83" w:rsidRDefault="00975DB6" w:rsidP="004558E3">
            <w:pPr>
              <w:pStyle w:val="Tabletext"/>
              <w:keepNext/>
              <w:keepLines/>
            </w:pPr>
            <w:r>
              <w:t xml:space="preserve">Infanrix </w:t>
            </w:r>
            <w:proofErr w:type="spellStart"/>
            <w:r>
              <w:t>Hexa</w:t>
            </w:r>
            <w:proofErr w:type="spellEnd"/>
            <w:r w:rsidRPr="00EA6E83">
              <w:t xml:space="preserve"> </w:t>
            </w:r>
            <w:r w:rsidR="00D40711" w:rsidRPr="00EA6E83">
              <w:t>= A * B</w:t>
            </w:r>
          </w:p>
          <w:p w14:paraId="050E6A5D" w14:textId="0BA342D5" w:rsidR="00D40711" w:rsidRPr="00657A1C" w:rsidRDefault="00975DB6" w:rsidP="00002F11">
            <w:pPr>
              <w:pStyle w:val="Tabletext"/>
              <w:keepNext/>
              <w:keepLines/>
              <w:rPr>
                <w:highlight w:val="yellow"/>
              </w:rPr>
            </w:pPr>
            <w:proofErr w:type="spellStart"/>
            <w:r>
              <w:t>Vaxelis</w:t>
            </w:r>
            <w:proofErr w:type="spellEnd"/>
            <w:r w:rsidRPr="00EA6E83">
              <w:t xml:space="preserve"> </w:t>
            </w:r>
            <w:r w:rsidR="00D40711" w:rsidRPr="00EA6E83">
              <w:t xml:space="preserve">= </w:t>
            </w:r>
            <w:r w:rsidR="00002F11">
              <w:t xml:space="preserve">assumed equal to Infanrix </w:t>
            </w:r>
            <w:proofErr w:type="spellStart"/>
            <w:r w:rsidR="00002F11">
              <w:t>Hexa</w:t>
            </w:r>
            <w:proofErr w:type="spellEnd"/>
          </w:p>
        </w:tc>
      </w:tr>
    </w:tbl>
    <w:p w14:paraId="2FDCA647" w14:textId="766E90C3" w:rsidR="00D40711" w:rsidRPr="00676F0D" w:rsidRDefault="00676F0D" w:rsidP="00D40711">
      <w:pPr>
        <w:pStyle w:val="3-BodyText"/>
        <w:numPr>
          <w:ilvl w:val="0"/>
          <w:numId w:val="0"/>
        </w:numPr>
        <w:rPr>
          <w:rFonts w:ascii="Arial Narrow" w:hAnsi="Arial Narrow"/>
          <w:bCs/>
          <w:sz w:val="18"/>
          <w:szCs w:val="18"/>
          <w:lang w:val="en-US"/>
        </w:rPr>
      </w:pPr>
      <w:r w:rsidRPr="00676F0D">
        <w:rPr>
          <w:rFonts w:ascii="Arial Narrow" w:hAnsi="Arial Narrow"/>
          <w:bCs/>
          <w:sz w:val="18"/>
          <w:szCs w:val="18"/>
          <w:lang w:val="en-US"/>
        </w:rPr>
        <w:t>Source: Table 3.1, p82 of the submission</w:t>
      </w:r>
    </w:p>
    <w:p w14:paraId="68456C04" w14:textId="3C8C67FD" w:rsidR="007B5BF7" w:rsidRPr="00FA3E56" w:rsidRDefault="007B5BF7" w:rsidP="007B5BF7">
      <w:pPr>
        <w:pStyle w:val="3-BodyText"/>
        <w:rPr>
          <w:bCs/>
        </w:rPr>
      </w:pPr>
      <w:r w:rsidRPr="00FA3E56">
        <w:rPr>
          <w:bCs/>
        </w:rPr>
        <w:t xml:space="preserve">The submission suggested that there may be lower vaccination program costs associated with </w:t>
      </w:r>
      <w:proofErr w:type="spellStart"/>
      <w:r>
        <w:rPr>
          <w:bCs/>
        </w:rPr>
        <w:t>Vaxelis</w:t>
      </w:r>
      <w:proofErr w:type="spellEnd"/>
      <w:r w:rsidRPr="00FA3E56">
        <w:rPr>
          <w:bCs/>
        </w:rPr>
        <w:t xml:space="preserve"> due to reduced preparation times (pre-filled syringe, ready for use) compared to Infanrix </w:t>
      </w:r>
      <w:proofErr w:type="spellStart"/>
      <w:r w:rsidRPr="00FA3E56">
        <w:rPr>
          <w:bCs/>
        </w:rPr>
        <w:t>Hexa</w:t>
      </w:r>
      <w:proofErr w:type="spellEnd"/>
      <w:r w:rsidRPr="00FA3E56">
        <w:rPr>
          <w:bCs/>
        </w:rPr>
        <w:t xml:space="preserve"> (lyophili</w:t>
      </w:r>
      <w:r w:rsidR="00D40711">
        <w:rPr>
          <w:bCs/>
        </w:rPr>
        <w:t>s</w:t>
      </w:r>
      <w:r w:rsidRPr="00FA3E56">
        <w:rPr>
          <w:bCs/>
        </w:rPr>
        <w:t>ed powder and liquid suspension, requir</w:t>
      </w:r>
      <w:r>
        <w:rPr>
          <w:bCs/>
        </w:rPr>
        <w:t xml:space="preserve">es reconstitution before use). </w:t>
      </w:r>
    </w:p>
    <w:p w14:paraId="26EAC121" w14:textId="3E2EA906" w:rsidR="007B5BF7" w:rsidRPr="00310218" w:rsidRDefault="007B5BF7" w:rsidP="00310218">
      <w:pPr>
        <w:pStyle w:val="3-BodyText"/>
        <w:rPr>
          <w:bCs/>
          <w:lang w:val="en-US"/>
        </w:rPr>
      </w:pPr>
      <w:r w:rsidRPr="00FA3E56">
        <w:rPr>
          <w:bCs/>
        </w:rPr>
        <w:t xml:space="preserve">The submission </w:t>
      </w:r>
      <w:r>
        <w:rPr>
          <w:bCs/>
        </w:rPr>
        <w:t xml:space="preserve">also </w:t>
      </w:r>
      <w:r w:rsidRPr="00FA3E56">
        <w:rPr>
          <w:bCs/>
        </w:rPr>
        <w:t xml:space="preserve">suggested that there may also be potential savings associated with having two vaccines competing for the </w:t>
      </w:r>
      <w:proofErr w:type="spellStart"/>
      <w:r w:rsidRPr="00FA3E56">
        <w:rPr>
          <w:bCs/>
        </w:rPr>
        <w:t>DTPa</w:t>
      </w:r>
      <w:proofErr w:type="spellEnd"/>
      <w:r w:rsidRPr="00FA3E56">
        <w:rPr>
          <w:bCs/>
        </w:rPr>
        <w:t>-</w:t>
      </w:r>
      <w:r w:rsidR="00A80250">
        <w:rPr>
          <w:bCs/>
        </w:rPr>
        <w:t>H</w:t>
      </w:r>
      <w:r w:rsidRPr="00FA3E56">
        <w:rPr>
          <w:bCs/>
        </w:rPr>
        <w:t>B-IPV-Hib market under the NIP.</w:t>
      </w:r>
    </w:p>
    <w:p w14:paraId="16FFC8FC" w14:textId="77777777" w:rsidR="007B5BF7" w:rsidRDefault="007B5BF7" w:rsidP="007B5BF7">
      <w:pPr>
        <w:pStyle w:val="4-SubsectionHeading"/>
      </w:pPr>
      <w:bookmarkStart w:id="36" w:name="_Toc22897646"/>
      <w:bookmarkStart w:id="37" w:name="_Toc93503682"/>
      <w:r>
        <w:t>Vaccine cost/patient/</w:t>
      </w:r>
      <w:r w:rsidRPr="002C2775">
        <w:t>course</w:t>
      </w:r>
      <w:bookmarkEnd w:id="36"/>
      <w:bookmarkEnd w:id="37"/>
    </w:p>
    <w:p w14:paraId="6DCE35A6" w14:textId="7AC9B989" w:rsidR="007B5BF7" w:rsidRPr="00FD1F16" w:rsidRDefault="007B5BF7" w:rsidP="007B5BF7">
      <w:pPr>
        <w:pStyle w:val="3-BodyText"/>
        <w:rPr>
          <w:bCs/>
        </w:rPr>
      </w:pPr>
      <w:r w:rsidRPr="00FD1F16">
        <w:rPr>
          <w:bCs/>
        </w:rPr>
        <w:t xml:space="preserve">The cost per course for both </w:t>
      </w:r>
      <w:proofErr w:type="spellStart"/>
      <w:r w:rsidRPr="00FD1F16">
        <w:rPr>
          <w:bCs/>
        </w:rPr>
        <w:t>Vaxelis</w:t>
      </w:r>
      <w:proofErr w:type="spellEnd"/>
      <w:r w:rsidRPr="00FD1F16">
        <w:rPr>
          <w:bCs/>
        </w:rPr>
        <w:t xml:space="preserve"> and Infanrix </w:t>
      </w:r>
      <w:proofErr w:type="spellStart"/>
      <w:r w:rsidRPr="00FD1F16">
        <w:rPr>
          <w:bCs/>
        </w:rPr>
        <w:t>Hexa</w:t>
      </w:r>
      <w:proofErr w:type="spellEnd"/>
      <w:r w:rsidRPr="00FD1F16">
        <w:rPr>
          <w:bCs/>
        </w:rPr>
        <w:t xml:space="preserve"> was estimated to be $</w:t>
      </w:r>
      <w:r w:rsidR="00A33A0E" w:rsidRPr="00A33A0E">
        <w:rPr>
          <w:bCs/>
          <w:color w:val="000000"/>
          <w:w w:val="61"/>
          <w:shd w:val="solid" w:color="000000" w:fill="000000"/>
          <w:fitText w:val="472" w:id="-1501807867"/>
          <w14:textFill>
            <w14:solidFill>
              <w14:srgbClr w14:val="000000">
                <w14:alpha w14:val="100000"/>
              </w14:srgbClr>
            </w14:solidFill>
          </w14:textFill>
        </w:rPr>
        <w:t>|||  ||</w:t>
      </w:r>
      <w:r w:rsidR="00A33A0E" w:rsidRPr="00A33A0E">
        <w:rPr>
          <w:bCs/>
          <w:color w:val="000000"/>
          <w:spacing w:val="2"/>
          <w:w w:val="61"/>
          <w:shd w:val="solid" w:color="000000" w:fill="000000"/>
          <w:fitText w:val="472" w:id="-1501807867"/>
          <w14:textFill>
            <w14:solidFill>
              <w14:srgbClr w14:val="000000">
                <w14:alpha w14:val="100000"/>
              </w14:srgbClr>
            </w14:solidFill>
          </w14:textFill>
        </w:rPr>
        <w:t>|</w:t>
      </w:r>
      <w:r w:rsidRPr="00FD1F16">
        <w:rPr>
          <w:bCs/>
        </w:rPr>
        <w:t>(3 doses per course).</w:t>
      </w:r>
    </w:p>
    <w:p w14:paraId="141D4191" w14:textId="4E1E9208" w:rsidR="007B5BF7" w:rsidRPr="00C9624D" w:rsidRDefault="007B5BF7" w:rsidP="007B5BF7">
      <w:pPr>
        <w:pStyle w:val="4-SubsectionHeading"/>
      </w:pPr>
      <w:bookmarkStart w:id="38" w:name="_Toc22897647"/>
      <w:bookmarkStart w:id="39" w:name="_Toc93503683"/>
      <w:r w:rsidRPr="00C9624D">
        <w:lastRenderedPageBreak/>
        <w:t xml:space="preserve">Estimated </w:t>
      </w:r>
      <w:r w:rsidR="007C3900">
        <w:t>NIP</w:t>
      </w:r>
      <w:r w:rsidRPr="00C9624D">
        <w:t xml:space="preserve"> usage &amp; financial implications</w:t>
      </w:r>
      <w:bookmarkEnd w:id="38"/>
      <w:bookmarkEnd w:id="39"/>
    </w:p>
    <w:p w14:paraId="416923F4" w14:textId="02E68A24" w:rsidR="007B5BF7" w:rsidRPr="000D38FA" w:rsidRDefault="007B5BF7" w:rsidP="007B5BF7">
      <w:pPr>
        <w:pStyle w:val="3-BodyText"/>
      </w:pPr>
      <w:r w:rsidRPr="000D38FA">
        <w:t xml:space="preserve">This submission </w:t>
      </w:r>
      <w:r w:rsidR="0028395D">
        <w:t>was</w:t>
      </w:r>
      <w:r w:rsidR="0028395D" w:rsidRPr="000D38FA">
        <w:t xml:space="preserve"> </w:t>
      </w:r>
      <w:r w:rsidRPr="000D38FA">
        <w:t>not considered by DUSC.</w:t>
      </w:r>
    </w:p>
    <w:p w14:paraId="79951E08" w14:textId="614E4830" w:rsidR="007B5BF7" w:rsidRPr="000D38FA" w:rsidRDefault="007B5BF7" w:rsidP="007B5BF7">
      <w:pPr>
        <w:pStyle w:val="3-BodyText"/>
      </w:pPr>
      <w:r w:rsidRPr="000D38FA">
        <w:t xml:space="preserve">The submission </w:t>
      </w:r>
      <w:r w:rsidR="00A6086B">
        <w:t>used</w:t>
      </w:r>
      <w:r w:rsidRPr="000D38FA">
        <w:t xml:space="preserve"> a market share approach to estimate the usage of </w:t>
      </w:r>
      <w:proofErr w:type="spellStart"/>
      <w:r w:rsidRPr="000D38FA">
        <w:t>Vaxelis</w:t>
      </w:r>
      <w:proofErr w:type="spellEnd"/>
      <w:r w:rsidRPr="000D38FA">
        <w:t xml:space="preserve"> and its financial implications to </w:t>
      </w:r>
      <w:r>
        <w:t xml:space="preserve">the </w:t>
      </w:r>
      <w:r w:rsidRPr="000D38FA">
        <w:t xml:space="preserve">NIP. The key inputs for financial estimates are summarised </w:t>
      </w:r>
      <w:r w:rsidR="002B16A5">
        <w:t xml:space="preserve">in Table </w:t>
      </w:r>
      <w:r w:rsidR="009B7F56">
        <w:t>8</w:t>
      </w:r>
      <w:r w:rsidRPr="000D38FA">
        <w:t>.</w:t>
      </w:r>
    </w:p>
    <w:p w14:paraId="68AE034D" w14:textId="1A939A75" w:rsidR="007B5BF7" w:rsidRDefault="005A268C" w:rsidP="005A268C">
      <w:pPr>
        <w:pStyle w:val="TableFigureHeading"/>
      </w:pPr>
      <w:r>
        <w:t xml:space="preserve">Table </w:t>
      </w:r>
      <w:fldSimple w:instr=" SEQ Table \* ARABIC ">
        <w:r w:rsidR="00B5627B">
          <w:rPr>
            <w:noProof/>
          </w:rPr>
          <w:t>8</w:t>
        </w:r>
      </w:fldSimple>
      <w:r w:rsidR="007B5BF7">
        <w:t>: Key inputs for financial estimates</w:t>
      </w:r>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inputs for financial estimates"/>
      </w:tblPr>
      <w:tblGrid>
        <w:gridCol w:w="1508"/>
        <w:gridCol w:w="3922"/>
        <w:gridCol w:w="3590"/>
      </w:tblGrid>
      <w:tr w:rsidR="007B5BF7" w:rsidRPr="008A73C0" w14:paraId="6B4201FE" w14:textId="77777777" w:rsidTr="00AE093F">
        <w:trPr>
          <w:tblHeader/>
        </w:trPr>
        <w:tc>
          <w:tcPr>
            <w:tcW w:w="1526" w:type="dxa"/>
            <w:vAlign w:val="center"/>
          </w:tcPr>
          <w:p w14:paraId="76C19E79" w14:textId="77777777" w:rsidR="007B5BF7" w:rsidRPr="008A73C0" w:rsidRDefault="007B5BF7" w:rsidP="00C52E97">
            <w:pPr>
              <w:keepNext/>
              <w:jc w:val="center"/>
              <w:rPr>
                <w:rFonts w:ascii="Arial Narrow" w:eastAsiaTheme="majorEastAsia" w:hAnsi="Arial Narrow" w:cs="Times New Roman"/>
                <w:b/>
                <w:sz w:val="20"/>
                <w:lang w:val="en-US"/>
              </w:rPr>
            </w:pPr>
            <w:r w:rsidRPr="008A73C0">
              <w:rPr>
                <w:rFonts w:ascii="Arial Narrow" w:eastAsiaTheme="majorEastAsia" w:hAnsi="Arial Narrow" w:cs="Times New Roman"/>
                <w:b/>
                <w:sz w:val="20"/>
                <w:lang w:val="en-US"/>
              </w:rPr>
              <w:t>Data</w:t>
            </w:r>
          </w:p>
        </w:tc>
        <w:tc>
          <w:tcPr>
            <w:tcW w:w="3998" w:type="dxa"/>
            <w:vAlign w:val="center"/>
          </w:tcPr>
          <w:p w14:paraId="7CE991AC" w14:textId="77777777" w:rsidR="007B5BF7" w:rsidRPr="008A73C0" w:rsidRDefault="007B5BF7" w:rsidP="00C52E97">
            <w:pPr>
              <w:keepNext/>
              <w:jc w:val="center"/>
              <w:rPr>
                <w:rFonts w:ascii="Arial Narrow" w:eastAsiaTheme="majorEastAsia" w:hAnsi="Arial Narrow" w:cs="Times New Roman"/>
                <w:b/>
                <w:sz w:val="20"/>
                <w:lang w:val="en-US"/>
              </w:rPr>
            </w:pPr>
            <w:r w:rsidRPr="008A73C0">
              <w:rPr>
                <w:rFonts w:ascii="Arial Narrow" w:eastAsiaTheme="majorEastAsia" w:hAnsi="Arial Narrow" w:cs="Times New Roman"/>
                <w:b/>
                <w:sz w:val="20"/>
                <w:lang w:val="en-US"/>
              </w:rPr>
              <w:t>Value</w:t>
            </w:r>
            <w:r>
              <w:rPr>
                <w:rFonts w:ascii="Arial Narrow" w:eastAsiaTheme="majorEastAsia" w:hAnsi="Arial Narrow" w:cs="Times New Roman"/>
                <w:b/>
                <w:sz w:val="20"/>
                <w:lang w:val="en-US"/>
              </w:rPr>
              <w:t xml:space="preserve"> and s</w:t>
            </w:r>
            <w:r w:rsidRPr="008A73C0">
              <w:rPr>
                <w:rFonts w:ascii="Arial Narrow" w:eastAsiaTheme="majorEastAsia" w:hAnsi="Arial Narrow" w:cs="Times New Roman"/>
                <w:b/>
                <w:sz w:val="20"/>
                <w:lang w:val="en-US"/>
              </w:rPr>
              <w:t>ource</w:t>
            </w:r>
          </w:p>
        </w:tc>
        <w:tc>
          <w:tcPr>
            <w:tcW w:w="3656" w:type="dxa"/>
            <w:vAlign w:val="center"/>
          </w:tcPr>
          <w:p w14:paraId="27866E4B" w14:textId="77777777" w:rsidR="007B5BF7" w:rsidRPr="008A73C0" w:rsidRDefault="007B5BF7" w:rsidP="00C52E97">
            <w:pPr>
              <w:keepNext/>
              <w:jc w:val="center"/>
              <w:rPr>
                <w:rFonts w:ascii="Arial Narrow" w:eastAsiaTheme="majorEastAsia" w:hAnsi="Arial Narrow" w:cs="Times New Roman"/>
                <w:b/>
                <w:sz w:val="20"/>
                <w:lang w:val="en-US"/>
              </w:rPr>
            </w:pPr>
            <w:r w:rsidRPr="008A73C0">
              <w:rPr>
                <w:rFonts w:ascii="Arial Narrow" w:eastAsiaTheme="majorEastAsia" w:hAnsi="Arial Narrow" w:cs="Times New Roman"/>
                <w:b/>
                <w:sz w:val="20"/>
                <w:lang w:val="en-US"/>
              </w:rPr>
              <w:t>Comment</w:t>
            </w:r>
          </w:p>
        </w:tc>
      </w:tr>
      <w:tr w:rsidR="007B5BF7" w:rsidRPr="008A73C0" w14:paraId="410ED97B" w14:textId="77777777" w:rsidTr="00AE093F">
        <w:trPr>
          <w:tblHeader/>
        </w:trPr>
        <w:tc>
          <w:tcPr>
            <w:tcW w:w="9180" w:type="dxa"/>
            <w:gridSpan w:val="3"/>
            <w:vAlign w:val="center"/>
          </w:tcPr>
          <w:p w14:paraId="5E5369CE" w14:textId="77777777" w:rsidR="007B5BF7" w:rsidRPr="008A73C0" w:rsidRDefault="007B5BF7" w:rsidP="00C52E97">
            <w:pPr>
              <w:keepNext/>
              <w:jc w:val="left"/>
              <w:rPr>
                <w:rFonts w:ascii="Arial Narrow" w:eastAsiaTheme="majorEastAsia" w:hAnsi="Arial Narrow" w:cs="Times New Roman"/>
                <w:b/>
                <w:sz w:val="20"/>
                <w:lang w:val="en-US"/>
              </w:rPr>
            </w:pPr>
            <w:r w:rsidRPr="008A73C0">
              <w:rPr>
                <w:rFonts w:ascii="Arial Narrow" w:eastAsiaTheme="majorEastAsia" w:hAnsi="Arial Narrow" w:cs="Times New Roman"/>
                <w:b/>
                <w:sz w:val="20"/>
                <w:lang w:val="en-US"/>
              </w:rPr>
              <w:t>Eligible population</w:t>
            </w:r>
          </w:p>
        </w:tc>
      </w:tr>
      <w:tr w:rsidR="007B5BF7" w:rsidRPr="008A73C0" w14:paraId="3368014C" w14:textId="77777777" w:rsidTr="00AE093F">
        <w:trPr>
          <w:tblHeader/>
        </w:trPr>
        <w:tc>
          <w:tcPr>
            <w:tcW w:w="1526" w:type="dxa"/>
            <w:vAlign w:val="center"/>
          </w:tcPr>
          <w:p w14:paraId="71BA0EC2"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Primary program - Children aged 2-6 months</w:t>
            </w:r>
          </w:p>
        </w:tc>
        <w:tc>
          <w:tcPr>
            <w:tcW w:w="3998" w:type="dxa"/>
            <w:vAlign w:val="center"/>
          </w:tcPr>
          <w:p w14:paraId="09D528D5" w14:textId="77777777" w:rsidR="007B5BF7" w:rsidRPr="008A73C0" w:rsidRDefault="007B5BF7" w:rsidP="00C52E97">
            <w:pPr>
              <w:keepNext/>
              <w:jc w:val="left"/>
              <w:rPr>
                <w:rFonts w:ascii="Arial Narrow" w:eastAsiaTheme="majorEastAsia" w:hAnsi="Arial Narrow" w:cs="Times New Roman"/>
                <w:bCs/>
                <w:sz w:val="20"/>
              </w:rPr>
            </w:pPr>
            <w:proofErr w:type="spellStart"/>
            <w:r w:rsidRPr="008A73C0">
              <w:rPr>
                <w:rFonts w:ascii="Arial Narrow" w:eastAsiaTheme="majorEastAsia" w:hAnsi="Arial Narrow" w:cs="Times New Roman"/>
                <w:bCs/>
                <w:sz w:val="20"/>
              </w:rPr>
              <w:t>Yr</w:t>
            </w:r>
            <w:proofErr w:type="spellEnd"/>
            <w:r w:rsidRPr="008A73C0">
              <w:rPr>
                <w:rFonts w:ascii="Arial Narrow" w:eastAsiaTheme="majorEastAsia" w:hAnsi="Arial Narrow" w:cs="Times New Roman"/>
                <w:bCs/>
                <w:sz w:val="20"/>
              </w:rPr>
              <w:t xml:space="preserve"> 1: 348,159</w:t>
            </w:r>
            <w:r>
              <w:rPr>
                <w:rFonts w:ascii="Arial Narrow" w:eastAsiaTheme="majorEastAsia" w:hAnsi="Arial Narrow" w:cs="Times New Roman"/>
                <w:bCs/>
                <w:sz w:val="20"/>
              </w:rPr>
              <w:t xml:space="preserve"> to </w:t>
            </w:r>
            <w:proofErr w:type="spellStart"/>
            <w:r w:rsidRPr="008A73C0">
              <w:rPr>
                <w:rFonts w:ascii="Arial Narrow" w:eastAsiaTheme="majorEastAsia" w:hAnsi="Arial Narrow" w:cs="Times New Roman"/>
                <w:bCs/>
                <w:sz w:val="20"/>
              </w:rPr>
              <w:t>Yr</w:t>
            </w:r>
            <w:proofErr w:type="spellEnd"/>
            <w:r w:rsidRPr="008A73C0">
              <w:rPr>
                <w:rFonts w:ascii="Arial Narrow" w:eastAsiaTheme="majorEastAsia" w:hAnsi="Arial Narrow" w:cs="Times New Roman"/>
                <w:bCs/>
                <w:sz w:val="20"/>
              </w:rPr>
              <w:t xml:space="preserve"> 6: 370,252</w:t>
            </w:r>
          </w:p>
          <w:p w14:paraId="518C2CB3"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ABS population data (3222.0 Series B)</w:t>
            </w:r>
          </w:p>
        </w:tc>
        <w:tc>
          <w:tcPr>
            <w:tcW w:w="3656" w:type="dxa"/>
            <w:vAlign w:val="center"/>
          </w:tcPr>
          <w:p w14:paraId="099BA726" w14:textId="77777777" w:rsidR="007B5BF7" w:rsidRPr="00910346" w:rsidRDefault="007B5BF7" w:rsidP="00C52E97">
            <w:pPr>
              <w:keepNext/>
              <w:jc w:val="left"/>
              <w:rPr>
                <w:rFonts w:ascii="Arial Narrow" w:eastAsiaTheme="majorEastAsia" w:hAnsi="Arial Narrow" w:cs="Times New Roman"/>
                <w:bCs/>
                <w:sz w:val="20"/>
              </w:rPr>
            </w:pPr>
            <w:r w:rsidRPr="00910346">
              <w:rPr>
                <w:rFonts w:ascii="Arial Narrow" w:eastAsiaTheme="majorEastAsia" w:hAnsi="Arial Narrow" w:cs="Times New Roman"/>
                <w:bCs/>
                <w:sz w:val="20"/>
              </w:rPr>
              <w:t>This source is appropriate.</w:t>
            </w:r>
          </w:p>
        </w:tc>
      </w:tr>
      <w:tr w:rsidR="007B5BF7" w:rsidRPr="008A73C0" w14:paraId="29B3A260" w14:textId="77777777" w:rsidTr="00AE093F">
        <w:trPr>
          <w:tblHeader/>
        </w:trPr>
        <w:tc>
          <w:tcPr>
            <w:tcW w:w="1526" w:type="dxa"/>
            <w:vAlign w:val="center"/>
          </w:tcPr>
          <w:p w14:paraId="380685B2"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Catch-up program - &lt;10 years</w:t>
            </w:r>
          </w:p>
        </w:tc>
        <w:tc>
          <w:tcPr>
            <w:tcW w:w="3998" w:type="dxa"/>
            <w:vAlign w:val="center"/>
          </w:tcPr>
          <w:p w14:paraId="6D43C345" w14:textId="77777777" w:rsidR="007B5BF7" w:rsidRPr="008A73C0" w:rsidRDefault="007B5BF7" w:rsidP="00C52E97">
            <w:pPr>
              <w:keepNext/>
              <w:jc w:val="left"/>
              <w:rPr>
                <w:rFonts w:ascii="Arial Narrow" w:eastAsiaTheme="majorEastAsia" w:hAnsi="Arial Narrow" w:cs="Times New Roman"/>
                <w:bCs/>
                <w:sz w:val="20"/>
              </w:rPr>
            </w:pPr>
            <w:proofErr w:type="spellStart"/>
            <w:r w:rsidRPr="008A73C0">
              <w:rPr>
                <w:rFonts w:ascii="Arial Narrow" w:eastAsiaTheme="majorEastAsia" w:hAnsi="Arial Narrow" w:cs="Times New Roman"/>
                <w:bCs/>
                <w:sz w:val="20"/>
              </w:rPr>
              <w:t>Yr</w:t>
            </w:r>
            <w:proofErr w:type="spellEnd"/>
            <w:r w:rsidRPr="008A73C0">
              <w:rPr>
                <w:rFonts w:ascii="Arial Narrow" w:eastAsiaTheme="majorEastAsia" w:hAnsi="Arial Narrow" w:cs="Times New Roman"/>
                <w:bCs/>
                <w:sz w:val="20"/>
              </w:rPr>
              <w:t xml:space="preserve"> 1: 73,052</w:t>
            </w:r>
            <w:r>
              <w:rPr>
                <w:rFonts w:ascii="Arial Narrow" w:eastAsiaTheme="majorEastAsia" w:hAnsi="Arial Narrow" w:cs="Times New Roman"/>
                <w:bCs/>
                <w:sz w:val="20"/>
              </w:rPr>
              <w:t xml:space="preserve"> to </w:t>
            </w:r>
            <w:proofErr w:type="spellStart"/>
            <w:r w:rsidRPr="008A73C0">
              <w:rPr>
                <w:rFonts w:ascii="Arial Narrow" w:eastAsiaTheme="majorEastAsia" w:hAnsi="Arial Narrow" w:cs="Times New Roman"/>
                <w:bCs/>
                <w:sz w:val="20"/>
              </w:rPr>
              <w:t>Yr</w:t>
            </w:r>
            <w:proofErr w:type="spellEnd"/>
            <w:r w:rsidRPr="008A73C0">
              <w:rPr>
                <w:rFonts w:ascii="Arial Narrow" w:eastAsiaTheme="majorEastAsia" w:hAnsi="Arial Narrow" w:cs="Times New Roman"/>
                <w:bCs/>
                <w:sz w:val="20"/>
              </w:rPr>
              <w:t xml:space="preserve"> 6: 78,737</w:t>
            </w:r>
          </w:p>
          <w:p w14:paraId="5BA72474"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ABS population estimates for &lt;10 years of age and uptake rates in primary and catch-up programs.</w:t>
            </w:r>
          </w:p>
        </w:tc>
        <w:tc>
          <w:tcPr>
            <w:tcW w:w="3656" w:type="dxa"/>
            <w:vAlign w:val="center"/>
          </w:tcPr>
          <w:p w14:paraId="362E4FAE" w14:textId="77777777" w:rsidR="007B5BF7" w:rsidRPr="00910346" w:rsidRDefault="007B5BF7" w:rsidP="00C52E97">
            <w:pPr>
              <w:keepNext/>
              <w:jc w:val="left"/>
              <w:rPr>
                <w:rFonts w:ascii="Arial Narrow" w:eastAsiaTheme="majorEastAsia" w:hAnsi="Arial Narrow" w:cs="Times New Roman"/>
                <w:bCs/>
                <w:sz w:val="20"/>
              </w:rPr>
            </w:pPr>
            <w:r w:rsidRPr="00910346">
              <w:rPr>
                <w:rFonts w:ascii="Arial Narrow" w:eastAsiaTheme="majorEastAsia" w:hAnsi="Arial Narrow" w:cs="Times New Roman"/>
                <w:bCs/>
                <w:sz w:val="20"/>
              </w:rPr>
              <w:t>This calculation is appropriate.</w:t>
            </w:r>
          </w:p>
        </w:tc>
      </w:tr>
      <w:tr w:rsidR="007B5BF7" w:rsidRPr="008A73C0" w14:paraId="3640A2B1" w14:textId="77777777" w:rsidTr="00AE093F">
        <w:trPr>
          <w:tblHeader/>
        </w:trPr>
        <w:tc>
          <w:tcPr>
            <w:tcW w:w="9180" w:type="dxa"/>
            <w:gridSpan w:val="3"/>
            <w:vAlign w:val="center"/>
          </w:tcPr>
          <w:p w14:paraId="6B690062" w14:textId="77777777" w:rsidR="007B5BF7" w:rsidRPr="00910346" w:rsidRDefault="007B5BF7" w:rsidP="00C52E97">
            <w:pPr>
              <w:keepNext/>
              <w:jc w:val="left"/>
              <w:rPr>
                <w:rFonts w:ascii="Arial Narrow" w:eastAsiaTheme="majorEastAsia" w:hAnsi="Arial Narrow" w:cs="Times New Roman"/>
                <w:b/>
                <w:bCs/>
                <w:sz w:val="20"/>
              </w:rPr>
            </w:pPr>
            <w:r w:rsidRPr="00910346">
              <w:rPr>
                <w:rFonts w:ascii="Arial Narrow" w:eastAsiaTheme="majorEastAsia" w:hAnsi="Arial Narrow" w:cs="Times New Roman"/>
                <w:b/>
                <w:bCs/>
                <w:sz w:val="20"/>
              </w:rPr>
              <w:t>Uptake rates</w:t>
            </w:r>
          </w:p>
        </w:tc>
      </w:tr>
      <w:tr w:rsidR="007B5BF7" w:rsidRPr="008A73C0" w14:paraId="667921F5" w14:textId="77777777" w:rsidTr="00AE093F">
        <w:trPr>
          <w:tblHeader/>
        </w:trPr>
        <w:tc>
          <w:tcPr>
            <w:tcW w:w="1526" w:type="dxa"/>
            <w:vAlign w:val="center"/>
          </w:tcPr>
          <w:p w14:paraId="68AE3A23"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Uptake rate – Primary program</w:t>
            </w:r>
          </w:p>
        </w:tc>
        <w:tc>
          <w:tcPr>
            <w:tcW w:w="3998" w:type="dxa"/>
            <w:vAlign w:val="center"/>
          </w:tcPr>
          <w:p w14:paraId="7EF948BF"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95%</w:t>
            </w:r>
          </w:p>
          <w:p w14:paraId="3C68C724"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Department of Health</w:t>
            </w:r>
          </w:p>
        </w:tc>
        <w:tc>
          <w:tcPr>
            <w:tcW w:w="3656" w:type="dxa"/>
            <w:vAlign w:val="center"/>
          </w:tcPr>
          <w:p w14:paraId="1AAC7E61" w14:textId="77777777" w:rsidR="007B5BF7" w:rsidRPr="00910346" w:rsidRDefault="007B5BF7" w:rsidP="00C52E97">
            <w:pPr>
              <w:keepNext/>
              <w:jc w:val="left"/>
              <w:rPr>
                <w:rFonts w:ascii="Arial Narrow" w:eastAsiaTheme="majorEastAsia" w:hAnsi="Arial Narrow" w:cs="Times New Roman"/>
                <w:bCs/>
                <w:sz w:val="20"/>
              </w:rPr>
            </w:pPr>
            <w:r w:rsidRPr="00910346">
              <w:rPr>
                <w:rFonts w:ascii="Arial Narrow" w:eastAsiaTheme="majorEastAsia" w:hAnsi="Arial Narrow" w:cs="Times New Roman"/>
                <w:bCs/>
                <w:sz w:val="20"/>
              </w:rPr>
              <w:t>This assumption is reasonable.</w:t>
            </w:r>
          </w:p>
        </w:tc>
      </w:tr>
      <w:tr w:rsidR="007B5BF7" w:rsidRPr="008A73C0" w14:paraId="5756D868" w14:textId="77777777" w:rsidTr="00AE093F">
        <w:trPr>
          <w:tblHeader/>
        </w:trPr>
        <w:tc>
          <w:tcPr>
            <w:tcW w:w="1526" w:type="dxa"/>
            <w:vAlign w:val="center"/>
          </w:tcPr>
          <w:p w14:paraId="5018A239"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Uptake rate – Catch-up program</w:t>
            </w:r>
          </w:p>
        </w:tc>
        <w:tc>
          <w:tcPr>
            <w:tcW w:w="3998" w:type="dxa"/>
            <w:vAlign w:val="center"/>
          </w:tcPr>
          <w:p w14:paraId="5C1445F6"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20%</w:t>
            </w:r>
          </w:p>
          <w:p w14:paraId="10CCE5BB"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Assumption</w:t>
            </w:r>
          </w:p>
        </w:tc>
        <w:tc>
          <w:tcPr>
            <w:tcW w:w="3656" w:type="dxa"/>
            <w:vAlign w:val="center"/>
          </w:tcPr>
          <w:p w14:paraId="1F95F7F9" w14:textId="77777777" w:rsidR="007B5BF7" w:rsidRPr="00910346" w:rsidRDefault="007B5BF7" w:rsidP="00C52E97">
            <w:pPr>
              <w:keepNext/>
              <w:jc w:val="left"/>
              <w:rPr>
                <w:rFonts w:ascii="Arial Narrow" w:eastAsiaTheme="majorEastAsia" w:hAnsi="Arial Narrow" w:cs="Times New Roman"/>
                <w:bCs/>
                <w:sz w:val="20"/>
              </w:rPr>
            </w:pPr>
            <w:r w:rsidRPr="00910346">
              <w:rPr>
                <w:rFonts w:ascii="Arial Narrow" w:eastAsiaTheme="majorEastAsia" w:hAnsi="Arial Narrow" w:cs="Times New Roman"/>
                <w:bCs/>
                <w:sz w:val="20"/>
              </w:rPr>
              <w:t>This assumption is reasonable.</w:t>
            </w:r>
          </w:p>
        </w:tc>
      </w:tr>
      <w:tr w:rsidR="007B5BF7" w:rsidRPr="008A73C0" w14:paraId="08BC8C5B" w14:textId="77777777" w:rsidTr="00AE093F">
        <w:trPr>
          <w:tblHeader/>
        </w:trPr>
        <w:tc>
          <w:tcPr>
            <w:tcW w:w="9180" w:type="dxa"/>
            <w:gridSpan w:val="3"/>
            <w:vAlign w:val="center"/>
          </w:tcPr>
          <w:p w14:paraId="39B8FC87" w14:textId="77777777" w:rsidR="007B5BF7" w:rsidRPr="00910346" w:rsidRDefault="007B5BF7" w:rsidP="00C52E97">
            <w:pPr>
              <w:keepNext/>
              <w:jc w:val="left"/>
              <w:rPr>
                <w:rFonts w:ascii="Arial Narrow" w:eastAsiaTheme="majorEastAsia" w:hAnsi="Arial Narrow" w:cs="Times New Roman"/>
                <w:bCs/>
                <w:sz w:val="20"/>
              </w:rPr>
            </w:pPr>
            <w:r w:rsidRPr="00910346">
              <w:rPr>
                <w:rFonts w:ascii="Arial Narrow" w:eastAsiaTheme="majorEastAsia" w:hAnsi="Arial Narrow" w:cs="Times New Roman"/>
                <w:b/>
                <w:bCs/>
                <w:sz w:val="20"/>
              </w:rPr>
              <w:t xml:space="preserve">Market share (with listing of </w:t>
            </w:r>
            <w:proofErr w:type="spellStart"/>
            <w:r w:rsidRPr="00910346">
              <w:rPr>
                <w:rFonts w:ascii="Arial Narrow" w:eastAsiaTheme="majorEastAsia" w:hAnsi="Arial Narrow" w:cs="Times New Roman"/>
                <w:b/>
                <w:bCs/>
                <w:sz w:val="20"/>
              </w:rPr>
              <w:t>Vaxelis</w:t>
            </w:r>
            <w:proofErr w:type="spellEnd"/>
            <w:r w:rsidRPr="00910346">
              <w:rPr>
                <w:rFonts w:ascii="Arial Narrow" w:eastAsiaTheme="majorEastAsia" w:hAnsi="Arial Narrow" w:cs="Times New Roman"/>
                <w:b/>
                <w:bCs/>
                <w:sz w:val="20"/>
              </w:rPr>
              <w:t>)</w:t>
            </w:r>
          </w:p>
        </w:tc>
      </w:tr>
      <w:tr w:rsidR="007B5BF7" w:rsidRPr="008A73C0" w14:paraId="384B41DE" w14:textId="77777777" w:rsidTr="00AE093F">
        <w:trPr>
          <w:trHeight w:val="572"/>
          <w:tblHeader/>
        </w:trPr>
        <w:tc>
          <w:tcPr>
            <w:tcW w:w="1526" w:type="dxa"/>
            <w:vAlign w:val="center"/>
          </w:tcPr>
          <w:p w14:paraId="44613335" w14:textId="23CBEB21"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 xml:space="preserve">Infanrix </w:t>
            </w:r>
            <w:proofErr w:type="spellStart"/>
            <w:r w:rsidR="00AE2917">
              <w:rPr>
                <w:rFonts w:ascii="Arial Narrow" w:eastAsiaTheme="majorEastAsia" w:hAnsi="Arial Narrow" w:cs="Times New Roman"/>
                <w:bCs/>
                <w:sz w:val="20"/>
              </w:rPr>
              <w:t>Hexa</w:t>
            </w:r>
            <w:proofErr w:type="spellEnd"/>
          </w:p>
        </w:tc>
        <w:tc>
          <w:tcPr>
            <w:tcW w:w="3998" w:type="dxa"/>
            <w:vMerge w:val="restart"/>
            <w:vAlign w:val="center"/>
          </w:tcPr>
          <w:p w14:paraId="5FF66247"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50%</w:t>
            </w:r>
            <w:r>
              <w:rPr>
                <w:rFonts w:ascii="Arial Narrow" w:eastAsiaTheme="majorEastAsia" w:hAnsi="Arial Narrow" w:cs="Times New Roman"/>
                <w:bCs/>
                <w:sz w:val="20"/>
              </w:rPr>
              <w:t xml:space="preserve"> each</w:t>
            </w:r>
          </w:p>
          <w:p w14:paraId="0A251876" w14:textId="77777777" w:rsidR="007B5BF7" w:rsidRPr="008A73C0" w:rsidRDefault="007B5BF7" w:rsidP="00C52E97">
            <w:pPr>
              <w:keepNext/>
              <w:jc w:val="left"/>
              <w:rPr>
                <w:rFonts w:ascii="Arial Narrow" w:eastAsiaTheme="majorEastAsia" w:hAnsi="Arial Narrow" w:cs="Times New Roman"/>
                <w:bCs/>
                <w:sz w:val="20"/>
              </w:rPr>
            </w:pPr>
            <w:r w:rsidRPr="008A73C0">
              <w:rPr>
                <w:rFonts w:ascii="Arial Narrow" w:eastAsiaTheme="majorEastAsia" w:hAnsi="Arial Narrow" w:cs="Times New Roman"/>
                <w:bCs/>
                <w:sz w:val="20"/>
              </w:rPr>
              <w:t>Assumption</w:t>
            </w:r>
          </w:p>
        </w:tc>
        <w:tc>
          <w:tcPr>
            <w:tcW w:w="3656" w:type="dxa"/>
            <w:vMerge w:val="restart"/>
            <w:vAlign w:val="center"/>
          </w:tcPr>
          <w:p w14:paraId="4C28121A" w14:textId="61080763" w:rsidR="007B5BF7" w:rsidRPr="00910346" w:rsidRDefault="007B5BF7" w:rsidP="00D40711">
            <w:pPr>
              <w:keepNext/>
              <w:jc w:val="left"/>
              <w:rPr>
                <w:rFonts w:ascii="Arial Narrow" w:eastAsiaTheme="majorEastAsia" w:hAnsi="Arial Narrow" w:cs="Times New Roman"/>
                <w:bCs/>
                <w:sz w:val="20"/>
              </w:rPr>
            </w:pPr>
            <w:r w:rsidRPr="00910346">
              <w:rPr>
                <w:rFonts w:ascii="Arial Narrow" w:eastAsiaTheme="majorEastAsia" w:hAnsi="Arial Narrow" w:cs="Times New Roman"/>
                <w:bCs/>
                <w:sz w:val="20"/>
              </w:rPr>
              <w:t xml:space="preserve">Although the assumed market share is uncertain, there is no impact on the estimated financial implication to NIP given the direct substitution for Infanrix </w:t>
            </w:r>
            <w:proofErr w:type="spellStart"/>
            <w:r w:rsidR="00AE2917">
              <w:rPr>
                <w:rFonts w:ascii="Arial Narrow" w:eastAsiaTheme="majorEastAsia" w:hAnsi="Arial Narrow" w:cs="Times New Roman"/>
                <w:bCs/>
                <w:sz w:val="20"/>
              </w:rPr>
              <w:t>Hexa</w:t>
            </w:r>
            <w:proofErr w:type="spellEnd"/>
            <w:r w:rsidRPr="00910346">
              <w:rPr>
                <w:rFonts w:ascii="Arial Narrow" w:eastAsiaTheme="majorEastAsia" w:hAnsi="Arial Narrow" w:cs="Times New Roman"/>
                <w:bCs/>
                <w:sz w:val="20"/>
              </w:rPr>
              <w:t xml:space="preserve"> </w:t>
            </w:r>
            <w:r w:rsidR="00D40711" w:rsidRPr="00910346">
              <w:rPr>
                <w:rFonts w:ascii="Arial Narrow" w:eastAsiaTheme="majorEastAsia" w:hAnsi="Arial Narrow" w:cs="Times New Roman"/>
                <w:bCs/>
                <w:sz w:val="20"/>
              </w:rPr>
              <w:t xml:space="preserve">at </w:t>
            </w:r>
            <w:r w:rsidRPr="00910346">
              <w:rPr>
                <w:rFonts w:ascii="Arial Narrow" w:eastAsiaTheme="majorEastAsia" w:hAnsi="Arial Narrow" w:cs="Times New Roman"/>
                <w:bCs/>
                <w:sz w:val="20"/>
              </w:rPr>
              <w:t xml:space="preserve">the proposed same price. </w:t>
            </w:r>
          </w:p>
        </w:tc>
      </w:tr>
      <w:tr w:rsidR="007B5BF7" w:rsidRPr="008A73C0" w14:paraId="75B438C3" w14:textId="77777777" w:rsidTr="00AE093F">
        <w:trPr>
          <w:tblHeader/>
        </w:trPr>
        <w:tc>
          <w:tcPr>
            <w:tcW w:w="1526" w:type="dxa"/>
            <w:vAlign w:val="center"/>
          </w:tcPr>
          <w:p w14:paraId="3A2AB3FF" w14:textId="77777777" w:rsidR="007B5BF7" w:rsidRPr="008A73C0" w:rsidRDefault="007B5BF7" w:rsidP="00C52E97">
            <w:pPr>
              <w:keepNext/>
              <w:jc w:val="left"/>
              <w:rPr>
                <w:rFonts w:ascii="Arial Narrow" w:eastAsiaTheme="majorEastAsia" w:hAnsi="Arial Narrow" w:cs="Times New Roman"/>
                <w:bCs/>
                <w:sz w:val="20"/>
              </w:rPr>
            </w:pPr>
            <w:proofErr w:type="spellStart"/>
            <w:r w:rsidRPr="008A73C0">
              <w:rPr>
                <w:rFonts w:ascii="Arial Narrow" w:eastAsiaTheme="majorEastAsia" w:hAnsi="Arial Narrow" w:cs="Times New Roman"/>
                <w:bCs/>
                <w:sz w:val="20"/>
              </w:rPr>
              <w:t>Vaxelis</w:t>
            </w:r>
            <w:proofErr w:type="spellEnd"/>
          </w:p>
        </w:tc>
        <w:tc>
          <w:tcPr>
            <w:tcW w:w="3998" w:type="dxa"/>
            <w:vMerge/>
            <w:vAlign w:val="center"/>
          </w:tcPr>
          <w:p w14:paraId="13480905" w14:textId="77777777" w:rsidR="007B5BF7" w:rsidRPr="008A73C0" w:rsidRDefault="007B5BF7" w:rsidP="00C52E97">
            <w:pPr>
              <w:keepNext/>
              <w:jc w:val="left"/>
              <w:rPr>
                <w:rFonts w:ascii="Arial Narrow" w:eastAsiaTheme="majorEastAsia" w:hAnsi="Arial Narrow" w:cs="Times New Roman"/>
                <w:bCs/>
                <w:sz w:val="20"/>
              </w:rPr>
            </w:pPr>
          </w:p>
        </w:tc>
        <w:tc>
          <w:tcPr>
            <w:tcW w:w="3656" w:type="dxa"/>
            <w:vMerge/>
            <w:vAlign w:val="center"/>
          </w:tcPr>
          <w:p w14:paraId="4D8EADF4" w14:textId="77777777" w:rsidR="007B5BF7" w:rsidRPr="008A73C0" w:rsidRDefault="007B5BF7" w:rsidP="00C52E97">
            <w:pPr>
              <w:keepNext/>
              <w:jc w:val="left"/>
              <w:rPr>
                <w:rFonts w:ascii="Arial Narrow" w:eastAsiaTheme="majorEastAsia" w:hAnsi="Arial Narrow" w:cs="Times New Roman"/>
                <w:bCs/>
                <w:i/>
                <w:sz w:val="20"/>
              </w:rPr>
            </w:pPr>
          </w:p>
        </w:tc>
      </w:tr>
    </w:tbl>
    <w:p w14:paraId="1DF289DA" w14:textId="77777777" w:rsidR="007B5BF7" w:rsidRPr="000E2442" w:rsidRDefault="007B5BF7" w:rsidP="007B5BF7">
      <w:pPr>
        <w:pStyle w:val="TableFigureFooter"/>
      </w:pPr>
      <w:r>
        <w:t xml:space="preserve">Source: </w:t>
      </w:r>
      <w:r w:rsidRPr="006744D4">
        <w:t>Section 4 workbook ‘4.1. Work</w:t>
      </w:r>
      <w:bookmarkStart w:id="40" w:name="_Hlk99117879"/>
      <w:r w:rsidRPr="006744D4">
        <w:t>sheet’</w:t>
      </w:r>
      <w:bookmarkEnd w:id="40"/>
    </w:p>
    <w:p w14:paraId="7C9F3128" w14:textId="77777777" w:rsidR="007B5BF7" w:rsidRPr="003629E0" w:rsidRDefault="007B5BF7" w:rsidP="007B5BF7">
      <w:pPr>
        <w:pStyle w:val="3-BodyText"/>
      </w:pPr>
      <w:r w:rsidRPr="003629E0">
        <w:t>The submission estimated the number of eligible children for the primary and catch-up vaccination program based on ABS population projections for the years 2022-2027. All children under the age of 1 year were deemed eligible for the primary vaccination program. The number of children eligible for catch-up vaccination was based on unvaccinated children aged 1-9 years.</w:t>
      </w:r>
    </w:p>
    <w:p w14:paraId="022DB7E2" w14:textId="357C1B1C" w:rsidR="007B5BF7" w:rsidRPr="00910346" w:rsidRDefault="007B5BF7" w:rsidP="007B5BF7">
      <w:pPr>
        <w:pStyle w:val="3-BodyText"/>
      </w:pPr>
      <w:r>
        <w:t>The submission further assumed that 95% of eligible infants would be vaccinated in the primary program</w:t>
      </w:r>
      <w:r w:rsidR="00310218">
        <w:t>,</w:t>
      </w:r>
      <w:r>
        <w:t xml:space="preserve"> and 20% of unvaccinated children under 10 years of age would be vaccinated in the catch-up program. </w:t>
      </w:r>
      <w:r w:rsidRPr="00910346">
        <w:t xml:space="preserve">These are consistent with the current immunisation rates in Australia </w:t>
      </w:r>
      <w:r w:rsidR="00505519" w:rsidRPr="00910346">
        <w:t>for</w:t>
      </w:r>
      <w:r w:rsidRPr="00910346">
        <w:t xml:space="preserve"> both the programs.</w:t>
      </w:r>
    </w:p>
    <w:p w14:paraId="2EF3FF64" w14:textId="7A42EB16" w:rsidR="007B5BF7" w:rsidRDefault="007B5BF7" w:rsidP="007B5BF7">
      <w:pPr>
        <w:pStyle w:val="3-BodyText"/>
      </w:pPr>
      <w:r w:rsidRPr="00910346">
        <w:t xml:space="preserve">Equal market share between Infanrix </w:t>
      </w:r>
      <w:proofErr w:type="spellStart"/>
      <w:r w:rsidR="00AE2917">
        <w:t>Hexa</w:t>
      </w:r>
      <w:proofErr w:type="spellEnd"/>
      <w:r w:rsidRPr="00910346">
        <w:t xml:space="preserve"> and </w:t>
      </w:r>
      <w:proofErr w:type="spellStart"/>
      <w:r w:rsidRPr="00910346">
        <w:t>Vaxelis</w:t>
      </w:r>
      <w:proofErr w:type="spellEnd"/>
      <w:r w:rsidRPr="00910346">
        <w:t xml:space="preserve"> </w:t>
      </w:r>
      <w:r w:rsidR="00310218" w:rsidRPr="00910346">
        <w:t>was</w:t>
      </w:r>
      <w:r w:rsidRPr="00910346">
        <w:t xml:space="preserve"> assumed after listing of </w:t>
      </w:r>
      <w:proofErr w:type="spellStart"/>
      <w:r w:rsidRPr="00910346">
        <w:t>Vaxelis</w:t>
      </w:r>
      <w:proofErr w:type="spellEnd"/>
      <w:r w:rsidRPr="00910346">
        <w:t xml:space="preserve">. </w:t>
      </w:r>
      <w:r w:rsidR="003629E0" w:rsidRPr="00910346">
        <w:t>G</w:t>
      </w:r>
      <w:r w:rsidRPr="00910346">
        <w:t xml:space="preserve">iven that </w:t>
      </w:r>
      <w:proofErr w:type="spellStart"/>
      <w:r w:rsidRPr="00910346">
        <w:t>Vaxelis</w:t>
      </w:r>
      <w:proofErr w:type="spellEnd"/>
      <w:r w:rsidRPr="00910346">
        <w:t xml:space="preserve"> is easy to administer and ready-made, it is possible that market share of </w:t>
      </w:r>
      <w:proofErr w:type="spellStart"/>
      <w:r w:rsidRPr="00910346">
        <w:t>Vaxelis</w:t>
      </w:r>
      <w:proofErr w:type="spellEnd"/>
      <w:r w:rsidRPr="00910346">
        <w:t xml:space="preserve"> will progressively increase over</w:t>
      </w:r>
      <w:r w:rsidR="00310218" w:rsidRPr="00910346">
        <w:t xml:space="preserve"> that for</w:t>
      </w:r>
      <w:r w:rsidRPr="00910346">
        <w:t xml:space="preserve"> Infanrix</w:t>
      </w:r>
      <w:r w:rsidR="006857B1" w:rsidRPr="00910346">
        <w:t xml:space="preserve"> </w:t>
      </w:r>
      <w:proofErr w:type="spellStart"/>
      <w:r w:rsidR="00AE2917">
        <w:t>Hexa</w:t>
      </w:r>
      <w:proofErr w:type="spellEnd"/>
      <w:r w:rsidRPr="00910346">
        <w:t xml:space="preserve">. </w:t>
      </w:r>
      <w:r w:rsidR="003629E0" w:rsidRPr="00910346">
        <w:t>Non</w:t>
      </w:r>
      <w:r w:rsidR="000A6003" w:rsidRPr="00910346">
        <w:t>e</w:t>
      </w:r>
      <w:r w:rsidR="003629E0" w:rsidRPr="00910346">
        <w:t>theless, there will be no impact on the estimated financial implications to</w:t>
      </w:r>
      <w:r w:rsidR="00D10A3B" w:rsidRPr="00910346">
        <w:t xml:space="preserve"> the</w:t>
      </w:r>
      <w:r w:rsidR="003629E0" w:rsidRPr="00910346">
        <w:t xml:space="preserve"> NIP due to the direct substitution at the same doses and prices. </w:t>
      </w:r>
      <w:r w:rsidRPr="00910346">
        <w:t>The</w:t>
      </w:r>
      <w:r>
        <w:t xml:space="preserve"> estimated use and financial implications of </w:t>
      </w:r>
      <w:proofErr w:type="spellStart"/>
      <w:r>
        <w:t>Vaxelis</w:t>
      </w:r>
      <w:proofErr w:type="spellEnd"/>
      <w:r>
        <w:t xml:space="preserve"> are summarised </w:t>
      </w:r>
      <w:r w:rsidR="002B16A5">
        <w:t xml:space="preserve">in Table </w:t>
      </w:r>
      <w:r w:rsidR="009B7F56">
        <w:t>9</w:t>
      </w:r>
      <w:r>
        <w:t>.</w:t>
      </w:r>
    </w:p>
    <w:p w14:paraId="61997233" w14:textId="64FD1779" w:rsidR="007B5BF7" w:rsidRPr="00606FBA" w:rsidRDefault="005A268C" w:rsidP="007B5BF7">
      <w:pPr>
        <w:pStyle w:val="TableFigureHeading"/>
      </w:pPr>
      <w:r>
        <w:lastRenderedPageBreak/>
        <w:t xml:space="preserve">Table </w:t>
      </w:r>
      <w:fldSimple w:instr=" SEQ Table \* ARABIC ">
        <w:r w:rsidR="00B5627B">
          <w:rPr>
            <w:noProof/>
          </w:rPr>
          <w:t>9</w:t>
        </w:r>
      </w:fldSimple>
      <w:r w:rsidR="007B5BF7">
        <w:t xml:space="preserve">: </w:t>
      </w:r>
      <w:r w:rsidR="007B5BF7" w:rsidRPr="000D38FA">
        <w:t xml:space="preserve">Estimated use </w:t>
      </w:r>
      <w:r w:rsidR="007B5BF7">
        <w:t xml:space="preserve">of </w:t>
      </w:r>
      <w:proofErr w:type="spellStart"/>
      <w:r w:rsidR="007B5BF7">
        <w:t>Vaxelis</w:t>
      </w:r>
      <w:proofErr w:type="spellEnd"/>
      <w:r w:rsidR="007B5BF7">
        <w:t xml:space="preserve"> </w:t>
      </w:r>
      <w:r w:rsidR="007B5BF7" w:rsidRPr="000D38FA">
        <w:t>and financial implications</w:t>
      </w:r>
      <w:r w:rsidR="007B5BF7">
        <w:t xml:space="preserve"> to NIP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Estimated use of Vaxelis and financial implications to NIP"/>
      </w:tblPr>
      <w:tblGrid>
        <w:gridCol w:w="2014"/>
        <w:gridCol w:w="1167"/>
        <w:gridCol w:w="1167"/>
        <w:gridCol w:w="1167"/>
        <w:gridCol w:w="1167"/>
        <w:gridCol w:w="1167"/>
        <w:gridCol w:w="1171"/>
      </w:tblGrid>
      <w:tr w:rsidR="007B5BF7" w:rsidRPr="00D1078F" w14:paraId="5A0DD366" w14:textId="77777777" w:rsidTr="00C52E97">
        <w:trPr>
          <w:tblHeader/>
        </w:trPr>
        <w:tc>
          <w:tcPr>
            <w:tcW w:w="1116" w:type="pct"/>
            <w:shd w:val="clear" w:color="auto" w:fill="auto"/>
            <w:vAlign w:val="center"/>
          </w:tcPr>
          <w:p w14:paraId="56BEFB52" w14:textId="77777777" w:rsidR="007B5BF7" w:rsidRPr="003639A6" w:rsidRDefault="007B5BF7" w:rsidP="00C52E97">
            <w:pPr>
              <w:pStyle w:val="In-tableHeading"/>
              <w:jc w:val="center"/>
            </w:pPr>
          </w:p>
        </w:tc>
        <w:tc>
          <w:tcPr>
            <w:tcW w:w="647" w:type="pct"/>
            <w:shd w:val="clear" w:color="auto" w:fill="auto"/>
            <w:vAlign w:val="center"/>
          </w:tcPr>
          <w:p w14:paraId="77BC6F19" w14:textId="77777777" w:rsidR="007B5BF7" w:rsidRPr="00D1078F" w:rsidRDefault="007B5BF7" w:rsidP="00C52E97">
            <w:pPr>
              <w:pStyle w:val="In-tableHeading"/>
              <w:jc w:val="center"/>
            </w:pPr>
            <w:r w:rsidRPr="00D1078F">
              <w:t>Year 1</w:t>
            </w:r>
          </w:p>
        </w:tc>
        <w:tc>
          <w:tcPr>
            <w:tcW w:w="647" w:type="pct"/>
            <w:shd w:val="clear" w:color="auto" w:fill="auto"/>
            <w:vAlign w:val="center"/>
          </w:tcPr>
          <w:p w14:paraId="12FF0B05" w14:textId="77777777" w:rsidR="007B5BF7" w:rsidRPr="00D1078F" w:rsidRDefault="007B5BF7" w:rsidP="00C52E97">
            <w:pPr>
              <w:pStyle w:val="In-tableHeading"/>
              <w:jc w:val="center"/>
            </w:pPr>
            <w:r w:rsidRPr="00D1078F">
              <w:t>Year 2</w:t>
            </w:r>
          </w:p>
        </w:tc>
        <w:tc>
          <w:tcPr>
            <w:tcW w:w="647" w:type="pct"/>
            <w:shd w:val="clear" w:color="auto" w:fill="auto"/>
            <w:vAlign w:val="center"/>
          </w:tcPr>
          <w:p w14:paraId="5D5678E2" w14:textId="77777777" w:rsidR="007B5BF7" w:rsidRPr="00D1078F" w:rsidRDefault="007B5BF7" w:rsidP="00C52E97">
            <w:pPr>
              <w:pStyle w:val="In-tableHeading"/>
              <w:jc w:val="center"/>
            </w:pPr>
            <w:r w:rsidRPr="00D1078F">
              <w:t>Year 3</w:t>
            </w:r>
          </w:p>
        </w:tc>
        <w:tc>
          <w:tcPr>
            <w:tcW w:w="647" w:type="pct"/>
            <w:shd w:val="clear" w:color="auto" w:fill="auto"/>
            <w:vAlign w:val="center"/>
          </w:tcPr>
          <w:p w14:paraId="59686D89" w14:textId="77777777" w:rsidR="007B5BF7" w:rsidRPr="00D1078F" w:rsidRDefault="007B5BF7" w:rsidP="00C52E97">
            <w:pPr>
              <w:pStyle w:val="In-tableHeading"/>
              <w:jc w:val="center"/>
            </w:pPr>
            <w:r w:rsidRPr="00D1078F">
              <w:t>Year 4</w:t>
            </w:r>
          </w:p>
        </w:tc>
        <w:tc>
          <w:tcPr>
            <w:tcW w:w="647" w:type="pct"/>
            <w:shd w:val="clear" w:color="auto" w:fill="auto"/>
            <w:vAlign w:val="center"/>
          </w:tcPr>
          <w:p w14:paraId="163F0F24" w14:textId="77777777" w:rsidR="007B5BF7" w:rsidRPr="00D1078F" w:rsidRDefault="007B5BF7" w:rsidP="00C52E97">
            <w:pPr>
              <w:pStyle w:val="In-tableHeading"/>
              <w:jc w:val="center"/>
            </w:pPr>
            <w:r w:rsidRPr="00D1078F">
              <w:t>Year 5</w:t>
            </w:r>
          </w:p>
        </w:tc>
        <w:tc>
          <w:tcPr>
            <w:tcW w:w="649" w:type="pct"/>
          </w:tcPr>
          <w:p w14:paraId="0C34A0E9" w14:textId="77777777" w:rsidR="007B5BF7" w:rsidRPr="00D1078F" w:rsidRDefault="007B5BF7" w:rsidP="00C52E97">
            <w:pPr>
              <w:pStyle w:val="In-tableHeading"/>
              <w:jc w:val="center"/>
            </w:pPr>
            <w:r w:rsidRPr="00D1078F">
              <w:t>Year 6</w:t>
            </w:r>
          </w:p>
        </w:tc>
      </w:tr>
      <w:tr w:rsidR="007B5BF7" w:rsidRPr="00D1078F" w14:paraId="7A3A2F29" w14:textId="77777777" w:rsidTr="00C52E97">
        <w:tc>
          <w:tcPr>
            <w:tcW w:w="5000" w:type="pct"/>
            <w:gridSpan w:val="7"/>
            <w:shd w:val="clear" w:color="auto" w:fill="auto"/>
            <w:vAlign w:val="center"/>
          </w:tcPr>
          <w:p w14:paraId="5F73D834" w14:textId="77777777" w:rsidR="007B5BF7" w:rsidRPr="00D1078F" w:rsidRDefault="007B5BF7" w:rsidP="00C52E97">
            <w:pPr>
              <w:pStyle w:val="In-tableHeading"/>
              <w:rPr>
                <w:bCs/>
                <w:color w:val="000000"/>
              </w:rPr>
            </w:pPr>
            <w:r w:rsidRPr="00D1078F">
              <w:rPr>
                <w:bCs/>
                <w:color w:val="000000"/>
              </w:rPr>
              <w:t>Estimated extent of use</w:t>
            </w:r>
          </w:p>
        </w:tc>
      </w:tr>
      <w:tr w:rsidR="007B5BF7" w:rsidRPr="003639A6" w14:paraId="601C704B" w14:textId="77777777" w:rsidTr="00C52E97">
        <w:tc>
          <w:tcPr>
            <w:tcW w:w="1116" w:type="pct"/>
            <w:shd w:val="clear" w:color="auto" w:fill="auto"/>
            <w:vAlign w:val="center"/>
          </w:tcPr>
          <w:p w14:paraId="253023CB" w14:textId="77777777" w:rsidR="007B5BF7" w:rsidRPr="003639A6" w:rsidRDefault="007B5BF7" w:rsidP="00C52E97">
            <w:pPr>
              <w:pStyle w:val="TableText0"/>
              <w:rPr>
                <w:rFonts w:ascii="Times" w:hAnsi="Times"/>
              </w:rPr>
            </w:pPr>
            <w:r w:rsidRPr="003639A6">
              <w:t xml:space="preserve">Number of </w:t>
            </w:r>
            <w:r>
              <w:t>children vaccinated</w:t>
            </w:r>
          </w:p>
        </w:tc>
        <w:tc>
          <w:tcPr>
            <w:tcW w:w="647" w:type="pct"/>
            <w:vAlign w:val="center"/>
          </w:tcPr>
          <w:p w14:paraId="42D9EBCD" w14:textId="7BCCDE9C" w:rsidR="007B5BF7" w:rsidRPr="007B1212" w:rsidRDefault="00A33A0E" w:rsidP="00C52E97">
            <w:pPr>
              <w:pStyle w:val="TableText0"/>
              <w:jc w:val="center"/>
              <w:rPr>
                <w:color w:val="000000"/>
                <w:highlight w:val="yellow"/>
              </w:rPr>
            </w:pPr>
            <w:r w:rsidRPr="00CA2BA2">
              <w:rPr>
                <w:rFonts w:cs="Arial" w:hint="eastAsia"/>
                <w:color w:val="000000"/>
                <w:w w:val="15"/>
                <w:shd w:val="solid" w:color="000000" w:fill="000000"/>
                <w:fitText w:val="23" w:id="-1501807866"/>
                <w14:textFill>
                  <w14:solidFill>
                    <w14:srgbClr w14:val="000000">
                      <w14:alpha w14:val="100000"/>
                    </w14:srgbClr>
                  </w14:solidFill>
                </w14:textFill>
              </w:rPr>
              <w:t xml:space="preserve">　</w:t>
            </w:r>
            <w:r w:rsidRPr="00CA2BA2">
              <w:rPr>
                <w:rFonts w:cs="Arial"/>
                <w:color w:val="000000"/>
                <w:w w:val="15"/>
                <w:shd w:val="solid" w:color="000000" w:fill="000000"/>
                <w:fitText w:val="23" w:id="-1501807866"/>
                <w14:textFill>
                  <w14:solidFill>
                    <w14:srgbClr w14:val="000000">
                      <w14:alpha w14:val="100000"/>
                    </w14:srgbClr>
                  </w14:solidFill>
                </w14:textFill>
              </w:rPr>
              <w:t>|</w:t>
            </w:r>
            <w:r w:rsidRPr="00CA2BA2">
              <w:rPr>
                <w:rFonts w:cs="Arial" w:hint="eastAsia"/>
                <w:color w:val="000000"/>
                <w:spacing w:val="-43"/>
                <w:w w:val="15"/>
                <w:shd w:val="solid" w:color="000000" w:fill="000000"/>
                <w:fitText w:val="23" w:id="-1501807866"/>
                <w14:textFill>
                  <w14:solidFill>
                    <w14:srgbClr w14:val="000000">
                      <w14:alpha w14:val="100000"/>
                    </w14:srgbClr>
                  </w14:solidFill>
                </w14:textFill>
              </w:rPr>
              <w:t xml:space="preserve">　</w:t>
            </w:r>
            <w:r w:rsidR="007B1212">
              <w:rPr>
                <w:vertAlign w:val="superscript"/>
              </w:rPr>
              <w:t>1</w:t>
            </w:r>
          </w:p>
        </w:tc>
        <w:tc>
          <w:tcPr>
            <w:tcW w:w="647" w:type="pct"/>
            <w:vAlign w:val="center"/>
          </w:tcPr>
          <w:p w14:paraId="3D37F522" w14:textId="166812D4" w:rsidR="007B5BF7" w:rsidRPr="007B1212" w:rsidRDefault="00A33A0E" w:rsidP="00C52E97">
            <w:pPr>
              <w:pStyle w:val="TableText0"/>
              <w:jc w:val="center"/>
              <w:rPr>
                <w:color w:val="000000"/>
                <w:highlight w:val="yellow"/>
              </w:rPr>
            </w:pPr>
            <w:r w:rsidRPr="00CA2BA2">
              <w:rPr>
                <w:rFonts w:cs="Arial" w:hint="eastAsia"/>
                <w:color w:val="000000"/>
                <w:w w:val="15"/>
                <w:shd w:val="solid" w:color="000000" w:fill="000000"/>
                <w:fitText w:val="22" w:id="-1501807865"/>
                <w14:textFill>
                  <w14:solidFill>
                    <w14:srgbClr w14:val="000000">
                      <w14:alpha w14:val="100000"/>
                    </w14:srgbClr>
                  </w14:solidFill>
                </w14:textFill>
              </w:rPr>
              <w:t xml:space="preserve">　</w:t>
            </w:r>
            <w:r w:rsidRPr="00CA2BA2">
              <w:rPr>
                <w:rFonts w:cs="Arial"/>
                <w:color w:val="000000"/>
                <w:w w:val="15"/>
                <w:shd w:val="solid" w:color="000000" w:fill="000000"/>
                <w:fitText w:val="22" w:id="-1501807865"/>
                <w14:textFill>
                  <w14:solidFill>
                    <w14:srgbClr w14:val="000000">
                      <w14:alpha w14:val="100000"/>
                    </w14:srgbClr>
                  </w14:solidFill>
                </w14:textFill>
              </w:rPr>
              <w:t>|</w:t>
            </w:r>
            <w:r w:rsidRPr="00CA2BA2">
              <w:rPr>
                <w:rFonts w:cs="Arial" w:hint="eastAsia"/>
                <w:color w:val="000000"/>
                <w:spacing w:val="-44"/>
                <w:w w:val="15"/>
                <w:shd w:val="solid" w:color="000000" w:fill="000000"/>
                <w:fitText w:val="22" w:id="-1501807865"/>
                <w14:textFill>
                  <w14:solidFill>
                    <w14:srgbClr w14:val="000000">
                      <w14:alpha w14:val="100000"/>
                    </w14:srgbClr>
                  </w14:solidFill>
                </w14:textFill>
              </w:rPr>
              <w:t xml:space="preserve">　</w:t>
            </w:r>
            <w:r w:rsidR="007B1212">
              <w:rPr>
                <w:vertAlign w:val="superscript"/>
              </w:rPr>
              <w:t>1</w:t>
            </w:r>
          </w:p>
        </w:tc>
        <w:tc>
          <w:tcPr>
            <w:tcW w:w="647" w:type="pct"/>
            <w:vAlign w:val="center"/>
          </w:tcPr>
          <w:p w14:paraId="26C3F524" w14:textId="636D995F" w:rsidR="007B5BF7" w:rsidRPr="007B1212" w:rsidRDefault="00A33A0E" w:rsidP="00C52E97">
            <w:pPr>
              <w:pStyle w:val="TableText0"/>
              <w:jc w:val="center"/>
              <w:rPr>
                <w:color w:val="000000"/>
                <w:highlight w:val="yellow"/>
              </w:rPr>
            </w:pPr>
            <w:r w:rsidRPr="00CA2BA2">
              <w:rPr>
                <w:rFonts w:cs="Arial" w:hint="eastAsia"/>
                <w:color w:val="000000"/>
                <w:w w:val="15"/>
                <w:shd w:val="solid" w:color="000000" w:fill="000000"/>
                <w:fitText w:val="22" w:id="-1501807864"/>
                <w14:textFill>
                  <w14:solidFill>
                    <w14:srgbClr w14:val="000000">
                      <w14:alpha w14:val="100000"/>
                    </w14:srgbClr>
                  </w14:solidFill>
                </w14:textFill>
              </w:rPr>
              <w:t xml:space="preserve">　</w:t>
            </w:r>
            <w:r w:rsidRPr="00CA2BA2">
              <w:rPr>
                <w:rFonts w:cs="Arial"/>
                <w:color w:val="000000"/>
                <w:w w:val="15"/>
                <w:shd w:val="solid" w:color="000000" w:fill="000000"/>
                <w:fitText w:val="22" w:id="-1501807864"/>
                <w14:textFill>
                  <w14:solidFill>
                    <w14:srgbClr w14:val="000000">
                      <w14:alpha w14:val="100000"/>
                    </w14:srgbClr>
                  </w14:solidFill>
                </w14:textFill>
              </w:rPr>
              <w:t>|</w:t>
            </w:r>
            <w:r w:rsidRPr="00CA2BA2">
              <w:rPr>
                <w:rFonts w:cs="Arial" w:hint="eastAsia"/>
                <w:color w:val="000000"/>
                <w:spacing w:val="-44"/>
                <w:w w:val="15"/>
                <w:shd w:val="solid" w:color="000000" w:fill="000000"/>
                <w:fitText w:val="22" w:id="-1501807864"/>
                <w14:textFill>
                  <w14:solidFill>
                    <w14:srgbClr w14:val="000000">
                      <w14:alpha w14:val="100000"/>
                    </w14:srgbClr>
                  </w14:solidFill>
                </w14:textFill>
              </w:rPr>
              <w:t xml:space="preserve">　</w:t>
            </w:r>
            <w:r w:rsidR="007B1212">
              <w:rPr>
                <w:vertAlign w:val="superscript"/>
              </w:rPr>
              <w:t>1</w:t>
            </w:r>
          </w:p>
        </w:tc>
        <w:tc>
          <w:tcPr>
            <w:tcW w:w="647" w:type="pct"/>
            <w:vAlign w:val="center"/>
          </w:tcPr>
          <w:p w14:paraId="46A02D1C" w14:textId="54D902DB" w:rsidR="007B5BF7" w:rsidRPr="007B1212" w:rsidRDefault="00A33A0E" w:rsidP="00C52E97">
            <w:pPr>
              <w:pStyle w:val="TableText0"/>
              <w:jc w:val="center"/>
              <w:rPr>
                <w:color w:val="000000"/>
                <w:highlight w:val="yellow"/>
              </w:rPr>
            </w:pPr>
            <w:r w:rsidRPr="00CA2BA2">
              <w:rPr>
                <w:rFonts w:cs="Arial" w:hint="eastAsia"/>
                <w:color w:val="000000"/>
                <w:w w:val="15"/>
                <w:shd w:val="solid" w:color="000000" w:fill="000000"/>
                <w:fitText w:val="22" w:id="-1501807863"/>
                <w14:textFill>
                  <w14:solidFill>
                    <w14:srgbClr w14:val="000000">
                      <w14:alpha w14:val="100000"/>
                    </w14:srgbClr>
                  </w14:solidFill>
                </w14:textFill>
              </w:rPr>
              <w:t xml:space="preserve">　</w:t>
            </w:r>
            <w:r w:rsidRPr="00CA2BA2">
              <w:rPr>
                <w:rFonts w:cs="Arial"/>
                <w:color w:val="000000"/>
                <w:w w:val="15"/>
                <w:shd w:val="solid" w:color="000000" w:fill="000000"/>
                <w:fitText w:val="22" w:id="-1501807863"/>
                <w14:textFill>
                  <w14:solidFill>
                    <w14:srgbClr w14:val="000000">
                      <w14:alpha w14:val="100000"/>
                    </w14:srgbClr>
                  </w14:solidFill>
                </w14:textFill>
              </w:rPr>
              <w:t>|</w:t>
            </w:r>
            <w:r w:rsidRPr="00CA2BA2">
              <w:rPr>
                <w:rFonts w:cs="Arial" w:hint="eastAsia"/>
                <w:color w:val="000000"/>
                <w:spacing w:val="-44"/>
                <w:w w:val="15"/>
                <w:shd w:val="solid" w:color="000000" w:fill="000000"/>
                <w:fitText w:val="22" w:id="-1501807863"/>
                <w14:textFill>
                  <w14:solidFill>
                    <w14:srgbClr w14:val="000000">
                      <w14:alpha w14:val="100000"/>
                    </w14:srgbClr>
                  </w14:solidFill>
                </w14:textFill>
              </w:rPr>
              <w:t xml:space="preserve">　</w:t>
            </w:r>
            <w:r w:rsidR="007B1212">
              <w:rPr>
                <w:vertAlign w:val="superscript"/>
              </w:rPr>
              <w:t>1</w:t>
            </w:r>
          </w:p>
        </w:tc>
        <w:tc>
          <w:tcPr>
            <w:tcW w:w="647" w:type="pct"/>
            <w:vAlign w:val="center"/>
          </w:tcPr>
          <w:p w14:paraId="09EF6C82" w14:textId="0192279A" w:rsidR="007B5BF7" w:rsidRPr="007B1212" w:rsidRDefault="00A33A0E" w:rsidP="00C52E97">
            <w:pPr>
              <w:pStyle w:val="TableText0"/>
              <w:jc w:val="center"/>
              <w:rPr>
                <w:color w:val="000000"/>
                <w:highlight w:val="yellow"/>
              </w:rPr>
            </w:pPr>
            <w:r w:rsidRPr="00CA2BA2">
              <w:rPr>
                <w:rFonts w:cs="Arial" w:hint="eastAsia"/>
                <w:color w:val="000000"/>
                <w:w w:val="15"/>
                <w:shd w:val="solid" w:color="000000" w:fill="000000"/>
                <w:fitText w:val="22" w:id="-1501807862"/>
                <w14:textFill>
                  <w14:solidFill>
                    <w14:srgbClr w14:val="000000">
                      <w14:alpha w14:val="100000"/>
                    </w14:srgbClr>
                  </w14:solidFill>
                </w14:textFill>
              </w:rPr>
              <w:t xml:space="preserve">　</w:t>
            </w:r>
            <w:r w:rsidRPr="00CA2BA2">
              <w:rPr>
                <w:rFonts w:cs="Arial"/>
                <w:color w:val="000000"/>
                <w:w w:val="15"/>
                <w:shd w:val="solid" w:color="000000" w:fill="000000"/>
                <w:fitText w:val="22" w:id="-1501807862"/>
                <w14:textFill>
                  <w14:solidFill>
                    <w14:srgbClr w14:val="000000">
                      <w14:alpha w14:val="100000"/>
                    </w14:srgbClr>
                  </w14:solidFill>
                </w14:textFill>
              </w:rPr>
              <w:t>|</w:t>
            </w:r>
            <w:r w:rsidRPr="00CA2BA2">
              <w:rPr>
                <w:rFonts w:cs="Arial" w:hint="eastAsia"/>
                <w:color w:val="000000"/>
                <w:spacing w:val="-44"/>
                <w:w w:val="15"/>
                <w:shd w:val="solid" w:color="000000" w:fill="000000"/>
                <w:fitText w:val="22" w:id="-1501807862"/>
                <w14:textFill>
                  <w14:solidFill>
                    <w14:srgbClr w14:val="000000">
                      <w14:alpha w14:val="100000"/>
                    </w14:srgbClr>
                  </w14:solidFill>
                </w14:textFill>
              </w:rPr>
              <w:t xml:space="preserve">　</w:t>
            </w:r>
            <w:r w:rsidR="007B1212">
              <w:rPr>
                <w:vertAlign w:val="superscript"/>
              </w:rPr>
              <w:t>1</w:t>
            </w:r>
          </w:p>
        </w:tc>
        <w:tc>
          <w:tcPr>
            <w:tcW w:w="649" w:type="pct"/>
            <w:vAlign w:val="center"/>
          </w:tcPr>
          <w:p w14:paraId="412268D4" w14:textId="32F0FF79" w:rsidR="007B5BF7" w:rsidRPr="007B1212" w:rsidRDefault="00A33A0E" w:rsidP="00C52E97">
            <w:pPr>
              <w:pStyle w:val="TableText0"/>
              <w:jc w:val="center"/>
              <w:rPr>
                <w:color w:val="000000"/>
                <w:highlight w:val="yellow"/>
              </w:rPr>
            </w:pPr>
            <w:r w:rsidRPr="00CA2BA2">
              <w:rPr>
                <w:rFonts w:cs="Arial" w:hint="eastAsia"/>
                <w:color w:val="000000"/>
                <w:w w:val="15"/>
                <w:shd w:val="solid" w:color="000000" w:fill="000000"/>
                <w:fitText w:val="22" w:id="-1501806592"/>
                <w14:textFill>
                  <w14:solidFill>
                    <w14:srgbClr w14:val="000000">
                      <w14:alpha w14:val="100000"/>
                    </w14:srgbClr>
                  </w14:solidFill>
                </w14:textFill>
              </w:rPr>
              <w:t xml:space="preserve">　</w:t>
            </w:r>
            <w:r w:rsidRPr="00CA2BA2">
              <w:rPr>
                <w:rFonts w:cs="Arial"/>
                <w:color w:val="000000"/>
                <w:w w:val="15"/>
                <w:shd w:val="solid" w:color="000000" w:fill="000000"/>
                <w:fitText w:val="22" w:id="-1501806592"/>
                <w14:textFill>
                  <w14:solidFill>
                    <w14:srgbClr w14:val="000000">
                      <w14:alpha w14:val="100000"/>
                    </w14:srgbClr>
                  </w14:solidFill>
                </w14:textFill>
              </w:rPr>
              <w:t>|</w:t>
            </w:r>
            <w:r w:rsidRPr="00CA2BA2">
              <w:rPr>
                <w:rFonts w:cs="Arial" w:hint="eastAsia"/>
                <w:color w:val="000000"/>
                <w:spacing w:val="-44"/>
                <w:w w:val="15"/>
                <w:shd w:val="solid" w:color="000000" w:fill="000000"/>
                <w:fitText w:val="22" w:id="-1501806592"/>
                <w14:textFill>
                  <w14:solidFill>
                    <w14:srgbClr w14:val="000000">
                      <w14:alpha w14:val="100000"/>
                    </w14:srgbClr>
                  </w14:solidFill>
                </w14:textFill>
              </w:rPr>
              <w:t xml:space="preserve">　</w:t>
            </w:r>
            <w:r w:rsidR="007B1212">
              <w:rPr>
                <w:vertAlign w:val="superscript"/>
              </w:rPr>
              <w:t>1</w:t>
            </w:r>
          </w:p>
        </w:tc>
      </w:tr>
      <w:tr w:rsidR="007B5BF7" w:rsidRPr="003639A6" w14:paraId="1B8C56AF" w14:textId="77777777" w:rsidTr="00C52E97">
        <w:tc>
          <w:tcPr>
            <w:tcW w:w="1116" w:type="pct"/>
            <w:shd w:val="clear" w:color="auto" w:fill="auto"/>
            <w:vAlign w:val="center"/>
          </w:tcPr>
          <w:p w14:paraId="3E0CE0F0" w14:textId="77777777" w:rsidR="007B5BF7" w:rsidRPr="003639A6" w:rsidRDefault="007B5BF7" w:rsidP="00C52E97">
            <w:pPr>
              <w:pStyle w:val="TableText0"/>
              <w:rPr>
                <w:rFonts w:ascii="Times" w:hAnsi="Times"/>
              </w:rPr>
            </w:pPr>
            <w:r w:rsidRPr="003639A6">
              <w:t xml:space="preserve">Number of </w:t>
            </w:r>
            <w:proofErr w:type="spellStart"/>
            <w:r>
              <w:t>doses</w:t>
            </w:r>
            <w:r w:rsidRPr="003639A6">
              <w:rPr>
                <w:vertAlign w:val="superscript"/>
              </w:rPr>
              <w:t>a</w:t>
            </w:r>
            <w:proofErr w:type="spellEnd"/>
          </w:p>
        </w:tc>
        <w:tc>
          <w:tcPr>
            <w:tcW w:w="647" w:type="pct"/>
          </w:tcPr>
          <w:p w14:paraId="0F1E1C0D" w14:textId="04BAF7A4" w:rsidR="007B5BF7" w:rsidRPr="007B1212" w:rsidRDefault="00A33A0E" w:rsidP="00C52E97">
            <w:pPr>
              <w:pStyle w:val="TableText0"/>
              <w:jc w:val="center"/>
              <w:rPr>
                <w:color w:val="000000"/>
                <w:highlight w:val="yellow"/>
              </w:rPr>
            </w:pPr>
            <w:r w:rsidRPr="00CA2BA2">
              <w:rPr>
                <w:rFonts w:hint="eastAsia"/>
                <w:color w:val="000000"/>
                <w:w w:val="15"/>
                <w:shd w:val="solid" w:color="000000" w:fill="000000"/>
                <w:fitText w:val="23" w:id="-1501806591"/>
                <w14:textFill>
                  <w14:solidFill>
                    <w14:srgbClr w14:val="000000">
                      <w14:alpha w14:val="100000"/>
                    </w14:srgbClr>
                  </w14:solidFill>
                </w14:textFill>
              </w:rPr>
              <w:t xml:space="preserve">　</w:t>
            </w:r>
            <w:r w:rsidRPr="00CA2BA2">
              <w:rPr>
                <w:color w:val="000000"/>
                <w:w w:val="15"/>
                <w:shd w:val="solid" w:color="000000" w:fill="000000"/>
                <w:fitText w:val="23" w:id="-1501806591"/>
                <w14:textFill>
                  <w14:solidFill>
                    <w14:srgbClr w14:val="000000">
                      <w14:alpha w14:val="100000"/>
                    </w14:srgbClr>
                  </w14:solidFill>
                </w14:textFill>
              </w:rPr>
              <w:t>|</w:t>
            </w:r>
            <w:r w:rsidRPr="00CA2BA2">
              <w:rPr>
                <w:rFonts w:hint="eastAsia"/>
                <w:color w:val="000000"/>
                <w:spacing w:val="-43"/>
                <w:w w:val="15"/>
                <w:shd w:val="solid" w:color="000000" w:fill="000000"/>
                <w:fitText w:val="23" w:id="-1501806591"/>
                <w14:textFill>
                  <w14:solidFill>
                    <w14:srgbClr w14:val="000000">
                      <w14:alpha w14:val="100000"/>
                    </w14:srgbClr>
                  </w14:solidFill>
                </w14:textFill>
              </w:rPr>
              <w:t xml:space="preserve">　</w:t>
            </w:r>
            <w:r w:rsidR="007B1212">
              <w:rPr>
                <w:vertAlign w:val="superscript"/>
              </w:rPr>
              <w:t>2</w:t>
            </w:r>
          </w:p>
        </w:tc>
        <w:tc>
          <w:tcPr>
            <w:tcW w:w="647" w:type="pct"/>
          </w:tcPr>
          <w:p w14:paraId="1126CF6E" w14:textId="3876A5A2" w:rsidR="007B5BF7" w:rsidRPr="007B1212" w:rsidRDefault="00A33A0E" w:rsidP="00C52E97">
            <w:pPr>
              <w:pStyle w:val="TableText0"/>
              <w:jc w:val="center"/>
              <w:rPr>
                <w:color w:val="000000"/>
                <w:highlight w:val="yellow"/>
              </w:rPr>
            </w:pPr>
            <w:r w:rsidRPr="00CA2BA2">
              <w:rPr>
                <w:rFonts w:hint="eastAsia"/>
                <w:color w:val="000000"/>
                <w:w w:val="15"/>
                <w:shd w:val="solid" w:color="000000" w:fill="000000"/>
                <w:fitText w:val="22" w:id="-1501806590"/>
                <w14:textFill>
                  <w14:solidFill>
                    <w14:srgbClr w14:val="000000">
                      <w14:alpha w14:val="100000"/>
                    </w14:srgbClr>
                  </w14:solidFill>
                </w14:textFill>
              </w:rPr>
              <w:t xml:space="preserve">　</w:t>
            </w:r>
            <w:r w:rsidRPr="00CA2BA2">
              <w:rPr>
                <w:color w:val="000000"/>
                <w:w w:val="15"/>
                <w:shd w:val="solid" w:color="000000" w:fill="000000"/>
                <w:fitText w:val="22" w:id="-1501806590"/>
                <w14:textFill>
                  <w14:solidFill>
                    <w14:srgbClr w14:val="000000">
                      <w14:alpha w14:val="100000"/>
                    </w14:srgbClr>
                  </w14:solidFill>
                </w14:textFill>
              </w:rPr>
              <w:t>|</w:t>
            </w:r>
            <w:r w:rsidRPr="00CA2BA2">
              <w:rPr>
                <w:rFonts w:hint="eastAsia"/>
                <w:color w:val="000000"/>
                <w:spacing w:val="-44"/>
                <w:w w:val="15"/>
                <w:shd w:val="solid" w:color="000000" w:fill="000000"/>
                <w:fitText w:val="22" w:id="-1501806590"/>
                <w14:textFill>
                  <w14:solidFill>
                    <w14:srgbClr w14:val="000000">
                      <w14:alpha w14:val="100000"/>
                    </w14:srgbClr>
                  </w14:solidFill>
                </w14:textFill>
              </w:rPr>
              <w:t xml:space="preserve">　</w:t>
            </w:r>
            <w:r w:rsidR="007B1212">
              <w:rPr>
                <w:vertAlign w:val="superscript"/>
              </w:rPr>
              <w:t>2</w:t>
            </w:r>
          </w:p>
        </w:tc>
        <w:tc>
          <w:tcPr>
            <w:tcW w:w="647" w:type="pct"/>
          </w:tcPr>
          <w:p w14:paraId="18F064FD" w14:textId="067B5284" w:rsidR="007B5BF7" w:rsidRPr="007B1212" w:rsidRDefault="00A33A0E" w:rsidP="00C52E97">
            <w:pPr>
              <w:pStyle w:val="TableText0"/>
              <w:jc w:val="center"/>
              <w:rPr>
                <w:color w:val="000000"/>
                <w:highlight w:val="yellow"/>
              </w:rPr>
            </w:pPr>
            <w:r w:rsidRPr="00CA2BA2">
              <w:rPr>
                <w:rFonts w:hint="eastAsia"/>
                <w:color w:val="000000"/>
                <w:w w:val="15"/>
                <w:shd w:val="solid" w:color="000000" w:fill="000000"/>
                <w:fitText w:val="22" w:id="-1501806589"/>
                <w14:textFill>
                  <w14:solidFill>
                    <w14:srgbClr w14:val="000000">
                      <w14:alpha w14:val="100000"/>
                    </w14:srgbClr>
                  </w14:solidFill>
                </w14:textFill>
              </w:rPr>
              <w:t xml:space="preserve">　</w:t>
            </w:r>
            <w:r w:rsidRPr="00CA2BA2">
              <w:rPr>
                <w:color w:val="000000"/>
                <w:w w:val="15"/>
                <w:shd w:val="solid" w:color="000000" w:fill="000000"/>
                <w:fitText w:val="22" w:id="-1501806589"/>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9"/>
                <w14:textFill>
                  <w14:solidFill>
                    <w14:srgbClr w14:val="000000">
                      <w14:alpha w14:val="100000"/>
                    </w14:srgbClr>
                  </w14:solidFill>
                </w14:textFill>
              </w:rPr>
              <w:t xml:space="preserve">　</w:t>
            </w:r>
            <w:r w:rsidR="007B1212">
              <w:rPr>
                <w:vertAlign w:val="superscript"/>
              </w:rPr>
              <w:t>2</w:t>
            </w:r>
          </w:p>
        </w:tc>
        <w:tc>
          <w:tcPr>
            <w:tcW w:w="647" w:type="pct"/>
          </w:tcPr>
          <w:p w14:paraId="595EEFF6" w14:textId="53EAA6ED" w:rsidR="007B5BF7" w:rsidRPr="007B1212" w:rsidRDefault="00A33A0E" w:rsidP="00C52E97">
            <w:pPr>
              <w:pStyle w:val="TableText0"/>
              <w:jc w:val="center"/>
              <w:rPr>
                <w:color w:val="000000"/>
                <w:highlight w:val="yellow"/>
              </w:rPr>
            </w:pPr>
            <w:r w:rsidRPr="00CA2BA2">
              <w:rPr>
                <w:rFonts w:hint="eastAsia"/>
                <w:color w:val="000000"/>
                <w:w w:val="15"/>
                <w:shd w:val="solid" w:color="000000" w:fill="000000"/>
                <w:fitText w:val="22" w:id="-1501806588"/>
                <w14:textFill>
                  <w14:solidFill>
                    <w14:srgbClr w14:val="000000">
                      <w14:alpha w14:val="100000"/>
                    </w14:srgbClr>
                  </w14:solidFill>
                </w14:textFill>
              </w:rPr>
              <w:t xml:space="preserve">　</w:t>
            </w:r>
            <w:r w:rsidRPr="00CA2BA2">
              <w:rPr>
                <w:color w:val="000000"/>
                <w:w w:val="15"/>
                <w:shd w:val="solid" w:color="000000" w:fill="000000"/>
                <w:fitText w:val="22" w:id="-1501806588"/>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8"/>
                <w14:textFill>
                  <w14:solidFill>
                    <w14:srgbClr w14:val="000000">
                      <w14:alpha w14:val="100000"/>
                    </w14:srgbClr>
                  </w14:solidFill>
                </w14:textFill>
              </w:rPr>
              <w:t xml:space="preserve">　</w:t>
            </w:r>
            <w:r w:rsidR="007B1212">
              <w:rPr>
                <w:vertAlign w:val="superscript"/>
              </w:rPr>
              <w:t>2</w:t>
            </w:r>
          </w:p>
        </w:tc>
        <w:tc>
          <w:tcPr>
            <w:tcW w:w="647" w:type="pct"/>
          </w:tcPr>
          <w:p w14:paraId="2A289718" w14:textId="4F176F87" w:rsidR="007B5BF7" w:rsidRPr="007B1212" w:rsidRDefault="00A33A0E" w:rsidP="00C52E97">
            <w:pPr>
              <w:pStyle w:val="TableText0"/>
              <w:jc w:val="center"/>
              <w:rPr>
                <w:color w:val="000000"/>
                <w:highlight w:val="yellow"/>
              </w:rPr>
            </w:pPr>
            <w:r w:rsidRPr="00CA2BA2">
              <w:rPr>
                <w:rFonts w:hint="eastAsia"/>
                <w:color w:val="000000"/>
                <w:w w:val="15"/>
                <w:shd w:val="solid" w:color="000000" w:fill="000000"/>
                <w:fitText w:val="22" w:id="-1501806587"/>
                <w14:textFill>
                  <w14:solidFill>
                    <w14:srgbClr w14:val="000000">
                      <w14:alpha w14:val="100000"/>
                    </w14:srgbClr>
                  </w14:solidFill>
                </w14:textFill>
              </w:rPr>
              <w:t xml:space="preserve">　</w:t>
            </w:r>
            <w:r w:rsidRPr="00CA2BA2">
              <w:rPr>
                <w:color w:val="000000"/>
                <w:w w:val="15"/>
                <w:shd w:val="solid" w:color="000000" w:fill="000000"/>
                <w:fitText w:val="22" w:id="-1501806587"/>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7"/>
                <w14:textFill>
                  <w14:solidFill>
                    <w14:srgbClr w14:val="000000">
                      <w14:alpha w14:val="100000"/>
                    </w14:srgbClr>
                  </w14:solidFill>
                </w14:textFill>
              </w:rPr>
              <w:t xml:space="preserve">　</w:t>
            </w:r>
            <w:r w:rsidR="007B1212">
              <w:rPr>
                <w:vertAlign w:val="superscript"/>
              </w:rPr>
              <w:t>2</w:t>
            </w:r>
          </w:p>
        </w:tc>
        <w:tc>
          <w:tcPr>
            <w:tcW w:w="649" w:type="pct"/>
          </w:tcPr>
          <w:p w14:paraId="72394EAE" w14:textId="31229A25" w:rsidR="007B5BF7" w:rsidRPr="007B1212" w:rsidRDefault="00A33A0E" w:rsidP="00C52E97">
            <w:pPr>
              <w:pStyle w:val="TableText0"/>
              <w:jc w:val="center"/>
              <w:rPr>
                <w:color w:val="000000"/>
                <w:highlight w:val="yellow"/>
              </w:rPr>
            </w:pPr>
            <w:r w:rsidRPr="00CA2BA2">
              <w:rPr>
                <w:rFonts w:hint="eastAsia"/>
                <w:color w:val="000000"/>
                <w:w w:val="15"/>
                <w:shd w:val="solid" w:color="000000" w:fill="000000"/>
                <w:fitText w:val="22" w:id="-1501806586"/>
                <w14:textFill>
                  <w14:solidFill>
                    <w14:srgbClr w14:val="000000">
                      <w14:alpha w14:val="100000"/>
                    </w14:srgbClr>
                  </w14:solidFill>
                </w14:textFill>
              </w:rPr>
              <w:t xml:space="preserve">　</w:t>
            </w:r>
            <w:r w:rsidRPr="00CA2BA2">
              <w:rPr>
                <w:color w:val="000000"/>
                <w:w w:val="15"/>
                <w:shd w:val="solid" w:color="000000" w:fill="000000"/>
                <w:fitText w:val="22" w:id="-1501806586"/>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6"/>
                <w14:textFill>
                  <w14:solidFill>
                    <w14:srgbClr w14:val="000000">
                      <w14:alpha w14:val="100000"/>
                    </w14:srgbClr>
                  </w14:solidFill>
                </w14:textFill>
              </w:rPr>
              <w:t xml:space="preserve">　</w:t>
            </w:r>
            <w:r w:rsidR="007B1212">
              <w:rPr>
                <w:vertAlign w:val="superscript"/>
              </w:rPr>
              <w:t>2</w:t>
            </w:r>
          </w:p>
        </w:tc>
      </w:tr>
      <w:tr w:rsidR="007B5BF7" w:rsidRPr="00D1078F" w14:paraId="283C0A4F" w14:textId="77777777" w:rsidTr="00C52E97">
        <w:tc>
          <w:tcPr>
            <w:tcW w:w="5000" w:type="pct"/>
            <w:gridSpan w:val="7"/>
            <w:shd w:val="clear" w:color="auto" w:fill="auto"/>
            <w:vAlign w:val="center"/>
          </w:tcPr>
          <w:p w14:paraId="71E63995" w14:textId="77777777" w:rsidR="007B5BF7" w:rsidRPr="00D1078F" w:rsidRDefault="007B5BF7" w:rsidP="00C52E97">
            <w:pPr>
              <w:pStyle w:val="In-tableHeading"/>
            </w:pPr>
            <w:r w:rsidRPr="00D1078F">
              <w:t xml:space="preserve">Estimated </w:t>
            </w:r>
            <w:r>
              <w:t xml:space="preserve">financial implications of </w:t>
            </w:r>
            <w:proofErr w:type="spellStart"/>
            <w:r>
              <w:t>Vaxelis</w:t>
            </w:r>
            <w:proofErr w:type="spellEnd"/>
          </w:p>
        </w:tc>
      </w:tr>
      <w:tr w:rsidR="007B5BF7" w:rsidRPr="003639A6" w14:paraId="3091DDA0" w14:textId="77777777" w:rsidTr="00C52E97">
        <w:tc>
          <w:tcPr>
            <w:tcW w:w="1116" w:type="pct"/>
            <w:shd w:val="clear" w:color="auto" w:fill="auto"/>
            <w:vAlign w:val="center"/>
          </w:tcPr>
          <w:p w14:paraId="226431DF" w14:textId="002EEDF7" w:rsidR="007B5BF7" w:rsidRDefault="007B5BF7" w:rsidP="00C52E97">
            <w:pPr>
              <w:pStyle w:val="TableText0"/>
              <w:rPr>
                <w:sz w:val="19"/>
                <w:szCs w:val="19"/>
              </w:rPr>
            </w:pPr>
            <w:r>
              <w:rPr>
                <w:sz w:val="19"/>
                <w:szCs w:val="19"/>
              </w:rPr>
              <w:t>Cost to NI</w:t>
            </w:r>
            <w:r w:rsidR="00A33A0E">
              <w:rPr>
                <w:sz w:val="19"/>
                <w:szCs w:val="19"/>
              </w:rPr>
              <w:t>P</w:t>
            </w:r>
          </w:p>
        </w:tc>
        <w:tc>
          <w:tcPr>
            <w:tcW w:w="647" w:type="pct"/>
            <w:shd w:val="clear" w:color="auto" w:fill="auto"/>
          </w:tcPr>
          <w:p w14:paraId="78DA0230" w14:textId="1563E846" w:rsidR="007B5BF7" w:rsidRPr="007B1212" w:rsidRDefault="00A33A0E" w:rsidP="00C52E97">
            <w:pPr>
              <w:pStyle w:val="TableText0"/>
              <w:jc w:val="center"/>
              <w:rPr>
                <w:highlight w:val="yellow"/>
              </w:rPr>
            </w:pPr>
            <w:r w:rsidRPr="00CA2BA2">
              <w:rPr>
                <w:rFonts w:hint="eastAsia"/>
                <w:color w:val="000000"/>
                <w:w w:val="15"/>
                <w:shd w:val="solid" w:color="000000" w:fill="000000"/>
                <w:fitText w:val="23" w:id="-1501806585"/>
                <w14:textFill>
                  <w14:solidFill>
                    <w14:srgbClr w14:val="000000">
                      <w14:alpha w14:val="100000"/>
                    </w14:srgbClr>
                  </w14:solidFill>
                </w14:textFill>
              </w:rPr>
              <w:t xml:space="preserve">　</w:t>
            </w:r>
            <w:r w:rsidRPr="00CA2BA2">
              <w:rPr>
                <w:color w:val="000000"/>
                <w:w w:val="15"/>
                <w:shd w:val="solid" w:color="000000" w:fill="000000"/>
                <w:fitText w:val="23" w:id="-1501806585"/>
                <w14:textFill>
                  <w14:solidFill>
                    <w14:srgbClr w14:val="000000">
                      <w14:alpha w14:val="100000"/>
                    </w14:srgbClr>
                  </w14:solidFill>
                </w14:textFill>
              </w:rPr>
              <w:t>|</w:t>
            </w:r>
            <w:r w:rsidRPr="00CA2BA2">
              <w:rPr>
                <w:rFonts w:hint="eastAsia"/>
                <w:color w:val="000000"/>
                <w:spacing w:val="-43"/>
                <w:w w:val="15"/>
                <w:shd w:val="solid" w:color="000000" w:fill="000000"/>
                <w:fitText w:val="23" w:id="-1501806585"/>
                <w14:textFill>
                  <w14:solidFill>
                    <w14:srgbClr w14:val="000000">
                      <w14:alpha w14:val="100000"/>
                    </w14:srgbClr>
                  </w14:solidFill>
                </w14:textFill>
              </w:rPr>
              <w:t xml:space="preserve">　</w:t>
            </w:r>
            <w:r w:rsidR="007B1212">
              <w:rPr>
                <w:vertAlign w:val="superscript"/>
              </w:rPr>
              <w:t>3</w:t>
            </w:r>
          </w:p>
        </w:tc>
        <w:tc>
          <w:tcPr>
            <w:tcW w:w="647" w:type="pct"/>
            <w:shd w:val="clear" w:color="auto" w:fill="auto"/>
          </w:tcPr>
          <w:p w14:paraId="5E92E4E5" w14:textId="1A30055D" w:rsidR="007B5BF7" w:rsidRPr="007B1212" w:rsidRDefault="00A33A0E" w:rsidP="00C52E97">
            <w:pPr>
              <w:pStyle w:val="TableText0"/>
              <w:jc w:val="center"/>
              <w:rPr>
                <w:highlight w:val="yellow"/>
              </w:rPr>
            </w:pPr>
            <w:r w:rsidRPr="00CA2BA2">
              <w:rPr>
                <w:rFonts w:hint="eastAsia"/>
                <w:color w:val="000000"/>
                <w:w w:val="15"/>
                <w:shd w:val="solid" w:color="000000" w:fill="000000"/>
                <w:fitText w:val="22" w:id="-1501806584"/>
                <w14:textFill>
                  <w14:solidFill>
                    <w14:srgbClr w14:val="000000">
                      <w14:alpha w14:val="100000"/>
                    </w14:srgbClr>
                  </w14:solidFill>
                </w14:textFill>
              </w:rPr>
              <w:t xml:space="preserve">　</w:t>
            </w:r>
            <w:r w:rsidRPr="00CA2BA2">
              <w:rPr>
                <w:color w:val="000000"/>
                <w:w w:val="15"/>
                <w:shd w:val="solid" w:color="000000" w:fill="000000"/>
                <w:fitText w:val="22" w:id="-1501806584"/>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4"/>
                <w14:textFill>
                  <w14:solidFill>
                    <w14:srgbClr w14:val="000000">
                      <w14:alpha w14:val="100000"/>
                    </w14:srgbClr>
                  </w14:solidFill>
                </w14:textFill>
              </w:rPr>
              <w:t xml:space="preserve">　</w:t>
            </w:r>
            <w:r w:rsidR="007B1212">
              <w:rPr>
                <w:vertAlign w:val="superscript"/>
              </w:rPr>
              <w:t>3</w:t>
            </w:r>
          </w:p>
        </w:tc>
        <w:tc>
          <w:tcPr>
            <w:tcW w:w="647" w:type="pct"/>
            <w:shd w:val="clear" w:color="auto" w:fill="auto"/>
          </w:tcPr>
          <w:p w14:paraId="44640FF7" w14:textId="15962036" w:rsidR="007B5BF7" w:rsidRPr="007B1212" w:rsidRDefault="00A33A0E" w:rsidP="00C52E97">
            <w:pPr>
              <w:pStyle w:val="TableText0"/>
              <w:jc w:val="center"/>
              <w:rPr>
                <w:highlight w:val="yellow"/>
              </w:rPr>
            </w:pPr>
            <w:r w:rsidRPr="00CA2BA2">
              <w:rPr>
                <w:rFonts w:hint="eastAsia"/>
                <w:color w:val="000000"/>
                <w:w w:val="15"/>
                <w:shd w:val="solid" w:color="000000" w:fill="000000"/>
                <w:fitText w:val="22" w:id="-1501806583"/>
                <w14:textFill>
                  <w14:solidFill>
                    <w14:srgbClr w14:val="000000">
                      <w14:alpha w14:val="100000"/>
                    </w14:srgbClr>
                  </w14:solidFill>
                </w14:textFill>
              </w:rPr>
              <w:t xml:space="preserve">　</w:t>
            </w:r>
            <w:r w:rsidRPr="00CA2BA2">
              <w:rPr>
                <w:color w:val="000000"/>
                <w:w w:val="15"/>
                <w:shd w:val="solid" w:color="000000" w:fill="000000"/>
                <w:fitText w:val="22" w:id="-1501806583"/>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3"/>
                <w14:textFill>
                  <w14:solidFill>
                    <w14:srgbClr w14:val="000000">
                      <w14:alpha w14:val="100000"/>
                    </w14:srgbClr>
                  </w14:solidFill>
                </w14:textFill>
              </w:rPr>
              <w:t xml:space="preserve">　</w:t>
            </w:r>
            <w:r w:rsidR="007B1212">
              <w:rPr>
                <w:vertAlign w:val="superscript"/>
              </w:rPr>
              <w:t>3</w:t>
            </w:r>
          </w:p>
        </w:tc>
        <w:tc>
          <w:tcPr>
            <w:tcW w:w="647" w:type="pct"/>
            <w:shd w:val="clear" w:color="auto" w:fill="auto"/>
          </w:tcPr>
          <w:p w14:paraId="4DC54A5A" w14:textId="5C0F6E61" w:rsidR="007B5BF7" w:rsidRPr="007B1212" w:rsidRDefault="00A33A0E" w:rsidP="00C52E97">
            <w:pPr>
              <w:pStyle w:val="TableText0"/>
              <w:jc w:val="center"/>
              <w:rPr>
                <w:highlight w:val="yellow"/>
              </w:rPr>
            </w:pPr>
            <w:r w:rsidRPr="00CA2BA2">
              <w:rPr>
                <w:rFonts w:hint="eastAsia"/>
                <w:color w:val="000000"/>
                <w:w w:val="15"/>
                <w:shd w:val="solid" w:color="000000" w:fill="000000"/>
                <w:fitText w:val="22" w:id="-1501806582"/>
                <w14:textFill>
                  <w14:solidFill>
                    <w14:srgbClr w14:val="000000">
                      <w14:alpha w14:val="100000"/>
                    </w14:srgbClr>
                  </w14:solidFill>
                </w14:textFill>
              </w:rPr>
              <w:t xml:space="preserve">　</w:t>
            </w:r>
            <w:r w:rsidRPr="00CA2BA2">
              <w:rPr>
                <w:color w:val="000000"/>
                <w:w w:val="15"/>
                <w:shd w:val="solid" w:color="000000" w:fill="000000"/>
                <w:fitText w:val="22" w:id="-1501806582"/>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2"/>
                <w14:textFill>
                  <w14:solidFill>
                    <w14:srgbClr w14:val="000000">
                      <w14:alpha w14:val="100000"/>
                    </w14:srgbClr>
                  </w14:solidFill>
                </w14:textFill>
              </w:rPr>
              <w:t xml:space="preserve">　</w:t>
            </w:r>
            <w:r w:rsidR="007B1212">
              <w:rPr>
                <w:vertAlign w:val="superscript"/>
              </w:rPr>
              <w:t>3</w:t>
            </w:r>
          </w:p>
        </w:tc>
        <w:tc>
          <w:tcPr>
            <w:tcW w:w="647" w:type="pct"/>
            <w:shd w:val="clear" w:color="auto" w:fill="auto"/>
          </w:tcPr>
          <w:p w14:paraId="24C22D72" w14:textId="78377948" w:rsidR="007B5BF7" w:rsidRPr="007B1212" w:rsidRDefault="00A33A0E" w:rsidP="00C52E97">
            <w:pPr>
              <w:pStyle w:val="TableText0"/>
              <w:jc w:val="center"/>
              <w:rPr>
                <w:highlight w:val="yellow"/>
              </w:rPr>
            </w:pPr>
            <w:r w:rsidRPr="00CA2BA2">
              <w:rPr>
                <w:rFonts w:hint="eastAsia"/>
                <w:color w:val="000000"/>
                <w:w w:val="15"/>
                <w:shd w:val="solid" w:color="000000" w:fill="000000"/>
                <w:fitText w:val="22" w:id="-1501806581"/>
                <w14:textFill>
                  <w14:solidFill>
                    <w14:srgbClr w14:val="000000">
                      <w14:alpha w14:val="100000"/>
                    </w14:srgbClr>
                  </w14:solidFill>
                </w14:textFill>
              </w:rPr>
              <w:t xml:space="preserve">　</w:t>
            </w:r>
            <w:r w:rsidRPr="00CA2BA2">
              <w:rPr>
                <w:color w:val="000000"/>
                <w:w w:val="15"/>
                <w:shd w:val="solid" w:color="000000" w:fill="000000"/>
                <w:fitText w:val="22" w:id="-1501806581"/>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1"/>
                <w14:textFill>
                  <w14:solidFill>
                    <w14:srgbClr w14:val="000000">
                      <w14:alpha w14:val="100000"/>
                    </w14:srgbClr>
                  </w14:solidFill>
                </w14:textFill>
              </w:rPr>
              <w:t xml:space="preserve">　</w:t>
            </w:r>
            <w:r w:rsidR="007B1212">
              <w:rPr>
                <w:vertAlign w:val="superscript"/>
              </w:rPr>
              <w:t>3</w:t>
            </w:r>
          </w:p>
        </w:tc>
        <w:tc>
          <w:tcPr>
            <w:tcW w:w="649" w:type="pct"/>
          </w:tcPr>
          <w:p w14:paraId="48564495" w14:textId="4447E576" w:rsidR="007B5BF7" w:rsidRPr="007B1212" w:rsidRDefault="00A33A0E" w:rsidP="00C52E97">
            <w:pPr>
              <w:pStyle w:val="TableText0"/>
              <w:jc w:val="center"/>
              <w:rPr>
                <w:highlight w:val="yellow"/>
              </w:rPr>
            </w:pPr>
            <w:r w:rsidRPr="00CA2BA2">
              <w:rPr>
                <w:rFonts w:hint="eastAsia"/>
                <w:color w:val="000000"/>
                <w:w w:val="15"/>
                <w:shd w:val="solid" w:color="000000" w:fill="000000"/>
                <w:fitText w:val="22" w:id="-1501806580"/>
                <w14:textFill>
                  <w14:solidFill>
                    <w14:srgbClr w14:val="000000">
                      <w14:alpha w14:val="100000"/>
                    </w14:srgbClr>
                  </w14:solidFill>
                </w14:textFill>
              </w:rPr>
              <w:t xml:space="preserve">　</w:t>
            </w:r>
            <w:r w:rsidRPr="00CA2BA2">
              <w:rPr>
                <w:color w:val="000000"/>
                <w:w w:val="15"/>
                <w:shd w:val="solid" w:color="000000" w:fill="000000"/>
                <w:fitText w:val="22" w:id="-1501806580"/>
                <w14:textFill>
                  <w14:solidFill>
                    <w14:srgbClr w14:val="000000">
                      <w14:alpha w14:val="100000"/>
                    </w14:srgbClr>
                  </w14:solidFill>
                </w14:textFill>
              </w:rPr>
              <w:t>|</w:t>
            </w:r>
            <w:r w:rsidRPr="00CA2BA2">
              <w:rPr>
                <w:rFonts w:hint="eastAsia"/>
                <w:color w:val="000000"/>
                <w:spacing w:val="-44"/>
                <w:w w:val="15"/>
                <w:shd w:val="solid" w:color="000000" w:fill="000000"/>
                <w:fitText w:val="22" w:id="-1501806580"/>
                <w14:textFill>
                  <w14:solidFill>
                    <w14:srgbClr w14:val="000000">
                      <w14:alpha w14:val="100000"/>
                    </w14:srgbClr>
                  </w14:solidFill>
                </w14:textFill>
              </w:rPr>
              <w:t xml:space="preserve">　</w:t>
            </w:r>
            <w:r w:rsidR="007B1212">
              <w:rPr>
                <w:vertAlign w:val="superscript"/>
              </w:rPr>
              <w:t>3</w:t>
            </w:r>
          </w:p>
        </w:tc>
      </w:tr>
      <w:tr w:rsidR="007B5BF7" w:rsidRPr="003639A6" w14:paraId="204712F0" w14:textId="77777777" w:rsidTr="00C52E97">
        <w:tc>
          <w:tcPr>
            <w:tcW w:w="5000" w:type="pct"/>
            <w:gridSpan w:val="7"/>
            <w:shd w:val="clear" w:color="auto" w:fill="auto"/>
            <w:vAlign w:val="center"/>
          </w:tcPr>
          <w:p w14:paraId="66F00044" w14:textId="1F32EC73" w:rsidR="007B5BF7" w:rsidRPr="003639A6" w:rsidRDefault="007B5BF7" w:rsidP="00A80250">
            <w:pPr>
              <w:pStyle w:val="TableText0"/>
            </w:pPr>
            <w:r w:rsidRPr="00D1078F">
              <w:t xml:space="preserve">Estimated </w:t>
            </w:r>
            <w:r>
              <w:t xml:space="preserve">financial implications for Infanrix </w:t>
            </w:r>
            <w:proofErr w:type="spellStart"/>
            <w:r w:rsidR="00AE2917">
              <w:t>Hexa</w:t>
            </w:r>
            <w:proofErr w:type="spellEnd"/>
          </w:p>
        </w:tc>
      </w:tr>
      <w:tr w:rsidR="007B5BF7" w:rsidRPr="003639A6" w14:paraId="53953733" w14:textId="77777777" w:rsidTr="00C52E97">
        <w:tc>
          <w:tcPr>
            <w:tcW w:w="1116" w:type="pct"/>
            <w:shd w:val="clear" w:color="auto" w:fill="auto"/>
            <w:vAlign w:val="center"/>
          </w:tcPr>
          <w:p w14:paraId="61AE39AF" w14:textId="77777777" w:rsidR="007B5BF7" w:rsidRDefault="007B5BF7" w:rsidP="00C52E97">
            <w:pPr>
              <w:pStyle w:val="TableText0"/>
              <w:rPr>
                <w:sz w:val="19"/>
                <w:szCs w:val="19"/>
              </w:rPr>
            </w:pPr>
            <w:r>
              <w:rPr>
                <w:sz w:val="19"/>
                <w:szCs w:val="19"/>
              </w:rPr>
              <w:t>Cost to NIP</w:t>
            </w:r>
          </w:p>
        </w:tc>
        <w:tc>
          <w:tcPr>
            <w:tcW w:w="647" w:type="pct"/>
            <w:shd w:val="clear" w:color="auto" w:fill="FFFFFF" w:themeFill="background1"/>
          </w:tcPr>
          <w:p w14:paraId="73E7C6C3" w14:textId="7B9FD7F1" w:rsidR="007B5BF7" w:rsidRPr="003639A6" w:rsidRDefault="007B5BF7" w:rsidP="00C52E97">
            <w:pPr>
              <w:pStyle w:val="TableText0"/>
              <w:jc w:val="center"/>
            </w:pPr>
            <w:r w:rsidRPr="008A7A54">
              <w:t>-</w:t>
            </w:r>
            <w:r w:rsidR="00A33A0E" w:rsidRPr="00A33A0E">
              <w:rPr>
                <w:rFonts w:hint="eastAsia"/>
                <w:color w:val="000000"/>
                <w:w w:val="15"/>
                <w:shd w:val="solid" w:color="000000" w:fill="000000"/>
                <w:fitText w:val="44" w:id="-1501806579"/>
                <w14:textFill>
                  <w14:solidFill>
                    <w14:srgbClr w14:val="000000">
                      <w14:alpha w14:val="100000"/>
                    </w14:srgbClr>
                  </w14:solidFill>
                </w14:textFill>
              </w:rPr>
              <w:t xml:space="preserve">　</w:t>
            </w:r>
            <w:r w:rsidR="00A33A0E" w:rsidRPr="00A33A0E">
              <w:rPr>
                <w:color w:val="000000"/>
                <w:w w:val="15"/>
                <w:shd w:val="solid" w:color="000000" w:fill="000000"/>
                <w:fitText w:val="44" w:id="-1501806579"/>
                <w14:textFill>
                  <w14:solidFill>
                    <w14:srgbClr w14:val="000000">
                      <w14:alpha w14:val="100000"/>
                    </w14:srgbClr>
                  </w14:solidFill>
                </w14:textFill>
              </w:rPr>
              <w:t>|</w:t>
            </w:r>
            <w:r w:rsidR="00A33A0E" w:rsidRPr="00A33A0E">
              <w:rPr>
                <w:rFonts w:hint="eastAsia"/>
                <w:color w:val="000000"/>
                <w:spacing w:val="-21"/>
                <w:w w:val="15"/>
                <w:shd w:val="solid" w:color="000000" w:fill="000000"/>
                <w:fitText w:val="44" w:id="-1501806579"/>
                <w14:textFill>
                  <w14:solidFill>
                    <w14:srgbClr w14:val="000000">
                      <w14:alpha w14:val="100000"/>
                    </w14:srgbClr>
                  </w14:solidFill>
                </w14:textFill>
              </w:rPr>
              <w:t xml:space="preserve">　</w:t>
            </w:r>
            <w:r w:rsidR="007B1212">
              <w:rPr>
                <w:vertAlign w:val="superscript"/>
              </w:rPr>
              <w:t>3</w:t>
            </w:r>
          </w:p>
        </w:tc>
        <w:tc>
          <w:tcPr>
            <w:tcW w:w="647" w:type="pct"/>
            <w:shd w:val="clear" w:color="auto" w:fill="FFFFFF" w:themeFill="background1"/>
          </w:tcPr>
          <w:p w14:paraId="1DC11F07" w14:textId="5F4AE463" w:rsidR="007B5BF7" w:rsidRPr="003639A6" w:rsidRDefault="007B5BF7" w:rsidP="00C52E97">
            <w:pPr>
              <w:pStyle w:val="TableText0"/>
              <w:jc w:val="center"/>
            </w:pPr>
            <w:r w:rsidRPr="008A7A54">
              <w:t>-</w:t>
            </w:r>
            <w:r w:rsidR="00A33A0E" w:rsidRPr="00A33A0E">
              <w:rPr>
                <w:rFonts w:hint="eastAsia"/>
                <w:color w:val="000000"/>
                <w:w w:val="15"/>
                <w:shd w:val="solid" w:color="000000" w:fill="000000"/>
                <w:fitText w:val="45" w:id="-1501806578"/>
                <w14:textFill>
                  <w14:solidFill>
                    <w14:srgbClr w14:val="000000">
                      <w14:alpha w14:val="100000"/>
                    </w14:srgbClr>
                  </w14:solidFill>
                </w14:textFill>
              </w:rPr>
              <w:t xml:space="preserve">　</w:t>
            </w:r>
            <w:r w:rsidR="00A33A0E" w:rsidRPr="00A33A0E">
              <w:rPr>
                <w:color w:val="000000"/>
                <w:w w:val="15"/>
                <w:shd w:val="solid" w:color="000000" w:fill="000000"/>
                <w:fitText w:val="45" w:id="-1501806578"/>
                <w14:textFill>
                  <w14:solidFill>
                    <w14:srgbClr w14:val="000000">
                      <w14:alpha w14:val="100000"/>
                    </w14:srgbClr>
                  </w14:solidFill>
                </w14:textFill>
              </w:rPr>
              <w:t>|</w:t>
            </w:r>
            <w:r w:rsidR="00A33A0E" w:rsidRPr="00A33A0E">
              <w:rPr>
                <w:rFonts w:hint="eastAsia"/>
                <w:color w:val="000000"/>
                <w:spacing w:val="-11"/>
                <w:w w:val="15"/>
                <w:shd w:val="solid" w:color="000000" w:fill="000000"/>
                <w:fitText w:val="45" w:id="-1501806578"/>
                <w14:textFill>
                  <w14:solidFill>
                    <w14:srgbClr w14:val="000000">
                      <w14:alpha w14:val="100000"/>
                    </w14:srgbClr>
                  </w14:solidFill>
                </w14:textFill>
              </w:rPr>
              <w:t xml:space="preserve">　</w:t>
            </w:r>
            <w:r w:rsidR="007B1212">
              <w:rPr>
                <w:vertAlign w:val="superscript"/>
              </w:rPr>
              <w:t>3</w:t>
            </w:r>
          </w:p>
        </w:tc>
        <w:tc>
          <w:tcPr>
            <w:tcW w:w="647" w:type="pct"/>
            <w:shd w:val="clear" w:color="auto" w:fill="FFFFFF" w:themeFill="background1"/>
          </w:tcPr>
          <w:p w14:paraId="14D01082" w14:textId="43C9637E" w:rsidR="007B5BF7" w:rsidRPr="003639A6" w:rsidRDefault="007B5BF7" w:rsidP="00C52E97">
            <w:pPr>
              <w:pStyle w:val="TableText0"/>
              <w:jc w:val="center"/>
            </w:pPr>
            <w:r w:rsidRPr="008A7A54">
              <w:t>-</w:t>
            </w:r>
            <w:r w:rsidR="00A33A0E" w:rsidRPr="00A33A0E">
              <w:rPr>
                <w:rFonts w:hint="eastAsia"/>
                <w:color w:val="000000"/>
                <w:w w:val="15"/>
                <w:shd w:val="solid" w:color="000000" w:fill="000000"/>
                <w:fitText w:val="45" w:id="-1501806577"/>
                <w14:textFill>
                  <w14:solidFill>
                    <w14:srgbClr w14:val="000000">
                      <w14:alpha w14:val="100000"/>
                    </w14:srgbClr>
                  </w14:solidFill>
                </w14:textFill>
              </w:rPr>
              <w:t xml:space="preserve">　</w:t>
            </w:r>
            <w:r w:rsidR="00A33A0E" w:rsidRPr="00A33A0E">
              <w:rPr>
                <w:color w:val="000000"/>
                <w:w w:val="15"/>
                <w:shd w:val="solid" w:color="000000" w:fill="000000"/>
                <w:fitText w:val="45" w:id="-1501806577"/>
                <w14:textFill>
                  <w14:solidFill>
                    <w14:srgbClr w14:val="000000">
                      <w14:alpha w14:val="100000"/>
                    </w14:srgbClr>
                  </w14:solidFill>
                </w14:textFill>
              </w:rPr>
              <w:t>|</w:t>
            </w:r>
            <w:r w:rsidR="00A33A0E" w:rsidRPr="00A33A0E">
              <w:rPr>
                <w:rFonts w:hint="eastAsia"/>
                <w:color w:val="000000"/>
                <w:spacing w:val="-11"/>
                <w:w w:val="15"/>
                <w:shd w:val="solid" w:color="000000" w:fill="000000"/>
                <w:fitText w:val="45" w:id="-1501806577"/>
                <w14:textFill>
                  <w14:solidFill>
                    <w14:srgbClr w14:val="000000">
                      <w14:alpha w14:val="100000"/>
                    </w14:srgbClr>
                  </w14:solidFill>
                </w14:textFill>
              </w:rPr>
              <w:t xml:space="preserve">　</w:t>
            </w:r>
            <w:r w:rsidR="007B1212">
              <w:rPr>
                <w:vertAlign w:val="superscript"/>
              </w:rPr>
              <w:t>3</w:t>
            </w:r>
          </w:p>
        </w:tc>
        <w:tc>
          <w:tcPr>
            <w:tcW w:w="647" w:type="pct"/>
            <w:shd w:val="clear" w:color="auto" w:fill="FFFFFF" w:themeFill="background1"/>
          </w:tcPr>
          <w:p w14:paraId="0D161137" w14:textId="7516A999" w:rsidR="007B5BF7" w:rsidRPr="003639A6" w:rsidRDefault="007B5BF7" w:rsidP="00C52E97">
            <w:pPr>
              <w:pStyle w:val="TableText0"/>
              <w:jc w:val="center"/>
            </w:pPr>
            <w:r w:rsidRPr="008A7A54">
              <w:t>-</w:t>
            </w:r>
            <w:r w:rsidR="00A33A0E" w:rsidRPr="00A33A0E">
              <w:rPr>
                <w:rFonts w:hint="eastAsia"/>
                <w:color w:val="000000"/>
                <w:w w:val="15"/>
                <w:shd w:val="solid" w:color="000000" w:fill="000000"/>
                <w:fitText w:val="45" w:id="-1501806576"/>
                <w14:textFill>
                  <w14:solidFill>
                    <w14:srgbClr w14:val="000000">
                      <w14:alpha w14:val="100000"/>
                    </w14:srgbClr>
                  </w14:solidFill>
                </w14:textFill>
              </w:rPr>
              <w:t xml:space="preserve">　</w:t>
            </w:r>
            <w:r w:rsidR="00A33A0E" w:rsidRPr="00A33A0E">
              <w:rPr>
                <w:color w:val="000000"/>
                <w:w w:val="15"/>
                <w:shd w:val="solid" w:color="000000" w:fill="000000"/>
                <w:fitText w:val="45" w:id="-1501806576"/>
                <w14:textFill>
                  <w14:solidFill>
                    <w14:srgbClr w14:val="000000">
                      <w14:alpha w14:val="100000"/>
                    </w14:srgbClr>
                  </w14:solidFill>
                </w14:textFill>
              </w:rPr>
              <w:t>|</w:t>
            </w:r>
            <w:r w:rsidR="00A33A0E" w:rsidRPr="00A33A0E">
              <w:rPr>
                <w:rFonts w:hint="eastAsia"/>
                <w:color w:val="000000"/>
                <w:spacing w:val="-11"/>
                <w:w w:val="15"/>
                <w:shd w:val="solid" w:color="000000" w:fill="000000"/>
                <w:fitText w:val="45" w:id="-1501806576"/>
                <w14:textFill>
                  <w14:solidFill>
                    <w14:srgbClr w14:val="000000">
                      <w14:alpha w14:val="100000"/>
                    </w14:srgbClr>
                  </w14:solidFill>
                </w14:textFill>
              </w:rPr>
              <w:t xml:space="preserve">　</w:t>
            </w:r>
            <w:r w:rsidR="007B1212">
              <w:rPr>
                <w:vertAlign w:val="superscript"/>
              </w:rPr>
              <w:t>3</w:t>
            </w:r>
          </w:p>
        </w:tc>
        <w:tc>
          <w:tcPr>
            <w:tcW w:w="647" w:type="pct"/>
            <w:shd w:val="clear" w:color="auto" w:fill="FFFFFF" w:themeFill="background1"/>
          </w:tcPr>
          <w:p w14:paraId="229F111F" w14:textId="4AE7969A" w:rsidR="007B5BF7" w:rsidRPr="003639A6" w:rsidRDefault="007B5BF7" w:rsidP="00C52E97">
            <w:pPr>
              <w:pStyle w:val="TableText0"/>
              <w:jc w:val="center"/>
            </w:pPr>
            <w:r w:rsidRPr="008A7A54">
              <w:t>-</w:t>
            </w:r>
            <w:r w:rsidR="00A33A0E" w:rsidRPr="00A33A0E">
              <w:rPr>
                <w:rFonts w:hint="eastAsia"/>
                <w:color w:val="000000"/>
                <w:w w:val="15"/>
                <w:shd w:val="solid" w:color="000000" w:fill="000000"/>
                <w:fitText w:val="45" w:id="-1501806592"/>
                <w14:textFill>
                  <w14:solidFill>
                    <w14:srgbClr w14:val="000000">
                      <w14:alpha w14:val="100000"/>
                    </w14:srgbClr>
                  </w14:solidFill>
                </w14:textFill>
              </w:rPr>
              <w:t xml:space="preserve">　</w:t>
            </w:r>
            <w:r w:rsidR="00A33A0E" w:rsidRPr="00A33A0E">
              <w:rPr>
                <w:color w:val="000000"/>
                <w:w w:val="15"/>
                <w:shd w:val="solid" w:color="000000" w:fill="000000"/>
                <w:fitText w:val="45" w:id="-1501806592"/>
                <w14:textFill>
                  <w14:solidFill>
                    <w14:srgbClr w14:val="000000">
                      <w14:alpha w14:val="100000"/>
                    </w14:srgbClr>
                  </w14:solidFill>
                </w14:textFill>
              </w:rPr>
              <w:t>|</w:t>
            </w:r>
            <w:r w:rsidR="00A33A0E" w:rsidRPr="00A33A0E">
              <w:rPr>
                <w:rFonts w:hint="eastAsia"/>
                <w:color w:val="000000"/>
                <w:spacing w:val="-11"/>
                <w:w w:val="15"/>
                <w:shd w:val="solid" w:color="000000" w:fill="000000"/>
                <w:fitText w:val="45" w:id="-1501806592"/>
                <w14:textFill>
                  <w14:solidFill>
                    <w14:srgbClr w14:val="000000">
                      <w14:alpha w14:val="100000"/>
                    </w14:srgbClr>
                  </w14:solidFill>
                </w14:textFill>
              </w:rPr>
              <w:t xml:space="preserve">　</w:t>
            </w:r>
            <w:r w:rsidR="007B1212">
              <w:rPr>
                <w:vertAlign w:val="superscript"/>
              </w:rPr>
              <w:t>3</w:t>
            </w:r>
          </w:p>
        </w:tc>
        <w:tc>
          <w:tcPr>
            <w:tcW w:w="649" w:type="pct"/>
            <w:shd w:val="clear" w:color="auto" w:fill="FFFFFF" w:themeFill="background1"/>
          </w:tcPr>
          <w:p w14:paraId="4B609732" w14:textId="289DE02C" w:rsidR="007B5BF7" w:rsidRPr="003639A6" w:rsidRDefault="007B5BF7" w:rsidP="00C52E97">
            <w:pPr>
              <w:pStyle w:val="TableText0"/>
              <w:jc w:val="center"/>
            </w:pPr>
            <w:r w:rsidRPr="008A7A54">
              <w:t>-</w:t>
            </w:r>
            <w:r w:rsidR="00A33A0E" w:rsidRPr="00A33A0E">
              <w:rPr>
                <w:rFonts w:hint="eastAsia"/>
                <w:color w:val="000000"/>
                <w:w w:val="15"/>
                <w:shd w:val="solid" w:color="000000" w:fill="000000"/>
                <w:fitText w:val="44" w:id="-1501806591"/>
                <w14:textFill>
                  <w14:solidFill>
                    <w14:srgbClr w14:val="000000">
                      <w14:alpha w14:val="100000"/>
                    </w14:srgbClr>
                  </w14:solidFill>
                </w14:textFill>
              </w:rPr>
              <w:t xml:space="preserve">　</w:t>
            </w:r>
            <w:r w:rsidR="00A33A0E" w:rsidRPr="00A33A0E">
              <w:rPr>
                <w:color w:val="000000"/>
                <w:w w:val="15"/>
                <w:shd w:val="solid" w:color="000000" w:fill="000000"/>
                <w:fitText w:val="44" w:id="-1501806591"/>
                <w14:textFill>
                  <w14:solidFill>
                    <w14:srgbClr w14:val="000000">
                      <w14:alpha w14:val="100000"/>
                    </w14:srgbClr>
                  </w14:solidFill>
                </w14:textFill>
              </w:rPr>
              <w:t>|</w:t>
            </w:r>
            <w:r w:rsidR="00A33A0E" w:rsidRPr="00A33A0E">
              <w:rPr>
                <w:rFonts w:hint="eastAsia"/>
                <w:color w:val="000000"/>
                <w:spacing w:val="-21"/>
                <w:w w:val="15"/>
                <w:shd w:val="solid" w:color="000000" w:fill="000000"/>
                <w:fitText w:val="44" w:id="-1501806591"/>
                <w14:textFill>
                  <w14:solidFill>
                    <w14:srgbClr w14:val="000000">
                      <w14:alpha w14:val="100000"/>
                    </w14:srgbClr>
                  </w14:solidFill>
                </w14:textFill>
              </w:rPr>
              <w:t xml:space="preserve">　</w:t>
            </w:r>
            <w:r w:rsidR="007B1212">
              <w:rPr>
                <w:vertAlign w:val="superscript"/>
              </w:rPr>
              <w:t>3</w:t>
            </w:r>
          </w:p>
        </w:tc>
      </w:tr>
      <w:tr w:rsidR="007B5BF7" w:rsidRPr="00FC22AB" w14:paraId="4EC77F89" w14:textId="77777777" w:rsidTr="00C52E97">
        <w:tc>
          <w:tcPr>
            <w:tcW w:w="5000" w:type="pct"/>
            <w:gridSpan w:val="7"/>
            <w:shd w:val="clear" w:color="auto" w:fill="auto"/>
            <w:vAlign w:val="center"/>
          </w:tcPr>
          <w:p w14:paraId="1E7377CC" w14:textId="77777777" w:rsidR="007B5BF7" w:rsidRPr="00FC22AB" w:rsidRDefault="007B5BF7" w:rsidP="00C52E97">
            <w:pPr>
              <w:pStyle w:val="In-tableHeading"/>
            </w:pPr>
            <w:r w:rsidRPr="00FC22AB">
              <w:t>Net financial implications</w:t>
            </w:r>
            <w:r w:rsidRPr="00FC22AB">
              <w:rPr>
                <w:color w:val="4BACC6" w:themeColor="accent5"/>
              </w:rPr>
              <w:t xml:space="preserve"> </w:t>
            </w:r>
          </w:p>
        </w:tc>
      </w:tr>
      <w:tr w:rsidR="007B5BF7" w:rsidRPr="007B1212" w14:paraId="5712A197" w14:textId="77777777" w:rsidTr="00C52E97">
        <w:tc>
          <w:tcPr>
            <w:tcW w:w="1116" w:type="pct"/>
            <w:shd w:val="clear" w:color="auto" w:fill="auto"/>
            <w:vAlign w:val="center"/>
          </w:tcPr>
          <w:p w14:paraId="56748DF9" w14:textId="77777777" w:rsidR="007B5BF7" w:rsidRDefault="007B5BF7" w:rsidP="00C52E97">
            <w:pPr>
              <w:pStyle w:val="TableText0"/>
              <w:rPr>
                <w:sz w:val="19"/>
                <w:szCs w:val="19"/>
              </w:rPr>
            </w:pPr>
            <w:r>
              <w:rPr>
                <w:sz w:val="19"/>
                <w:szCs w:val="19"/>
              </w:rPr>
              <w:t>Net cost to NIP</w:t>
            </w:r>
          </w:p>
        </w:tc>
        <w:tc>
          <w:tcPr>
            <w:tcW w:w="647" w:type="pct"/>
            <w:shd w:val="clear" w:color="auto" w:fill="FFFFFF" w:themeFill="background1"/>
          </w:tcPr>
          <w:p w14:paraId="5077762D" w14:textId="286C85B4" w:rsidR="007B5BF7" w:rsidRPr="007B1212" w:rsidRDefault="00A33A0E" w:rsidP="00C52E97">
            <w:pPr>
              <w:pStyle w:val="TableText0"/>
              <w:jc w:val="center"/>
              <w:rPr>
                <w:highlight w:val="yellow"/>
              </w:rPr>
            </w:pPr>
            <w:r w:rsidRPr="00A33A0E">
              <w:rPr>
                <w:rFonts w:hint="eastAsia"/>
                <w:b/>
                <w:color w:val="000000"/>
                <w:w w:val="15"/>
                <w:shd w:val="solid" w:color="000000" w:fill="000000"/>
                <w:fitText w:val="59" w:id="-1501806590"/>
                <w14:textFill>
                  <w14:solidFill>
                    <w14:srgbClr w14:val="000000">
                      <w14:alpha w14:val="100000"/>
                    </w14:srgbClr>
                  </w14:solidFill>
                </w14:textFill>
              </w:rPr>
              <w:t xml:space="preserve">　</w:t>
            </w:r>
            <w:r w:rsidRPr="00A33A0E">
              <w:rPr>
                <w:b/>
                <w:color w:val="000000"/>
                <w:w w:val="15"/>
                <w:shd w:val="solid" w:color="000000" w:fill="000000"/>
                <w:fitText w:val="59" w:id="-1501806590"/>
                <w14:textFill>
                  <w14:solidFill>
                    <w14:srgbClr w14:val="000000">
                      <w14:alpha w14:val="100000"/>
                    </w14:srgbClr>
                  </w14:solidFill>
                </w14:textFill>
              </w:rPr>
              <w:t>|</w:t>
            </w:r>
            <w:r w:rsidRPr="00A33A0E">
              <w:rPr>
                <w:rFonts w:hint="eastAsia"/>
                <w:b/>
                <w:color w:val="000000"/>
                <w:w w:val="15"/>
                <w:shd w:val="solid" w:color="000000" w:fill="000000"/>
                <w:fitText w:val="59" w:id="-1501806590"/>
                <w14:textFill>
                  <w14:solidFill>
                    <w14:srgbClr w14:val="000000">
                      <w14:alpha w14:val="100000"/>
                    </w14:srgbClr>
                  </w14:solidFill>
                </w14:textFill>
              </w:rPr>
              <w:t xml:space="preserve">　</w:t>
            </w:r>
            <w:r w:rsidR="007B1212">
              <w:rPr>
                <w:vertAlign w:val="superscript"/>
              </w:rPr>
              <w:t>4</w:t>
            </w:r>
          </w:p>
        </w:tc>
        <w:tc>
          <w:tcPr>
            <w:tcW w:w="647" w:type="pct"/>
            <w:shd w:val="clear" w:color="auto" w:fill="FFFFFF" w:themeFill="background1"/>
          </w:tcPr>
          <w:p w14:paraId="11FD8BB2" w14:textId="5F87F95D" w:rsidR="007B5BF7" w:rsidRPr="007B1212" w:rsidRDefault="00A33A0E" w:rsidP="00C52E97">
            <w:pPr>
              <w:pStyle w:val="TableText0"/>
              <w:jc w:val="center"/>
              <w:rPr>
                <w:highlight w:val="yellow"/>
              </w:rPr>
            </w:pPr>
            <w:r w:rsidRPr="00A33A0E">
              <w:rPr>
                <w:rFonts w:hint="eastAsia"/>
                <w:b/>
                <w:color w:val="000000"/>
                <w:w w:val="15"/>
                <w:shd w:val="solid" w:color="000000" w:fill="000000"/>
                <w:fitText w:val="60" w:id="-1501806589"/>
                <w14:textFill>
                  <w14:solidFill>
                    <w14:srgbClr w14:val="000000">
                      <w14:alpha w14:val="100000"/>
                    </w14:srgbClr>
                  </w14:solidFill>
                </w14:textFill>
              </w:rPr>
              <w:t xml:space="preserve">　</w:t>
            </w:r>
            <w:r w:rsidRPr="00A33A0E">
              <w:rPr>
                <w:b/>
                <w:color w:val="000000"/>
                <w:w w:val="15"/>
                <w:shd w:val="solid" w:color="000000" w:fill="000000"/>
                <w:fitText w:val="60" w:id="-1501806589"/>
                <w14:textFill>
                  <w14:solidFill>
                    <w14:srgbClr w14:val="000000">
                      <w14:alpha w14:val="100000"/>
                    </w14:srgbClr>
                  </w14:solidFill>
                </w14:textFill>
              </w:rPr>
              <w:t>|</w:t>
            </w:r>
            <w:r w:rsidRPr="00A33A0E">
              <w:rPr>
                <w:rFonts w:hint="eastAsia"/>
                <w:b/>
                <w:color w:val="000000"/>
                <w:w w:val="15"/>
                <w:shd w:val="solid" w:color="000000" w:fill="000000"/>
                <w:fitText w:val="60" w:id="-1501806589"/>
                <w14:textFill>
                  <w14:solidFill>
                    <w14:srgbClr w14:val="000000">
                      <w14:alpha w14:val="100000"/>
                    </w14:srgbClr>
                  </w14:solidFill>
                </w14:textFill>
              </w:rPr>
              <w:t xml:space="preserve">　</w:t>
            </w:r>
            <w:r w:rsidR="007B1212">
              <w:rPr>
                <w:vertAlign w:val="superscript"/>
              </w:rPr>
              <w:t>4</w:t>
            </w:r>
          </w:p>
        </w:tc>
        <w:tc>
          <w:tcPr>
            <w:tcW w:w="647" w:type="pct"/>
            <w:shd w:val="clear" w:color="auto" w:fill="FFFFFF" w:themeFill="background1"/>
          </w:tcPr>
          <w:p w14:paraId="46E4DBFE" w14:textId="0AD5DA38" w:rsidR="007B5BF7" w:rsidRPr="007B1212" w:rsidRDefault="00A33A0E" w:rsidP="00C52E97">
            <w:pPr>
              <w:pStyle w:val="TableText0"/>
              <w:jc w:val="center"/>
              <w:rPr>
                <w:highlight w:val="yellow"/>
              </w:rPr>
            </w:pPr>
            <w:r w:rsidRPr="00A33A0E">
              <w:rPr>
                <w:rFonts w:hint="eastAsia"/>
                <w:b/>
                <w:color w:val="000000"/>
                <w:w w:val="15"/>
                <w:shd w:val="solid" w:color="000000" w:fill="000000"/>
                <w:fitText w:val="60" w:id="-1501806588"/>
                <w14:textFill>
                  <w14:solidFill>
                    <w14:srgbClr w14:val="000000">
                      <w14:alpha w14:val="100000"/>
                    </w14:srgbClr>
                  </w14:solidFill>
                </w14:textFill>
              </w:rPr>
              <w:t xml:space="preserve">　</w:t>
            </w:r>
            <w:r w:rsidRPr="00A33A0E">
              <w:rPr>
                <w:b/>
                <w:color w:val="000000"/>
                <w:w w:val="15"/>
                <w:shd w:val="solid" w:color="000000" w:fill="000000"/>
                <w:fitText w:val="60" w:id="-1501806588"/>
                <w14:textFill>
                  <w14:solidFill>
                    <w14:srgbClr w14:val="000000">
                      <w14:alpha w14:val="100000"/>
                    </w14:srgbClr>
                  </w14:solidFill>
                </w14:textFill>
              </w:rPr>
              <w:t>|</w:t>
            </w:r>
            <w:r w:rsidRPr="00A33A0E">
              <w:rPr>
                <w:rFonts w:hint="eastAsia"/>
                <w:b/>
                <w:color w:val="000000"/>
                <w:w w:val="15"/>
                <w:shd w:val="solid" w:color="000000" w:fill="000000"/>
                <w:fitText w:val="60" w:id="-1501806588"/>
                <w14:textFill>
                  <w14:solidFill>
                    <w14:srgbClr w14:val="000000">
                      <w14:alpha w14:val="100000"/>
                    </w14:srgbClr>
                  </w14:solidFill>
                </w14:textFill>
              </w:rPr>
              <w:t xml:space="preserve">　</w:t>
            </w:r>
            <w:r w:rsidR="007B1212">
              <w:rPr>
                <w:vertAlign w:val="superscript"/>
              </w:rPr>
              <w:t>4</w:t>
            </w:r>
          </w:p>
        </w:tc>
        <w:tc>
          <w:tcPr>
            <w:tcW w:w="647" w:type="pct"/>
            <w:shd w:val="clear" w:color="auto" w:fill="FFFFFF" w:themeFill="background1"/>
          </w:tcPr>
          <w:p w14:paraId="54D87F2E" w14:textId="4539EC19" w:rsidR="007B5BF7" w:rsidRPr="007B1212" w:rsidRDefault="00A33A0E" w:rsidP="00C52E97">
            <w:pPr>
              <w:pStyle w:val="TableText0"/>
              <w:jc w:val="center"/>
              <w:rPr>
                <w:highlight w:val="yellow"/>
              </w:rPr>
            </w:pPr>
            <w:r w:rsidRPr="00A33A0E">
              <w:rPr>
                <w:rFonts w:hint="eastAsia"/>
                <w:b/>
                <w:color w:val="000000"/>
                <w:w w:val="15"/>
                <w:shd w:val="solid" w:color="000000" w:fill="000000"/>
                <w:fitText w:val="60" w:id="-1501806587"/>
                <w14:textFill>
                  <w14:solidFill>
                    <w14:srgbClr w14:val="000000">
                      <w14:alpha w14:val="100000"/>
                    </w14:srgbClr>
                  </w14:solidFill>
                </w14:textFill>
              </w:rPr>
              <w:t xml:space="preserve">　</w:t>
            </w:r>
            <w:r w:rsidRPr="00A33A0E">
              <w:rPr>
                <w:b/>
                <w:color w:val="000000"/>
                <w:w w:val="15"/>
                <w:shd w:val="solid" w:color="000000" w:fill="000000"/>
                <w:fitText w:val="60" w:id="-1501806587"/>
                <w14:textFill>
                  <w14:solidFill>
                    <w14:srgbClr w14:val="000000">
                      <w14:alpha w14:val="100000"/>
                    </w14:srgbClr>
                  </w14:solidFill>
                </w14:textFill>
              </w:rPr>
              <w:t>|</w:t>
            </w:r>
            <w:r w:rsidRPr="00A33A0E">
              <w:rPr>
                <w:rFonts w:hint="eastAsia"/>
                <w:b/>
                <w:color w:val="000000"/>
                <w:w w:val="15"/>
                <w:shd w:val="solid" w:color="000000" w:fill="000000"/>
                <w:fitText w:val="60" w:id="-1501806587"/>
                <w14:textFill>
                  <w14:solidFill>
                    <w14:srgbClr w14:val="000000">
                      <w14:alpha w14:val="100000"/>
                    </w14:srgbClr>
                  </w14:solidFill>
                </w14:textFill>
              </w:rPr>
              <w:t xml:space="preserve">　</w:t>
            </w:r>
            <w:r w:rsidR="007B1212">
              <w:rPr>
                <w:vertAlign w:val="superscript"/>
              </w:rPr>
              <w:t>4</w:t>
            </w:r>
          </w:p>
        </w:tc>
        <w:tc>
          <w:tcPr>
            <w:tcW w:w="647" w:type="pct"/>
            <w:shd w:val="clear" w:color="auto" w:fill="FFFFFF" w:themeFill="background1"/>
          </w:tcPr>
          <w:p w14:paraId="1093F4BC" w14:textId="1764078A" w:rsidR="007B5BF7" w:rsidRPr="007B1212" w:rsidRDefault="00A33A0E" w:rsidP="00C52E97">
            <w:pPr>
              <w:pStyle w:val="TableText0"/>
              <w:jc w:val="center"/>
              <w:rPr>
                <w:highlight w:val="yellow"/>
              </w:rPr>
            </w:pPr>
            <w:r w:rsidRPr="00A33A0E">
              <w:rPr>
                <w:rFonts w:hint="eastAsia"/>
                <w:b/>
                <w:color w:val="000000"/>
                <w:w w:val="15"/>
                <w:shd w:val="solid" w:color="000000" w:fill="000000"/>
                <w:fitText w:val="60" w:id="-1501806586"/>
                <w14:textFill>
                  <w14:solidFill>
                    <w14:srgbClr w14:val="000000">
                      <w14:alpha w14:val="100000"/>
                    </w14:srgbClr>
                  </w14:solidFill>
                </w14:textFill>
              </w:rPr>
              <w:t xml:space="preserve">　</w:t>
            </w:r>
            <w:r w:rsidRPr="00A33A0E">
              <w:rPr>
                <w:b/>
                <w:color w:val="000000"/>
                <w:w w:val="15"/>
                <w:shd w:val="solid" w:color="000000" w:fill="000000"/>
                <w:fitText w:val="60" w:id="-1501806586"/>
                <w14:textFill>
                  <w14:solidFill>
                    <w14:srgbClr w14:val="000000">
                      <w14:alpha w14:val="100000"/>
                    </w14:srgbClr>
                  </w14:solidFill>
                </w14:textFill>
              </w:rPr>
              <w:t>|</w:t>
            </w:r>
            <w:r w:rsidRPr="00A33A0E">
              <w:rPr>
                <w:rFonts w:hint="eastAsia"/>
                <w:b/>
                <w:color w:val="000000"/>
                <w:w w:val="15"/>
                <w:shd w:val="solid" w:color="000000" w:fill="000000"/>
                <w:fitText w:val="60" w:id="-1501806586"/>
                <w14:textFill>
                  <w14:solidFill>
                    <w14:srgbClr w14:val="000000">
                      <w14:alpha w14:val="100000"/>
                    </w14:srgbClr>
                  </w14:solidFill>
                </w14:textFill>
              </w:rPr>
              <w:t xml:space="preserve">　</w:t>
            </w:r>
            <w:r w:rsidR="007B1212">
              <w:rPr>
                <w:vertAlign w:val="superscript"/>
              </w:rPr>
              <w:t>4</w:t>
            </w:r>
          </w:p>
        </w:tc>
        <w:tc>
          <w:tcPr>
            <w:tcW w:w="649" w:type="pct"/>
            <w:shd w:val="clear" w:color="auto" w:fill="FFFFFF" w:themeFill="background1"/>
          </w:tcPr>
          <w:p w14:paraId="17208ECA" w14:textId="1A016769" w:rsidR="007B5BF7" w:rsidRPr="007B1212" w:rsidRDefault="00A33A0E" w:rsidP="00C52E97">
            <w:pPr>
              <w:pStyle w:val="TableText0"/>
              <w:jc w:val="center"/>
              <w:rPr>
                <w:highlight w:val="yellow"/>
              </w:rPr>
            </w:pPr>
            <w:r w:rsidRPr="00A33A0E">
              <w:rPr>
                <w:rFonts w:hint="eastAsia"/>
                <w:b/>
                <w:color w:val="000000"/>
                <w:w w:val="15"/>
                <w:shd w:val="solid" w:color="000000" w:fill="000000"/>
                <w:fitText w:val="60" w:id="-1501806585"/>
                <w14:textFill>
                  <w14:solidFill>
                    <w14:srgbClr w14:val="000000">
                      <w14:alpha w14:val="100000"/>
                    </w14:srgbClr>
                  </w14:solidFill>
                </w14:textFill>
              </w:rPr>
              <w:t xml:space="preserve">　</w:t>
            </w:r>
            <w:r w:rsidRPr="00A33A0E">
              <w:rPr>
                <w:b/>
                <w:color w:val="000000"/>
                <w:w w:val="15"/>
                <w:shd w:val="solid" w:color="000000" w:fill="000000"/>
                <w:fitText w:val="60" w:id="-1501806585"/>
                <w14:textFill>
                  <w14:solidFill>
                    <w14:srgbClr w14:val="000000">
                      <w14:alpha w14:val="100000"/>
                    </w14:srgbClr>
                  </w14:solidFill>
                </w14:textFill>
              </w:rPr>
              <w:t>|</w:t>
            </w:r>
            <w:r w:rsidRPr="00A33A0E">
              <w:rPr>
                <w:rFonts w:hint="eastAsia"/>
                <w:b/>
                <w:color w:val="000000"/>
                <w:w w:val="15"/>
                <w:shd w:val="solid" w:color="000000" w:fill="000000"/>
                <w:fitText w:val="60" w:id="-1501806585"/>
                <w14:textFill>
                  <w14:solidFill>
                    <w14:srgbClr w14:val="000000">
                      <w14:alpha w14:val="100000"/>
                    </w14:srgbClr>
                  </w14:solidFill>
                </w14:textFill>
              </w:rPr>
              <w:t xml:space="preserve">　</w:t>
            </w:r>
            <w:r w:rsidR="007B1212">
              <w:rPr>
                <w:vertAlign w:val="superscript"/>
              </w:rPr>
              <w:t>4</w:t>
            </w:r>
          </w:p>
        </w:tc>
      </w:tr>
    </w:tbl>
    <w:p w14:paraId="00CDFF44" w14:textId="77777777" w:rsidR="007B5BF7" w:rsidRDefault="007B5BF7" w:rsidP="007B5BF7">
      <w:pPr>
        <w:pStyle w:val="TableFigureFooter"/>
        <w:rPr>
          <w:rStyle w:val="CommentReference"/>
        </w:rPr>
      </w:pPr>
      <w:r>
        <w:t xml:space="preserve">Source: </w:t>
      </w:r>
      <w:r w:rsidRPr="006744D4">
        <w:t>Section 4 workbook ‘4</w:t>
      </w:r>
      <w:r>
        <w:t>.2</w:t>
      </w:r>
      <w:r w:rsidRPr="006744D4">
        <w:t>. Worksheet’</w:t>
      </w:r>
    </w:p>
    <w:p w14:paraId="79C68C45" w14:textId="762A93AA" w:rsidR="007B5BF7" w:rsidRDefault="007B5BF7" w:rsidP="007B5BF7">
      <w:pPr>
        <w:pStyle w:val="TableFigureFooter"/>
      </w:pPr>
      <w:r w:rsidRPr="003639A6">
        <w:rPr>
          <w:vertAlign w:val="superscript"/>
        </w:rPr>
        <w:t>a</w:t>
      </w:r>
      <w:r>
        <w:t xml:space="preserve"> 3 doses</w:t>
      </w:r>
      <w:bookmarkStart w:id="41" w:name="_Hlk99117851"/>
      <w:r>
        <w:t xml:space="preserve"> per </w:t>
      </w:r>
      <w:bookmarkEnd w:id="41"/>
      <w:r>
        <w:t>child</w:t>
      </w:r>
      <w:r w:rsidRPr="003639A6">
        <w:t>.</w:t>
      </w:r>
    </w:p>
    <w:p w14:paraId="5A6FE082" w14:textId="64991DCF" w:rsidR="007B1212" w:rsidRPr="007B1212" w:rsidRDefault="007B1212" w:rsidP="007B5BF7">
      <w:pPr>
        <w:pStyle w:val="TableFigureFooter"/>
        <w:rPr>
          <w:i/>
          <w:iCs/>
        </w:rPr>
      </w:pPr>
      <w:r w:rsidRPr="007B1212">
        <w:rPr>
          <w:i/>
          <w:iCs/>
        </w:rPr>
        <w:t>The redacted values correspond to the following ranges:</w:t>
      </w:r>
    </w:p>
    <w:p w14:paraId="6119894E" w14:textId="6E595E69" w:rsidR="007B1212" w:rsidRPr="007B1212" w:rsidRDefault="007B1212" w:rsidP="007B5BF7">
      <w:pPr>
        <w:pStyle w:val="TableFigureFooter"/>
        <w:rPr>
          <w:i/>
          <w:iCs/>
        </w:rPr>
      </w:pPr>
      <w:r w:rsidRPr="007B1212">
        <w:rPr>
          <w:i/>
          <w:iCs/>
          <w:vertAlign w:val="superscript"/>
        </w:rPr>
        <w:t>1</w:t>
      </w:r>
      <w:r w:rsidRPr="007B1212">
        <w:rPr>
          <w:i/>
          <w:iCs/>
        </w:rPr>
        <w:t xml:space="preserve"> 100,000 to &lt; 200,000</w:t>
      </w:r>
    </w:p>
    <w:p w14:paraId="7587CAAB" w14:textId="0C7AC720" w:rsidR="007B1212" w:rsidRPr="007B1212" w:rsidRDefault="007B1212" w:rsidP="007B5BF7">
      <w:pPr>
        <w:pStyle w:val="TableFigureFooter"/>
        <w:rPr>
          <w:i/>
          <w:iCs/>
        </w:rPr>
      </w:pPr>
      <w:r w:rsidRPr="007B1212">
        <w:rPr>
          <w:i/>
          <w:iCs/>
          <w:vertAlign w:val="superscript"/>
        </w:rPr>
        <w:t>2</w:t>
      </w:r>
      <w:r w:rsidRPr="007B1212">
        <w:rPr>
          <w:i/>
          <w:iCs/>
        </w:rPr>
        <w:t xml:space="preserve"> 500,000 to &lt; 600,000</w:t>
      </w:r>
    </w:p>
    <w:p w14:paraId="5D35E12D" w14:textId="1FCE4738" w:rsidR="007B1212" w:rsidRPr="007B1212" w:rsidRDefault="007B1212" w:rsidP="007B5BF7">
      <w:pPr>
        <w:pStyle w:val="TableFigureFooter"/>
        <w:rPr>
          <w:i/>
          <w:iCs/>
        </w:rPr>
      </w:pPr>
      <w:r w:rsidRPr="007B1212">
        <w:rPr>
          <w:i/>
          <w:iCs/>
          <w:vertAlign w:val="superscript"/>
        </w:rPr>
        <w:t>3</w:t>
      </w:r>
      <w:r w:rsidRPr="007B1212">
        <w:rPr>
          <w:i/>
          <w:iCs/>
        </w:rPr>
        <w:t xml:space="preserve"> $50 million to &lt; $60 million</w:t>
      </w:r>
    </w:p>
    <w:p w14:paraId="478EF0E8" w14:textId="76AF9F70" w:rsidR="007B1212" w:rsidRPr="007B1212" w:rsidRDefault="007B1212" w:rsidP="007B5BF7">
      <w:pPr>
        <w:pStyle w:val="TableFigureFooter"/>
        <w:rPr>
          <w:i/>
          <w:iCs/>
        </w:rPr>
      </w:pPr>
      <w:r w:rsidRPr="007B1212">
        <w:rPr>
          <w:i/>
          <w:iCs/>
          <w:vertAlign w:val="superscript"/>
        </w:rPr>
        <w:t>4</w:t>
      </w:r>
      <w:r w:rsidRPr="007B1212">
        <w:rPr>
          <w:i/>
          <w:iCs/>
        </w:rPr>
        <w:t xml:space="preserve"> $0 to &lt; $10 million</w:t>
      </w:r>
    </w:p>
    <w:p w14:paraId="51003897" w14:textId="09BFBB5B" w:rsidR="007B5BF7" w:rsidRDefault="007B5BF7" w:rsidP="007B5BF7">
      <w:pPr>
        <w:pStyle w:val="3-BodyText"/>
      </w:pPr>
      <w:r>
        <w:t xml:space="preserve">The submission estimated that listing of </w:t>
      </w:r>
      <w:proofErr w:type="spellStart"/>
      <w:r>
        <w:t>Vaxelis</w:t>
      </w:r>
      <w:proofErr w:type="spellEnd"/>
      <w:r>
        <w:t xml:space="preserve"> on NIP will be cost neutral to </w:t>
      </w:r>
      <w:r w:rsidR="00D10A3B">
        <w:t xml:space="preserve">the </w:t>
      </w:r>
      <w:r>
        <w:t xml:space="preserve">NIP given the direct substitution for Infanrix </w:t>
      </w:r>
      <w:proofErr w:type="spellStart"/>
      <w:r w:rsidR="00AE2917">
        <w:t>Hexa</w:t>
      </w:r>
      <w:proofErr w:type="spellEnd"/>
      <w:r>
        <w:t xml:space="preserve"> at the same price. </w:t>
      </w:r>
      <w:r w:rsidRPr="00910346">
        <w:t>This is reasonable.</w:t>
      </w:r>
      <w:bookmarkEnd w:id="3"/>
    </w:p>
    <w:p w14:paraId="0BECF203" w14:textId="3F25C1D6" w:rsidR="0039129A" w:rsidRDefault="00736D64" w:rsidP="00AF5BE1">
      <w:pPr>
        <w:pStyle w:val="3-BodyText"/>
        <w:numPr>
          <w:ilvl w:val="0"/>
          <w:numId w:val="0"/>
        </w:numPr>
        <w:ind w:left="720"/>
        <w:rPr>
          <w:i/>
        </w:rPr>
      </w:pPr>
      <w:r w:rsidRPr="00C33D30">
        <w:rPr>
          <w:i/>
        </w:rPr>
        <w:t>For more detail on PBAC’s view, see section 7 PBAC outcome.</w:t>
      </w:r>
      <w:bookmarkStart w:id="42" w:name="_Hlk76381249"/>
      <w:bookmarkStart w:id="43" w:name="_Hlk76377955"/>
    </w:p>
    <w:p w14:paraId="7378E014" w14:textId="6DF1F0D1" w:rsidR="0039129A" w:rsidRPr="0090150D" w:rsidRDefault="0039129A" w:rsidP="00384974">
      <w:pPr>
        <w:pStyle w:val="2-SectionHeading"/>
      </w:pPr>
      <w:r w:rsidRPr="0090150D">
        <w:t>PBAC Outcome</w:t>
      </w:r>
    </w:p>
    <w:p w14:paraId="02A4B0F7" w14:textId="09CAA855" w:rsidR="00AE4C62" w:rsidRPr="0093234E" w:rsidRDefault="00D35118" w:rsidP="0039129A">
      <w:pPr>
        <w:widowControl w:val="0"/>
        <w:numPr>
          <w:ilvl w:val="1"/>
          <w:numId w:val="1"/>
        </w:numPr>
        <w:spacing w:after="120"/>
        <w:rPr>
          <w:rFonts w:asciiTheme="minorHAnsi" w:hAnsiTheme="minorHAnsi"/>
          <w:snapToGrid w:val="0"/>
          <w:lang w:val="en-GB"/>
        </w:rPr>
      </w:pPr>
      <w:bookmarkStart w:id="44" w:name="_Hlk98778851"/>
      <w:r>
        <w:rPr>
          <w:rFonts w:asciiTheme="minorHAnsi" w:hAnsiTheme="minorHAnsi"/>
          <w:snapToGrid w:val="0"/>
          <w:lang w:val="en-GB"/>
        </w:rPr>
        <w:t xml:space="preserve">The PBAC recommended that </w:t>
      </w:r>
      <w:r w:rsidRPr="00D35118">
        <w:rPr>
          <w:rFonts w:asciiTheme="minorHAnsi" w:hAnsiTheme="minorHAnsi"/>
          <w:snapToGrid w:val="0"/>
          <w:lang w:val="en-GB"/>
        </w:rPr>
        <w:t>dip</w:t>
      </w:r>
      <w:r w:rsidR="00AB3DAC">
        <w:rPr>
          <w:rFonts w:asciiTheme="minorHAnsi" w:hAnsiTheme="minorHAnsi"/>
          <w:snapToGrid w:val="0"/>
          <w:lang w:val="en-GB"/>
        </w:rPr>
        <w:t>h</w:t>
      </w:r>
      <w:r w:rsidRPr="00D35118">
        <w:rPr>
          <w:rFonts w:asciiTheme="minorHAnsi" w:hAnsiTheme="minorHAnsi"/>
          <w:snapToGrid w:val="0"/>
          <w:lang w:val="en-GB"/>
        </w:rPr>
        <w:t xml:space="preserve">theria, tetanus, pertussis, hepatitis B, </w:t>
      </w:r>
      <w:proofErr w:type="gramStart"/>
      <w:r w:rsidRPr="00D35118">
        <w:rPr>
          <w:rFonts w:asciiTheme="minorHAnsi" w:hAnsiTheme="minorHAnsi"/>
          <w:snapToGrid w:val="0"/>
          <w:lang w:val="en-GB"/>
        </w:rPr>
        <w:t>poliomyelitis</w:t>
      </w:r>
      <w:proofErr w:type="gramEnd"/>
      <w:r w:rsidRPr="00D35118">
        <w:rPr>
          <w:rFonts w:asciiTheme="minorHAnsi" w:hAnsiTheme="minorHAnsi"/>
          <w:snapToGrid w:val="0"/>
          <w:lang w:val="en-GB"/>
        </w:rPr>
        <w:t xml:space="preserve"> and </w:t>
      </w:r>
      <w:r w:rsidR="006E3C74" w:rsidRPr="006E3C74">
        <w:rPr>
          <w:rFonts w:asciiTheme="minorHAnsi" w:hAnsiTheme="minorHAnsi"/>
          <w:i/>
          <w:iCs/>
          <w:snapToGrid w:val="0"/>
          <w:lang w:val="en-GB"/>
        </w:rPr>
        <w:t>H</w:t>
      </w:r>
      <w:r w:rsidRPr="006E3C74">
        <w:rPr>
          <w:rFonts w:asciiTheme="minorHAnsi" w:hAnsiTheme="minorHAnsi"/>
          <w:i/>
          <w:iCs/>
          <w:snapToGrid w:val="0"/>
          <w:lang w:val="en-GB"/>
        </w:rPr>
        <w:t>aemophilus influenzae</w:t>
      </w:r>
      <w:r w:rsidRPr="00D35118">
        <w:rPr>
          <w:rFonts w:asciiTheme="minorHAnsi" w:hAnsiTheme="minorHAnsi"/>
          <w:snapToGrid w:val="0"/>
          <w:lang w:val="en-GB"/>
        </w:rPr>
        <w:t xml:space="preserve"> type </w:t>
      </w:r>
      <w:r w:rsidR="00B13899">
        <w:rPr>
          <w:rFonts w:asciiTheme="minorHAnsi" w:hAnsiTheme="minorHAnsi"/>
          <w:snapToGrid w:val="0"/>
          <w:lang w:val="en-GB"/>
        </w:rPr>
        <w:t>b</w:t>
      </w:r>
      <w:r w:rsidRPr="00D35118">
        <w:rPr>
          <w:rFonts w:asciiTheme="minorHAnsi" w:hAnsiTheme="minorHAnsi"/>
          <w:snapToGrid w:val="0"/>
          <w:lang w:val="en-GB"/>
        </w:rPr>
        <w:t xml:space="preserve"> conjugate vaccine</w:t>
      </w:r>
      <w:r>
        <w:rPr>
          <w:rFonts w:asciiTheme="minorHAnsi" w:hAnsiTheme="minorHAnsi"/>
          <w:snapToGrid w:val="0"/>
          <w:lang w:val="en-GB"/>
        </w:rPr>
        <w:t xml:space="preserve"> (</w:t>
      </w:r>
      <w:proofErr w:type="spellStart"/>
      <w:r w:rsidRPr="00D35118">
        <w:rPr>
          <w:rFonts w:asciiTheme="minorHAnsi" w:hAnsiTheme="minorHAnsi"/>
          <w:snapToGrid w:val="0"/>
          <w:lang w:val="en-GB"/>
        </w:rPr>
        <w:t>DTPa</w:t>
      </w:r>
      <w:proofErr w:type="spellEnd"/>
      <w:r w:rsidRPr="00D35118">
        <w:rPr>
          <w:rFonts w:asciiTheme="minorHAnsi" w:hAnsiTheme="minorHAnsi"/>
          <w:snapToGrid w:val="0"/>
          <w:lang w:val="en-GB"/>
        </w:rPr>
        <w:t>-HB-IPV-Hib</w:t>
      </w:r>
      <w:r>
        <w:rPr>
          <w:rFonts w:asciiTheme="minorHAnsi" w:hAnsiTheme="minorHAnsi"/>
          <w:snapToGrid w:val="0"/>
          <w:lang w:val="en-GB"/>
        </w:rPr>
        <w:t xml:space="preserve">, </w:t>
      </w:r>
      <w:proofErr w:type="spellStart"/>
      <w:r>
        <w:rPr>
          <w:rFonts w:asciiTheme="minorHAnsi" w:hAnsiTheme="minorHAnsi"/>
          <w:snapToGrid w:val="0"/>
          <w:lang w:val="en-GB"/>
        </w:rPr>
        <w:t>Vaxelis</w:t>
      </w:r>
      <w:proofErr w:type="spellEnd"/>
      <w:r>
        <w:rPr>
          <w:rFonts w:asciiTheme="minorHAnsi" w:hAnsiTheme="minorHAnsi"/>
          <w:snapToGrid w:val="0"/>
          <w:lang w:val="en-GB"/>
        </w:rPr>
        <w:t xml:space="preserve">) </w:t>
      </w:r>
      <w:r w:rsidR="00CE23A6" w:rsidRPr="00CE23A6">
        <w:rPr>
          <w:rFonts w:asciiTheme="minorHAnsi" w:hAnsiTheme="minorHAnsi"/>
          <w:snapToGrid w:val="0"/>
          <w:lang w:val="en-GB"/>
        </w:rPr>
        <w:t xml:space="preserve">be a designated vaccine for the purposes of the </w:t>
      </w:r>
      <w:r w:rsidR="00CE23A6" w:rsidRPr="00CE23A6">
        <w:rPr>
          <w:rFonts w:asciiTheme="minorHAnsi" w:hAnsiTheme="minorHAnsi"/>
          <w:i/>
          <w:iCs/>
          <w:snapToGrid w:val="0"/>
          <w:lang w:val="en-GB"/>
        </w:rPr>
        <w:t>National Health Act 1953</w:t>
      </w:r>
      <w:r w:rsidR="008D53C3">
        <w:rPr>
          <w:rFonts w:asciiTheme="minorHAnsi" w:hAnsiTheme="minorHAnsi"/>
          <w:snapToGrid w:val="0"/>
          <w:lang w:val="en-GB"/>
        </w:rPr>
        <w:t xml:space="preserve">, </w:t>
      </w:r>
      <w:r w:rsidR="008D53C3" w:rsidRPr="008D53C3">
        <w:rPr>
          <w:rFonts w:asciiTheme="minorHAnsi" w:hAnsiTheme="minorHAnsi"/>
          <w:snapToGrid w:val="0"/>
        </w:rPr>
        <w:t xml:space="preserve">for the primary vaccination series against diphtheria, tetanus, pertussis, hepatitis B, poliomyelitis and invasive infections caused by </w:t>
      </w:r>
      <w:r w:rsidR="008D53C3" w:rsidRPr="008D53C3">
        <w:rPr>
          <w:rFonts w:asciiTheme="minorHAnsi" w:hAnsiTheme="minorHAnsi"/>
          <w:i/>
          <w:iCs/>
          <w:snapToGrid w:val="0"/>
        </w:rPr>
        <w:t>Haemophilus influenzae</w:t>
      </w:r>
      <w:r w:rsidR="008D53C3" w:rsidRPr="008D53C3">
        <w:rPr>
          <w:rFonts w:asciiTheme="minorHAnsi" w:hAnsiTheme="minorHAnsi"/>
          <w:snapToGrid w:val="0"/>
        </w:rPr>
        <w:t xml:space="preserve"> type b at 2, 4 and 6 months of age</w:t>
      </w:r>
      <w:r w:rsidR="008D53C3">
        <w:rPr>
          <w:rFonts w:asciiTheme="minorHAnsi" w:hAnsiTheme="minorHAnsi"/>
          <w:snapToGrid w:val="0"/>
        </w:rPr>
        <w:t>.</w:t>
      </w:r>
      <w:r w:rsidR="00513CC2">
        <w:rPr>
          <w:rFonts w:asciiTheme="minorHAnsi" w:hAnsiTheme="minorHAnsi"/>
          <w:snapToGrid w:val="0"/>
        </w:rPr>
        <w:t xml:space="preserve"> </w:t>
      </w:r>
      <w:bookmarkStart w:id="45" w:name="_Hlk99481913"/>
      <w:r w:rsidR="00513CC2">
        <w:rPr>
          <w:rFonts w:asciiTheme="minorHAnsi" w:hAnsiTheme="minorHAnsi"/>
          <w:snapToGrid w:val="0"/>
        </w:rPr>
        <w:t xml:space="preserve">The PBAC also </w:t>
      </w:r>
      <w:r w:rsidR="0049421B">
        <w:rPr>
          <w:rFonts w:asciiTheme="minorHAnsi" w:hAnsiTheme="minorHAnsi"/>
          <w:snapToGrid w:val="0"/>
        </w:rPr>
        <w:t xml:space="preserve">considered </w:t>
      </w:r>
      <w:proofErr w:type="spellStart"/>
      <w:r w:rsidR="0049421B">
        <w:rPr>
          <w:rFonts w:asciiTheme="minorHAnsi" w:hAnsiTheme="minorHAnsi"/>
          <w:snapToGrid w:val="0"/>
        </w:rPr>
        <w:t>Vaxelis</w:t>
      </w:r>
      <w:proofErr w:type="spellEnd"/>
      <w:r w:rsidR="0049421B">
        <w:rPr>
          <w:rFonts w:asciiTheme="minorHAnsi" w:hAnsiTheme="minorHAnsi"/>
          <w:snapToGrid w:val="0"/>
        </w:rPr>
        <w:t xml:space="preserve"> to be suitable for </w:t>
      </w:r>
      <w:r w:rsidR="00B229DC">
        <w:rPr>
          <w:rFonts w:asciiTheme="minorHAnsi" w:hAnsiTheme="minorHAnsi"/>
          <w:snapToGrid w:val="0"/>
        </w:rPr>
        <w:t>catch-up for children under 10 years of age.</w:t>
      </w:r>
      <w:r w:rsidR="008D53C3" w:rsidRPr="008D53C3">
        <w:t xml:space="preserve"> </w:t>
      </w:r>
      <w:bookmarkEnd w:id="45"/>
      <w:r w:rsidR="008D53C3" w:rsidRPr="008D53C3">
        <w:rPr>
          <w:rFonts w:asciiTheme="minorHAnsi" w:hAnsiTheme="minorHAnsi"/>
          <w:snapToGrid w:val="0"/>
        </w:rPr>
        <w:t xml:space="preserve">The PBAC’s recommendation for listing was based on, among other matters, its assessment that the cost-effectiveness of </w:t>
      </w:r>
      <w:proofErr w:type="spellStart"/>
      <w:r w:rsidR="008D53C3" w:rsidRPr="008D53C3">
        <w:rPr>
          <w:rFonts w:asciiTheme="minorHAnsi" w:hAnsiTheme="minorHAnsi"/>
          <w:snapToGrid w:val="0"/>
        </w:rPr>
        <w:t>V</w:t>
      </w:r>
      <w:r w:rsidR="008D53C3">
        <w:rPr>
          <w:rFonts w:asciiTheme="minorHAnsi" w:hAnsiTheme="minorHAnsi"/>
          <w:snapToGrid w:val="0"/>
        </w:rPr>
        <w:t>axelis</w:t>
      </w:r>
      <w:proofErr w:type="spellEnd"/>
      <w:r w:rsidR="008D53C3" w:rsidRPr="008D53C3">
        <w:rPr>
          <w:rFonts w:asciiTheme="minorHAnsi" w:hAnsiTheme="minorHAnsi"/>
          <w:snapToGrid w:val="0"/>
        </w:rPr>
        <w:t xml:space="preserve"> would be acceptable if it were cost-minimised against the nominated comparator, </w:t>
      </w:r>
      <w:r w:rsidR="000B5FC6">
        <w:rPr>
          <w:rFonts w:asciiTheme="minorHAnsi" w:hAnsiTheme="minorHAnsi"/>
          <w:snapToGrid w:val="0"/>
        </w:rPr>
        <w:t xml:space="preserve">Infanrix </w:t>
      </w:r>
      <w:proofErr w:type="spellStart"/>
      <w:r w:rsidR="000B5FC6">
        <w:rPr>
          <w:rFonts w:asciiTheme="minorHAnsi" w:hAnsiTheme="minorHAnsi"/>
          <w:snapToGrid w:val="0"/>
        </w:rPr>
        <w:t>Hexa</w:t>
      </w:r>
      <w:proofErr w:type="spellEnd"/>
      <w:r w:rsidR="008D53C3" w:rsidRPr="008D53C3">
        <w:rPr>
          <w:rFonts w:asciiTheme="minorHAnsi" w:hAnsiTheme="minorHAnsi"/>
          <w:snapToGrid w:val="0"/>
        </w:rPr>
        <w:t>.</w:t>
      </w:r>
    </w:p>
    <w:bookmarkEnd w:id="44"/>
    <w:p w14:paraId="42A9A3F3" w14:textId="6584EC83" w:rsidR="005210EB" w:rsidRDefault="007B58E6" w:rsidP="00D824D6">
      <w:pPr>
        <w:pStyle w:val="3-BodyText"/>
        <w:rPr>
          <w:lang w:val="en-GB"/>
        </w:rPr>
      </w:pPr>
      <w:r>
        <w:rPr>
          <w:lang w:val="en-GB"/>
        </w:rPr>
        <w:t xml:space="preserve">The PBAC considered that the nominated comparator, Infanrix </w:t>
      </w:r>
      <w:proofErr w:type="spellStart"/>
      <w:r>
        <w:rPr>
          <w:lang w:val="en-GB"/>
        </w:rPr>
        <w:t>Hexa</w:t>
      </w:r>
      <w:proofErr w:type="spellEnd"/>
      <w:r>
        <w:rPr>
          <w:lang w:val="en-GB"/>
        </w:rPr>
        <w:t xml:space="preserve">, was appropriate noting it is </w:t>
      </w:r>
      <w:r w:rsidRPr="007B58E6">
        <w:rPr>
          <w:lang w:val="en-GB"/>
        </w:rPr>
        <w:t>currently the only hexavalent vaccine supplied</w:t>
      </w:r>
      <w:r>
        <w:rPr>
          <w:lang w:val="en-GB"/>
        </w:rPr>
        <w:t xml:space="preserve"> </w:t>
      </w:r>
      <w:r w:rsidRPr="007B58E6">
        <w:rPr>
          <w:lang w:val="en-GB"/>
        </w:rPr>
        <w:t>on the NIP.</w:t>
      </w:r>
    </w:p>
    <w:p w14:paraId="3772394E" w14:textId="72A9ACFF" w:rsidR="00281E26" w:rsidRDefault="00281E26" w:rsidP="00D824D6">
      <w:pPr>
        <w:pStyle w:val="3-BodyText"/>
        <w:rPr>
          <w:lang w:val="en-GB"/>
        </w:rPr>
      </w:pPr>
      <w:r>
        <w:rPr>
          <w:lang w:val="en-GB"/>
        </w:rPr>
        <w:t xml:space="preserve">The </w:t>
      </w:r>
      <w:r w:rsidRPr="00281E26">
        <w:rPr>
          <w:lang w:val="en-GB"/>
        </w:rPr>
        <w:t xml:space="preserve">PBAC considered that having a second supplier of childhood </w:t>
      </w:r>
      <w:proofErr w:type="spellStart"/>
      <w:r w:rsidRPr="00281E26">
        <w:rPr>
          <w:lang w:val="en-GB"/>
        </w:rPr>
        <w:t>DTPa</w:t>
      </w:r>
      <w:proofErr w:type="spellEnd"/>
      <w:r w:rsidRPr="00281E26">
        <w:rPr>
          <w:lang w:val="en-GB"/>
        </w:rPr>
        <w:t>-HB-IPV-Hib vaccines in Australia would be useful for managing risks associated with a sole supplier on the NIP.</w:t>
      </w:r>
    </w:p>
    <w:p w14:paraId="5D68E924" w14:textId="36B46C40" w:rsidR="00D824D6" w:rsidRPr="00D824D6" w:rsidRDefault="00D824D6" w:rsidP="00D824D6">
      <w:pPr>
        <w:pStyle w:val="3-BodyText"/>
        <w:rPr>
          <w:lang w:val="en-GB"/>
        </w:rPr>
      </w:pPr>
      <w:r w:rsidRPr="00D824D6">
        <w:rPr>
          <w:lang w:val="en-GB"/>
        </w:rPr>
        <w:t xml:space="preserve">The PBAC advised that the </w:t>
      </w:r>
      <w:proofErr w:type="spellStart"/>
      <w:r w:rsidRPr="00D824D6">
        <w:rPr>
          <w:lang w:val="en-GB"/>
        </w:rPr>
        <w:t>equi</w:t>
      </w:r>
      <w:proofErr w:type="spellEnd"/>
      <w:r w:rsidRPr="00D824D6">
        <w:rPr>
          <w:lang w:val="en-GB"/>
        </w:rPr>
        <w:t xml:space="preserve">-effective doses were </w:t>
      </w:r>
      <w:r>
        <w:rPr>
          <w:lang w:val="en-GB"/>
        </w:rPr>
        <w:t>1</w:t>
      </w:r>
      <w:r w:rsidRPr="00D824D6">
        <w:rPr>
          <w:lang w:val="en-GB"/>
        </w:rPr>
        <w:t xml:space="preserve"> x 0.5 mL </w:t>
      </w:r>
      <w:proofErr w:type="spellStart"/>
      <w:r w:rsidRPr="00D824D6">
        <w:rPr>
          <w:lang w:val="en-GB"/>
        </w:rPr>
        <w:t>Vax</w:t>
      </w:r>
      <w:r>
        <w:rPr>
          <w:lang w:val="en-GB"/>
        </w:rPr>
        <w:t>elis</w:t>
      </w:r>
      <w:proofErr w:type="spellEnd"/>
      <w:r>
        <w:rPr>
          <w:lang w:val="en-GB"/>
        </w:rPr>
        <w:t xml:space="preserve"> at 2, 4 and 6 months</w:t>
      </w:r>
      <w:r w:rsidRPr="00D824D6">
        <w:rPr>
          <w:lang w:val="en-GB"/>
        </w:rPr>
        <w:t xml:space="preserve"> and 1 x 0.5 mL </w:t>
      </w:r>
      <w:r>
        <w:rPr>
          <w:lang w:val="en-GB"/>
        </w:rPr>
        <w:t xml:space="preserve">Infanrix </w:t>
      </w:r>
      <w:proofErr w:type="spellStart"/>
      <w:r>
        <w:rPr>
          <w:lang w:val="en-GB"/>
        </w:rPr>
        <w:t>Hexa</w:t>
      </w:r>
      <w:proofErr w:type="spellEnd"/>
      <w:r>
        <w:rPr>
          <w:lang w:val="en-GB"/>
        </w:rPr>
        <w:t xml:space="preserve"> at 2, 4 and 6 months</w:t>
      </w:r>
      <w:r w:rsidRPr="00D824D6">
        <w:rPr>
          <w:lang w:val="en-GB"/>
        </w:rPr>
        <w:t xml:space="preserve">. </w:t>
      </w:r>
    </w:p>
    <w:p w14:paraId="666C9A07" w14:textId="453A2809" w:rsidR="00C4720B" w:rsidRDefault="00AA228C" w:rsidP="00C4720B">
      <w:pPr>
        <w:pStyle w:val="3-BodyText"/>
        <w:rPr>
          <w:lang w:val="en-GB"/>
        </w:rPr>
      </w:pPr>
      <w:r>
        <w:rPr>
          <w:lang w:val="en-GB"/>
        </w:rPr>
        <w:t xml:space="preserve">The PBAC noted that the time points </w:t>
      </w:r>
      <w:r w:rsidR="001957EB">
        <w:rPr>
          <w:lang w:val="en-GB"/>
        </w:rPr>
        <w:t xml:space="preserve">of the dosing schedule in the key trials, </w:t>
      </w:r>
      <w:r w:rsidR="00423BE1">
        <w:rPr>
          <w:lang w:val="en-GB"/>
        </w:rPr>
        <w:t>Study 007</w:t>
      </w:r>
      <w:r w:rsidR="003548E7">
        <w:rPr>
          <w:lang w:val="en-GB"/>
        </w:rPr>
        <w:t xml:space="preserve"> (</w:t>
      </w:r>
      <w:proofErr w:type="gramStart"/>
      <w:r w:rsidR="0022424F">
        <w:rPr>
          <w:lang w:val="en-GB"/>
        </w:rPr>
        <w:t>2, 3 and 4 month</w:t>
      </w:r>
      <w:proofErr w:type="gramEnd"/>
      <w:r w:rsidR="0022424F">
        <w:rPr>
          <w:lang w:val="en-GB"/>
        </w:rPr>
        <w:t xml:space="preserve"> primary dose series)</w:t>
      </w:r>
      <w:r w:rsidR="00423BE1">
        <w:rPr>
          <w:lang w:val="en-GB"/>
        </w:rPr>
        <w:t xml:space="preserve"> and Study 008</w:t>
      </w:r>
      <w:r w:rsidR="008646A9">
        <w:rPr>
          <w:lang w:val="en-GB"/>
        </w:rPr>
        <w:t xml:space="preserve"> (2 and 4 month primary dose series)</w:t>
      </w:r>
      <w:r w:rsidR="00F52A8F">
        <w:rPr>
          <w:lang w:val="en-GB"/>
        </w:rPr>
        <w:t xml:space="preserve">, </w:t>
      </w:r>
      <w:r w:rsidR="003548E7">
        <w:rPr>
          <w:lang w:val="en-GB"/>
        </w:rPr>
        <w:t>differed to the proposed Australian setting</w:t>
      </w:r>
      <w:r w:rsidR="008646A9">
        <w:rPr>
          <w:lang w:val="en-GB"/>
        </w:rPr>
        <w:t xml:space="preserve">. The PBAC noted the advice from </w:t>
      </w:r>
      <w:r w:rsidR="008646A9">
        <w:rPr>
          <w:lang w:val="en-GB"/>
        </w:rPr>
        <w:lastRenderedPageBreak/>
        <w:t xml:space="preserve">ATAGI </w:t>
      </w:r>
      <w:r w:rsidR="00C4720B" w:rsidRPr="00C4720B">
        <w:rPr>
          <w:lang w:val="en-GB"/>
        </w:rPr>
        <w:t xml:space="preserve">that the difference between the trial setting and proposed Australian setting in terms of dosing schedule is unlikely to affect vaccine efficacy and safety. </w:t>
      </w:r>
    </w:p>
    <w:p w14:paraId="631EAED2" w14:textId="107B312D" w:rsidR="00B95BCB" w:rsidRDefault="005322F9" w:rsidP="00C4720B">
      <w:pPr>
        <w:pStyle w:val="3-BodyText"/>
        <w:rPr>
          <w:lang w:val="en-GB"/>
        </w:rPr>
      </w:pPr>
      <w:r>
        <w:rPr>
          <w:lang w:val="en-GB"/>
        </w:rPr>
        <w:t>The PBAC noted that</w:t>
      </w:r>
      <w:r w:rsidR="00C57677">
        <w:rPr>
          <w:lang w:val="en-GB"/>
        </w:rPr>
        <w:t xml:space="preserve"> </w:t>
      </w:r>
      <w:proofErr w:type="spellStart"/>
      <w:r>
        <w:rPr>
          <w:lang w:val="en-GB"/>
        </w:rPr>
        <w:t>Vaxelis</w:t>
      </w:r>
      <w:proofErr w:type="spellEnd"/>
      <w:r>
        <w:rPr>
          <w:lang w:val="en-GB"/>
        </w:rPr>
        <w:t xml:space="preserve"> m</w:t>
      </w:r>
      <w:r w:rsidR="00F25622">
        <w:rPr>
          <w:lang w:val="en-GB"/>
        </w:rPr>
        <w:t xml:space="preserve">et the pre-specified non-inferiority criteria for </w:t>
      </w:r>
      <w:r w:rsidR="00BC65E4">
        <w:rPr>
          <w:lang w:val="en-GB"/>
        </w:rPr>
        <w:t xml:space="preserve">all </w:t>
      </w:r>
      <w:r w:rsidR="00D42CC7">
        <w:rPr>
          <w:lang w:val="en-GB"/>
        </w:rPr>
        <w:t>pre-specified endpoints for the primary analyses</w:t>
      </w:r>
      <w:r w:rsidR="00C57677">
        <w:rPr>
          <w:lang w:val="en-GB"/>
        </w:rPr>
        <w:t xml:space="preserve"> in S</w:t>
      </w:r>
      <w:r w:rsidR="00A8785E">
        <w:rPr>
          <w:lang w:val="en-GB"/>
        </w:rPr>
        <w:t>tudy</w:t>
      </w:r>
      <w:r w:rsidR="00C57677">
        <w:rPr>
          <w:lang w:val="en-GB"/>
        </w:rPr>
        <w:t xml:space="preserve"> 007 and S</w:t>
      </w:r>
      <w:r w:rsidR="00A8785E">
        <w:rPr>
          <w:lang w:val="en-GB"/>
        </w:rPr>
        <w:t>tudy</w:t>
      </w:r>
      <w:r w:rsidR="00C57677">
        <w:rPr>
          <w:lang w:val="en-GB"/>
        </w:rPr>
        <w:t xml:space="preserve"> 008</w:t>
      </w:r>
      <w:r w:rsidR="00D42CC7">
        <w:rPr>
          <w:lang w:val="en-GB"/>
        </w:rPr>
        <w:t>,</w:t>
      </w:r>
      <w:r w:rsidR="00C57677">
        <w:rPr>
          <w:lang w:val="en-GB"/>
        </w:rPr>
        <w:t xml:space="preserve"> at </w:t>
      </w:r>
      <w:proofErr w:type="gramStart"/>
      <w:r w:rsidR="00C57677">
        <w:rPr>
          <w:lang w:val="en-GB"/>
        </w:rPr>
        <w:t>1 month</w:t>
      </w:r>
      <w:proofErr w:type="gramEnd"/>
      <w:r w:rsidR="00C57677">
        <w:rPr>
          <w:lang w:val="en-GB"/>
        </w:rPr>
        <w:t xml:space="preserve"> post-</w:t>
      </w:r>
      <w:r w:rsidR="00E23B33">
        <w:rPr>
          <w:lang w:val="en-GB"/>
        </w:rPr>
        <w:t>D</w:t>
      </w:r>
      <w:r w:rsidR="00C57677">
        <w:rPr>
          <w:lang w:val="en-GB"/>
        </w:rPr>
        <w:t>ose 3 and 1 month post-</w:t>
      </w:r>
      <w:r w:rsidR="00E23B33">
        <w:rPr>
          <w:lang w:val="en-GB"/>
        </w:rPr>
        <w:t>T</w:t>
      </w:r>
      <w:r w:rsidR="00C57677">
        <w:rPr>
          <w:lang w:val="en-GB"/>
        </w:rPr>
        <w:t>oddler dose timepoints.</w:t>
      </w:r>
      <w:r w:rsidR="002F2D73">
        <w:rPr>
          <w:lang w:val="en-GB"/>
        </w:rPr>
        <w:t xml:space="preserve"> Overall, the PBAC </w:t>
      </w:r>
      <w:r w:rsidR="0061597F">
        <w:rPr>
          <w:lang w:val="en-GB"/>
        </w:rPr>
        <w:t xml:space="preserve">considered it was reasonable to conclude </w:t>
      </w:r>
      <w:r w:rsidR="008C2570">
        <w:rPr>
          <w:lang w:val="en-GB"/>
        </w:rPr>
        <w:t xml:space="preserve">that </w:t>
      </w:r>
      <w:proofErr w:type="spellStart"/>
      <w:r w:rsidR="008C2570">
        <w:rPr>
          <w:lang w:val="en-GB"/>
        </w:rPr>
        <w:t>Vaxelis</w:t>
      </w:r>
      <w:proofErr w:type="spellEnd"/>
      <w:r w:rsidR="008C2570">
        <w:rPr>
          <w:lang w:val="en-GB"/>
        </w:rPr>
        <w:t xml:space="preserve"> was non-inferior to Infanrix </w:t>
      </w:r>
      <w:proofErr w:type="spellStart"/>
      <w:r w:rsidR="008C2570">
        <w:rPr>
          <w:lang w:val="en-GB"/>
        </w:rPr>
        <w:t>Hexa</w:t>
      </w:r>
      <w:proofErr w:type="spellEnd"/>
      <w:r w:rsidR="008C2570">
        <w:rPr>
          <w:lang w:val="en-GB"/>
        </w:rPr>
        <w:t xml:space="preserve"> in terms of </w:t>
      </w:r>
      <w:r w:rsidR="002A7879">
        <w:rPr>
          <w:lang w:val="en-GB"/>
        </w:rPr>
        <w:t>effectiveness.</w:t>
      </w:r>
    </w:p>
    <w:p w14:paraId="6A732200" w14:textId="28F17EC6" w:rsidR="002A7879" w:rsidRDefault="00F80A58" w:rsidP="00C4720B">
      <w:pPr>
        <w:pStyle w:val="3-BodyText"/>
        <w:rPr>
          <w:lang w:val="en-GB"/>
        </w:rPr>
      </w:pPr>
      <w:r>
        <w:rPr>
          <w:lang w:val="en-GB"/>
        </w:rPr>
        <w:t xml:space="preserve">The PBAC noted that tertiary </w:t>
      </w:r>
      <w:r w:rsidR="00A8785E">
        <w:rPr>
          <w:lang w:val="en-GB"/>
        </w:rPr>
        <w:t xml:space="preserve">immunogenicity </w:t>
      </w:r>
      <w:r>
        <w:rPr>
          <w:lang w:val="en-GB"/>
        </w:rPr>
        <w:t>analyses</w:t>
      </w:r>
      <w:r w:rsidR="00A8785E">
        <w:rPr>
          <w:lang w:val="en-GB"/>
        </w:rPr>
        <w:t xml:space="preserve"> from Study 007</w:t>
      </w:r>
      <w:r w:rsidR="001424DA">
        <w:rPr>
          <w:lang w:val="en-GB"/>
        </w:rPr>
        <w:t xml:space="preserve"> and Study 008</w:t>
      </w:r>
      <w:r w:rsidR="00A57146">
        <w:rPr>
          <w:lang w:val="en-GB"/>
        </w:rPr>
        <w:t xml:space="preserve"> </w:t>
      </w:r>
      <w:r w:rsidR="009E2326">
        <w:rPr>
          <w:lang w:val="en-GB"/>
        </w:rPr>
        <w:t>prior to the Toddler dose</w:t>
      </w:r>
      <w:r w:rsidR="00A57146">
        <w:rPr>
          <w:lang w:val="en-GB"/>
        </w:rPr>
        <w:t xml:space="preserve"> indicated </w:t>
      </w:r>
      <w:proofErr w:type="spellStart"/>
      <w:r w:rsidR="00A57146">
        <w:rPr>
          <w:lang w:val="en-GB"/>
        </w:rPr>
        <w:t>seroresponse</w:t>
      </w:r>
      <w:proofErr w:type="spellEnd"/>
      <w:r w:rsidR="00A57146">
        <w:rPr>
          <w:lang w:val="en-GB"/>
        </w:rPr>
        <w:t xml:space="preserve"> rates were significantly lower in the </w:t>
      </w:r>
      <w:proofErr w:type="spellStart"/>
      <w:r w:rsidR="00A57146">
        <w:rPr>
          <w:lang w:val="en-GB"/>
        </w:rPr>
        <w:t>Vaxelis</w:t>
      </w:r>
      <w:proofErr w:type="spellEnd"/>
      <w:r w:rsidR="00A57146">
        <w:rPr>
          <w:lang w:val="en-GB"/>
        </w:rPr>
        <w:t xml:space="preserve"> group</w:t>
      </w:r>
      <w:r w:rsidR="00491269">
        <w:rPr>
          <w:lang w:val="en-GB"/>
        </w:rPr>
        <w:t xml:space="preserve"> </w:t>
      </w:r>
      <w:r w:rsidR="00D17966">
        <w:rPr>
          <w:lang w:val="en-GB"/>
        </w:rPr>
        <w:t>compared to</w:t>
      </w:r>
      <w:r w:rsidR="00D43425">
        <w:rPr>
          <w:lang w:val="en-GB"/>
        </w:rPr>
        <w:t xml:space="preserve"> the</w:t>
      </w:r>
      <w:r w:rsidR="00D17966">
        <w:rPr>
          <w:lang w:val="en-GB"/>
        </w:rPr>
        <w:t xml:space="preserve"> Infanrix </w:t>
      </w:r>
      <w:proofErr w:type="spellStart"/>
      <w:r w:rsidR="00D17966">
        <w:rPr>
          <w:lang w:val="en-GB"/>
        </w:rPr>
        <w:t>Hexa</w:t>
      </w:r>
      <w:proofErr w:type="spellEnd"/>
      <w:r w:rsidR="00D17966">
        <w:rPr>
          <w:lang w:val="en-GB"/>
        </w:rPr>
        <w:t xml:space="preserve"> group for pertussis antigens</w:t>
      </w:r>
      <w:r w:rsidR="00BA7064">
        <w:rPr>
          <w:lang w:val="en-GB"/>
        </w:rPr>
        <w:t>.</w:t>
      </w:r>
      <w:r w:rsidR="00984995">
        <w:rPr>
          <w:lang w:val="en-GB"/>
        </w:rPr>
        <w:t xml:space="preserve"> The PBAC </w:t>
      </w:r>
      <w:r w:rsidR="008124A6">
        <w:rPr>
          <w:lang w:val="en-GB"/>
        </w:rPr>
        <w:t>considered it was difficult to interpret the pertussis data given the absence of an established correlate of protection for pertussis</w:t>
      </w:r>
      <w:r w:rsidR="00565CCB">
        <w:rPr>
          <w:lang w:val="en-GB"/>
        </w:rPr>
        <w:t>;</w:t>
      </w:r>
      <w:r w:rsidR="008124A6">
        <w:rPr>
          <w:lang w:val="en-GB"/>
        </w:rPr>
        <w:t xml:space="preserve"> however, the PBAC considered that </w:t>
      </w:r>
      <w:r w:rsidR="0076613D">
        <w:rPr>
          <w:lang w:val="en-GB"/>
        </w:rPr>
        <w:t xml:space="preserve">any potential reduction in efficacy </w:t>
      </w:r>
      <w:r w:rsidR="00AC23DA">
        <w:rPr>
          <w:lang w:val="en-GB"/>
        </w:rPr>
        <w:t>following the primary series would be mitigated by the DTP-containing vaccine booster at 18 months currently listed on the NIP.</w:t>
      </w:r>
    </w:p>
    <w:p w14:paraId="5F3160DA" w14:textId="2666469C" w:rsidR="00AC23DA" w:rsidRDefault="0030120D" w:rsidP="009D618E">
      <w:pPr>
        <w:pStyle w:val="3-BodyText"/>
      </w:pPr>
      <w:r>
        <w:rPr>
          <w:lang w:val="en-GB"/>
        </w:rPr>
        <w:t xml:space="preserve">The PBAC </w:t>
      </w:r>
      <w:r w:rsidR="00BA6007">
        <w:rPr>
          <w:lang w:val="en-GB"/>
        </w:rPr>
        <w:t xml:space="preserve">noted </w:t>
      </w:r>
      <w:r w:rsidR="001424DA">
        <w:rPr>
          <w:lang w:val="en-GB"/>
        </w:rPr>
        <w:t>that tertiary immunogenicity analyses</w:t>
      </w:r>
      <w:r w:rsidR="00491269">
        <w:rPr>
          <w:lang w:val="en-GB"/>
        </w:rPr>
        <w:t xml:space="preserve"> from Study 007 indicated that anti</w:t>
      </w:r>
      <w:r w:rsidR="00D43425">
        <w:rPr>
          <w:lang w:val="en-GB"/>
        </w:rPr>
        <w:t xml:space="preserve">-PRP GMT was lower in the </w:t>
      </w:r>
      <w:proofErr w:type="spellStart"/>
      <w:r w:rsidR="00D43425">
        <w:rPr>
          <w:lang w:val="en-GB"/>
        </w:rPr>
        <w:t>Vaxelis</w:t>
      </w:r>
      <w:proofErr w:type="spellEnd"/>
      <w:r w:rsidR="00D43425">
        <w:rPr>
          <w:lang w:val="en-GB"/>
        </w:rPr>
        <w:t xml:space="preserve"> group compared to the Infanrix </w:t>
      </w:r>
      <w:proofErr w:type="spellStart"/>
      <w:r w:rsidR="00D43425">
        <w:rPr>
          <w:lang w:val="en-GB"/>
        </w:rPr>
        <w:t>Hexa</w:t>
      </w:r>
      <w:proofErr w:type="spellEnd"/>
      <w:r w:rsidR="00D43425">
        <w:rPr>
          <w:lang w:val="en-GB"/>
        </w:rPr>
        <w:t xml:space="preserve"> group</w:t>
      </w:r>
      <w:r w:rsidR="00C83AD2">
        <w:rPr>
          <w:lang w:val="en-GB"/>
        </w:rPr>
        <w:t xml:space="preserve"> post-Toddler dose</w:t>
      </w:r>
      <w:r w:rsidR="001919F9">
        <w:rPr>
          <w:lang w:val="en-GB"/>
        </w:rPr>
        <w:t>,</w:t>
      </w:r>
      <w:r w:rsidR="00C83AD2">
        <w:rPr>
          <w:lang w:val="en-GB"/>
        </w:rPr>
        <w:t xml:space="preserve"> despite </w:t>
      </w:r>
      <w:r w:rsidR="00014C25">
        <w:rPr>
          <w:lang w:val="en-GB"/>
        </w:rPr>
        <w:t xml:space="preserve">anti-PRP GMT being significantly higher in the </w:t>
      </w:r>
      <w:proofErr w:type="spellStart"/>
      <w:r w:rsidR="00014C25">
        <w:rPr>
          <w:lang w:val="en-GB"/>
        </w:rPr>
        <w:t>Vaxelis</w:t>
      </w:r>
      <w:proofErr w:type="spellEnd"/>
      <w:r w:rsidR="00014C25">
        <w:rPr>
          <w:lang w:val="en-GB"/>
        </w:rPr>
        <w:t xml:space="preserve"> group compared to the Infanrix </w:t>
      </w:r>
      <w:proofErr w:type="spellStart"/>
      <w:r w:rsidR="00014C25">
        <w:rPr>
          <w:lang w:val="en-GB"/>
        </w:rPr>
        <w:t>Hexa</w:t>
      </w:r>
      <w:proofErr w:type="spellEnd"/>
      <w:r w:rsidR="00014C25">
        <w:rPr>
          <w:lang w:val="en-GB"/>
        </w:rPr>
        <w:t xml:space="preserve"> group pre-Toddler dose. The PBAC noted that the initial immune response may be due to the Hib antigen in </w:t>
      </w:r>
      <w:proofErr w:type="spellStart"/>
      <w:r w:rsidR="00014C25">
        <w:rPr>
          <w:lang w:val="en-GB"/>
        </w:rPr>
        <w:t>Vaxelis</w:t>
      </w:r>
      <w:proofErr w:type="spellEnd"/>
      <w:r w:rsidR="00014C25">
        <w:rPr>
          <w:lang w:val="en-GB"/>
        </w:rPr>
        <w:t xml:space="preserve"> being conjugated to the strongly immunogenic </w:t>
      </w:r>
      <w:r w:rsidR="00014C25" w:rsidRPr="00014C25">
        <w:rPr>
          <w:i/>
          <w:iCs/>
          <w:lang w:val="en-GB"/>
        </w:rPr>
        <w:t>Neisseria meningitidis</w:t>
      </w:r>
      <w:r w:rsidR="00014C25" w:rsidRPr="00014C25">
        <w:rPr>
          <w:lang w:val="en-GB"/>
        </w:rPr>
        <w:t xml:space="preserve"> </w:t>
      </w:r>
      <w:r w:rsidR="00014C25">
        <w:rPr>
          <w:lang w:val="en-GB"/>
        </w:rPr>
        <w:t>OMPC</w:t>
      </w:r>
      <w:r w:rsidR="001919F9">
        <w:rPr>
          <w:lang w:val="en-GB"/>
        </w:rPr>
        <w:t xml:space="preserve">. The PBAC noted the TGA clinical evaluator considered that the </w:t>
      </w:r>
      <w:r w:rsidR="001919F9" w:rsidRPr="001919F9">
        <w:rPr>
          <w:lang w:val="en-GB"/>
        </w:rPr>
        <w:t>lower post-</w:t>
      </w:r>
      <w:r w:rsidR="001919F9">
        <w:rPr>
          <w:lang w:val="en-GB"/>
        </w:rPr>
        <w:t>T</w:t>
      </w:r>
      <w:r w:rsidR="001919F9" w:rsidRPr="001919F9">
        <w:rPr>
          <w:lang w:val="en-GB"/>
        </w:rPr>
        <w:t xml:space="preserve">oddler dose GMT </w:t>
      </w:r>
      <w:r w:rsidR="001919F9">
        <w:rPr>
          <w:lang w:val="en-GB"/>
        </w:rPr>
        <w:t xml:space="preserve">for </w:t>
      </w:r>
      <w:proofErr w:type="spellStart"/>
      <w:r w:rsidR="001919F9">
        <w:rPr>
          <w:lang w:val="en-GB"/>
        </w:rPr>
        <w:t>Vaxelis</w:t>
      </w:r>
      <w:proofErr w:type="spellEnd"/>
      <w:r w:rsidR="001919F9">
        <w:rPr>
          <w:lang w:val="en-GB"/>
        </w:rPr>
        <w:t xml:space="preserve"> is</w:t>
      </w:r>
      <w:r w:rsidR="001919F9" w:rsidRPr="001919F9">
        <w:rPr>
          <w:lang w:val="en-GB"/>
        </w:rPr>
        <w:t xml:space="preserve"> unlikely to have</w:t>
      </w:r>
      <w:r w:rsidR="001919F9">
        <w:rPr>
          <w:lang w:val="en-GB"/>
        </w:rPr>
        <w:t xml:space="preserve"> significant adverse impact in Australia</w:t>
      </w:r>
      <w:r w:rsidR="009D618E">
        <w:rPr>
          <w:lang w:val="en-GB"/>
        </w:rPr>
        <w:t>,</w:t>
      </w:r>
      <w:r w:rsidR="001919F9">
        <w:rPr>
          <w:lang w:val="en-GB"/>
        </w:rPr>
        <w:t xml:space="preserve"> noting that </w:t>
      </w:r>
      <w:r w:rsidR="009D618E">
        <w:rPr>
          <w:lang w:val="en-GB"/>
        </w:rPr>
        <w:t xml:space="preserve">similar numbers of individuals in the </w:t>
      </w:r>
      <w:proofErr w:type="spellStart"/>
      <w:r w:rsidR="009D618E">
        <w:rPr>
          <w:lang w:val="en-GB"/>
        </w:rPr>
        <w:t>Vaxelis</w:t>
      </w:r>
      <w:proofErr w:type="spellEnd"/>
      <w:r w:rsidR="009D618E">
        <w:rPr>
          <w:lang w:val="en-GB"/>
        </w:rPr>
        <w:t xml:space="preserve"> and Infanrix </w:t>
      </w:r>
      <w:proofErr w:type="spellStart"/>
      <w:r w:rsidR="009D618E">
        <w:rPr>
          <w:lang w:val="en-GB"/>
        </w:rPr>
        <w:t>Hexa</w:t>
      </w:r>
      <w:proofErr w:type="spellEnd"/>
      <w:r w:rsidR="009D618E">
        <w:rPr>
          <w:lang w:val="en-GB"/>
        </w:rPr>
        <w:t xml:space="preserve"> groups achieved the pre-specified </w:t>
      </w:r>
      <w:r w:rsidR="009D618E" w:rsidRPr="009D618E">
        <w:rPr>
          <w:lang w:val="en-GB"/>
        </w:rPr>
        <w:t>≥0.15</w:t>
      </w:r>
      <w:r w:rsidR="00565CCB">
        <w:rPr>
          <w:lang w:val="en-GB"/>
        </w:rPr>
        <w:t> </w:t>
      </w:r>
      <w:proofErr w:type="spellStart"/>
      <w:r w:rsidR="009D618E" w:rsidRPr="009D618E">
        <w:rPr>
          <w:lang w:val="en-GB"/>
        </w:rPr>
        <w:t>μg</w:t>
      </w:r>
      <w:proofErr w:type="spellEnd"/>
      <w:r w:rsidR="009D618E" w:rsidRPr="009D618E">
        <w:rPr>
          <w:lang w:val="en-GB"/>
        </w:rPr>
        <w:t>/mL</w:t>
      </w:r>
      <w:r w:rsidR="009D618E">
        <w:rPr>
          <w:lang w:val="en-GB"/>
        </w:rPr>
        <w:t xml:space="preserve"> and </w:t>
      </w:r>
      <w:r w:rsidR="009D618E" w:rsidRPr="009D618E">
        <w:rPr>
          <w:lang w:val="en-GB"/>
        </w:rPr>
        <w:t xml:space="preserve">≥1.0 </w:t>
      </w:r>
      <w:proofErr w:type="spellStart"/>
      <w:r w:rsidR="009D618E" w:rsidRPr="009D618E">
        <w:rPr>
          <w:lang w:val="en-GB"/>
        </w:rPr>
        <w:t>μg</w:t>
      </w:r>
      <w:proofErr w:type="spellEnd"/>
      <w:r w:rsidR="009D618E" w:rsidRPr="009D618E">
        <w:rPr>
          <w:lang w:val="en-GB"/>
        </w:rPr>
        <w:t>/mL</w:t>
      </w:r>
      <w:r w:rsidR="009D618E">
        <w:rPr>
          <w:lang w:val="en-GB"/>
        </w:rPr>
        <w:t xml:space="preserve"> endpoints for PRP. </w:t>
      </w:r>
    </w:p>
    <w:p w14:paraId="0D219186" w14:textId="0B8B6B92" w:rsidR="009D618E" w:rsidRPr="009D618E" w:rsidRDefault="00A317C5" w:rsidP="009D618E">
      <w:pPr>
        <w:pStyle w:val="3-BodyText"/>
      </w:pPr>
      <w:r>
        <w:t xml:space="preserve">The </w:t>
      </w:r>
      <w:r w:rsidRPr="00A317C5">
        <w:t xml:space="preserve">PBAC considered that the clinical data provided supported the claim of noninferior safety of </w:t>
      </w:r>
      <w:proofErr w:type="spellStart"/>
      <w:r>
        <w:t>Vaxelis</w:t>
      </w:r>
      <w:proofErr w:type="spellEnd"/>
      <w:r w:rsidRPr="00A317C5">
        <w:t xml:space="preserve"> compared to</w:t>
      </w:r>
      <w:r>
        <w:t xml:space="preserve"> Infanrix </w:t>
      </w:r>
      <w:proofErr w:type="spellStart"/>
      <w:r>
        <w:t>Hexa</w:t>
      </w:r>
      <w:proofErr w:type="spellEnd"/>
      <w:r>
        <w:t xml:space="preserve">. </w:t>
      </w:r>
    </w:p>
    <w:p w14:paraId="19117103" w14:textId="22DC74B6" w:rsidR="00281E26" w:rsidRPr="00C4720B" w:rsidRDefault="00281E26" w:rsidP="00C4720B">
      <w:pPr>
        <w:pStyle w:val="3-BodyText"/>
        <w:rPr>
          <w:lang w:val="en-GB"/>
        </w:rPr>
      </w:pPr>
      <w:r>
        <w:rPr>
          <w:lang w:val="en-GB"/>
        </w:rPr>
        <w:t xml:space="preserve">The PBAC </w:t>
      </w:r>
      <w:r w:rsidR="00E034AE">
        <w:rPr>
          <w:lang w:val="en-GB"/>
        </w:rPr>
        <w:t>a</w:t>
      </w:r>
      <w:r w:rsidR="0049421B">
        <w:rPr>
          <w:lang w:val="en-GB"/>
        </w:rPr>
        <w:t>cknowledged</w:t>
      </w:r>
      <w:r w:rsidR="00E034AE">
        <w:rPr>
          <w:lang w:val="en-GB"/>
        </w:rPr>
        <w:t xml:space="preserve"> ATAGI</w:t>
      </w:r>
      <w:r w:rsidR="0049421B">
        <w:rPr>
          <w:lang w:val="en-GB"/>
        </w:rPr>
        <w:t>’s advice</w:t>
      </w:r>
      <w:r w:rsidR="00E034AE">
        <w:rPr>
          <w:lang w:val="en-GB"/>
        </w:rPr>
        <w:t xml:space="preserve"> that </w:t>
      </w:r>
      <w:r w:rsidR="00E034AE" w:rsidRPr="00E034AE">
        <w:rPr>
          <w:lang w:val="en-GB"/>
        </w:rPr>
        <w:t>inclusion of a hexavalent booster (</w:t>
      </w:r>
      <w:proofErr w:type="spellStart"/>
      <w:r w:rsidR="00E034AE" w:rsidRPr="00E034AE">
        <w:rPr>
          <w:lang w:val="en-GB"/>
        </w:rPr>
        <w:t>DTPa</w:t>
      </w:r>
      <w:proofErr w:type="spellEnd"/>
      <w:r w:rsidR="00E034AE">
        <w:rPr>
          <w:lang w:val="en-GB"/>
        </w:rPr>
        <w:t>-</w:t>
      </w:r>
      <w:r w:rsidR="00E034AE" w:rsidRPr="00E034AE">
        <w:rPr>
          <w:lang w:val="en-GB"/>
        </w:rPr>
        <w:t>HB</w:t>
      </w:r>
      <w:r w:rsidR="00E034AE">
        <w:rPr>
          <w:lang w:val="en-GB"/>
        </w:rPr>
        <w:t>-</w:t>
      </w:r>
      <w:r w:rsidR="00E034AE" w:rsidRPr="00E034AE">
        <w:rPr>
          <w:lang w:val="en-GB"/>
        </w:rPr>
        <w:t>IPV</w:t>
      </w:r>
      <w:r w:rsidR="00E034AE">
        <w:rPr>
          <w:lang w:val="en-GB"/>
        </w:rPr>
        <w:t>-</w:t>
      </w:r>
      <w:r w:rsidR="00E034AE" w:rsidRPr="00E034AE">
        <w:rPr>
          <w:lang w:val="en-GB"/>
        </w:rPr>
        <w:t xml:space="preserve">Hib) at 18 months might be beneficial to overcome potential waning of </w:t>
      </w:r>
      <w:proofErr w:type="gramStart"/>
      <w:r w:rsidR="00E034AE" w:rsidRPr="00E034AE">
        <w:rPr>
          <w:lang w:val="en-GB"/>
        </w:rPr>
        <w:t>long term</w:t>
      </w:r>
      <w:proofErr w:type="gramEnd"/>
      <w:r w:rsidR="00E034AE" w:rsidRPr="00E034AE">
        <w:rPr>
          <w:lang w:val="en-GB"/>
        </w:rPr>
        <w:t xml:space="preserve"> immunity to hepatitis B after the primary immunisation course, noting that a booster for hepatitis B is currently not listed on the NIP</w:t>
      </w:r>
      <w:r w:rsidR="00E034AE">
        <w:rPr>
          <w:lang w:val="en-GB"/>
        </w:rPr>
        <w:t xml:space="preserve">. The PBAC </w:t>
      </w:r>
      <w:r w:rsidR="00595F98">
        <w:rPr>
          <w:lang w:val="en-GB"/>
        </w:rPr>
        <w:t>considered</w:t>
      </w:r>
      <w:r w:rsidR="00E034AE">
        <w:rPr>
          <w:lang w:val="en-GB"/>
        </w:rPr>
        <w:t xml:space="preserve"> that</w:t>
      </w:r>
      <w:r w:rsidR="00586769">
        <w:rPr>
          <w:lang w:val="en-GB"/>
        </w:rPr>
        <w:t xml:space="preserve"> consultation with health professionals and other relevant stakeholders </w:t>
      </w:r>
      <w:r w:rsidR="00595F98">
        <w:rPr>
          <w:lang w:val="en-GB"/>
        </w:rPr>
        <w:t xml:space="preserve">would be required prior to implementation of this change on the NIP. </w:t>
      </w:r>
    </w:p>
    <w:p w14:paraId="4DA7232E" w14:textId="1F3165CA" w:rsidR="00D824D6" w:rsidRPr="00D10813" w:rsidRDefault="00D10813" w:rsidP="00D10813">
      <w:pPr>
        <w:pStyle w:val="3-BodyText"/>
        <w:rPr>
          <w:lang w:val="en-GB"/>
        </w:rPr>
      </w:pPr>
      <w:r w:rsidRPr="00D10813">
        <w:rPr>
          <w:lang w:val="en-GB"/>
        </w:rPr>
        <w:t>PBAC noted that this submission is not eligible for an independent review as independent review is only relevant to requests for PBS listing.</w:t>
      </w:r>
    </w:p>
    <w:p w14:paraId="459C252F" w14:textId="77777777" w:rsidR="0039129A" w:rsidRPr="00525B39" w:rsidRDefault="0039129A" w:rsidP="0039129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24B589D" w14:textId="1C81A06D" w:rsidR="0039129A" w:rsidRPr="00525B39" w:rsidRDefault="0039129A" w:rsidP="0039129A">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47391D87" w14:textId="77777777" w:rsidR="00B13899" w:rsidRPr="00B13899" w:rsidRDefault="00B13899" w:rsidP="0070150D">
      <w:pPr>
        <w:keepNext/>
        <w:keepLines/>
        <w:numPr>
          <w:ilvl w:val="0"/>
          <w:numId w:val="1"/>
        </w:numPr>
        <w:spacing w:before="240" w:after="120"/>
        <w:jc w:val="left"/>
        <w:outlineLvl w:val="0"/>
        <w:rPr>
          <w:rFonts w:asciiTheme="minorHAnsi" w:hAnsiTheme="minorHAnsi"/>
          <w:b/>
          <w:snapToGrid w:val="0"/>
          <w:sz w:val="32"/>
          <w:szCs w:val="32"/>
        </w:rPr>
      </w:pPr>
      <w:bookmarkStart w:id="46" w:name="_Hlk76377978"/>
      <w:bookmarkEnd w:id="42"/>
      <w:bookmarkEnd w:id="43"/>
      <w:r w:rsidRPr="00B13899">
        <w:rPr>
          <w:rFonts w:asciiTheme="minorHAnsi" w:hAnsiTheme="minorHAnsi"/>
          <w:b/>
          <w:snapToGrid w:val="0"/>
          <w:sz w:val="32"/>
          <w:szCs w:val="32"/>
        </w:rPr>
        <w:lastRenderedPageBreak/>
        <w:t>Recommended listing</w:t>
      </w:r>
    </w:p>
    <w:p w14:paraId="752E999C" w14:textId="77777777" w:rsidR="00B13899" w:rsidRPr="00B13899" w:rsidRDefault="00B13899" w:rsidP="0070150D">
      <w:pPr>
        <w:keepNext/>
        <w:keepLines/>
        <w:numPr>
          <w:ilvl w:val="1"/>
          <w:numId w:val="1"/>
        </w:numPr>
        <w:spacing w:after="120"/>
        <w:rPr>
          <w:rFonts w:asciiTheme="minorHAnsi" w:hAnsiTheme="minorHAnsi"/>
          <w:snapToGrid w:val="0"/>
          <w:color w:val="0066FF"/>
        </w:rPr>
      </w:pPr>
      <w:r w:rsidRPr="00B13899">
        <w:rPr>
          <w:rFonts w:asciiTheme="minorHAnsi" w:hAnsiTheme="minorHAnsi"/>
          <w:snapToGrid w:val="0"/>
        </w:rPr>
        <w:t>Add new item to the Determination:</w:t>
      </w:r>
    </w:p>
    <w:p w14:paraId="675C6AE4" w14:textId="77777777" w:rsidR="00384974" w:rsidRPr="00FE3759" w:rsidRDefault="00384974" w:rsidP="0070150D">
      <w:pPr>
        <w:keepNext/>
        <w:keepLines/>
        <w:jc w:val="left"/>
        <w:rPr>
          <w:rFonts w:ascii="Arial Narrow" w:hAnsi="Arial Narrow" w:cs="Times New Roman"/>
          <w:b/>
          <w:sz w:val="20"/>
          <w:szCs w:val="20"/>
        </w:rPr>
      </w:pPr>
      <w:r w:rsidRPr="00FE3759">
        <w:rPr>
          <w:rFonts w:ascii="Arial Narrow" w:hAnsi="Arial Narrow" w:cs="Times New Roman"/>
          <w:b/>
          <w:sz w:val="20"/>
          <w:szCs w:val="20"/>
        </w:rPr>
        <w:t>Essential elements of the requested listing</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3562"/>
        <w:gridCol w:w="1393"/>
        <w:gridCol w:w="223"/>
        <w:gridCol w:w="1771"/>
        <w:gridCol w:w="2123"/>
      </w:tblGrid>
      <w:tr w:rsidR="00384974" w:rsidRPr="00FE3759" w14:paraId="673BEA56" w14:textId="77777777" w:rsidTr="00212BDE">
        <w:tc>
          <w:tcPr>
            <w:tcW w:w="3562" w:type="dxa"/>
            <w:vAlign w:val="center"/>
          </w:tcPr>
          <w:p w14:paraId="5F7D9919" w14:textId="77777777" w:rsidR="00384974" w:rsidRPr="00FE3759" w:rsidRDefault="00384974" w:rsidP="0070150D">
            <w:pPr>
              <w:keepNext/>
              <w:keepLines/>
              <w:jc w:val="left"/>
              <w:rPr>
                <w:rFonts w:ascii="Arial Narrow" w:hAnsi="Arial Narrow" w:cs="Times New Roman"/>
                <w:b/>
                <w:bCs/>
                <w:snapToGrid w:val="0"/>
                <w:sz w:val="20"/>
                <w:szCs w:val="20"/>
              </w:rPr>
            </w:pPr>
            <w:r w:rsidRPr="00FE3759">
              <w:rPr>
                <w:rFonts w:ascii="Arial Narrow" w:hAnsi="Arial Narrow" w:cs="Times New Roman"/>
                <w:b/>
                <w:snapToGrid w:val="0"/>
                <w:sz w:val="20"/>
                <w:szCs w:val="20"/>
              </w:rPr>
              <w:t>Name, restriction, manner of administration, form</w:t>
            </w:r>
          </w:p>
        </w:tc>
        <w:tc>
          <w:tcPr>
            <w:tcW w:w="1393" w:type="dxa"/>
            <w:vAlign w:val="center"/>
          </w:tcPr>
          <w:p w14:paraId="70673FFA" w14:textId="77777777" w:rsidR="00384974" w:rsidRPr="00FE3759" w:rsidRDefault="00384974" w:rsidP="0070150D">
            <w:pPr>
              <w:keepNext/>
              <w:keepLines/>
              <w:jc w:val="left"/>
              <w:rPr>
                <w:rFonts w:ascii="Arial Narrow" w:hAnsi="Arial Narrow" w:cs="Times New Roman"/>
                <w:b/>
                <w:bCs/>
                <w:snapToGrid w:val="0"/>
                <w:sz w:val="20"/>
                <w:szCs w:val="20"/>
              </w:rPr>
            </w:pPr>
          </w:p>
        </w:tc>
        <w:tc>
          <w:tcPr>
            <w:tcW w:w="0" w:type="auto"/>
            <w:vAlign w:val="center"/>
          </w:tcPr>
          <w:p w14:paraId="440E493D" w14:textId="77777777" w:rsidR="00384974" w:rsidRPr="00FE3759" w:rsidRDefault="00384974" w:rsidP="0070150D">
            <w:pPr>
              <w:keepNext/>
              <w:keepLines/>
              <w:jc w:val="left"/>
              <w:rPr>
                <w:rFonts w:ascii="Arial Narrow" w:hAnsi="Arial Narrow" w:cs="Times New Roman"/>
                <w:b/>
                <w:bCs/>
                <w:snapToGrid w:val="0"/>
                <w:sz w:val="20"/>
                <w:szCs w:val="20"/>
              </w:rPr>
            </w:pPr>
          </w:p>
        </w:tc>
        <w:tc>
          <w:tcPr>
            <w:tcW w:w="1771" w:type="dxa"/>
            <w:vAlign w:val="center"/>
          </w:tcPr>
          <w:p w14:paraId="731C86E5" w14:textId="77777777" w:rsidR="00384974" w:rsidRPr="00A44B4D" w:rsidRDefault="00384974" w:rsidP="0070150D">
            <w:pPr>
              <w:keepNext/>
              <w:keepLines/>
              <w:jc w:val="center"/>
              <w:rPr>
                <w:rFonts w:ascii="Arial Narrow" w:hAnsi="Arial Narrow" w:cs="Times New Roman"/>
                <w:b/>
                <w:bCs/>
                <w:snapToGrid w:val="0"/>
                <w:sz w:val="20"/>
                <w:szCs w:val="20"/>
              </w:rPr>
            </w:pPr>
            <w:r>
              <w:rPr>
                <w:rFonts w:ascii="Arial Narrow" w:hAnsi="Arial Narrow" w:cs="Times New Roman"/>
                <w:b/>
                <w:bCs/>
                <w:snapToGrid w:val="0"/>
                <w:sz w:val="20"/>
                <w:szCs w:val="20"/>
              </w:rPr>
              <w:t>Nationally Negotiated Price</w:t>
            </w:r>
          </w:p>
        </w:tc>
        <w:tc>
          <w:tcPr>
            <w:tcW w:w="2123" w:type="dxa"/>
            <w:vAlign w:val="center"/>
          </w:tcPr>
          <w:p w14:paraId="286FE1F3" w14:textId="77777777" w:rsidR="00384974" w:rsidRPr="00FE3759" w:rsidRDefault="00384974" w:rsidP="0070150D">
            <w:pPr>
              <w:keepNext/>
              <w:keepLines/>
              <w:jc w:val="left"/>
              <w:rPr>
                <w:rFonts w:ascii="Arial Narrow" w:hAnsi="Arial Narrow" w:cs="Times New Roman"/>
                <w:b/>
                <w:bCs/>
                <w:snapToGrid w:val="0"/>
                <w:sz w:val="20"/>
                <w:szCs w:val="20"/>
              </w:rPr>
            </w:pPr>
            <w:r w:rsidRPr="00FE3759">
              <w:rPr>
                <w:rFonts w:ascii="Arial Narrow" w:hAnsi="Arial Narrow" w:cs="Times New Roman"/>
                <w:b/>
                <w:snapToGrid w:val="0"/>
                <w:sz w:val="20"/>
                <w:szCs w:val="20"/>
              </w:rPr>
              <w:t>Proprietary name and manufacturer</w:t>
            </w:r>
          </w:p>
        </w:tc>
      </w:tr>
      <w:tr w:rsidR="00384974" w:rsidRPr="00FE3759" w14:paraId="4AD94568" w14:textId="77777777" w:rsidTr="00212BDE">
        <w:trPr>
          <w:trHeight w:val="357"/>
        </w:trPr>
        <w:tc>
          <w:tcPr>
            <w:tcW w:w="3562" w:type="dxa"/>
          </w:tcPr>
          <w:p w14:paraId="612DD39E" w14:textId="4B60A995" w:rsidR="00D579F1" w:rsidRPr="00D579F1" w:rsidRDefault="00D579F1" w:rsidP="0070150D">
            <w:pPr>
              <w:keepNext/>
              <w:keepLines/>
              <w:jc w:val="left"/>
              <w:rPr>
                <w:rFonts w:ascii="Arial Narrow" w:hAnsi="Arial Narrow" w:cs="Times New Roman"/>
                <w:snapToGrid w:val="0"/>
                <w:sz w:val="20"/>
                <w:szCs w:val="20"/>
              </w:rPr>
            </w:pPr>
            <w:r>
              <w:rPr>
                <w:rFonts w:ascii="Arial Narrow" w:hAnsi="Arial Narrow" w:cs="Times New Roman"/>
                <w:snapToGrid w:val="0"/>
                <w:sz w:val="20"/>
                <w:szCs w:val="20"/>
              </w:rPr>
              <w:t>Dip</w:t>
            </w:r>
            <w:r w:rsidR="00DD1A2F">
              <w:rPr>
                <w:rFonts w:ascii="Arial Narrow" w:hAnsi="Arial Narrow" w:cs="Times New Roman"/>
                <w:snapToGrid w:val="0"/>
                <w:sz w:val="20"/>
                <w:szCs w:val="20"/>
              </w:rPr>
              <w:t>h</w:t>
            </w:r>
            <w:r>
              <w:rPr>
                <w:rFonts w:ascii="Arial Narrow" w:hAnsi="Arial Narrow" w:cs="Times New Roman"/>
                <w:snapToGrid w:val="0"/>
                <w:sz w:val="20"/>
                <w:szCs w:val="20"/>
              </w:rPr>
              <w:t xml:space="preserve">theria, tetanus, pertussis, hepatitis B, </w:t>
            </w:r>
            <w:proofErr w:type="gramStart"/>
            <w:r>
              <w:rPr>
                <w:rFonts w:ascii="Arial Narrow" w:hAnsi="Arial Narrow" w:cs="Times New Roman"/>
                <w:snapToGrid w:val="0"/>
                <w:sz w:val="20"/>
                <w:szCs w:val="20"/>
              </w:rPr>
              <w:t>poliomyelitis</w:t>
            </w:r>
            <w:proofErr w:type="gramEnd"/>
            <w:r>
              <w:rPr>
                <w:rFonts w:ascii="Arial Narrow" w:hAnsi="Arial Narrow" w:cs="Times New Roman"/>
                <w:snapToGrid w:val="0"/>
                <w:sz w:val="20"/>
                <w:szCs w:val="20"/>
              </w:rPr>
              <w:t xml:space="preserve"> and </w:t>
            </w:r>
            <w:r w:rsidR="008E0DB8" w:rsidRPr="008E0DB8">
              <w:rPr>
                <w:rFonts w:ascii="Arial Narrow" w:hAnsi="Arial Narrow" w:cs="Times New Roman"/>
                <w:i/>
                <w:iCs/>
                <w:snapToGrid w:val="0"/>
                <w:sz w:val="20"/>
                <w:szCs w:val="20"/>
              </w:rPr>
              <w:t>H</w:t>
            </w:r>
            <w:r w:rsidRPr="008E0DB8">
              <w:rPr>
                <w:rFonts w:ascii="Arial Narrow" w:hAnsi="Arial Narrow" w:cs="Times New Roman"/>
                <w:i/>
                <w:iCs/>
                <w:snapToGrid w:val="0"/>
                <w:sz w:val="20"/>
                <w:szCs w:val="20"/>
              </w:rPr>
              <w:t>aemophilus influenzae</w:t>
            </w:r>
            <w:r>
              <w:rPr>
                <w:rFonts w:ascii="Arial Narrow" w:hAnsi="Arial Narrow" w:cs="Times New Roman"/>
                <w:snapToGrid w:val="0"/>
                <w:sz w:val="20"/>
                <w:szCs w:val="20"/>
              </w:rPr>
              <w:t xml:space="preserve"> type b conjugate vaccine,</w:t>
            </w:r>
          </w:p>
          <w:p w14:paraId="2888D4AB" w14:textId="7670BA6D" w:rsidR="00384974" w:rsidRPr="00FE3759" w:rsidRDefault="00D579F1" w:rsidP="0070150D">
            <w:pPr>
              <w:keepNext/>
              <w:keepLines/>
              <w:jc w:val="left"/>
              <w:rPr>
                <w:rFonts w:ascii="Arial Narrow" w:hAnsi="Arial Narrow" w:cs="Times New Roman"/>
                <w:bCs/>
                <w:snapToGrid w:val="0"/>
                <w:sz w:val="20"/>
                <w:szCs w:val="20"/>
              </w:rPr>
            </w:pPr>
            <w:r w:rsidRPr="00D579F1">
              <w:rPr>
                <w:rFonts w:ascii="Arial Narrow" w:hAnsi="Arial Narrow" w:cs="Times New Roman"/>
                <w:snapToGrid w:val="0"/>
                <w:sz w:val="20"/>
                <w:szCs w:val="20"/>
              </w:rPr>
              <w:t>0.5 mL pre-filled syringe</w:t>
            </w:r>
          </w:p>
        </w:tc>
        <w:tc>
          <w:tcPr>
            <w:tcW w:w="1393" w:type="dxa"/>
            <w:vAlign w:val="center"/>
          </w:tcPr>
          <w:p w14:paraId="2453738C" w14:textId="77777777" w:rsidR="00384974" w:rsidRPr="00FE3759" w:rsidRDefault="00384974" w:rsidP="0070150D">
            <w:pPr>
              <w:keepNext/>
              <w:keepLines/>
              <w:jc w:val="center"/>
              <w:rPr>
                <w:rFonts w:ascii="Times" w:hAnsi="Times" w:cs="Times New Roman"/>
                <w:snapToGrid w:val="0"/>
                <w:sz w:val="20"/>
                <w:szCs w:val="20"/>
              </w:rPr>
            </w:pPr>
          </w:p>
        </w:tc>
        <w:tc>
          <w:tcPr>
            <w:tcW w:w="0" w:type="auto"/>
            <w:vAlign w:val="center"/>
          </w:tcPr>
          <w:p w14:paraId="30849585" w14:textId="77777777" w:rsidR="00384974" w:rsidRPr="00FE3759" w:rsidRDefault="00384974" w:rsidP="0070150D">
            <w:pPr>
              <w:keepNext/>
              <w:keepLines/>
              <w:jc w:val="center"/>
              <w:rPr>
                <w:rFonts w:ascii="Times" w:hAnsi="Times" w:cs="Times New Roman"/>
                <w:snapToGrid w:val="0"/>
                <w:sz w:val="20"/>
                <w:szCs w:val="20"/>
              </w:rPr>
            </w:pPr>
          </w:p>
        </w:tc>
        <w:tc>
          <w:tcPr>
            <w:tcW w:w="1771" w:type="dxa"/>
            <w:vAlign w:val="center"/>
          </w:tcPr>
          <w:p w14:paraId="6968CE5E" w14:textId="48367FC6" w:rsidR="00384974" w:rsidRPr="00FE3759" w:rsidRDefault="00384974" w:rsidP="0070150D">
            <w:pPr>
              <w:keepNext/>
              <w:keepLines/>
              <w:jc w:val="center"/>
              <w:rPr>
                <w:rFonts w:ascii="Arial Narrow" w:hAnsi="Arial Narrow" w:cs="Times New Roman"/>
                <w:snapToGrid w:val="0"/>
                <w:sz w:val="20"/>
                <w:szCs w:val="20"/>
              </w:rPr>
            </w:pPr>
            <w:r w:rsidRPr="00D86232">
              <w:rPr>
                <w:rFonts w:ascii="Arial Narrow" w:hAnsi="Arial Narrow" w:cs="Times New Roman"/>
                <w:snapToGrid w:val="0"/>
                <w:sz w:val="20"/>
                <w:szCs w:val="20"/>
              </w:rPr>
              <w:t>$</w:t>
            </w:r>
            <w:r w:rsidR="00D579F1">
              <w:rPr>
                <w:rFonts w:ascii="Arial Narrow" w:hAnsi="Arial Narrow" w:cs="Times New Roman"/>
                <w:snapToGrid w:val="0"/>
                <w:sz w:val="20"/>
                <w:szCs w:val="20"/>
              </w:rPr>
              <w:t>TBA</w:t>
            </w:r>
          </w:p>
        </w:tc>
        <w:tc>
          <w:tcPr>
            <w:tcW w:w="2123" w:type="dxa"/>
            <w:vAlign w:val="center"/>
          </w:tcPr>
          <w:p w14:paraId="74C1D36F" w14:textId="5785BA85" w:rsidR="00384974" w:rsidRPr="00FE3759" w:rsidRDefault="00384974" w:rsidP="0070150D">
            <w:pPr>
              <w:keepNext/>
              <w:keepLines/>
              <w:jc w:val="left"/>
              <w:rPr>
                <w:rFonts w:ascii="Times" w:hAnsi="Times" w:cs="Times New Roman"/>
                <w:snapToGrid w:val="0"/>
                <w:sz w:val="20"/>
                <w:szCs w:val="20"/>
              </w:rPr>
            </w:pPr>
            <w:proofErr w:type="spellStart"/>
            <w:r w:rsidRPr="00FE3759">
              <w:rPr>
                <w:rFonts w:ascii="Arial Narrow" w:hAnsi="Arial Narrow" w:cs="Times New Roman"/>
                <w:snapToGrid w:val="0"/>
                <w:sz w:val="20"/>
                <w:szCs w:val="20"/>
              </w:rPr>
              <w:t>Vax</w:t>
            </w:r>
            <w:r>
              <w:rPr>
                <w:rFonts w:ascii="Arial Narrow" w:hAnsi="Arial Narrow" w:cs="Times New Roman"/>
                <w:snapToGrid w:val="0"/>
                <w:sz w:val="20"/>
                <w:szCs w:val="20"/>
              </w:rPr>
              <w:t>elis</w:t>
            </w:r>
            <w:proofErr w:type="spellEnd"/>
            <w:r w:rsidRPr="00FE3759">
              <w:rPr>
                <w:rFonts w:ascii="Arial Narrow" w:hAnsi="Arial Narrow" w:cs="Times New Roman"/>
                <w:snapToGrid w:val="0"/>
                <w:sz w:val="20"/>
                <w:szCs w:val="20"/>
              </w:rPr>
              <w:t xml:space="preserve">®, </w:t>
            </w:r>
            <w:proofErr w:type="spellStart"/>
            <w:r>
              <w:rPr>
                <w:rFonts w:ascii="Arial Narrow" w:hAnsi="Arial Narrow" w:cs="Times New Roman"/>
                <w:snapToGrid w:val="0"/>
                <w:sz w:val="20"/>
                <w:szCs w:val="20"/>
              </w:rPr>
              <w:t>Sanofi-aventis</w:t>
            </w:r>
            <w:proofErr w:type="spellEnd"/>
            <w:r>
              <w:rPr>
                <w:rFonts w:ascii="Arial Narrow" w:hAnsi="Arial Narrow" w:cs="Times New Roman"/>
                <w:snapToGrid w:val="0"/>
                <w:sz w:val="20"/>
                <w:szCs w:val="20"/>
              </w:rPr>
              <w:t xml:space="preserve"> </w:t>
            </w:r>
            <w:r w:rsidRPr="00FE3759">
              <w:rPr>
                <w:rFonts w:ascii="Arial Narrow" w:hAnsi="Arial Narrow" w:cs="Times New Roman"/>
                <w:snapToGrid w:val="0"/>
                <w:sz w:val="20"/>
                <w:szCs w:val="20"/>
              </w:rPr>
              <w:t xml:space="preserve">(Australia) Pty Ltd </w:t>
            </w:r>
          </w:p>
        </w:tc>
      </w:tr>
      <w:tr w:rsidR="00384974" w:rsidRPr="00FE3759" w14:paraId="54FEBE2A" w14:textId="77777777" w:rsidTr="009102C0">
        <w:trPr>
          <w:trHeight w:val="357"/>
        </w:trPr>
        <w:tc>
          <w:tcPr>
            <w:tcW w:w="9072" w:type="dxa"/>
            <w:gridSpan w:val="5"/>
          </w:tcPr>
          <w:p w14:paraId="7DFFAF8D" w14:textId="6F832AED" w:rsidR="00384974" w:rsidRPr="00FE3759" w:rsidRDefault="008E0DB8" w:rsidP="0070150D">
            <w:pPr>
              <w:keepNext/>
              <w:keepLines/>
              <w:jc w:val="left"/>
              <w:rPr>
                <w:rFonts w:ascii="Arial Narrow" w:hAnsi="Arial Narrow" w:cs="Times New Roman"/>
                <w:snapToGrid w:val="0"/>
                <w:sz w:val="20"/>
                <w:szCs w:val="20"/>
              </w:rPr>
            </w:pPr>
            <w:r w:rsidRPr="008E0DB8">
              <w:rPr>
                <w:rFonts w:ascii="Arial Narrow" w:hAnsi="Arial Narrow" w:cs="Times New Roman"/>
                <w:snapToGrid w:val="0"/>
                <w:sz w:val="20"/>
                <w:szCs w:val="20"/>
              </w:rPr>
              <w:t>Vaccine may be provided to a child who is about 2, 4 or 6 months old</w:t>
            </w:r>
            <w:r w:rsidR="00212BDE">
              <w:rPr>
                <w:rFonts w:ascii="Arial Narrow" w:hAnsi="Arial Narrow" w:cs="Times New Roman"/>
                <w:snapToGrid w:val="0"/>
                <w:sz w:val="20"/>
                <w:szCs w:val="20"/>
              </w:rPr>
              <w:t>*</w:t>
            </w:r>
          </w:p>
        </w:tc>
      </w:tr>
    </w:tbl>
    <w:p w14:paraId="4BD23A88" w14:textId="382D3DF4" w:rsidR="00384974" w:rsidRPr="00212BDE" w:rsidRDefault="00212BDE" w:rsidP="00384974">
      <w:pPr>
        <w:jc w:val="left"/>
        <w:rPr>
          <w:rFonts w:ascii="Arial Narrow" w:hAnsi="Arial Narrow"/>
          <w:caps/>
          <w:sz w:val="18"/>
          <w:szCs w:val="18"/>
        </w:rPr>
      </w:pPr>
      <w:r>
        <w:rPr>
          <w:rFonts w:ascii="Arial Narrow" w:hAnsi="Arial Narrow"/>
          <w:sz w:val="18"/>
          <w:szCs w:val="18"/>
        </w:rPr>
        <w:t>* With a catch-up program for children under 10 years of age</w:t>
      </w:r>
    </w:p>
    <w:p w14:paraId="3D947867" w14:textId="77777777" w:rsidR="00212BDE" w:rsidRPr="00212BDE" w:rsidRDefault="00212BDE" w:rsidP="00384974">
      <w:pPr>
        <w:jc w:val="left"/>
        <w:rPr>
          <w:caps/>
          <w:sz w:val="32"/>
        </w:rPr>
      </w:pPr>
    </w:p>
    <w:p w14:paraId="5B1C551D" w14:textId="4449C2F1" w:rsidR="00384974" w:rsidRDefault="00384974" w:rsidP="00384974">
      <w:pPr>
        <w:spacing w:after="160" w:line="259" w:lineRule="auto"/>
        <w:jc w:val="left"/>
        <w:rPr>
          <w:b/>
          <w:i/>
        </w:rPr>
      </w:pPr>
      <w:r w:rsidRPr="009639EE">
        <w:rPr>
          <w:b/>
          <w:i/>
        </w:rPr>
        <w:t>This restriction may be subject to further review. Should there be any changes made to the restriction the Sponsor will be informed.</w:t>
      </w:r>
      <w:bookmarkEnd w:id="46"/>
    </w:p>
    <w:p w14:paraId="092F6F5D" w14:textId="7BCFFBE1" w:rsidR="001801A9" w:rsidRDefault="001801A9" w:rsidP="001801A9">
      <w:pPr>
        <w:rPr>
          <w:b/>
          <w:i/>
        </w:rPr>
      </w:pPr>
    </w:p>
    <w:p w14:paraId="6E8A645A" w14:textId="33572314" w:rsidR="001801A9" w:rsidRPr="001801A9" w:rsidRDefault="001801A9" w:rsidP="001801A9">
      <w:pPr>
        <w:keepNext/>
        <w:keepLines/>
        <w:numPr>
          <w:ilvl w:val="0"/>
          <w:numId w:val="1"/>
        </w:numPr>
        <w:spacing w:before="240" w:after="120"/>
        <w:jc w:val="left"/>
        <w:outlineLvl w:val="0"/>
        <w:rPr>
          <w:rFonts w:asciiTheme="minorHAnsi" w:hAnsiTheme="minorHAnsi"/>
          <w:b/>
          <w:snapToGrid w:val="0"/>
          <w:sz w:val="32"/>
          <w:szCs w:val="32"/>
        </w:rPr>
      </w:pPr>
      <w:r w:rsidRPr="001801A9">
        <w:rPr>
          <w:rFonts w:asciiTheme="minorHAnsi" w:hAnsiTheme="minorHAnsi"/>
          <w:b/>
          <w:snapToGrid w:val="0"/>
          <w:sz w:val="32"/>
          <w:szCs w:val="32"/>
        </w:rPr>
        <w:t>Context for Decision</w:t>
      </w:r>
    </w:p>
    <w:p w14:paraId="4E38C210" w14:textId="77777777" w:rsidR="001801A9" w:rsidRPr="007129F2" w:rsidRDefault="001801A9" w:rsidP="001801A9">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279B2E8" w14:textId="7CFD4FA8" w:rsidR="001801A9" w:rsidRPr="001801A9" w:rsidRDefault="001801A9" w:rsidP="001801A9">
      <w:pPr>
        <w:keepNext/>
        <w:keepLines/>
        <w:numPr>
          <w:ilvl w:val="0"/>
          <w:numId w:val="1"/>
        </w:numPr>
        <w:spacing w:before="240" w:after="120"/>
        <w:jc w:val="left"/>
        <w:outlineLvl w:val="0"/>
        <w:rPr>
          <w:rFonts w:asciiTheme="minorHAnsi" w:hAnsiTheme="minorHAnsi"/>
          <w:b/>
          <w:snapToGrid w:val="0"/>
          <w:sz w:val="32"/>
          <w:szCs w:val="32"/>
        </w:rPr>
      </w:pPr>
      <w:r w:rsidRPr="001801A9">
        <w:rPr>
          <w:rFonts w:asciiTheme="minorHAnsi" w:hAnsiTheme="minorHAnsi"/>
          <w:b/>
          <w:snapToGrid w:val="0"/>
          <w:sz w:val="32"/>
          <w:szCs w:val="32"/>
        </w:rPr>
        <w:t>Sponsor’s Comment</w:t>
      </w:r>
    </w:p>
    <w:p w14:paraId="74FED04F" w14:textId="59B997B3" w:rsidR="001801A9" w:rsidRPr="001801A9" w:rsidRDefault="00B9563E" w:rsidP="00B9563E">
      <w:pPr>
        <w:ind w:left="709"/>
        <w:rPr>
          <w:rFonts w:eastAsia="Calibri" w:cs="Calibri"/>
          <w:lang w:eastAsia="en-US"/>
        </w:rPr>
      </w:pPr>
      <w:r w:rsidRPr="00B9563E">
        <w:rPr>
          <w:rFonts w:asciiTheme="minorHAnsi" w:hAnsiTheme="minorHAnsi"/>
          <w:bCs/>
        </w:rPr>
        <w:t xml:space="preserve">Sanofi Pasteur welcomes the PBAC’s recommendation to list diphtheria, tetanus, pertussis, hepatitis B, </w:t>
      </w:r>
      <w:proofErr w:type="gramStart"/>
      <w:r w:rsidRPr="00B9563E">
        <w:rPr>
          <w:rFonts w:asciiTheme="minorHAnsi" w:hAnsiTheme="minorHAnsi"/>
          <w:bCs/>
        </w:rPr>
        <w:t>poliomyelitis</w:t>
      </w:r>
      <w:proofErr w:type="gramEnd"/>
      <w:r w:rsidRPr="00B9563E">
        <w:rPr>
          <w:rFonts w:asciiTheme="minorHAnsi" w:hAnsiTheme="minorHAnsi"/>
          <w:bCs/>
        </w:rPr>
        <w:t xml:space="preserve"> and Haemophilus influenzae type b conjugate vaccine (</w:t>
      </w:r>
      <w:proofErr w:type="spellStart"/>
      <w:r w:rsidRPr="00B9563E">
        <w:rPr>
          <w:rFonts w:asciiTheme="minorHAnsi" w:hAnsiTheme="minorHAnsi"/>
          <w:bCs/>
        </w:rPr>
        <w:t>DTPa</w:t>
      </w:r>
      <w:proofErr w:type="spellEnd"/>
      <w:r w:rsidRPr="00B9563E">
        <w:rPr>
          <w:rFonts w:asciiTheme="minorHAnsi" w:hAnsiTheme="minorHAnsi"/>
          <w:bCs/>
        </w:rPr>
        <w:t xml:space="preserve">-HB-IPV-Hib, </w:t>
      </w:r>
      <w:proofErr w:type="spellStart"/>
      <w:r w:rsidRPr="00B9563E">
        <w:rPr>
          <w:rFonts w:asciiTheme="minorHAnsi" w:hAnsiTheme="minorHAnsi"/>
          <w:bCs/>
        </w:rPr>
        <w:t>Vaxelis</w:t>
      </w:r>
      <w:proofErr w:type="spellEnd"/>
      <w:r w:rsidRPr="00B9563E">
        <w:rPr>
          <w:rFonts w:asciiTheme="minorHAnsi" w:hAnsiTheme="minorHAnsi"/>
          <w:bCs/>
        </w:rPr>
        <w:t xml:space="preserve">) on the NIP. Since the PBAC's consideration, an additional study investigating the concomitant use of </w:t>
      </w:r>
      <w:proofErr w:type="spellStart"/>
      <w:r w:rsidRPr="00B9563E">
        <w:rPr>
          <w:rFonts w:asciiTheme="minorHAnsi" w:hAnsiTheme="minorHAnsi"/>
          <w:bCs/>
        </w:rPr>
        <w:t>Vaxelis</w:t>
      </w:r>
      <w:proofErr w:type="spellEnd"/>
      <w:r w:rsidRPr="00B9563E">
        <w:rPr>
          <w:rFonts w:asciiTheme="minorHAnsi" w:hAnsiTheme="minorHAnsi"/>
          <w:bCs/>
        </w:rPr>
        <w:t xml:space="preserve"> with 4CMenB has been completed and is awaiting publication. We will continue to work through the post-PBAC processes with the Department of Health and relevant stakeholders to realise the benefits to the NIP of having a second supplier of childhood </w:t>
      </w:r>
      <w:proofErr w:type="spellStart"/>
      <w:r w:rsidRPr="00B9563E">
        <w:rPr>
          <w:rFonts w:asciiTheme="minorHAnsi" w:hAnsiTheme="minorHAnsi"/>
          <w:bCs/>
        </w:rPr>
        <w:t>DTPa</w:t>
      </w:r>
      <w:proofErr w:type="spellEnd"/>
      <w:r w:rsidRPr="00B9563E">
        <w:rPr>
          <w:rFonts w:asciiTheme="minorHAnsi" w:hAnsiTheme="minorHAnsi"/>
          <w:bCs/>
        </w:rPr>
        <w:t>-HB-IPV-Hib vaccines in Australia</w:t>
      </w:r>
      <w:r>
        <w:rPr>
          <w:rFonts w:asciiTheme="minorHAnsi" w:hAnsiTheme="minorHAnsi"/>
          <w:bCs/>
        </w:rPr>
        <w:t>.</w:t>
      </w:r>
    </w:p>
    <w:sectPr w:rsidR="001801A9" w:rsidRPr="001801A9" w:rsidSect="004100DB">
      <w:headerReference w:type="default" r:id="rId8"/>
      <w:footerReference w:type="default" r:id="rId9"/>
      <w:footnotePr>
        <w:numFmt w:val="lowerLetter"/>
      </w:footnotePr>
      <w:pgSz w:w="11910" w:h="16840"/>
      <w:pgMar w:top="1440" w:right="1440" w:bottom="1440" w:left="1440"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9CD9" w14:textId="77777777" w:rsidR="000254F3" w:rsidRDefault="000254F3" w:rsidP="00124A51">
      <w:r>
        <w:separator/>
      </w:r>
    </w:p>
    <w:p w14:paraId="29960281" w14:textId="77777777" w:rsidR="000254F3" w:rsidRDefault="000254F3"/>
  </w:endnote>
  <w:endnote w:type="continuationSeparator" w:id="0">
    <w:p w14:paraId="20DCD3D7" w14:textId="77777777" w:rsidR="000254F3" w:rsidRDefault="000254F3" w:rsidP="00124A51">
      <w:r>
        <w:continuationSeparator/>
      </w:r>
    </w:p>
    <w:p w14:paraId="52B7AADB" w14:textId="77777777" w:rsidR="000254F3" w:rsidRDefault="0002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D561" w14:textId="77777777" w:rsidR="000254F3" w:rsidRDefault="000254F3">
    <w:pPr>
      <w:pStyle w:val="Footer"/>
      <w:jc w:val="center"/>
    </w:pPr>
  </w:p>
  <w:p w14:paraId="39446C6B" w14:textId="341F669F" w:rsidR="000254F3" w:rsidRDefault="00CA2BA2" w:rsidP="00AF5BE1">
    <w:pPr>
      <w:pStyle w:val="Footer"/>
      <w:jc w:val="center"/>
    </w:pPr>
    <w:sdt>
      <w:sdtPr>
        <w:id w:val="2131433268"/>
        <w:docPartObj>
          <w:docPartGallery w:val="Page Numbers (Bottom of Page)"/>
          <w:docPartUnique/>
        </w:docPartObj>
      </w:sdtPr>
      <w:sdtEndPr>
        <w:rPr>
          <w:noProof/>
        </w:rPr>
      </w:sdtEndPr>
      <w:sdtContent>
        <w:r w:rsidR="000254F3" w:rsidRPr="00257DEC">
          <w:rPr>
            <w:b/>
          </w:rPr>
          <w:fldChar w:fldCharType="begin"/>
        </w:r>
        <w:r w:rsidR="000254F3" w:rsidRPr="00257DEC">
          <w:rPr>
            <w:b/>
          </w:rPr>
          <w:instrText xml:space="preserve"> PAGE   \* MERGEFORMAT </w:instrText>
        </w:r>
        <w:r w:rsidR="000254F3" w:rsidRPr="00257DEC">
          <w:rPr>
            <w:b/>
          </w:rPr>
          <w:fldChar w:fldCharType="separate"/>
        </w:r>
        <w:r w:rsidR="000254F3">
          <w:rPr>
            <w:b/>
            <w:noProof/>
          </w:rPr>
          <w:t>24</w:t>
        </w:r>
        <w:r w:rsidR="000254F3" w:rsidRPr="00257DEC">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9D53" w14:textId="77777777" w:rsidR="000254F3" w:rsidRDefault="000254F3" w:rsidP="00124A51">
      <w:r>
        <w:separator/>
      </w:r>
    </w:p>
    <w:p w14:paraId="12BA705E" w14:textId="77777777" w:rsidR="000254F3" w:rsidRDefault="000254F3"/>
  </w:footnote>
  <w:footnote w:type="continuationSeparator" w:id="0">
    <w:p w14:paraId="56BC4150" w14:textId="77777777" w:rsidR="000254F3" w:rsidRDefault="000254F3" w:rsidP="00124A51">
      <w:r>
        <w:continuationSeparator/>
      </w:r>
    </w:p>
    <w:p w14:paraId="0F2283F1" w14:textId="77777777" w:rsidR="000254F3" w:rsidRDefault="000254F3"/>
  </w:footnote>
  <w:footnote w:id="1">
    <w:p w14:paraId="788CCC42" w14:textId="1329C77B" w:rsidR="000254F3" w:rsidRDefault="000254F3" w:rsidP="00C53E6C">
      <w:pPr>
        <w:pStyle w:val="FootnoteText"/>
        <w:jc w:val="left"/>
      </w:pPr>
      <w:r>
        <w:rPr>
          <w:rStyle w:val="FootnoteReference"/>
        </w:rPr>
        <w:footnoteRef/>
      </w:r>
      <w:r>
        <w:t xml:space="preserve"> FactSheet: </w:t>
      </w:r>
      <w:r w:rsidRPr="00C53E6C">
        <w:t>Meningococcal vaccines for Australians: Information for immunisation providers</w:t>
      </w:r>
      <w:r>
        <w:t xml:space="preserve">. National Centre for Immunisation Research and Surveillance (NCIRS). </w:t>
      </w:r>
      <w:hyperlink r:id="rId1" w:history="1">
        <w:r w:rsidRPr="00EF0FF8">
          <w:rPr>
            <w:rStyle w:val="Hyperlink"/>
          </w:rPr>
          <w:t>https://www.google.com/url?sa=t&amp;rct=j&amp;q=&amp;esrc=s&amp;source=web&amp;cd=&amp;ved=2ahUKEwiniuHe9p71AhUQgtgFHRsTAukQFnoECAIQAQ&amp;url=https%3A%2F%2Fwww.ncirs.org.au%2Fsites%2Fdefault%2Ffiles%2F2019-04%2FMeningococcal_FactSheet_April2019_Final.pdf&amp;usg=AOvVaw1p4PSru2Enp-Z2Xr5glIuh</w:t>
        </w:r>
      </w:hyperlink>
      <w:r>
        <w:t xml:space="preserve"> (Accessed 7 January 2022).</w:t>
      </w:r>
    </w:p>
  </w:footnote>
  <w:footnote w:id="2">
    <w:p w14:paraId="0C64690C" w14:textId="6DA72068" w:rsidR="000254F3" w:rsidRDefault="000254F3">
      <w:pPr>
        <w:pStyle w:val="FootnoteText"/>
      </w:pPr>
      <w:r>
        <w:rPr>
          <w:rStyle w:val="FootnoteReference"/>
        </w:rPr>
        <w:footnoteRef/>
      </w:r>
      <w:r>
        <w:t xml:space="preserve"> I</w:t>
      </w:r>
      <w:r w:rsidRPr="00120CCA">
        <w:t>ncreased risk of meningococcal disease, including inherited defects or deficiency of properdin or complement components, current or future treatment with eculizumab, functional or anatomical asplenia, HIV infection and haematopoetic stem cell transplant</w:t>
      </w:r>
      <w:r>
        <w:t xml:space="preserve"> (FactSheet National Centre for Immunisation Research and Surveillance (NCIRS)</w:t>
      </w:r>
      <w:r w:rsidRPr="00120CCA">
        <w:t>.</w:t>
      </w:r>
    </w:p>
  </w:footnote>
  <w:footnote w:id="3">
    <w:p w14:paraId="2F162883" w14:textId="59AADFDC" w:rsidR="000254F3" w:rsidRDefault="000254F3" w:rsidP="003848A6">
      <w:pPr>
        <w:pStyle w:val="FootnoteText"/>
      </w:pPr>
      <w:r>
        <w:rPr>
          <w:rStyle w:val="FootnoteReference"/>
        </w:rPr>
        <w:footnoteRef/>
      </w:r>
      <w:r>
        <w:t xml:space="preserve"> World Health Organization. Annex 4 - Recommendations to assure the quality, safety and efficacy of diphtheria vaccines (adsorbed). Replacement of Annex 2 of WHO Technical Report Series, No. 800, and Annex 5 of WHO Technical Report Series, No. 927.</w:t>
      </w:r>
    </w:p>
    <w:p w14:paraId="01F66907" w14:textId="0B49F3AF" w:rsidR="000254F3" w:rsidRDefault="000254F3" w:rsidP="003848A6">
      <w:pPr>
        <w:pStyle w:val="FootnoteText"/>
      </w:pPr>
      <w:r>
        <w:t xml:space="preserve">https://www.who.int/biologicals/vaccines/Diphtheria_Recommendations_TRS_980_Annex_4.pdf?ua=1 ; 2014 [accessed 14 December 2021]. </w:t>
      </w:r>
    </w:p>
  </w:footnote>
  <w:footnote w:id="4">
    <w:p w14:paraId="20CBD2E7" w14:textId="77777777" w:rsidR="000254F3" w:rsidRDefault="000254F3" w:rsidP="00772731">
      <w:pPr>
        <w:pStyle w:val="FootnoteText"/>
      </w:pPr>
      <w:r>
        <w:rPr>
          <w:rStyle w:val="FootnoteReference"/>
        </w:rPr>
        <w:footnoteRef/>
      </w:r>
      <w:r>
        <w:t xml:space="preserve"> </w:t>
      </w:r>
      <w:r w:rsidRPr="000B0DFE">
        <w:t>Pneumococcal conjugate vaccine</w:t>
      </w:r>
    </w:p>
  </w:footnote>
  <w:footnote w:id="5">
    <w:p w14:paraId="46669BEB" w14:textId="77777777" w:rsidR="000254F3" w:rsidRDefault="000254F3" w:rsidP="00772731">
      <w:pPr>
        <w:pStyle w:val="FootnoteText"/>
      </w:pPr>
      <w:r>
        <w:rPr>
          <w:rStyle w:val="FootnoteReference"/>
        </w:rPr>
        <w:footnoteRef/>
      </w:r>
      <w:r>
        <w:t xml:space="preserve"> Rotavirus vaccine</w:t>
      </w:r>
    </w:p>
  </w:footnote>
  <w:footnote w:id="6">
    <w:p w14:paraId="69786275" w14:textId="388E3E01" w:rsidR="000254F3" w:rsidRDefault="000254F3" w:rsidP="00772731">
      <w:pPr>
        <w:pStyle w:val="FootnoteText"/>
      </w:pPr>
      <w:r>
        <w:rPr>
          <w:rStyle w:val="FootnoteReference"/>
        </w:rPr>
        <w:footnoteRef/>
      </w:r>
      <w:r>
        <w:t xml:space="preserve"> Measles, Mumps, Rubella, and Varicella combination vaccine</w:t>
      </w:r>
    </w:p>
  </w:footnote>
  <w:footnote w:id="7">
    <w:p w14:paraId="5E97A2A1" w14:textId="42F48B58" w:rsidR="000254F3" w:rsidRDefault="000254F3">
      <w:pPr>
        <w:pStyle w:val="FootnoteText"/>
      </w:pPr>
      <w:r>
        <w:rPr>
          <w:rStyle w:val="FootnoteReference"/>
        </w:rPr>
        <w:footnoteRef/>
      </w:r>
      <w:r>
        <w:t xml:space="preserve"> All</w:t>
      </w:r>
      <w:r w:rsidRPr="00574AB4">
        <w:t xml:space="preserve"> subjects who met the inclusion criteria, who were not protocol violators, who received vaccinations within acceptable day ranges, and had serology results within the specified day ranges, were included in the PP immunogenicity analyses.</w:t>
      </w:r>
      <w:r>
        <w:t xml:space="preserve"> </w:t>
      </w:r>
      <w:r w:rsidRPr="00351C7B">
        <w:t>PP-RW (Per Protocol Revised Window) population was defined as the PP population using a blood draw sample window of Days 28 to 51 following Dose 3 or the Toddler dose</w:t>
      </w:r>
      <w:r>
        <w:t xml:space="preserve">. </w:t>
      </w:r>
    </w:p>
  </w:footnote>
  <w:footnote w:id="8">
    <w:p w14:paraId="605899BD" w14:textId="2368BC7E" w:rsidR="000254F3" w:rsidRDefault="000254F3">
      <w:pPr>
        <w:pStyle w:val="FootnoteText"/>
      </w:pPr>
      <w:r>
        <w:rPr>
          <w:rStyle w:val="FootnoteReference"/>
        </w:rPr>
        <w:footnoteRef/>
      </w:r>
      <w:r>
        <w:t xml:space="preserve"> All</w:t>
      </w:r>
      <w:r w:rsidRPr="00574AB4">
        <w:t xml:space="preserve"> subjects who met the inclusion criteria, who were not protocol violators, who received vaccinations within acceptable day ranges, and had serology results within the specified day ranges, were included in the PP immunogenicity analyses.</w:t>
      </w:r>
      <w:r>
        <w:t xml:space="preserve"> </w:t>
      </w:r>
      <w:r w:rsidRPr="00351C7B">
        <w:t xml:space="preserve">PP-RW (Per Protocol Revised Window) population was defined as the PP population using a blood draw sample window of Days 28 to 51 following Dose </w:t>
      </w:r>
      <w:r>
        <w:t>2</w:t>
      </w:r>
      <w:r w:rsidRPr="00351C7B">
        <w:t xml:space="preserve"> or the Toddler dose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565336"/>
      <w:docPartObj>
        <w:docPartGallery w:val="Page Numbers (Top of Page)"/>
        <w:docPartUnique/>
      </w:docPartObj>
    </w:sdtPr>
    <w:sdtEndPr>
      <w:rPr>
        <w:noProof/>
      </w:rPr>
    </w:sdtEndPr>
    <w:sdtContent>
      <w:p w14:paraId="509DABD8" w14:textId="74E3F9EA" w:rsidR="000254F3" w:rsidRDefault="000254F3" w:rsidP="00F80F6A">
        <w:pPr>
          <w:pStyle w:val="Header"/>
          <w:ind w:left="360"/>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sdtContent>
  </w:sdt>
  <w:p w14:paraId="78F11F46" w14:textId="58E15AF1" w:rsidR="000254F3" w:rsidRPr="008C7ECB" w:rsidRDefault="000254F3" w:rsidP="00B3444E">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2AC3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D524F8"/>
    <w:multiLevelType w:val="hybridMultilevel"/>
    <w:tmpl w:val="EDEC27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A77D0F"/>
    <w:multiLevelType w:val="hybridMultilevel"/>
    <w:tmpl w:val="D7F0C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752DA"/>
    <w:multiLevelType w:val="multilevel"/>
    <w:tmpl w:val="7F9E7098"/>
    <w:styleLink w:val="Norm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8803F3"/>
    <w:multiLevelType w:val="hybridMultilevel"/>
    <w:tmpl w:val="A830B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884C4B"/>
    <w:multiLevelType w:val="hybridMultilevel"/>
    <w:tmpl w:val="16DA2F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2CF5D49"/>
    <w:multiLevelType w:val="hybridMultilevel"/>
    <w:tmpl w:val="9EE8A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2"/>
  </w:num>
  <w:num w:numId="3">
    <w:abstractNumId w:val="13"/>
  </w:num>
  <w:num w:numId="4">
    <w:abstractNumId w:val="0"/>
  </w:num>
  <w:num w:numId="5">
    <w:abstractNumId w:val="20"/>
  </w:num>
  <w:num w:numId="6">
    <w:abstractNumId w:val="18"/>
  </w:num>
  <w:num w:numId="7">
    <w:abstractNumId w:val="16"/>
  </w:num>
  <w:num w:numId="8">
    <w:abstractNumId w:val="10"/>
  </w:num>
  <w:num w:numId="9">
    <w:abstractNumId w:val="4"/>
  </w:num>
  <w:num w:numId="10">
    <w:abstractNumId w:val="11"/>
  </w:num>
  <w:num w:numId="11">
    <w:abstractNumId w:val="2"/>
  </w:num>
  <w:num w:numId="12">
    <w:abstractNumId w:val="14"/>
  </w:num>
  <w:num w:numId="13">
    <w:abstractNumId w:val="15"/>
  </w:num>
  <w:num w:numId="14">
    <w:abstractNumId w:val="3"/>
  </w:num>
  <w:num w:numId="15">
    <w:abstractNumId w:val="1"/>
  </w:num>
  <w:num w:numId="16">
    <w:abstractNumId w:val="7"/>
  </w:num>
  <w:num w:numId="17">
    <w:abstractNumId w:val="8"/>
  </w:num>
  <w:num w:numId="18">
    <w:abstractNumId w:val="6"/>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num>
  <w:num w:numId="22">
    <w:abstractNumId w:val="20"/>
  </w:num>
  <w:num w:numId="2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NTAxNTI0Mzc2MDdT0lEKTi0uzszPAykwrAUAXxi8XCwAAAA="/>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dvev923afe9ae5ffrxwv21ararwzpztrvs&quot;&gt;My EndNote Library&lt;record-ids&gt;&lt;item&gt;2&lt;/item&gt;&lt;item&gt;3&lt;/item&gt;&lt;item&gt;4&lt;/item&gt;&lt;item&gt;6&lt;/item&gt;&lt;item&gt;7&lt;/item&gt;&lt;/record-ids&gt;&lt;/item&gt;&lt;/Libraries&gt;"/>
  </w:docVars>
  <w:rsids>
    <w:rsidRoot w:val="00E65E79"/>
    <w:rsid w:val="00000790"/>
    <w:rsid w:val="00000931"/>
    <w:rsid w:val="0000110B"/>
    <w:rsid w:val="00002E29"/>
    <w:rsid w:val="00002F11"/>
    <w:rsid w:val="00003499"/>
    <w:rsid w:val="000039B7"/>
    <w:rsid w:val="00004BF4"/>
    <w:rsid w:val="00005421"/>
    <w:rsid w:val="0000639A"/>
    <w:rsid w:val="00010D1A"/>
    <w:rsid w:val="000111BB"/>
    <w:rsid w:val="00013247"/>
    <w:rsid w:val="00014C25"/>
    <w:rsid w:val="00015886"/>
    <w:rsid w:val="000162EF"/>
    <w:rsid w:val="0001678B"/>
    <w:rsid w:val="000207C9"/>
    <w:rsid w:val="0002225F"/>
    <w:rsid w:val="00023763"/>
    <w:rsid w:val="000254F3"/>
    <w:rsid w:val="000260F7"/>
    <w:rsid w:val="000274B8"/>
    <w:rsid w:val="00027BA6"/>
    <w:rsid w:val="00030DCD"/>
    <w:rsid w:val="000313E1"/>
    <w:rsid w:val="000315F7"/>
    <w:rsid w:val="0003370A"/>
    <w:rsid w:val="00033863"/>
    <w:rsid w:val="0003439A"/>
    <w:rsid w:val="00035DC0"/>
    <w:rsid w:val="00036829"/>
    <w:rsid w:val="00036AB2"/>
    <w:rsid w:val="0003731C"/>
    <w:rsid w:val="00037D9B"/>
    <w:rsid w:val="00040383"/>
    <w:rsid w:val="000407E7"/>
    <w:rsid w:val="00040895"/>
    <w:rsid w:val="00040DB8"/>
    <w:rsid w:val="00042316"/>
    <w:rsid w:val="0004302B"/>
    <w:rsid w:val="000435EE"/>
    <w:rsid w:val="00043C37"/>
    <w:rsid w:val="00045017"/>
    <w:rsid w:val="00045A2B"/>
    <w:rsid w:val="0004698F"/>
    <w:rsid w:val="000539D0"/>
    <w:rsid w:val="00054621"/>
    <w:rsid w:val="000546D7"/>
    <w:rsid w:val="00054908"/>
    <w:rsid w:val="00056ECF"/>
    <w:rsid w:val="000601CA"/>
    <w:rsid w:val="000604DF"/>
    <w:rsid w:val="000604F5"/>
    <w:rsid w:val="00062E26"/>
    <w:rsid w:val="00063142"/>
    <w:rsid w:val="00064D80"/>
    <w:rsid w:val="0006534A"/>
    <w:rsid w:val="000653B5"/>
    <w:rsid w:val="00066360"/>
    <w:rsid w:val="00066AF8"/>
    <w:rsid w:val="00071248"/>
    <w:rsid w:val="000720B9"/>
    <w:rsid w:val="00072202"/>
    <w:rsid w:val="000737F7"/>
    <w:rsid w:val="0007499C"/>
    <w:rsid w:val="00076617"/>
    <w:rsid w:val="0007672F"/>
    <w:rsid w:val="00076B54"/>
    <w:rsid w:val="000774F0"/>
    <w:rsid w:val="00080909"/>
    <w:rsid w:val="000812CA"/>
    <w:rsid w:val="00081DCF"/>
    <w:rsid w:val="00081E63"/>
    <w:rsid w:val="0008258D"/>
    <w:rsid w:val="00082CAC"/>
    <w:rsid w:val="00083E99"/>
    <w:rsid w:val="00084FA8"/>
    <w:rsid w:val="000856C5"/>
    <w:rsid w:val="00085C31"/>
    <w:rsid w:val="00086193"/>
    <w:rsid w:val="000902D9"/>
    <w:rsid w:val="00090303"/>
    <w:rsid w:val="00090C7E"/>
    <w:rsid w:val="0009180C"/>
    <w:rsid w:val="00092600"/>
    <w:rsid w:val="0009262B"/>
    <w:rsid w:val="00093310"/>
    <w:rsid w:val="0009357D"/>
    <w:rsid w:val="00093A78"/>
    <w:rsid w:val="0009445C"/>
    <w:rsid w:val="000949A1"/>
    <w:rsid w:val="00095200"/>
    <w:rsid w:val="00095453"/>
    <w:rsid w:val="000959A4"/>
    <w:rsid w:val="00095FE5"/>
    <w:rsid w:val="00096284"/>
    <w:rsid w:val="00097E7E"/>
    <w:rsid w:val="000A1BC0"/>
    <w:rsid w:val="000A6003"/>
    <w:rsid w:val="000A6039"/>
    <w:rsid w:val="000A7453"/>
    <w:rsid w:val="000A75C5"/>
    <w:rsid w:val="000A7D08"/>
    <w:rsid w:val="000B0121"/>
    <w:rsid w:val="000B0585"/>
    <w:rsid w:val="000B0670"/>
    <w:rsid w:val="000B0E75"/>
    <w:rsid w:val="000B2DCB"/>
    <w:rsid w:val="000B56E2"/>
    <w:rsid w:val="000B5CE0"/>
    <w:rsid w:val="000B5FC6"/>
    <w:rsid w:val="000B6CAC"/>
    <w:rsid w:val="000B7612"/>
    <w:rsid w:val="000B765A"/>
    <w:rsid w:val="000B78AE"/>
    <w:rsid w:val="000C3DF9"/>
    <w:rsid w:val="000C5E05"/>
    <w:rsid w:val="000C6713"/>
    <w:rsid w:val="000D1BFC"/>
    <w:rsid w:val="000D1D5D"/>
    <w:rsid w:val="000D281A"/>
    <w:rsid w:val="000D2848"/>
    <w:rsid w:val="000D326A"/>
    <w:rsid w:val="000D33A9"/>
    <w:rsid w:val="000D51FB"/>
    <w:rsid w:val="000D667F"/>
    <w:rsid w:val="000E0640"/>
    <w:rsid w:val="000E135D"/>
    <w:rsid w:val="000E684A"/>
    <w:rsid w:val="000E73C1"/>
    <w:rsid w:val="000E7CCD"/>
    <w:rsid w:val="000F00BA"/>
    <w:rsid w:val="000F2686"/>
    <w:rsid w:val="000F316A"/>
    <w:rsid w:val="000F3A98"/>
    <w:rsid w:val="000F3C74"/>
    <w:rsid w:val="000F4BB8"/>
    <w:rsid w:val="000F4FA9"/>
    <w:rsid w:val="000F53FB"/>
    <w:rsid w:val="000F61F4"/>
    <w:rsid w:val="000F7127"/>
    <w:rsid w:val="000F7B54"/>
    <w:rsid w:val="00100F8A"/>
    <w:rsid w:val="0010452E"/>
    <w:rsid w:val="00105AE2"/>
    <w:rsid w:val="001060C6"/>
    <w:rsid w:val="00106B80"/>
    <w:rsid w:val="0011032E"/>
    <w:rsid w:val="00111178"/>
    <w:rsid w:val="0011348B"/>
    <w:rsid w:val="001143DF"/>
    <w:rsid w:val="00115982"/>
    <w:rsid w:val="00116C53"/>
    <w:rsid w:val="00120CCA"/>
    <w:rsid w:val="00121799"/>
    <w:rsid w:val="001222FC"/>
    <w:rsid w:val="00123902"/>
    <w:rsid w:val="00124A51"/>
    <w:rsid w:val="00126621"/>
    <w:rsid w:val="00126B1D"/>
    <w:rsid w:val="001276F8"/>
    <w:rsid w:val="001301E9"/>
    <w:rsid w:val="0013129D"/>
    <w:rsid w:val="00131D82"/>
    <w:rsid w:val="00132B22"/>
    <w:rsid w:val="00133D36"/>
    <w:rsid w:val="00135E3D"/>
    <w:rsid w:val="00137645"/>
    <w:rsid w:val="0014015A"/>
    <w:rsid w:val="00140E99"/>
    <w:rsid w:val="001424DA"/>
    <w:rsid w:val="00143F67"/>
    <w:rsid w:val="00145540"/>
    <w:rsid w:val="001456B0"/>
    <w:rsid w:val="00147A5F"/>
    <w:rsid w:val="001521A6"/>
    <w:rsid w:val="0015317A"/>
    <w:rsid w:val="00156A9A"/>
    <w:rsid w:val="00156F8F"/>
    <w:rsid w:val="00157130"/>
    <w:rsid w:val="001576B1"/>
    <w:rsid w:val="0016047B"/>
    <w:rsid w:val="00160A4C"/>
    <w:rsid w:val="001617BB"/>
    <w:rsid w:val="00162829"/>
    <w:rsid w:val="00162913"/>
    <w:rsid w:val="00163EFF"/>
    <w:rsid w:val="00163F66"/>
    <w:rsid w:val="001661FB"/>
    <w:rsid w:val="001671A0"/>
    <w:rsid w:val="0016767F"/>
    <w:rsid w:val="00167A61"/>
    <w:rsid w:val="00172692"/>
    <w:rsid w:val="00173565"/>
    <w:rsid w:val="001739EC"/>
    <w:rsid w:val="00173B07"/>
    <w:rsid w:val="0017422E"/>
    <w:rsid w:val="00174EA4"/>
    <w:rsid w:val="001751FA"/>
    <w:rsid w:val="001770EE"/>
    <w:rsid w:val="0017787A"/>
    <w:rsid w:val="001801A9"/>
    <w:rsid w:val="001817CC"/>
    <w:rsid w:val="00181D9C"/>
    <w:rsid w:val="0018247E"/>
    <w:rsid w:val="00183D37"/>
    <w:rsid w:val="00184B0E"/>
    <w:rsid w:val="0018752F"/>
    <w:rsid w:val="001907AC"/>
    <w:rsid w:val="001919F9"/>
    <w:rsid w:val="00193838"/>
    <w:rsid w:val="00194AD8"/>
    <w:rsid w:val="00195222"/>
    <w:rsid w:val="00195278"/>
    <w:rsid w:val="001957EB"/>
    <w:rsid w:val="001974C0"/>
    <w:rsid w:val="001975D8"/>
    <w:rsid w:val="001A178E"/>
    <w:rsid w:val="001A43FA"/>
    <w:rsid w:val="001A47C5"/>
    <w:rsid w:val="001A59FB"/>
    <w:rsid w:val="001A5E9E"/>
    <w:rsid w:val="001A6354"/>
    <w:rsid w:val="001A6366"/>
    <w:rsid w:val="001A792D"/>
    <w:rsid w:val="001A7AE8"/>
    <w:rsid w:val="001B0606"/>
    <w:rsid w:val="001B204E"/>
    <w:rsid w:val="001B2372"/>
    <w:rsid w:val="001B2410"/>
    <w:rsid w:val="001B3443"/>
    <w:rsid w:val="001B4D20"/>
    <w:rsid w:val="001C05B9"/>
    <w:rsid w:val="001C1A7E"/>
    <w:rsid w:val="001C2A9B"/>
    <w:rsid w:val="001C4299"/>
    <w:rsid w:val="001C44F0"/>
    <w:rsid w:val="001C4874"/>
    <w:rsid w:val="001C5E0C"/>
    <w:rsid w:val="001C5F94"/>
    <w:rsid w:val="001C6E66"/>
    <w:rsid w:val="001C7F59"/>
    <w:rsid w:val="001D1100"/>
    <w:rsid w:val="001D1391"/>
    <w:rsid w:val="001D25D7"/>
    <w:rsid w:val="001D3D36"/>
    <w:rsid w:val="001D50B2"/>
    <w:rsid w:val="001D5E93"/>
    <w:rsid w:val="001D65B6"/>
    <w:rsid w:val="001D7645"/>
    <w:rsid w:val="001D7C37"/>
    <w:rsid w:val="001E1E86"/>
    <w:rsid w:val="001E238E"/>
    <w:rsid w:val="001E2483"/>
    <w:rsid w:val="001E2B1E"/>
    <w:rsid w:val="001E2CFF"/>
    <w:rsid w:val="001E2F24"/>
    <w:rsid w:val="001E30D4"/>
    <w:rsid w:val="001E34DF"/>
    <w:rsid w:val="001E52EB"/>
    <w:rsid w:val="001E61D2"/>
    <w:rsid w:val="001E68C1"/>
    <w:rsid w:val="001E740C"/>
    <w:rsid w:val="001F1235"/>
    <w:rsid w:val="001F1CB3"/>
    <w:rsid w:val="001F2280"/>
    <w:rsid w:val="001F287E"/>
    <w:rsid w:val="001F38B5"/>
    <w:rsid w:val="001F4081"/>
    <w:rsid w:val="001F4181"/>
    <w:rsid w:val="001F4C25"/>
    <w:rsid w:val="001F69E1"/>
    <w:rsid w:val="001F7361"/>
    <w:rsid w:val="00200A8D"/>
    <w:rsid w:val="002011B0"/>
    <w:rsid w:val="00201B46"/>
    <w:rsid w:val="00203181"/>
    <w:rsid w:val="00203783"/>
    <w:rsid w:val="002037FE"/>
    <w:rsid w:val="0020385F"/>
    <w:rsid w:val="00204C82"/>
    <w:rsid w:val="002068A0"/>
    <w:rsid w:val="00207021"/>
    <w:rsid w:val="0020732F"/>
    <w:rsid w:val="00207D00"/>
    <w:rsid w:val="002105C1"/>
    <w:rsid w:val="00212BDE"/>
    <w:rsid w:val="00212D91"/>
    <w:rsid w:val="00213007"/>
    <w:rsid w:val="00213EF5"/>
    <w:rsid w:val="00216BF5"/>
    <w:rsid w:val="00223B49"/>
    <w:rsid w:val="00223D5A"/>
    <w:rsid w:val="0022424F"/>
    <w:rsid w:val="00224DD4"/>
    <w:rsid w:val="002278A0"/>
    <w:rsid w:val="002309CC"/>
    <w:rsid w:val="0023209F"/>
    <w:rsid w:val="00233C01"/>
    <w:rsid w:val="0023413C"/>
    <w:rsid w:val="002341D8"/>
    <w:rsid w:val="002346F0"/>
    <w:rsid w:val="0023596C"/>
    <w:rsid w:val="0023629D"/>
    <w:rsid w:val="002363A9"/>
    <w:rsid w:val="00236A96"/>
    <w:rsid w:val="00237255"/>
    <w:rsid w:val="00240BBA"/>
    <w:rsid w:val="002411F8"/>
    <w:rsid w:val="002424AF"/>
    <w:rsid w:val="00242632"/>
    <w:rsid w:val="002431DF"/>
    <w:rsid w:val="002439DC"/>
    <w:rsid w:val="002441D2"/>
    <w:rsid w:val="00244DC8"/>
    <w:rsid w:val="002458BA"/>
    <w:rsid w:val="00245AE6"/>
    <w:rsid w:val="00245C5D"/>
    <w:rsid w:val="00245CE9"/>
    <w:rsid w:val="0024636C"/>
    <w:rsid w:val="00247925"/>
    <w:rsid w:val="00247A84"/>
    <w:rsid w:val="00247C18"/>
    <w:rsid w:val="00251006"/>
    <w:rsid w:val="00251CFF"/>
    <w:rsid w:val="002524D5"/>
    <w:rsid w:val="0025364D"/>
    <w:rsid w:val="00253B1D"/>
    <w:rsid w:val="00254DCF"/>
    <w:rsid w:val="0025534B"/>
    <w:rsid w:val="00255BB7"/>
    <w:rsid w:val="00257541"/>
    <w:rsid w:val="00257A39"/>
    <w:rsid w:val="00257AC4"/>
    <w:rsid w:val="00257DEC"/>
    <w:rsid w:val="00261EEF"/>
    <w:rsid w:val="00262058"/>
    <w:rsid w:val="00262A1A"/>
    <w:rsid w:val="00262A87"/>
    <w:rsid w:val="00262CE7"/>
    <w:rsid w:val="00264D26"/>
    <w:rsid w:val="00265C93"/>
    <w:rsid w:val="00265CDA"/>
    <w:rsid w:val="0026744D"/>
    <w:rsid w:val="00267642"/>
    <w:rsid w:val="00267AEA"/>
    <w:rsid w:val="002700E6"/>
    <w:rsid w:val="00270227"/>
    <w:rsid w:val="0027294B"/>
    <w:rsid w:val="00273EB4"/>
    <w:rsid w:val="00274682"/>
    <w:rsid w:val="00274F6C"/>
    <w:rsid w:val="00275C5A"/>
    <w:rsid w:val="00276B6C"/>
    <w:rsid w:val="00281014"/>
    <w:rsid w:val="0028114B"/>
    <w:rsid w:val="00281E26"/>
    <w:rsid w:val="0028395D"/>
    <w:rsid w:val="002852A6"/>
    <w:rsid w:val="00286071"/>
    <w:rsid w:val="00286541"/>
    <w:rsid w:val="0028665D"/>
    <w:rsid w:val="00286D2D"/>
    <w:rsid w:val="002910D3"/>
    <w:rsid w:val="0029236E"/>
    <w:rsid w:val="00296EEE"/>
    <w:rsid w:val="00297A56"/>
    <w:rsid w:val="002A14AB"/>
    <w:rsid w:val="002A2ADE"/>
    <w:rsid w:val="002A2F50"/>
    <w:rsid w:val="002A4550"/>
    <w:rsid w:val="002A7879"/>
    <w:rsid w:val="002B05A1"/>
    <w:rsid w:val="002B09A4"/>
    <w:rsid w:val="002B16A5"/>
    <w:rsid w:val="002B1C1F"/>
    <w:rsid w:val="002B432F"/>
    <w:rsid w:val="002B62B3"/>
    <w:rsid w:val="002B6754"/>
    <w:rsid w:val="002B6CCE"/>
    <w:rsid w:val="002C0ECF"/>
    <w:rsid w:val="002C24AB"/>
    <w:rsid w:val="002C2510"/>
    <w:rsid w:val="002C2775"/>
    <w:rsid w:val="002C27C1"/>
    <w:rsid w:val="002C33E3"/>
    <w:rsid w:val="002C5099"/>
    <w:rsid w:val="002C5889"/>
    <w:rsid w:val="002C71CE"/>
    <w:rsid w:val="002C7BFC"/>
    <w:rsid w:val="002D08F8"/>
    <w:rsid w:val="002D1FDE"/>
    <w:rsid w:val="002D36B8"/>
    <w:rsid w:val="002D577C"/>
    <w:rsid w:val="002D79EF"/>
    <w:rsid w:val="002E1071"/>
    <w:rsid w:val="002E15B9"/>
    <w:rsid w:val="002E15E4"/>
    <w:rsid w:val="002E2158"/>
    <w:rsid w:val="002E2873"/>
    <w:rsid w:val="002E4F02"/>
    <w:rsid w:val="002E5D11"/>
    <w:rsid w:val="002E6538"/>
    <w:rsid w:val="002E7722"/>
    <w:rsid w:val="002F07BA"/>
    <w:rsid w:val="002F0A52"/>
    <w:rsid w:val="002F0DA9"/>
    <w:rsid w:val="002F1014"/>
    <w:rsid w:val="002F1696"/>
    <w:rsid w:val="002F2D73"/>
    <w:rsid w:val="002F643C"/>
    <w:rsid w:val="002F71C0"/>
    <w:rsid w:val="002F74F1"/>
    <w:rsid w:val="0030000E"/>
    <w:rsid w:val="00301017"/>
    <w:rsid w:val="0030120D"/>
    <w:rsid w:val="0030155F"/>
    <w:rsid w:val="00301603"/>
    <w:rsid w:val="00301B31"/>
    <w:rsid w:val="00301B38"/>
    <w:rsid w:val="0030587B"/>
    <w:rsid w:val="00306383"/>
    <w:rsid w:val="00306D98"/>
    <w:rsid w:val="0030786C"/>
    <w:rsid w:val="00310218"/>
    <w:rsid w:val="0031031A"/>
    <w:rsid w:val="00310981"/>
    <w:rsid w:val="00311E47"/>
    <w:rsid w:val="003124D9"/>
    <w:rsid w:val="00312594"/>
    <w:rsid w:val="00315498"/>
    <w:rsid w:val="00315ED3"/>
    <w:rsid w:val="00316474"/>
    <w:rsid w:val="0031677C"/>
    <w:rsid w:val="00317263"/>
    <w:rsid w:val="00320CA7"/>
    <w:rsid w:val="00321B8D"/>
    <w:rsid w:val="00322107"/>
    <w:rsid w:val="00322355"/>
    <w:rsid w:val="00322846"/>
    <w:rsid w:val="003248A6"/>
    <w:rsid w:val="0032505C"/>
    <w:rsid w:val="0032662B"/>
    <w:rsid w:val="00326DA7"/>
    <w:rsid w:val="003270E4"/>
    <w:rsid w:val="00330DAA"/>
    <w:rsid w:val="00330F5C"/>
    <w:rsid w:val="00331230"/>
    <w:rsid w:val="003317DF"/>
    <w:rsid w:val="00332EF2"/>
    <w:rsid w:val="0033300D"/>
    <w:rsid w:val="0033431D"/>
    <w:rsid w:val="003366C9"/>
    <w:rsid w:val="003371B0"/>
    <w:rsid w:val="003379B7"/>
    <w:rsid w:val="003401A0"/>
    <w:rsid w:val="00340DF1"/>
    <w:rsid w:val="00341F62"/>
    <w:rsid w:val="00343976"/>
    <w:rsid w:val="00344666"/>
    <w:rsid w:val="00346518"/>
    <w:rsid w:val="003517F9"/>
    <w:rsid w:val="00351BA9"/>
    <w:rsid w:val="00351C7B"/>
    <w:rsid w:val="003548E7"/>
    <w:rsid w:val="00354E8A"/>
    <w:rsid w:val="00354F64"/>
    <w:rsid w:val="0035620E"/>
    <w:rsid w:val="00360345"/>
    <w:rsid w:val="00360B6C"/>
    <w:rsid w:val="00361A05"/>
    <w:rsid w:val="00361BC8"/>
    <w:rsid w:val="003624C4"/>
    <w:rsid w:val="003629E0"/>
    <w:rsid w:val="00363B00"/>
    <w:rsid w:val="003654AC"/>
    <w:rsid w:val="0036749E"/>
    <w:rsid w:val="003701D0"/>
    <w:rsid w:val="003710CF"/>
    <w:rsid w:val="0037358A"/>
    <w:rsid w:val="003750F6"/>
    <w:rsid w:val="0037574C"/>
    <w:rsid w:val="003760FC"/>
    <w:rsid w:val="0038365C"/>
    <w:rsid w:val="0038369B"/>
    <w:rsid w:val="00383B78"/>
    <w:rsid w:val="003848A6"/>
    <w:rsid w:val="00384974"/>
    <w:rsid w:val="003854B2"/>
    <w:rsid w:val="00385A9D"/>
    <w:rsid w:val="00385AAC"/>
    <w:rsid w:val="003902B1"/>
    <w:rsid w:val="003904B1"/>
    <w:rsid w:val="0039129A"/>
    <w:rsid w:val="0039179C"/>
    <w:rsid w:val="00396896"/>
    <w:rsid w:val="00396FD0"/>
    <w:rsid w:val="003972CB"/>
    <w:rsid w:val="00397ADC"/>
    <w:rsid w:val="003A1A7A"/>
    <w:rsid w:val="003A220D"/>
    <w:rsid w:val="003A2392"/>
    <w:rsid w:val="003A2831"/>
    <w:rsid w:val="003A2877"/>
    <w:rsid w:val="003A3CB6"/>
    <w:rsid w:val="003A3ED1"/>
    <w:rsid w:val="003A44DB"/>
    <w:rsid w:val="003A7E2F"/>
    <w:rsid w:val="003B3971"/>
    <w:rsid w:val="003B55D1"/>
    <w:rsid w:val="003B5B61"/>
    <w:rsid w:val="003B6488"/>
    <w:rsid w:val="003C03F8"/>
    <w:rsid w:val="003C1654"/>
    <w:rsid w:val="003C5542"/>
    <w:rsid w:val="003C7D19"/>
    <w:rsid w:val="003C7D2F"/>
    <w:rsid w:val="003D1828"/>
    <w:rsid w:val="003D1DE4"/>
    <w:rsid w:val="003D1E9A"/>
    <w:rsid w:val="003D2422"/>
    <w:rsid w:val="003D2A7C"/>
    <w:rsid w:val="003D34F0"/>
    <w:rsid w:val="003D39A1"/>
    <w:rsid w:val="003D3FBF"/>
    <w:rsid w:val="003D41B8"/>
    <w:rsid w:val="003D4537"/>
    <w:rsid w:val="003D4A30"/>
    <w:rsid w:val="003D7452"/>
    <w:rsid w:val="003D79BB"/>
    <w:rsid w:val="003D7C98"/>
    <w:rsid w:val="003D7D9D"/>
    <w:rsid w:val="003E01C2"/>
    <w:rsid w:val="003E0543"/>
    <w:rsid w:val="003E3A78"/>
    <w:rsid w:val="003E6859"/>
    <w:rsid w:val="003E749E"/>
    <w:rsid w:val="003F1C13"/>
    <w:rsid w:val="003F4156"/>
    <w:rsid w:val="003F5ADF"/>
    <w:rsid w:val="00400780"/>
    <w:rsid w:val="00400B29"/>
    <w:rsid w:val="004038CB"/>
    <w:rsid w:val="0040504B"/>
    <w:rsid w:val="004059F4"/>
    <w:rsid w:val="00406F85"/>
    <w:rsid w:val="004076D6"/>
    <w:rsid w:val="00407FE5"/>
    <w:rsid w:val="004100DB"/>
    <w:rsid w:val="004101B0"/>
    <w:rsid w:val="00410326"/>
    <w:rsid w:val="00410708"/>
    <w:rsid w:val="00410EC7"/>
    <w:rsid w:val="00411B39"/>
    <w:rsid w:val="00411DC1"/>
    <w:rsid w:val="004124D2"/>
    <w:rsid w:val="004127A7"/>
    <w:rsid w:val="004139A0"/>
    <w:rsid w:val="00413A1E"/>
    <w:rsid w:val="00414476"/>
    <w:rsid w:val="00414C2E"/>
    <w:rsid w:val="004151CF"/>
    <w:rsid w:val="004154DF"/>
    <w:rsid w:val="00416071"/>
    <w:rsid w:val="00416364"/>
    <w:rsid w:val="0042047F"/>
    <w:rsid w:val="00420AA6"/>
    <w:rsid w:val="00420B9F"/>
    <w:rsid w:val="0042192C"/>
    <w:rsid w:val="00422260"/>
    <w:rsid w:val="0042296E"/>
    <w:rsid w:val="00422CCC"/>
    <w:rsid w:val="00423BE1"/>
    <w:rsid w:val="0042413F"/>
    <w:rsid w:val="00430E60"/>
    <w:rsid w:val="004319F8"/>
    <w:rsid w:val="00431E55"/>
    <w:rsid w:val="004321F6"/>
    <w:rsid w:val="00433044"/>
    <w:rsid w:val="004331D5"/>
    <w:rsid w:val="00434088"/>
    <w:rsid w:val="004375B9"/>
    <w:rsid w:val="004428D0"/>
    <w:rsid w:val="00444185"/>
    <w:rsid w:val="004443A7"/>
    <w:rsid w:val="004443CA"/>
    <w:rsid w:val="0044442C"/>
    <w:rsid w:val="00445941"/>
    <w:rsid w:val="00445AC2"/>
    <w:rsid w:val="00445F82"/>
    <w:rsid w:val="004464EB"/>
    <w:rsid w:val="00447D26"/>
    <w:rsid w:val="00447DFC"/>
    <w:rsid w:val="00450726"/>
    <w:rsid w:val="004520D7"/>
    <w:rsid w:val="004543F8"/>
    <w:rsid w:val="00454993"/>
    <w:rsid w:val="00454E12"/>
    <w:rsid w:val="004558E3"/>
    <w:rsid w:val="00455D45"/>
    <w:rsid w:val="004579EF"/>
    <w:rsid w:val="00457F1D"/>
    <w:rsid w:val="004600BA"/>
    <w:rsid w:val="00460959"/>
    <w:rsid w:val="004615A6"/>
    <w:rsid w:val="00464595"/>
    <w:rsid w:val="004658B5"/>
    <w:rsid w:val="00465BD7"/>
    <w:rsid w:val="00467C1B"/>
    <w:rsid w:val="00471EA5"/>
    <w:rsid w:val="00472A79"/>
    <w:rsid w:val="00473F19"/>
    <w:rsid w:val="00475E22"/>
    <w:rsid w:val="004773A8"/>
    <w:rsid w:val="0048088E"/>
    <w:rsid w:val="00480F2B"/>
    <w:rsid w:val="00481C29"/>
    <w:rsid w:val="004825F5"/>
    <w:rsid w:val="00482720"/>
    <w:rsid w:val="00482D8D"/>
    <w:rsid w:val="004835E7"/>
    <w:rsid w:val="004867E2"/>
    <w:rsid w:val="00490733"/>
    <w:rsid w:val="00490B17"/>
    <w:rsid w:val="00491269"/>
    <w:rsid w:val="00491B3A"/>
    <w:rsid w:val="004927B3"/>
    <w:rsid w:val="00492CFD"/>
    <w:rsid w:val="00494207"/>
    <w:rsid w:val="0049421B"/>
    <w:rsid w:val="00494DD5"/>
    <w:rsid w:val="004962D2"/>
    <w:rsid w:val="004A0980"/>
    <w:rsid w:val="004A0DA1"/>
    <w:rsid w:val="004A13D6"/>
    <w:rsid w:val="004A27F6"/>
    <w:rsid w:val="004A498C"/>
    <w:rsid w:val="004A50E0"/>
    <w:rsid w:val="004A52E9"/>
    <w:rsid w:val="004A5AFD"/>
    <w:rsid w:val="004A6040"/>
    <w:rsid w:val="004A6597"/>
    <w:rsid w:val="004A7848"/>
    <w:rsid w:val="004B1CB4"/>
    <w:rsid w:val="004B2F18"/>
    <w:rsid w:val="004B3DDB"/>
    <w:rsid w:val="004B44FD"/>
    <w:rsid w:val="004B4C38"/>
    <w:rsid w:val="004B5CFC"/>
    <w:rsid w:val="004B6A28"/>
    <w:rsid w:val="004B6F79"/>
    <w:rsid w:val="004B71DD"/>
    <w:rsid w:val="004B774D"/>
    <w:rsid w:val="004C220E"/>
    <w:rsid w:val="004C2E8E"/>
    <w:rsid w:val="004C4AED"/>
    <w:rsid w:val="004D1789"/>
    <w:rsid w:val="004D2C2D"/>
    <w:rsid w:val="004D4F9A"/>
    <w:rsid w:val="004D69B5"/>
    <w:rsid w:val="004D7227"/>
    <w:rsid w:val="004E0E7F"/>
    <w:rsid w:val="004E0EB8"/>
    <w:rsid w:val="004E18E9"/>
    <w:rsid w:val="004E2ADC"/>
    <w:rsid w:val="004E43B2"/>
    <w:rsid w:val="004F1D02"/>
    <w:rsid w:val="004F2679"/>
    <w:rsid w:val="004F2F21"/>
    <w:rsid w:val="004F3DE5"/>
    <w:rsid w:val="004F6913"/>
    <w:rsid w:val="004F7865"/>
    <w:rsid w:val="0050174E"/>
    <w:rsid w:val="00501854"/>
    <w:rsid w:val="0050219B"/>
    <w:rsid w:val="00503F17"/>
    <w:rsid w:val="00505519"/>
    <w:rsid w:val="00505CF7"/>
    <w:rsid w:val="00506820"/>
    <w:rsid w:val="00506928"/>
    <w:rsid w:val="005077EF"/>
    <w:rsid w:val="00511AD5"/>
    <w:rsid w:val="00511DC7"/>
    <w:rsid w:val="00513CC2"/>
    <w:rsid w:val="005142C5"/>
    <w:rsid w:val="0051501B"/>
    <w:rsid w:val="005152B5"/>
    <w:rsid w:val="005170DC"/>
    <w:rsid w:val="0051780D"/>
    <w:rsid w:val="00520A1D"/>
    <w:rsid w:val="005210EB"/>
    <w:rsid w:val="0052123C"/>
    <w:rsid w:val="00521319"/>
    <w:rsid w:val="00521F58"/>
    <w:rsid w:val="00522BC8"/>
    <w:rsid w:val="00523C28"/>
    <w:rsid w:val="00524BC5"/>
    <w:rsid w:val="00527468"/>
    <w:rsid w:val="0053176B"/>
    <w:rsid w:val="00531BF6"/>
    <w:rsid w:val="005322F9"/>
    <w:rsid w:val="005347BF"/>
    <w:rsid w:val="005358EA"/>
    <w:rsid w:val="00536F42"/>
    <w:rsid w:val="00537182"/>
    <w:rsid w:val="00537FBD"/>
    <w:rsid w:val="00541947"/>
    <w:rsid w:val="00541EDD"/>
    <w:rsid w:val="00542743"/>
    <w:rsid w:val="00542C2D"/>
    <w:rsid w:val="005478BD"/>
    <w:rsid w:val="005479E3"/>
    <w:rsid w:val="00551985"/>
    <w:rsid w:val="005520D5"/>
    <w:rsid w:val="00552BD3"/>
    <w:rsid w:val="005532A0"/>
    <w:rsid w:val="00553C2A"/>
    <w:rsid w:val="00555109"/>
    <w:rsid w:val="00555ACB"/>
    <w:rsid w:val="00556125"/>
    <w:rsid w:val="005562D3"/>
    <w:rsid w:val="00556B35"/>
    <w:rsid w:val="0055741A"/>
    <w:rsid w:val="00557F89"/>
    <w:rsid w:val="005603B2"/>
    <w:rsid w:val="00560EAE"/>
    <w:rsid w:val="005611B7"/>
    <w:rsid w:val="005618D4"/>
    <w:rsid w:val="00561BCD"/>
    <w:rsid w:val="00563E21"/>
    <w:rsid w:val="0056507E"/>
    <w:rsid w:val="00565CCB"/>
    <w:rsid w:val="00565DF0"/>
    <w:rsid w:val="0056696F"/>
    <w:rsid w:val="00572269"/>
    <w:rsid w:val="0057244A"/>
    <w:rsid w:val="00572F26"/>
    <w:rsid w:val="00574AB4"/>
    <w:rsid w:val="005750C5"/>
    <w:rsid w:val="005752DE"/>
    <w:rsid w:val="00575D8D"/>
    <w:rsid w:val="00576972"/>
    <w:rsid w:val="005831C5"/>
    <w:rsid w:val="00583699"/>
    <w:rsid w:val="00585CDD"/>
    <w:rsid w:val="00586588"/>
    <w:rsid w:val="00586769"/>
    <w:rsid w:val="00587058"/>
    <w:rsid w:val="00587E0A"/>
    <w:rsid w:val="00590CAE"/>
    <w:rsid w:val="00591957"/>
    <w:rsid w:val="00595AEE"/>
    <w:rsid w:val="00595CA1"/>
    <w:rsid w:val="00595F98"/>
    <w:rsid w:val="00597BF9"/>
    <w:rsid w:val="005A268C"/>
    <w:rsid w:val="005A309A"/>
    <w:rsid w:val="005A373D"/>
    <w:rsid w:val="005A50DF"/>
    <w:rsid w:val="005A5291"/>
    <w:rsid w:val="005A59C8"/>
    <w:rsid w:val="005A726F"/>
    <w:rsid w:val="005A7B35"/>
    <w:rsid w:val="005B0B58"/>
    <w:rsid w:val="005B411D"/>
    <w:rsid w:val="005B4E53"/>
    <w:rsid w:val="005B5857"/>
    <w:rsid w:val="005C1B83"/>
    <w:rsid w:val="005C25FF"/>
    <w:rsid w:val="005C2A3C"/>
    <w:rsid w:val="005C2D55"/>
    <w:rsid w:val="005C346B"/>
    <w:rsid w:val="005C533F"/>
    <w:rsid w:val="005D044D"/>
    <w:rsid w:val="005D0ABD"/>
    <w:rsid w:val="005D18AD"/>
    <w:rsid w:val="005D2548"/>
    <w:rsid w:val="005D26B4"/>
    <w:rsid w:val="005E670A"/>
    <w:rsid w:val="005E6CBC"/>
    <w:rsid w:val="005E6D83"/>
    <w:rsid w:val="005E72FF"/>
    <w:rsid w:val="005E73C0"/>
    <w:rsid w:val="005E7F24"/>
    <w:rsid w:val="005F0D0B"/>
    <w:rsid w:val="005F2706"/>
    <w:rsid w:val="005F2D9E"/>
    <w:rsid w:val="005F479D"/>
    <w:rsid w:val="005F6A8F"/>
    <w:rsid w:val="005F6BB7"/>
    <w:rsid w:val="005F7588"/>
    <w:rsid w:val="00603DB9"/>
    <w:rsid w:val="00605650"/>
    <w:rsid w:val="0060609B"/>
    <w:rsid w:val="00606367"/>
    <w:rsid w:val="00606FBA"/>
    <w:rsid w:val="00607669"/>
    <w:rsid w:val="006076F4"/>
    <w:rsid w:val="00607AFD"/>
    <w:rsid w:val="006110D1"/>
    <w:rsid w:val="00612F97"/>
    <w:rsid w:val="006130AF"/>
    <w:rsid w:val="00613423"/>
    <w:rsid w:val="0061345D"/>
    <w:rsid w:val="00615141"/>
    <w:rsid w:val="0061549B"/>
    <w:rsid w:val="0061597F"/>
    <w:rsid w:val="00616802"/>
    <w:rsid w:val="00617E12"/>
    <w:rsid w:val="00620C25"/>
    <w:rsid w:val="00621477"/>
    <w:rsid w:val="00621ADA"/>
    <w:rsid w:val="00622B6A"/>
    <w:rsid w:val="00623CB6"/>
    <w:rsid w:val="00623F7B"/>
    <w:rsid w:val="00624968"/>
    <w:rsid w:val="00624AAD"/>
    <w:rsid w:val="00630126"/>
    <w:rsid w:val="0063158F"/>
    <w:rsid w:val="00631D6B"/>
    <w:rsid w:val="00632183"/>
    <w:rsid w:val="00632805"/>
    <w:rsid w:val="006330A1"/>
    <w:rsid w:val="006332C8"/>
    <w:rsid w:val="0063479F"/>
    <w:rsid w:val="006353F0"/>
    <w:rsid w:val="006357B5"/>
    <w:rsid w:val="006364A1"/>
    <w:rsid w:val="0063678E"/>
    <w:rsid w:val="00637BFD"/>
    <w:rsid w:val="00641C4E"/>
    <w:rsid w:val="00641FB3"/>
    <w:rsid w:val="00642296"/>
    <w:rsid w:val="0064434C"/>
    <w:rsid w:val="006471CC"/>
    <w:rsid w:val="00647A29"/>
    <w:rsid w:val="0065079F"/>
    <w:rsid w:val="00652658"/>
    <w:rsid w:val="00652A28"/>
    <w:rsid w:val="0065379F"/>
    <w:rsid w:val="00655C5C"/>
    <w:rsid w:val="00656188"/>
    <w:rsid w:val="0065715A"/>
    <w:rsid w:val="00657E26"/>
    <w:rsid w:val="006610F1"/>
    <w:rsid w:val="00661C6B"/>
    <w:rsid w:val="006626FD"/>
    <w:rsid w:val="006629B4"/>
    <w:rsid w:val="00664722"/>
    <w:rsid w:val="00667019"/>
    <w:rsid w:val="00671004"/>
    <w:rsid w:val="00672646"/>
    <w:rsid w:val="00674E42"/>
    <w:rsid w:val="00676AAF"/>
    <w:rsid w:val="00676AF3"/>
    <w:rsid w:val="00676F0D"/>
    <w:rsid w:val="00677400"/>
    <w:rsid w:val="00677F92"/>
    <w:rsid w:val="0068084F"/>
    <w:rsid w:val="006813F8"/>
    <w:rsid w:val="00682112"/>
    <w:rsid w:val="00682BA6"/>
    <w:rsid w:val="00684105"/>
    <w:rsid w:val="006857B1"/>
    <w:rsid w:val="00686957"/>
    <w:rsid w:val="00686B2D"/>
    <w:rsid w:val="006872BA"/>
    <w:rsid w:val="00690795"/>
    <w:rsid w:val="00691648"/>
    <w:rsid w:val="006917D7"/>
    <w:rsid w:val="00693EF5"/>
    <w:rsid w:val="0069434C"/>
    <w:rsid w:val="00694C00"/>
    <w:rsid w:val="00694F44"/>
    <w:rsid w:val="00695D0A"/>
    <w:rsid w:val="00696F51"/>
    <w:rsid w:val="006979A5"/>
    <w:rsid w:val="006A33A9"/>
    <w:rsid w:val="006A6479"/>
    <w:rsid w:val="006A6B99"/>
    <w:rsid w:val="006A70E5"/>
    <w:rsid w:val="006A7E5F"/>
    <w:rsid w:val="006B1B88"/>
    <w:rsid w:val="006B261B"/>
    <w:rsid w:val="006B2C90"/>
    <w:rsid w:val="006B35E6"/>
    <w:rsid w:val="006B465A"/>
    <w:rsid w:val="006B6DD0"/>
    <w:rsid w:val="006C0399"/>
    <w:rsid w:val="006C2440"/>
    <w:rsid w:val="006C2A8E"/>
    <w:rsid w:val="006C3255"/>
    <w:rsid w:val="006C3F26"/>
    <w:rsid w:val="006C4F2E"/>
    <w:rsid w:val="006C547A"/>
    <w:rsid w:val="006D0D17"/>
    <w:rsid w:val="006D105C"/>
    <w:rsid w:val="006D32B7"/>
    <w:rsid w:val="006D3C7D"/>
    <w:rsid w:val="006D4097"/>
    <w:rsid w:val="006D4659"/>
    <w:rsid w:val="006D5D5F"/>
    <w:rsid w:val="006D68FB"/>
    <w:rsid w:val="006D6F34"/>
    <w:rsid w:val="006E127A"/>
    <w:rsid w:val="006E2868"/>
    <w:rsid w:val="006E2E88"/>
    <w:rsid w:val="006E2EEB"/>
    <w:rsid w:val="006E302F"/>
    <w:rsid w:val="006E3C74"/>
    <w:rsid w:val="006E4B64"/>
    <w:rsid w:val="006F306C"/>
    <w:rsid w:val="006F474E"/>
    <w:rsid w:val="006F63A5"/>
    <w:rsid w:val="007004B8"/>
    <w:rsid w:val="00700FE6"/>
    <w:rsid w:val="0070142B"/>
    <w:rsid w:val="0070150D"/>
    <w:rsid w:val="0070276E"/>
    <w:rsid w:val="00702953"/>
    <w:rsid w:val="00702F8F"/>
    <w:rsid w:val="007079FC"/>
    <w:rsid w:val="00707C8C"/>
    <w:rsid w:val="00711A36"/>
    <w:rsid w:val="00714C26"/>
    <w:rsid w:val="0071529C"/>
    <w:rsid w:val="007170DA"/>
    <w:rsid w:val="007172AD"/>
    <w:rsid w:val="00720801"/>
    <w:rsid w:val="00720B76"/>
    <w:rsid w:val="00722B1B"/>
    <w:rsid w:val="0072416F"/>
    <w:rsid w:val="0072608E"/>
    <w:rsid w:val="00727C94"/>
    <w:rsid w:val="00731B0A"/>
    <w:rsid w:val="00731EAE"/>
    <w:rsid w:val="00733073"/>
    <w:rsid w:val="00733F01"/>
    <w:rsid w:val="00735033"/>
    <w:rsid w:val="00735328"/>
    <w:rsid w:val="0073556A"/>
    <w:rsid w:val="007362D1"/>
    <w:rsid w:val="0073685B"/>
    <w:rsid w:val="00736D64"/>
    <w:rsid w:val="007449BF"/>
    <w:rsid w:val="00746BC0"/>
    <w:rsid w:val="0074759C"/>
    <w:rsid w:val="007475E4"/>
    <w:rsid w:val="007510B4"/>
    <w:rsid w:val="00752142"/>
    <w:rsid w:val="007523F9"/>
    <w:rsid w:val="0075357E"/>
    <w:rsid w:val="007567AC"/>
    <w:rsid w:val="007573E8"/>
    <w:rsid w:val="00760C4E"/>
    <w:rsid w:val="00760F9E"/>
    <w:rsid w:val="007615B5"/>
    <w:rsid w:val="007627BE"/>
    <w:rsid w:val="00764F03"/>
    <w:rsid w:val="0076516B"/>
    <w:rsid w:val="00765B1A"/>
    <w:rsid w:val="0076613D"/>
    <w:rsid w:val="007716C9"/>
    <w:rsid w:val="00772731"/>
    <w:rsid w:val="00776821"/>
    <w:rsid w:val="007770B5"/>
    <w:rsid w:val="00777335"/>
    <w:rsid w:val="007843F2"/>
    <w:rsid w:val="00785028"/>
    <w:rsid w:val="00785A9F"/>
    <w:rsid w:val="00791F28"/>
    <w:rsid w:val="00792406"/>
    <w:rsid w:val="007925DF"/>
    <w:rsid w:val="00797351"/>
    <w:rsid w:val="007A08AA"/>
    <w:rsid w:val="007A0A12"/>
    <w:rsid w:val="007A132D"/>
    <w:rsid w:val="007A1345"/>
    <w:rsid w:val="007A2DDB"/>
    <w:rsid w:val="007A70BA"/>
    <w:rsid w:val="007A776B"/>
    <w:rsid w:val="007B09B5"/>
    <w:rsid w:val="007B0D68"/>
    <w:rsid w:val="007B1212"/>
    <w:rsid w:val="007B251D"/>
    <w:rsid w:val="007B4F58"/>
    <w:rsid w:val="007B5100"/>
    <w:rsid w:val="007B528D"/>
    <w:rsid w:val="007B58E6"/>
    <w:rsid w:val="007B5BF7"/>
    <w:rsid w:val="007B63CA"/>
    <w:rsid w:val="007B77D1"/>
    <w:rsid w:val="007C07C7"/>
    <w:rsid w:val="007C14B5"/>
    <w:rsid w:val="007C1CD9"/>
    <w:rsid w:val="007C300A"/>
    <w:rsid w:val="007C32EF"/>
    <w:rsid w:val="007C361D"/>
    <w:rsid w:val="007C3900"/>
    <w:rsid w:val="007C4B84"/>
    <w:rsid w:val="007C5066"/>
    <w:rsid w:val="007C55F0"/>
    <w:rsid w:val="007C5E6E"/>
    <w:rsid w:val="007C70FF"/>
    <w:rsid w:val="007C7C25"/>
    <w:rsid w:val="007D004F"/>
    <w:rsid w:val="007D0B38"/>
    <w:rsid w:val="007D5440"/>
    <w:rsid w:val="007D69EB"/>
    <w:rsid w:val="007D7612"/>
    <w:rsid w:val="007E011C"/>
    <w:rsid w:val="007E128F"/>
    <w:rsid w:val="007E5993"/>
    <w:rsid w:val="007E5AC9"/>
    <w:rsid w:val="007E6FE0"/>
    <w:rsid w:val="007F1017"/>
    <w:rsid w:val="007F4A3F"/>
    <w:rsid w:val="007F4A61"/>
    <w:rsid w:val="007F5255"/>
    <w:rsid w:val="007F5685"/>
    <w:rsid w:val="007F56CC"/>
    <w:rsid w:val="007F5A71"/>
    <w:rsid w:val="007F61C2"/>
    <w:rsid w:val="007F6443"/>
    <w:rsid w:val="00802393"/>
    <w:rsid w:val="00803E45"/>
    <w:rsid w:val="00805142"/>
    <w:rsid w:val="008054E4"/>
    <w:rsid w:val="00805FCE"/>
    <w:rsid w:val="00807A8B"/>
    <w:rsid w:val="00811383"/>
    <w:rsid w:val="008114A6"/>
    <w:rsid w:val="00812149"/>
    <w:rsid w:val="008124A6"/>
    <w:rsid w:val="00812CAC"/>
    <w:rsid w:val="0081437E"/>
    <w:rsid w:val="008148E5"/>
    <w:rsid w:val="00816361"/>
    <w:rsid w:val="008166EF"/>
    <w:rsid w:val="008169BB"/>
    <w:rsid w:val="00816FEF"/>
    <w:rsid w:val="008205B2"/>
    <w:rsid w:val="00820A8C"/>
    <w:rsid w:val="008215FB"/>
    <w:rsid w:val="00823174"/>
    <w:rsid w:val="00825481"/>
    <w:rsid w:val="00825660"/>
    <w:rsid w:val="00825751"/>
    <w:rsid w:val="008258E9"/>
    <w:rsid w:val="008264EB"/>
    <w:rsid w:val="00830421"/>
    <w:rsid w:val="00833B05"/>
    <w:rsid w:val="008362B4"/>
    <w:rsid w:val="00837228"/>
    <w:rsid w:val="00840CA2"/>
    <w:rsid w:val="0084374F"/>
    <w:rsid w:val="00843D0D"/>
    <w:rsid w:val="00844A22"/>
    <w:rsid w:val="00845775"/>
    <w:rsid w:val="0084605A"/>
    <w:rsid w:val="00847703"/>
    <w:rsid w:val="00847DF5"/>
    <w:rsid w:val="008525FF"/>
    <w:rsid w:val="0085309D"/>
    <w:rsid w:val="0085405D"/>
    <w:rsid w:val="00856897"/>
    <w:rsid w:val="00856E9A"/>
    <w:rsid w:val="0086075D"/>
    <w:rsid w:val="00862502"/>
    <w:rsid w:val="00862CC1"/>
    <w:rsid w:val="008646A9"/>
    <w:rsid w:val="008660D4"/>
    <w:rsid w:val="00870F8F"/>
    <w:rsid w:val="00871FA9"/>
    <w:rsid w:val="008728E9"/>
    <w:rsid w:val="008749E9"/>
    <w:rsid w:val="00882874"/>
    <w:rsid w:val="00882E3C"/>
    <w:rsid w:val="00883787"/>
    <w:rsid w:val="00884168"/>
    <w:rsid w:val="00884C6D"/>
    <w:rsid w:val="008855E4"/>
    <w:rsid w:val="008864A5"/>
    <w:rsid w:val="00886B89"/>
    <w:rsid w:val="00886CD2"/>
    <w:rsid w:val="00891E6F"/>
    <w:rsid w:val="0089275D"/>
    <w:rsid w:val="00892A36"/>
    <w:rsid w:val="00893239"/>
    <w:rsid w:val="00893C9D"/>
    <w:rsid w:val="00893F60"/>
    <w:rsid w:val="00894489"/>
    <w:rsid w:val="00895141"/>
    <w:rsid w:val="008963A5"/>
    <w:rsid w:val="00896D5D"/>
    <w:rsid w:val="00897056"/>
    <w:rsid w:val="008A3363"/>
    <w:rsid w:val="008A3371"/>
    <w:rsid w:val="008A3C3E"/>
    <w:rsid w:val="008A79DE"/>
    <w:rsid w:val="008A7A54"/>
    <w:rsid w:val="008B06E7"/>
    <w:rsid w:val="008B1757"/>
    <w:rsid w:val="008B6175"/>
    <w:rsid w:val="008B7992"/>
    <w:rsid w:val="008B7D7E"/>
    <w:rsid w:val="008C2570"/>
    <w:rsid w:val="008C2C42"/>
    <w:rsid w:val="008C3D09"/>
    <w:rsid w:val="008C3D41"/>
    <w:rsid w:val="008C542D"/>
    <w:rsid w:val="008C5610"/>
    <w:rsid w:val="008C5739"/>
    <w:rsid w:val="008C7ECB"/>
    <w:rsid w:val="008D3B86"/>
    <w:rsid w:val="008D4755"/>
    <w:rsid w:val="008D4C3D"/>
    <w:rsid w:val="008D53C3"/>
    <w:rsid w:val="008D6998"/>
    <w:rsid w:val="008D743C"/>
    <w:rsid w:val="008E07B5"/>
    <w:rsid w:val="008E0D3C"/>
    <w:rsid w:val="008E0DB8"/>
    <w:rsid w:val="008E1B9E"/>
    <w:rsid w:val="008E4612"/>
    <w:rsid w:val="008E5313"/>
    <w:rsid w:val="008E55AB"/>
    <w:rsid w:val="008F041C"/>
    <w:rsid w:val="008F120A"/>
    <w:rsid w:val="008F27E0"/>
    <w:rsid w:val="008F38E4"/>
    <w:rsid w:val="008F48EB"/>
    <w:rsid w:val="008F4F0B"/>
    <w:rsid w:val="00900C8C"/>
    <w:rsid w:val="00901E51"/>
    <w:rsid w:val="009046C4"/>
    <w:rsid w:val="009062A5"/>
    <w:rsid w:val="00906BF9"/>
    <w:rsid w:val="00907855"/>
    <w:rsid w:val="00907A80"/>
    <w:rsid w:val="009102C0"/>
    <w:rsid w:val="00910346"/>
    <w:rsid w:val="009104D8"/>
    <w:rsid w:val="00910FA7"/>
    <w:rsid w:val="00911237"/>
    <w:rsid w:val="00911272"/>
    <w:rsid w:val="00912B94"/>
    <w:rsid w:val="009135D6"/>
    <w:rsid w:val="009141EB"/>
    <w:rsid w:val="00914C77"/>
    <w:rsid w:val="00915CCF"/>
    <w:rsid w:val="00921ACB"/>
    <w:rsid w:val="009230EB"/>
    <w:rsid w:val="0092369B"/>
    <w:rsid w:val="00926956"/>
    <w:rsid w:val="00926C5C"/>
    <w:rsid w:val="0093234E"/>
    <w:rsid w:val="00934988"/>
    <w:rsid w:val="00937089"/>
    <w:rsid w:val="00941F3D"/>
    <w:rsid w:val="00944F8A"/>
    <w:rsid w:val="009504B4"/>
    <w:rsid w:val="009510A2"/>
    <w:rsid w:val="009520E9"/>
    <w:rsid w:val="00953257"/>
    <w:rsid w:val="00953B80"/>
    <w:rsid w:val="0095474C"/>
    <w:rsid w:val="00962CB9"/>
    <w:rsid w:val="00964312"/>
    <w:rsid w:val="00965B8A"/>
    <w:rsid w:val="0097071F"/>
    <w:rsid w:val="009717AC"/>
    <w:rsid w:val="009748DD"/>
    <w:rsid w:val="009749F3"/>
    <w:rsid w:val="009751C1"/>
    <w:rsid w:val="00975DB6"/>
    <w:rsid w:val="009811F1"/>
    <w:rsid w:val="00983A95"/>
    <w:rsid w:val="00983E57"/>
    <w:rsid w:val="00984995"/>
    <w:rsid w:val="00985DE2"/>
    <w:rsid w:val="0098675D"/>
    <w:rsid w:val="00986E38"/>
    <w:rsid w:val="009926E0"/>
    <w:rsid w:val="00992E7B"/>
    <w:rsid w:val="0099451E"/>
    <w:rsid w:val="00996B1A"/>
    <w:rsid w:val="00997C49"/>
    <w:rsid w:val="009A0C3B"/>
    <w:rsid w:val="009A2DCC"/>
    <w:rsid w:val="009A32BD"/>
    <w:rsid w:val="009A5ABC"/>
    <w:rsid w:val="009A720C"/>
    <w:rsid w:val="009A7F10"/>
    <w:rsid w:val="009B3D03"/>
    <w:rsid w:val="009B3E26"/>
    <w:rsid w:val="009B6000"/>
    <w:rsid w:val="009B7F56"/>
    <w:rsid w:val="009C2120"/>
    <w:rsid w:val="009C3706"/>
    <w:rsid w:val="009C3A3A"/>
    <w:rsid w:val="009C6CEA"/>
    <w:rsid w:val="009C7B85"/>
    <w:rsid w:val="009D0254"/>
    <w:rsid w:val="009D05AA"/>
    <w:rsid w:val="009D1A64"/>
    <w:rsid w:val="009D316A"/>
    <w:rsid w:val="009D5B91"/>
    <w:rsid w:val="009D618E"/>
    <w:rsid w:val="009D792E"/>
    <w:rsid w:val="009E0DFE"/>
    <w:rsid w:val="009E2326"/>
    <w:rsid w:val="009E31F6"/>
    <w:rsid w:val="009E4C07"/>
    <w:rsid w:val="009F1D69"/>
    <w:rsid w:val="009F24DA"/>
    <w:rsid w:val="009F32EC"/>
    <w:rsid w:val="009F4F79"/>
    <w:rsid w:val="009F602C"/>
    <w:rsid w:val="00A01184"/>
    <w:rsid w:val="00A0130C"/>
    <w:rsid w:val="00A037C2"/>
    <w:rsid w:val="00A03BA4"/>
    <w:rsid w:val="00A03D43"/>
    <w:rsid w:val="00A04380"/>
    <w:rsid w:val="00A05472"/>
    <w:rsid w:val="00A05A82"/>
    <w:rsid w:val="00A05C32"/>
    <w:rsid w:val="00A05F8F"/>
    <w:rsid w:val="00A0653F"/>
    <w:rsid w:val="00A0759F"/>
    <w:rsid w:val="00A1139F"/>
    <w:rsid w:val="00A11CD0"/>
    <w:rsid w:val="00A13948"/>
    <w:rsid w:val="00A14126"/>
    <w:rsid w:val="00A15097"/>
    <w:rsid w:val="00A1555B"/>
    <w:rsid w:val="00A155C5"/>
    <w:rsid w:val="00A16AD8"/>
    <w:rsid w:val="00A21C95"/>
    <w:rsid w:val="00A21CF3"/>
    <w:rsid w:val="00A227ED"/>
    <w:rsid w:val="00A24680"/>
    <w:rsid w:val="00A24813"/>
    <w:rsid w:val="00A25413"/>
    <w:rsid w:val="00A27AEC"/>
    <w:rsid w:val="00A317C5"/>
    <w:rsid w:val="00A320DB"/>
    <w:rsid w:val="00A33A0E"/>
    <w:rsid w:val="00A35D16"/>
    <w:rsid w:val="00A36F17"/>
    <w:rsid w:val="00A3702A"/>
    <w:rsid w:val="00A37BCD"/>
    <w:rsid w:val="00A40494"/>
    <w:rsid w:val="00A41564"/>
    <w:rsid w:val="00A41689"/>
    <w:rsid w:val="00A42592"/>
    <w:rsid w:val="00A426F2"/>
    <w:rsid w:val="00A428A3"/>
    <w:rsid w:val="00A43C59"/>
    <w:rsid w:val="00A44270"/>
    <w:rsid w:val="00A45482"/>
    <w:rsid w:val="00A5049D"/>
    <w:rsid w:val="00A50A89"/>
    <w:rsid w:val="00A50ECD"/>
    <w:rsid w:val="00A5110D"/>
    <w:rsid w:val="00A518F3"/>
    <w:rsid w:val="00A52729"/>
    <w:rsid w:val="00A53675"/>
    <w:rsid w:val="00A564D7"/>
    <w:rsid w:val="00A566E5"/>
    <w:rsid w:val="00A56B6A"/>
    <w:rsid w:val="00A57146"/>
    <w:rsid w:val="00A578DC"/>
    <w:rsid w:val="00A6086B"/>
    <w:rsid w:val="00A640E2"/>
    <w:rsid w:val="00A6445E"/>
    <w:rsid w:val="00A64D65"/>
    <w:rsid w:val="00A6725B"/>
    <w:rsid w:val="00A70605"/>
    <w:rsid w:val="00A72B86"/>
    <w:rsid w:val="00A73134"/>
    <w:rsid w:val="00A748B4"/>
    <w:rsid w:val="00A756CF"/>
    <w:rsid w:val="00A76001"/>
    <w:rsid w:val="00A777B2"/>
    <w:rsid w:val="00A80250"/>
    <w:rsid w:val="00A825D4"/>
    <w:rsid w:val="00A828F6"/>
    <w:rsid w:val="00A82B73"/>
    <w:rsid w:val="00A86E8B"/>
    <w:rsid w:val="00A87164"/>
    <w:rsid w:val="00A8785E"/>
    <w:rsid w:val="00A907C5"/>
    <w:rsid w:val="00A9262D"/>
    <w:rsid w:val="00A93072"/>
    <w:rsid w:val="00A938BD"/>
    <w:rsid w:val="00A93953"/>
    <w:rsid w:val="00A93D7D"/>
    <w:rsid w:val="00A95066"/>
    <w:rsid w:val="00A959D8"/>
    <w:rsid w:val="00A95D36"/>
    <w:rsid w:val="00A97669"/>
    <w:rsid w:val="00AA113D"/>
    <w:rsid w:val="00AA228C"/>
    <w:rsid w:val="00AA38FD"/>
    <w:rsid w:val="00AA5768"/>
    <w:rsid w:val="00AA5A27"/>
    <w:rsid w:val="00AA6BD5"/>
    <w:rsid w:val="00AA6BD8"/>
    <w:rsid w:val="00AA6C7D"/>
    <w:rsid w:val="00AA7FD6"/>
    <w:rsid w:val="00AB042A"/>
    <w:rsid w:val="00AB19EF"/>
    <w:rsid w:val="00AB2D34"/>
    <w:rsid w:val="00AB3430"/>
    <w:rsid w:val="00AB37B9"/>
    <w:rsid w:val="00AB3DAC"/>
    <w:rsid w:val="00AB477A"/>
    <w:rsid w:val="00AB4AD1"/>
    <w:rsid w:val="00AB5E07"/>
    <w:rsid w:val="00AB7CFA"/>
    <w:rsid w:val="00AC23DA"/>
    <w:rsid w:val="00AC250C"/>
    <w:rsid w:val="00AC3FF5"/>
    <w:rsid w:val="00AC5392"/>
    <w:rsid w:val="00AC5B48"/>
    <w:rsid w:val="00AC6B0C"/>
    <w:rsid w:val="00AD072C"/>
    <w:rsid w:val="00AD1450"/>
    <w:rsid w:val="00AD19A3"/>
    <w:rsid w:val="00AD6502"/>
    <w:rsid w:val="00AD7308"/>
    <w:rsid w:val="00AE04E2"/>
    <w:rsid w:val="00AE0695"/>
    <w:rsid w:val="00AE093F"/>
    <w:rsid w:val="00AE2917"/>
    <w:rsid w:val="00AE29E6"/>
    <w:rsid w:val="00AE3E7E"/>
    <w:rsid w:val="00AE478C"/>
    <w:rsid w:val="00AE4C62"/>
    <w:rsid w:val="00AF1315"/>
    <w:rsid w:val="00AF19BF"/>
    <w:rsid w:val="00AF219F"/>
    <w:rsid w:val="00AF24E7"/>
    <w:rsid w:val="00AF2884"/>
    <w:rsid w:val="00AF2DC3"/>
    <w:rsid w:val="00AF36B8"/>
    <w:rsid w:val="00AF3F62"/>
    <w:rsid w:val="00AF47BD"/>
    <w:rsid w:val="00AF4B4F"/>
    <w:rsid w:val="00AF5BE1"/>
    <w:rsid w:val="00B033E5"/>
    <w:rsid w:val="00B03A63"/>
    <w:rsid w:val="00B06F4B"/>
    <w:rsid w:val="00B13899"/>
    <w:rsid w:val="00B200D7"/>
    <w:rsid w:val="00B201A4"/>
    <w:rsid w:val="00B201D1"/>
    <w:rsid w:val="00B213A6"/>
    <w:rsid w:val="00B229DC"/>
    <w:rsid w:val="00B235B0"/>
    <w:rsid w:val="00B24DF6"/>
    <w:rsid w:val="00B24ED5"/>
    <w:rsid w:val="00B312EF"/>
    <w:rsid w:val="00B31A2D"/>
    <w:rsid w:val="00B3444E"/>
    <w:rsid w:val="00B34881"/>
    <w:rsid w:val="00B34FE2"/>
    <w:rsid w:val="00B35166"/>
    <w:rsid w:val="00B357D8"/>
    <w:rsid w:val="00B360F4"/>
    <w:rsid w:val="00B36A00"/>
    <w:rsid w:val="00B37BFC"/>
    <w:rsid w:val="00B40220"/>
    <w:rsid w:val="00B40358"/>
    <w:rsid w:val="00B41614"/>
    <w:rsid w:val="00B426FA"/>
    <w:rsid w:val="00B42851"/>
    <w:rsid w:val="00B42F80"/>
    <w:rsid w:val="00B435CB"/>
    <w:rsid w:val="00B4722C"/>
    <w:rsid w:val="00B47E5D"/>
    <w:rsid w:val="00B50101"/>
    <w:rsid w:val="00B505C8"/>
    <w:rsid w:val="00B50DB8"/>
    <w:rsid w:val="00B5160A"/>
    <w:rsid w:val="00B51657"/>
    <w:rsid w:val="00B5314C"/>
    <w:rsid w:val="00B53654"/>
    <w:rsid w:val="00B53905"/>
    <w:rsid w:val="00B54B5B"/>
    <w:rsid w:val="00B55550"/>
    <w:rsid w:val="00B5562E"/>
    <w:rsid w:val="00B55D65"/>
    <w:rsid w:val="00B5627B"/>
    <w:rsid w:val="00B57000"/>
    <w:rsid w:val="00B60939"/>
    <w:rsid w:val="00B60AFD"/>
    <w:rsid w:val="00B62715"/>
    <w:rsid w:val="00B64775"/>
    <w:rsid w:val="00B65611"/>
    <w:rsid w:val="00B66E5C"/>
    <w:rsid w:val="00B70E8E"/>
    <w:rsid w:val="00B7120B"/>
    <w:rsid w:val="00B7203F"/>
    <w:rsid w:val="00B76C92"/>
    <w:rsid w:val="00B77E90"/>
    <w:rsid w:val="00B818A4"/>
    <w:rsid w:val="00B82DFE"/>
    <w:rsid w:val="00B84117"/>
    <w:rsid w:val="00B858F0"/>
    <w:rsid w:val="00B85AA2"/>
    <w:rsid w:val="00B8649C"/>
    <w:rsid w:val="00B8695D"/>
    <w:rsid w:val="00B87F0A"/>
    <w:rsid w:val="00B9077A"/>
    <w:rsid w:val="00B92196"/>
    <w:rsid w:val="00B92D0B"/>
    <w:rsid w:val="00B93267"/>
    <w:rsid w:val="00B94945"/>
    <w:rsid w:val="00B94DD6"/>
    <w:rsid w:val="00B95274"/>
    <w:rsid w:val="00B9563E"/>
    <w:rsid w:val="00B95BCB"/>
    <w:rsid w:val="00B96554"/>
    <w:rsid w:val="00B96DC0"/>
    <w:rsid w:val="00BA10BD"/>
    <w:rsid w:val="00BA322D"/>
    <w:rsid w:val="00BA37BC"/>
    <w:rsid w:val="00BA5AB8"/>
    <w:rsid w:val="00BA5E12"/>
    <w:rsid w:val="00BA6007"/>
    <w:rsid w:val="00BA63FA"/>
    <w:rsid w:val="00BA7064"/>
    <w:rsid w:val="00BA751D"/>
    <w:rsid w:val="00BB00B3"/>
    <w:rsid w:val="00BB0BDD"/>
    <w:rsid w:val="00BB0CC3"/>
    <w:rsid w:val="00BB176C"/>
    <w:rsid w:val="00BB2A73"/>
    <w:rsid w:val="00BB2D67"/>
    <w:rsid w:val="00BB3A45"/>
    <w:rsid w:val="00BB4ACC"/>
    <w:rsid w:val="00BB577B"/>
    <w:rsid w:val="00BB703E"/>
    <w:rsid w:val="00BB732D"/>
    <w:rsid w:val="00BB7405"/>
    <w:rsid w:val="00BC0564"/>
    <w:rsid w:val="00BC19B3"/>
    <w:rsid w:val="00BC32B2"/>
    <w:rsid w:val="00BC3631"/>
    <w:rsid w:val="00BC4B7E"/>
    <w:rsid w:val="00BC591F"/>
    <w:rsid w:val="00BC65E4"/>
    <w:rsid w:val="00BC7D6D"/>
    <w:rsid w:val="00BD13E1"/>
    <w:rsid w:val="00BD2108"/>
    <w:rsid w:val="00BD3F8F"/>
    <w:rsid w:val="00BD68A3"/>
    <w:rsid w:val="00BD6938"/>
    <w:rsid w:val="00BD6CF3"/>
    <w:rsid w:val="00BE0114"/>
    <w:rsid w:val="00BE0ECA"/>
    <w:rsid w:val="00BE2180"/>
    <w:rsid w:val="00BE21F2"/>
    <w:rsid w:val="00BE4275"/>
    <w:rsid w:val="00BE6341"/>
    <w:rsid w:val="00BE6534"/>
    <w:rsid w:val="00BF04DC"/>
    <w:rsid w:val="00BF06AE"/>
    <w:rsid w:val="00BF0F95"/>
    <w:rsid w:val="00BF2433"/>
    <w:rsid w:val="00BF4CA7"/>
    <w:rsid w:val="00BF61C9"/>
    <w:rsid w:val="00BF6C94"/>
    <w:rsid w:val="00C00424"/>
    <w:rsid w:val="00C107A7"/>
    <w:rsid w:val="00C1179F"/>
    <w:rsid w:val="00C12C14"/>
    <w:rsid w:val="00C12E55"/>
    <w:rsid w:val="00C14456"/>
    <w:rsid w:val="00C15F04"/>
    <w:rsid w:val="00C179B3"/>
    <w:rsid w:val="00C17E3F"/>
    <w:rsid w:val="00C200AA"/>
    <w:rsid w:val="00C237ED"/>
    <w:rsid w:val="00C242D1"/>
    <w:rsid w:val="00C24632"/>
    <w:rsid w:val="00C25418"/>
    <w:rsid w:val="00C25D9C"/>
    <w:rsid w:val="00C2778B"/>
    <w:rsid w:val="00C300C6"/>
    <w:rsid w:val="00C31649"/>
    <w:rsid w:val="00C323D1"/>
    <w:rsid w:val="00C32D05"/>
    <w:rsid w:val="00C3380A"/>
    <w:rsid w:val="00C3434C"/>
    <w:rsid w:val="00C40385"/>
    <w:rsid w:val="00C40B3B"/>
    <w:rsid w:val="00C41768"/>
    <w:rsid w:val="00C4327F"/>
    <w:rsid w:val="00C432BA"/>
    <w:rsid w:val="00C46A95"/>
    <w:rsid w:val="00C46C72"/>
    <w:rsid w:val="00C4720B"/>
    <w:rsid w:val="00C475AA"/>
    <w:rsid w:val="00C5276A"/>
    <w:rsid w:val="00C52E97"/>
    <w:rsid w:val="00C53C98"/>
    <w:rsid w:val="00C53E6C"/>
    <w:rsid w:val="00C56FCF"/>
    <w:rsid w:val="00C57677"/>
    <w:rsid w:val="00C57B6C"/>
    <w:rsid w:val="00C61FA5"/>
    <w:rsid w:val="00C628A6"/>
    <w:rsid w:val="00C63575"/>
    <w:rsid w:val="00C637FF"/>
    <w:rsid w:val="00C64344"/>
    <w:rsid w:val="00C65108"/>
    <w:rsid w:val="00C65576"/>
    <w:rsid w:val="00C66165"/>
    <w:rsid w:val="00C665E8"/>
    <w:rsid w:val="00C7060A"/>
    <w:rsid w:val="00C7151A"/>
    <w:rsid w:val="00C717E3"/>
    <w:rsid w:val="00C71F60"/>
    <w:rsid w:val="00C72241"/>
    <w:rsid w:val="00C72C91"/>
    <w:rsid w:val="00C750C8"/>
    <w:rsid w:val="00C7560F"/>
    <w:rsid w:val="00C80A0E"/>
    <w:rsid w:val="00C80F34"/>
    <w:rsid w:val="00C8213F"/>
    <w:rsid w:val="00C8235F"/>
    <w:rsid w:val="00C828F3"/>
    <w:rsid w:val="00C83AD2"/>
    <w:rsid w:val="00C85154"/>
    <w:rsid w:val="00C8797A"/>
    <w:rsid w:val="00C900B8"/>
    <w:rsid w:val="00C90C71"/>
    <w:rsid w:val="00C91FD1"/>
    <w:rsid w:val="00C931CF"/>
    <w:rsid w:val="00C938CF"/>
    <w:rsid w:val="00C94053"/>
    <w:rsid w:val="00C9624D"/>
    <w:rsid w:val="00C969DA"/>
    <w:rsid w:val="00C96BEB"/>
    <w:rsid w:val="00CA0EE8"/>
    <w:rsid w:val="00CA2BA2"/>
    <w:rsid w:val="00CA2C77"/>
    <w:rsid w:val="00CA444F"/>
    <w:rsid w:val="00CA5245"/>
    <w:rsid w:val="00CA59DA"/>
    <w:rsid w:val="00CA71F4"/>
    <w:rsid w:val="00CA7B09"/>
    <w:rsid w:val="00CB12A5"/>
    <w:rsid w:val="00CB1CAC"/>
    <w:rsid w:val="00CB2F2A"/>
    <w:rsid w:val="00CB5B1A"/>
    <w:rsid w:val="00CB5B5C"/>
    <w:rsid w:val="00CB68F3"/>
    <w:rsid w:val="00CB6B22"/>
    <w:rsid w:val="00CB7F5F"/>
    <w:rsid w:val="00CC1074"/>
    <w:rsid w:val="00CC1B39"/>
    <w:rsid w:val="00CC2729"/>
    <w:rsid w:val="00CC30F0"/>
    <w:rsid w:val="00CC35EA"/>
    <w:rsid w:val="00CC3848"/>
    <w:rsid w:val="00CC4E69"/>
    <w:rsid w:val="00CC65E9"/>
    <w:rsid w:val="00CD1891"/>
    <w:rsid w:val="00CD1D60"/>
    <w:rsid w:val="00CD3F77"/>
    <w:rsid w:val="00CD6ADC"/>
    <w:rsid w:val="00CD7193"/>
    <w:rsid w:val="00CE23A6"/>
    <w:rsid w:val="00CE38C8"/>
    <w:rsid w:val="00CE5B1B"/>
    <w:rsid w:val="00CE5C02"/>
    <w:rsid w:val="00CE6274"/>
    <w:rsid w:val="00CE77B6"/>
    <w:rsid w:val="00CF2B8D"/>
    <w:rsid w:val="00CF3A84"/>
    <w:rsid w:val="00CF456B"/>
    <w:rsid w:val="00CF52F5"/>
    <w:rsid w:val="00CF5A22"/>
    <w:rsid w:val="00D00035"/>
    <w:rsid w:val="00D0262E"/>
    <w:rsid w:val="00D05E3D"/>
    <w:rsid w:val="00D06139"/>
    <w:rsid w:val="00D06961"/>
    <w:rsid w:val="00D07EF9"/>
    <w:rsid w:val="00D107F0"/>
    <w:rsid w:val="00D10813"/>
    <w:rsid w:val="00D10A3B"/>
    <w:rsid w:val="00D10E04"/>
    <w:rsid w:val="00D110BD"/>
    <w:rsid w:val="00D12B83"/>
    <w:rsid w:val="00D13675"/>
    <w:rsid w:val="00D141E1"/>
    <w:rsid w:val="00D15314"/>
    <w:rsid w:val="00D17966"/>
    <w:rsid w:val="00D17D6C"/>
    <w:rsid w:val="00D17E5A"/>
    <w:rsid w:val="00D2155B"/>
    <w:rsid w:val="00D21E03"/>
    <w:rsid w:val="00D23D11"/>
    <w:rsid w:val="00D244B6"/>
    <w:rsid w:val="00D2754D"/>
    <w:rsid w:val="00D27B27"/>
    <w:rsid w:val="00D31381"/>
    <w:rsid w:val="00D320B0"/>
    <w:rsid w:val="00D33A10"/>
    <w:rsid w:val="00D33BE9"/>
    <w:rsid w:val="00D33F93"/>
    <w:rsid w:val="00D3424F"/>
    <w:rsid w:val="00D350F9"/>
    <w:rsid w:val="00D35118"/>
    <w:rsid w:val="00D357FF"/>
    <w:rsid w:val="00D36664"/>
    <w:rsid w:val="00D37FAC"/>
    <w:rsid w:val="00D40711"/>
    <w:rsid w:val="00D424C7"/>
    <w:rsid w:val="00D42B23"/>
    <w:rsid w:val="00D42CC7"/>
    <w:rsid w:val="00D43425"/>
    <w:rsid w:val="00D43B2A"/>
    <w:rsid w:val="00D43D83"/>
    <w:rsid w:val="00D43DE5"/>
    <w:rsid w:val="00D47575"/>
    <w:rsid w:val="00D5243B"/>
    <w:rsid w:val="00D533EC"/>
    <w:rsid w:val="00D54445"/>
    <w:rsid w:val="00D56A95"/>
    <w:rsid w:val="00D56EF2"/>
    <w:rsid w:val="00D579F1"/>
    <w:rsid w:val="00D630D9"/>
    <w:rsid w:val="00D66FA5"/>
    <w:rsid w:val="00D70F16"/>
    <w:rsid w:val="00D72F57"/>
    <w:rsid w:val="00D73C42"/>
    <w:rsid w:val="00D75662"/>
    <w:rsid w:val="00D7639D"/>
    <w:rsid w:val="00D76443"/>
    <w:rsid w:val="00D76A44"/>
    <w:rsid w:val="00D76D29"/>
    <w:rsid w:val="00D815EF"/>
    <w:rsid w:val="00D81F26"/>
    <w:rsid w:val="00D824D6"/>
    <w:rsid w:val="00D84B93"/>
    <w:rsid w:val="00D86231"/>
    <w:rsid w:val="00D86F99"/>
    <w:rsid w:val="00D87ABE"/>
    <w:rsid w:val="00D90840"/>
    <w:rsid w:val="00D91923"/>
    <w:rsid w:val="00D93753"/>
    <w:rsid w:val="00D93A02"/>
    <w:rsid w:val="00D95174"/>
    <w:rsid w:val="00D96212"/>
    <w:rsid w:val="00DA3167"/>
    <w:rsid w:val="00DA4DC3"/>
    <w:rsid w:val="00DA5733"/>
    <w:rsid w:val="00DA77A5"/>
    <w:rsid w:val="00DA79BD"/>
    <w:rsid w:val="00DB31FB"/>
    <w:rsid w:val="00DB3DBF"/>
    <w:rsid w:val="00DB431F"/>
    <w:rsid w:val="00DB43FB"/>
    <w:rsid w:val="00DB46D9"/>
    <w:rsid w:val="00DB479A"/>
    <w:rsid w:val="00DB484F"/>
    <w:rsid w:val="00DB6E88"/>
    <w:rsid w:val="00DC04F6"/>
    <w:rsid w:val="00DC0690"/>
    <w:rsid w:val="00DC1D65"/>
    <w:rsid w:val="00DC3C57"/>
    <w:rsid w:val="00DC5501"/>
    <w:rsid w:val="00DC6B29"/>
    <w:rsid w:val="00DC7154"/>
    <w:rsid w:val="00DC7881"/>
    <w:rsid w:val="00DC7D06"/>
    <w:rsid w:val="00DC7E8A"/>
    <w:rsid w:val="00DD0F78"/>
    <w:rsid w:val="00DD1A2F"/>
    <w:rsid w:val="00DD273C"/>
    <w:rsid w:val="00DD3F28"/>
    <w:rsid w:val="00DD4537"/>
    <w:rsid w:val="00DD4E15"/>
    <w:rsid w:val="00DE2304"/>
    <w:rsid w:val="00DE2EF8"/>
    <w:rsid w:val="00DE2FD6"/>
    <w:rsid w:val="00DE3138"/>
    <w:rsid w:val="00DE37F8"/>
    <w:rsid w:val="00DE436D"/>
    <w:rsid w:val="00DE4FCB"/>
    <w:rsid w:val="00DE5D07"/>
    <w:rsid w:val="00DE62A5"/>
    <w:rsid w:val="00DE6AA4"/>
    <w:rsid w:val="00DE72A7"/>
    <w:rsid w:val="00DE7832"/>
    <w:rsid w:val="00DF0303"/>
    <w:rsid w:val="00DF13EB"/>
    <w:rsid w:val="00DF18FC"/>
    <w:rsid w:val="00DF54BB"/>
    <w:rsid w:val="00DF5D2B"/>
    <w:rsid w:val="00DF5FD3"/>
    <w:rsid w:val="00E00637"/>
    <w:rsid w:val="00E00E8E"/>
    <w:rsid w:val="00E024ED"/>
    <w:rsid w:val="00E0331B"/>
    <w:rsid w:val="00E03390"/>
    <w:rsid w:val="00E034AE"/>
    <w:rsid w:val="00E03BD8"/>
    <w:rsid w:val="00E04F7E"/>
    <w:rsid w:val="00E05630"/>
    <w:rsid w:val="00E06DBB"/>
    <w:rsid w:val="00E10149"/>
    <w:rsid w:val="00E11340"/>
    <w:rsid w:val="00E1135D"/>
    <w:rsid w:val="00E122A1"/>
    <w:rsid w:val="00E13FBE"/>
    <w:rsid w:val="00E16372"/>
    <w:rsid w:val="00E20E4D"/>
    <w:rsid w:val="00E20ED6"/>
    <w:rsid w:val="00E21358"/>
    <w:rsid w:val="00E2249B"/>
    <w:rsid w:val="00E22A0D"/>
    <w:rsid w:val="00E22CED"/>
    <w:rsid w:val="00E23B33"/>
    <w:rsid w:val="00E23E8B"/>
    <w:rsid w:val="00E241BA"/>
    <w:rsid w:val="00E244F6"/>
    <w:rsid w:val="00E2771E"/>
    <w:rsid w:val="00E27DAE"/>
    <w:rsid w:val="00E311EF"/>
    <w:rsid w:val="00E313BA"/>
    <w:rsid w:val="00E32180"/>
    <w:rsid w:val="00E34595"/>
    <w:rsid w:val="00E34831"/>
    <w:rsid w:val="00E34948"/>
    <w:rsid w:val="00E35950"/>
    <w:rsid w:val="00E37569"/>
    <w:rsid w:val="00E401B2"/>
    <w:rsid w:val="00E4116B"/>
    <w:rsid w:val="00E41E30"/>
    <w:rsid w:val="00E42927"/>
    <w:rsid w:val="00E42F73"/>
    <w:rsid w:val="00E43D70"/>
    <w:rsid w:val="00E4501B"/>
    <w:rsid w:val="00E46328"/>
    <w:rsid w:val="00E466F3"/>
    <w:rsid w:val="00E4677D"/>
    <w:rsid w:val="00E47B2C"/>
    <w:rsid w:val="00E51560"/>
    <w:rsid w:val="00E53FC8"/>
    <w:rsid w:val="00E54347"/>
    <w:rsid w:val="00E5475E"/>
    <w:rsid w:val="00E55424"/>
    <w:rsid w:val="00E55915"/>
    <w:rsid w:val="00E55BB5"/>
    <w:rsid w:val="00E57737"/>
    <w:rsid w:val="00E6027E"/>
    <w:rsid w:val="00E65E79"/>
    <w:rsid w:val="00E66BA2"/>
    <w:rsid w:val="00E67416"/>
    <w:rsid w:val="00E718B6"/>
    <w:rsid w:val="00E71C25"/>
    <w:rsid w:val="00E723BA"/>
    <w:rsid w:val="00E72872"/>
    <w:rsid w:val="00E73581"/>
    <w:rsid w:val="00E744AD"/>
    <w:rsid w:val="00E833F7"/>
    <w:rsid w:val="00E83BDF"/>
    <w:rsid w:val="00E87A1D"/>
    <w:rsid w:val="00E87CB3"/>
    <w:rsid w:val="00E87D79"/>
    <w:rsid w:val="00E9094A"/>
    <w:rsid w:val="00E91D35"/>
    <w:rsid w:val="00E926A5"/>
    <w:rsid w:val="00E93702"/>
    <w:rsid w:val="00EA17C3"/>
    <w:rsid w:val="00EA2CAA"/>
    <w:rsid w:val="00EA3864"/>
    <w:rsid w:val="00EA7793"/>
    <w:rsid w:val="00EA77AB"/>
    <w:rsid w:val="00EA7F1C"/>
    <w:rsid w:val="00EB0557"/>
    <w:rsid w:val="00EB15B6"/>
    <w:rsid w:val="00EB2EC5"/>
    <w:rsid w:val="00EB3D06"/>
    <w:rsid w:val="00EB4916"/>
    <w:rsid w:val="00EB5774"/>
    <w:rsid w:val="00EC00C9"/>
    <w:rsid w:val="00EC0DD9"/>
    <w:rsid w:val="00EC2649"/>
    <w:rsid w:val="00EC31ED"/>
    <w:rsid w:val="00EC3CD4"/>
    <w:rsid w:val="00EC5836"/>
    <w:rsid w:val="00EC5D7E"/>
    <w:rsid w:val="00EC688C"/>
    <w:rsid w:val="00ED1C82"/>
    <w:rsid w:val="00ED2706"/>
    <w:rsid w:val="00ED39DB"/>
    <w:rsid w:val="00ED3C13"/>
    <w:rsid w:val="00ED57EA"/>
    <w:rsid w:val="00ED5BD4"/>
    <w:rsid w:val="00ED7458"/>
    <w:rsid w:val="00EE07D3"/>
    <w:rsid w:val="00EE1996"/>
    <w:rsid w:val="00EE1C01"/>
    <w:rsid w:val="00EE22AF"/>
    <w:rsid w:val="00EE5BE9"/>
    <w:rsid w:val="00EE6934"/>
    <w:rsid w:val="00EE738E"/>
    <w:rsid w:val="00EF0171"/>
    <w:rsid w:val="00EF16E6"/>
    <w:rsid w:val="00EF1B25"/>
    <w:rsid w:val="00EF1DA0"/>
    <w:rsid w:val="00EF3560"/>
    <w:rsid w:val="00EF3656"/>
    <w:rsid w:val="00EF4747"/>
    <w:rsid w:val="00EF4BF8"/>
    <w:rsid w:val="00F02253"/>
    <w:rsid w:val="00F02CF9"/>
    <w:rsid w:val="00F03C2E"/>
    <w:rsid w:val="00F04906"/>
    <w:rsid w:val="00F04A66"/>
    <w:rsid w:val="00F04B4B"/>
    <w:rsid w:val="00F0516C"/>
    <w:rsid w:val="00F067A2"/>
    <w:rsid w:val="00F07B9E"/>
    <w:rsid w:val="00F1009A"/>
    <w:rsid w:val="00F10DFE"/>
    <w:rsid w:val="00F1116F"/>
    <w:rsid w:val="00F1263A"/>
    <w:rsid w:val="00F12A71"/>
    <w:rsid w:val="00F15B77"/>
    <w:rsid w:val="00F16DF6"/>
    <w:rsid w:val="00F230EB"/>
    <w:rsid w:val="00F24837"/>
    <w:rsid w:val="00F2485D"/>
    <w:rsid w:val="00F25622"/>
    <w:rsid w:val="00F2575F"/>
    <w:rsid w:val="00F27565"/>
    <w:rsid w:val="00F310D4"/>
    <w:rsid w:val="00F31D5A"/>
    <w:rsid w:val="00F33975"/>
    <w:rsid w:val="00F33DE9"/>
    <w:rsid w:val="00F35ACD"/>
    <w:rsid w:val="00F35E6D"/>
    <w:rsid w:val="00F3619A"/>
    <w:rsid w:val="00F368C5"/>
    <w:rsid w:val="00F371C0"/>
    <w:rsid w:val="00F40AAA"/>
    <w:rsid w:val="00F40BA7"/>
    <w:rsid w:val="00F40F9D"/>
    <w:rsid w:val="00F41ACD"/>
    <w:rsid w:val="00F42213"/>
    <w:rsid w:val="00F46CB6"/>
    <w:rsid w:val="00F4756D"/>
    <w:rsid w:val="00F47DE8"/>
    <w:rsid w:val="00F50237"/>
    <w:rsid w:val="00F50E7D"/>
    <w:rsid w:val="00F52A8F"/>
    <w:rsid w:val="00F52C6A"/>
    <w:rsid w:val="00F530B6"/>
    <w:rsid w:val="00F54245"/>
    <w:rsid w:val="00F542C1"/>
    <w:rsid w:val="00F55E73"/>
    <w:rsid w:val="00F55EDA"/>
    <w:rsid w:val="00F56C80"/>
    <w:rsid w:val="00F60092"/>
    <w:rsid w:val="00F6170F"/>
    <w:rsid w:val="00F6190A"/>
    <w:rsid w:val="00F61C18"/>
    <w:rsid w:val="00F65F4B"/>
    <w:rsid w:val="00F67A69"/>
    <w:rsid w:val="00F67AB3"/>
    <w:rsid w:val="00F70BFF"/>
    <w:rsid w:val="00F70C9D"/>
    <w:rsid w:val="00F714DD"/>
    <w:rsid w:val="00F71714"/>
    <w:rsid w:val="00F7337B"/>
    <w:rsid w:val="00F74CD9"/>
    <w:rsid w:val="00F760F6"/>
    <w:rsid w:val="00F76684"/>
    <w:rsid w:val="00F77D88"/>
    <w:rsid w:val="00F804D5"/>
    <w:rsid w:val="00F80A58"/>
    <w:rsid w:val="00F80A7B"/>
    <w:rsid w:val="00F80E5D"/>
    <w:rsid w:val="00F80F6A"/>
    <w:rsid w:val="00F81E78"/>
    <w:rsid w:val="00F83C2D"/>
    <w:rsid w:val="00F83FD9"/>
    <w:rsid w:val="00F851CE"/>
    <w:rsid w:val="00F8541D"/>
    <w:rsid w:val="00F86F4B"/>
    <w:rsid w:val="00F87292"/>
    <w:rsid w:val="00F91219"/>
    <w:rsid w:val="00F92444"/>
    <w:rsid w:val="00F9340D"/>
    <w:rsid w:val="00F9393E"/>
    <w:rsid w:val="00F96FD0"/>
    <w:rsid w:val="00F97A78"/>
    <w:rsid w:val="00FA0B20"/>
    <w:rsid w:val="00FA0C5C"/>
    <w:rsid w:val="00FA24E7"/>
    <w:rsid w:val="00FA314A"/>
    <w:rsid w:val="00FA5EE6"/>
    <w:rsid w:val="00FA7956"/>
    <w:rsid w:val="00FB2FCB"/>
    <w:rsid w:val="00FB5275"/>
    <w:rsid w:val="00FB7C55"/>
    <w:rsid w:val="00FB7CBF"/>
    <w:rsid w:val="00FC1074"/>
    <w:rsid w:val="00FC1884"/>
    <w:rsid w:val="00FC371D"/>
    <w:rsid w:val="00FC5AC2"/>
    <w:rsid w:val="00FC5B61"/>
    <w:rsid w:val="00FC5F0B"/>
    <w:rsid w:val="00FD0E21"/>
    <w:rsid w:val="00FD1366"/>
    <w:rsid w:val="00FD1F16"/>
    <w:rsid w:val="00FD2100"/>
    <w:rsid w:val="00FD436C"/>
    <w:rsid w:val="00FD446D"/>
    <w:rsid w:val="00FD4F2C"/>
    <w:rsid w:val="00FD6394"/>
    <w:rsid w:val="00FE0E6C"/>
    <w:rsid w:val="00FE1747"/>
    <w:rsid w:val="00FE1CDC"/>
    <w:rsid w:val="00FE613C"/>
    <w:rsid w:val="00FE70C3"/>
    <w:rsid w:val="00FE766E"/>
    <w:rsid w:val="00FF06FD"/>
    <w:rsid w:val="00FF2AD9"/>
    <w:rsid w:val="00FF359F"/>
    <w:rsid w:val="00FF3DCF"/>
    <w:rsid w:val="00FF492C"/>
    <w:rsid w:val="00FF4A21"/>
    <w:rsid w:val="00FF5AA3"/>
    <w:rsid w:val="00FF5AD8"/>
    <w:rsid w:val="00FF6B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uiPriority w:val="9"/>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
    <w:name w:val="Small"/>
    <w:basedOn w:val="DefaultParagraphFont"/>
    <w:uiPriority w:val="4"/>
    <w:qFormat/>
    <w:rsid w:val="00C323D1"/>
    <w:rPr>
      <w:rFonts w:asciiTheme="minorHAnsi" w:hAnsiTheme="minorHAnsi"/>
      <w:sz w:val="18"/>
    </w:rPr>
  </w:style>
  <w:style w:type="paragraph" w:styleId="FootnoteText">
    <w:name w:val="footnote text"/>
    <w:basedOn w:val="Normal"/>
    <w:link w:val="FootnoteTextChar"/>
    <w:semiHidden/>
    <w:unhideWhenUsed/>
    <w:rsid w:val="00AC3FF5"/>
    <w:rPr>
      <w:sz w:val="20"/>
      <w:szCs w:val="20"/>
    </w:rPr>
  </w:style>
  <w:style w:type="character" w:customStyle="1" w:styleId="FootnoteTextChar">
    <w:name w:val="Footnote Text Char"/>
    <w:basedOn w:val="DefaultParagraphFont"/>
    <w:link w:val="FootnoteText"/>
    <w:semiHidden/>
    <w:rsid w:val="00AC3FF5"/>
    <w:rPr>
      <w:rFonts w:ascii="Calibri" w:hAnsi="Calibri" w:cs="Arial"/>
    </w:rPr>
  </w:style>
  <w:style w:type="character" w:styleId="FootnoteReference">
    <w:name w:val="footnote reference"/>
    <w:basedOn w:val="DefaultParagraphFont"/>
    <w:uiPriority w:val="99"/>
    <w:semiHidden/>
    <w:unhideWhenUsed/>
    <w:rsid w:val="00AC3FF5"/>
    <w:rPr>
      <w:vertAlign w:val="superscript"/>
    </w:rPr>
  </w:style>
  <w:style w:type="table" w:customStyle="1" w:styleId="Submissionstandard8">
    <w:name w:val="Submission standard8"/>
    <w:basedOn w:val="TableNormal"/>
    <w:uiPriority w:val="99"/>
    <w:qFormat/>
    <w:rsid w:val="001B0606"/>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character" w:customStyle="1" w:styleId="FontItalics">
    <w:name w:val="Font Italics"/>
    <w:basedOn w:val="DefaultParagraphFont"/>
    <w:uiPriority w:val="1"/>
    <w:qFormat/>
    <w:rsid w:val="00FA0C5C"/>
    <w:rPr>
      <w:rFonts w:asciiTheme="minorHAnsi" w:hAnsiTheme="minorHAnsi"/>
      <w:i/>
      <w:sz w:val="22"/>
    </w:rPr>
  </w:style>
  <w:style w:type="character" w:customStyle="1" w:styleId="Font">
    <w:name w:val="Font"/>
    <w:basedOn w:val="DefaultParagraphFont"/>
    <w:uiPriority w:val="1"/>
    <w:qFormat/>
    <w:rsid w:val="004443CA"/>
    <w:rPr>
      <w:rFonts w:asciiTheme="minorHAnsi" w:hAnsiTheme="minorHAnsi"/>
      <w:sz w:val="22"/>
    </w:rPr>
  </w:style>
  <w:style w:type="paragraph" w:customStyle="1" w:styleId="COMtbl-HEADLeftAligned">
    <w:name w:val="COMtbl-HEAD Left Aligned"/>
    <w:basedOn w:val="Normal"/>
    <w:qFormat/>
    <w:rsid w:val="00772731"/>
    <w:pPr>
      <w:widowControl w:val="0"/>
      <w:tabs>
        <w:tab w:val="left" w:pos="720"/>
      </w:tabs>
      <w:jc w:val="left"/>
    </w:pPr>
    <w:rPr>
      <w:rFonts w:ascii="Arial Narrow" w:hAnsi="Arial Narrow"/>
      <w:b/>
      <w:snapToGrid w:val="0"/>
      <w:sz w:val="20"/>
      <w:szCs w:val="20"/>
      <w:lang w:eastAsia="en-US"/>
    </w:rPr>
  </w:style>
  <w:style w:type="table" w:customStyle="1" w:styleId="TableGrid1">
    <w:name w:val="Table Grid1"/>
    <w:basedOn w:val="TableNormal"/>
    <w:next w:val="TableGrid"/>
    <w:uiPriority w:val="39"/>
    <w:rsid w:val="00772731"/>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textCentred">
    <w:name w:val="COMtbl-text Centred"/>
    <w:basedOn w:val="Normal"/>
    <w:qFormat/>
    <w:rsid w:val="00F02CF9"/>
    <w:pPr>
      <w:widowControl w:val="0"/>
      <w:tabs>
        <w:tab w:val="left" w:pos="720"/>
      </w:tabs>
      <w:jc w:val="center"/>
    </w:pPr>
    <w:rPr>
      <w:rFonts w:ascii="Arial Narrow" w:hAnsi="Arial Narrow"/>
      <w:snapToGrid w:val="0"/>
      <w:sz w:val="20"/>
      <w:szCs w:val="20"/>
      <w:lang w:eastAsia="en-US"/>
    </w:rPr>
  </w:style>
  <w:style w:type="paragraph" w:customStyle="1" w:styleId="TableParagraph">
    <w:name w:val="Table Paragraph"/>
    <w:basedOn w:val="Normal"/>
    <w:uiPriority w:val="1"/>
    <w:qFormat/>
    <w:rsid w:val="00F02CF9"/>
    <w:pPr>
      <w:widowControl w:val="0"/>
      <w:autoSpaceDE w:val="0"/>
      <w:autoSpaceDN w:val="0"/>
      <w:jc w:val="left"/>
    </w:pPr>
    <w:rPr>
      <w:rFonts w:eastAsia="Calibri" w:cs="Calibri"/>
      <w:sz w:val="22"/>
      <w:szCs w:val="22"/>
      <w:lang w:val="en-US" w:eastAsia="en-US"/>
    </w:rPr>
  </w:style>
  <w:style w:type="paragraph" w:customStyle="1" w:styleId="Table">
    <w:name w:val="Table"/>
    <w:basedOn w:val="Normal"/>
    <w:link w:val="TableChar"/>
    <w:qFormat/>
    <w:rsid w:val="00F02CF9"/>
    <w:pPr>
      <w:jc w:val="left"/>
    </w:pPr>
    <w:rPr>
      <w:rFonts w:eastAsiaTheme="minorHAnsi" w:cstheme="minorHAnsi"/>
      <w:sz w:val="18"/>
      <w:szCs w:val="18"/>
      <w:lang w:eastAsia="en-US"/>
    </w:rPr>
  </w:style>
  <w:style w:type="character" w:customStyle="1" w:styleId="TableChar">
    <w:name w:val="Table Char"/>
    <w:basedOn w:val="DefaultParagraphFont"/>
    <w:link w:val="Table"/>
    <w:rsid w:val="00F02CF9"/>
    <w:rPr>
      <w:rFonts w:ascii="Calibri" w:eastAsiaTheme="minorHAnsi" w:hAnsi="Calibri" w:cstheme="minorHAnsi"/>
      <w:sz w:val="18"/>
      <w:szCs w:val="18"/>
      <w:lang w:eastAsia="en-US"/>
    </w:rPr>
  </w:style>
  <w:style w:type="paragraph" w:customStyle="1" w:styleId="CaptionFootnote">
    <w:name w:val="Caption Footnote"/>
    <w:basedOn w:val="Table"/>
    <w:link w:val="CaptionFootnoteChar"/>
    <w:uiPriority w:val="99"/>
    <w:qFormat/>
    <w:rsid w:val="00F02CF9"/>
  </w:style>
  <w:style w:type="paragraph" w:customStyle="1" w:styleId="TableCentre">
    <w:name w:val="Table Centre"/>
    <w:basedOn w:val="Table"/>
    <w:qFormat/>
    <w:rsid w:val="00F02CF9"/>
    <w:pPr>
      <w:jc w:val="center"/>
    </w:pPr>
    <w:rPr>
      <w:rFonts w:asciiTheme="minorHAnsi" w:eastAsiaTheme="majorEastAsia" w:hAnsiTheme="minorHAnsi" w:cstheme="majorBidi"/>
      <w:szCs w:val="22"/>
      <w:lang w:bidi="en-US"/>
    </w:rPr>
  </w:style>
  <w:style w:type="table" w:customStyle="1" w:styleId="Submissionstandard">
    <w:name w:val="Submission standard"/>
    <w:basedOn w:val="TableNormal"/>
    <w:uiPriority w:val="99"/>
    <w:qFormat/>
    <w:rsid w:val="00F02CF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ldhabi" w:hAnsi="Aldhabi"/>
        <w:b/>
        <w:sz w:val="20"/>
      </w:rPr>
      <w:tblPr/>
      <w:tcPr>
        <w:shd w:val="clear" w:color="auto" w:fill="BFBFBF" w:themeFill="background1" w:themeFillShade="BF"/>
      </w:tcPr>
    </w:tblStylePr>
  </w:style>
  <w:style w:type="numbering" w:customStyle="1" w:styleId="NormalBullet2">
    <w:name w:val="Normal Bullet 2"/>
    <w:basedOn w:val="NoList"/>
    <w:rsid w:val="00F02CF9"/>
    <w:pPr>
      <w:numPr>
        <w:numId w:val="8"/>
      </w:numPr>
    </w:pPr>
  </w:style>
  <w:style w:type="character" w:customStyle="1" w:styleId="CaptionFootnoteChar">
    <w:name w:val="Caption Footnote Char"/>
    <w:basedOn w:val="DefaultParagraphFont"/>
    <w:link w:val="CaptionFootnote"/>
    <w:rsid w:val="00F02CF9"/>
    <w:rPr>
      <w:rFonts w:ascii="Calibri" w:eastAsiaTheme="minorHAnsi" w:hAnsi="Calibri" w:cstheme="minorHAnsi"/>
      <w:sz w:val="18"/>
      <w:szCs w:val="18"/>
      <w:lang w:eastAsia="en-US"/>
    </w:rPr>
  </w:style>
  <w:style w:type="character" w:customStyle="1" w:styleId="TableBulletsChar">
    <w:name w:val="Table Bullets Char"/>
    <w:basedOn w:val="TableChar"/>
    <w:link w:val="TableBullets"/>
    <w:uiPriority w:val="5"/>
    <w:rsid w:val="00F02CF9"/>
    <w:rPr>
      <w:rFonts w:ascii="Calibri" w:eastAsiaTheme="majorEastAsia" w:hAnsi="Calibri" w:cstheme="majorBidi"/>
      <w:sz w:val="18"/>
      <w:szCs w:val="18"/>
      <w:lang w:eastAsia="en-US" w:bidi="en-US"/>
    </w:rPr>
  </w:style>
  <w:style w:type="paragraph" w:customStyle="1" w:styleId="TableBullets">
    <w:name w:val="Table Bullets"/>
    <w:basedOn w:val="Table"/>
    <w:link w:val="TableBulletsChar"/>
    <w:uiPriority w:val="5"/>
    <w:qFormat/>
    <w:rsid w:val="00F02CF9"/>
    <w:pPr>
      <w:numPr>
        <w:numId w:val="9"/>
      </w:numPr>
      <w:ind w:left="170" w:hanging="170"/>
    </w:pPr>
    <w:rPr>
      <w:rFonts w:eastAsiaTheme="majorEastAsia" w:cstheme="majorBidi"/>
      <w:lang w:bidi="en-US"/>
    </w:rPr>
  </w:style>
  <w:style w:type="paragraph" w:customStyle="1" w:styleId="FrontPage1">
    <w:name w:val="Front Page 1"/>
    <w:basedOn w:val="Normal"/>
    <w:link w:val="FrontPage1Char"/>
    <w:qFormat/>
    <w:rsid w:val="00F02CF9"/>
    <w:pPr>
      <w:spacing w:after="240" w:line="360" w:lineRule="auto"/>
      <w:jc w:val="center"/>
    </w:pPr>
    <w:rPr>
      <w:rFonts w:asciiTheme="minorHAnsi" w:eastAsiaTheme="minorHAnsi" w:hAnsiTheme="minorHAnsi" w:cstheme="minorBidi"/>
      <w:sz w:val="40"/>
      <w:szCs w:val="22"/>
      <w:lang w:eastAsia="en-US"/>
    </w:rPr>
  </w:style>
  <w:style w:type="character" w:customStyle="1" w:styleId="FrontPage1Char">
    <w:name w:val="Front Page 1 Char"/>
    <w:basedOn w:val="DefaultParagraphFont"/>
    <w:link w:val="FrontPage1"/>
    <w:rsid w:val="00F02CF9"/>
    <w:rPr>
      <w:rFonts w:asciiTheme="minorHAnsi" w:eastAsiaTheme="minorHAnsi" w:hAnsiTheme="minorHAnsi" w:cstheme="minorBidi"/>
      <w:sz w:val="40"/>
      <w:szCs w:val="22"/>
      <w:lang w:eastAsia="en-US"/>
    </w:rPr>
  </w:style>
  <w:style w:type="paragraph" w:customStyle="1" w:styleId="EndNoteBibliographyTitle">
    <w:name w:val="EndNote Bibliography Title"/>
    <w:basedOn w:val="Normal"/>
    <w:link w:val="EndNoteBibliographyTitleChar"/>
    <w:rsid w:val="002F1696"/>
    <w:pPr>
      <w:jc w:val="center"/>
    </w:pPr>
    <w:rPr>
      <w:rFonts w:cs="Calibri"/>
      <w:noProof/>
    </w:rPr>
  </w:style>
  <w:style w:type="character" w:customStyle="1" w:styleId="ListBulletChar">
    <w:name w:val="List Bullet Char"/>
    <w:basedOn w:val="DefaultParagraphFont"/>
    <w:link w:val="ListBullet"/>
    <w:rsid w:val="002F1696"/>
    <w:rPr>
      <w:rFonts w:ascii="Calibri" w:hAnsi="Calibri" w:cs="Arial"/>
      <w:sz w:val="24"/>
      <w:szCs w:val="24"/>
    </w:rPr>
  </w:style>
  <w:style w:type="character" w:customStyle="1" w:styleId="EndNoteBibliographyTitleChar">
    <w:name w:val="EndNote Bibliography Title Char"/>
    <w:basedOn w:val="ListBulletChar"/>
    <w:link w:val="EndNoteBibliographyTitle"/>
    <w:rsid w:val="002F1696"/>
    <w:rPr>
      <w:rFonts w:ascii="Calibri" w:hAnsi="Calibri" w:cs="Calibri"/>
      <w:noProof/>
      <w:sz w:val="24"/>
      <w:szCs w:val="24"/>
    </w:rPr>
  </w:style>
  <w:style w:type="paragraph" w:customStyle="1" w:styleId="EndNoteBibliography">
    <w:name w:val="EndNote Bibliography"/>
    <w:basedOn w:val="Normal"/>
    <w:link w:val="EndNoteBibliographyChar"/>
    <w:rsid w:val="002F1696"/>
    <w:pPr>
      <w:jc w:val="left"/>
    </w:pPr>
    <w:rPr>
      <w:rFonts w:cs="Calibri"/>
      <w:noProof/>
    </w:rPr>
  </w:style>
  <w:style w:type="character" w:customStyle="1" w:styleId="EndNoteBibliographyChar">
    <w:name w:val="EndNote Bibliography Char"/>
    <w:basedOn w:val="ListBulletChar"/>
    <w:link w:val="EndNoteBibliography"/>
    <w:rsid w:val="002F1696"/>
    <w:rPr>
      <w:rFonts w:ascii="Calibri" w:hAnsi="Calibri" w:cs="Calibri"/>
      <w:noProof/>
      <w:sz w:val="24"/>
      <w:szCs w:val="24"/>
    </w:rPr>
  </w:style>
  <w:style w:type="character" w:customStyle="1" w:styleId="Heading1Char">
    <w:name w:val="Heading 1 Char"/>
    <w:basedOn w:val="DefaultParagraphFont"/>
    <w:link w:val="Heading1"/>
    <w:uiPriority w:val="9"/>
    <w:rsid w:val="00257DEC"/>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0604F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604F5"/>
    <w:rPr>
      <w:rFonts w:asciiTheme="minorHAnsi" w:eastAsiaTheme="majorEastAsia" w:hAnsiTheme="minorHAnsi" w:cstheme="majorBidi"/>
      <w:b/>
      <w:i/>
      <w:snapToGrid/>
      <w:spacing w:val="5"/>
      <w:kern w:val="28"/>
      <w:sz w:val="28"/>
      <w:szCs w:val="36"/>
      <w:lang w:eastAsia="en-US"/>
    </w:rPr>
  </w:style>
  <w:style w:type="character" w:customStyle="1" w:styleId="UnresolvedMention1">
    <w:name w:val="Unresolved Mention1"/>
    <w:basedOn w:val="DefaultParagraphFont"/>
    <w:uiPriority w:val="99"/>
    <w:unhideWhenUsed/>
    <w:rsid w:val="0003439A"/>
    <w:rPr>
      <w:color w:val="605E5C"/>
      <w:shd w:val="clear" w:color="auto" w:fill="E1DFDD"/>
    </w:rPr>
  </w:style>
  <w:style w:type="paragraph" w:customStyle="1" w:styleId="Source">
    <w:name w:val="Source"/>
    <w:basedOn w:val="Normal"/>
    <w:uiPriority w:val="35"/>
    <w:qFormat/>
    <w:rsid w:val="00B13899"/>
    <w:pPr>
      <w:tabs>
        <w:tab w:val="left" w:pos="284"/>
      </w:tabs>
      <w:spacing w:before="60" w:after="240" w:line="360" w:lineRule="auto"/>
      <w:ind w:left="720" w:hanging="720"/>
      <w:contextualSpacing/>
      <w:jc w:val="left"/>
    </w:pPr>
    <w:rPr>
      <w:rFonts w:ascii="Arial" w:eastAsiaTheme="minorHAnsi" w:hAnsi="Arial" w:cstheme="minorBidi"/>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37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76984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5078">
      <w:bodyDiv w:val="1"/>
      <w:marLeft w:val="0"/>
      <w:marRight w:val="0"/>
      <w:marTop w:val="0"/>
      <w:marBottom w:val="0"/>
      <w:divBdr>
        <w:top w:val="none" w:sz="0" w:space="0" w:color="auto"/>
        <w:left w:val="none" w:sz="0" w:space="0" w:color="auto"/>
        <w:bottom w:val="none" w:sz="0" w:space="0" w:color="auto"/>
        <w:right w:val="none" w:sz="0" w:space="0" w:color="auto"/>
      </w:divBdr>
    </w:div>
    <w:div w:id="1341852713">
      <w:bodyDiv w:val="1"/>
      <w:marLeft w:val="0"/>
      <w:marRight w:val="0"/>
      <w:marTop w:val="0"/>
      <w:marBottom w:val="0"/>
      <w:divBdr>
        <w:top w:val="none" w:sz="0" w:space="0" w:color="auto"/>
        <w:left w:val="none" w:sz="0" w:space="0" w:color="auto"/>
        <w:bottom w:val="none" w:sz="0" w:space="0" w:color="auto"/>
        <w:right w:val="none" w:sz="0" w:space="0" w:color="auto"/>
      </w:divBdr>
    </w:div>
    <w:div w:id="170223926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niuHe9p71AhUQgtgFHRsTAukQFnoECAIQAQ&amp;url=https%3A%2F%2Fwww.ncirs.org.au%2Fsites%2Fdefault%2Ffiles%2F2019-04%2FMeningococcal_FactSheet_April2019_Final.pdf&amp;usg=AOvVaw1p4PSru2Enp-Z2Xr5glI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CB19-BEBD-4520-8884-E5B077E5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8316</Words>
  <Characters>45330</Characters>
  <Application>Microsoft Office Word</Application>
  <DocSecurity>0</DocSecurity>
  <Lines>377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2022-09-20T00:35:00Z</dcterms:created>
  <dcterms:modified xsi:type="dcterms:W3CDTF">2022-09-20T00:35:00Z</dcterms:modified>
</cp:coreProperties>
</file>